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BD7E0" w14:textId="77777777" w:rsidR="00113A51" w:rsidRDefault="00766EC7">
      <w:pPr>
        <w:spacing w:before="1400"/>
        <w:jc w:val="center"/>
        <w:rPr>
          <w:rFonts w:ascii="Times New Roman" w:eastAsia="宋体" w:hAnsi="Times New Roman" w:cs="Times New Roman"/>
          <w:b/>
          <w:bCs/>
          <w:sz w:val="36"/>
          <w:szCs w:val="36"/>
        </w:rPr>
      </w:pPr>
      <w:r>
        <w:rPr>
          <w:rFonts w:ascii="Times New Roman" w:eastAsia="宋体" w:hAnsi="Times New Roman" w:cs="Times New Roman"/>
          <w:noProof/>
          <w:kern w:val="0"/>
          <w:sz w:val="24"/>
          <w:szCs w:val="24"/>
        </w:rPr>
        <w:drawing>
          <wp:inline distT="0" distB="0" distL="0" distR="0" wp14:anchorId="60645CEF" wp14:editId="054E2ECB">
            <wp:extent cx="1112520" cy="35369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112520" cy="353695"/>
                    </a:xfrm>
                    <a:prstGeom prst="rect">
                      <a:avLst/>
                    </a:prstGeom>
                    <a:noFill/>
                    <a:ln>
                      <a:noFill/>
                    </a:ln>
                  </pic:spPr>
                </pic:pic>
              </a:graphicData>
            </a:graphic>
          </wp:inline>
        </w:drawing>
      </w:r>
    </w:p>
    <w:p w14:paraId="012EA9C9" w14:textId="77777777" w:rsidR="00113A51" w:rsidRDefault="00766EC7">
      <w:pPr>
        <w:spacing w:before="600"/>
        <w:jc w:val="center"/>
        <w:rPr>
          <w:rFonts w:ascii="Times New Roman" w:eastAsia="宋体" w:hAnsi="Times New Roman" w:cs="Times New Roman"/>
          <w:b/>
          <w:bCs/>
          <w:sz w:val="36"/>
          <w:szCs w:val="36"/>
        </w:rPr>
      </w:pPr>
      <w:r>
        <w:rPr>
          <w:rFonts w:ascii="Times New Roman" w:eastAsia="宋体" w:hAnsi="Times New Roman" w:cs="Times New Roman"/>
          <w:b/>
          <w:bCs/>
          <w:sz w:val="36"/>
          <w:szCs w:val="36"/>
        </w:rPr>
        <w:t>三诺生物传感股份有限公司</w:t>
      </w:r>
    </w:p>
    <w:p w14:paraId="720F0E8C" w14:textId="77777777" w:rsidR="00113A51" w:rsidRDefault="00766EC7">
      <w:pPr>
        <w:spacing w:before="1000" w:line="240" w:lineRule="exact"/>
        <w:jc w:val="center"/>
        <w:rPr>
          <w:rFonts w:ascii="Times New Roman" w:eastAsia="宋体" w:hAnsi="Times New Roman" w:cs="Times New Roman"/>
          <w:b/>
          <w:bCs/>
          <w:sz w:val="32"/>
          <w:szCs w:val="32"/>
        </w:rPr>
      </w:pPr>
      <w:r>
        <w:rPr>
          <w:rFonts w:ascii="Times New Roman" w:eastAsia="宋体" w:hAnsi="Times New Roman" w:cs="Times New Roman"/>
          <w:b/>
          <w:bCs/>
          <w:sz w:val="32"/>
          <w:szCs w:val="32"/>
        </w:rPr>
        <w:t>2025</w:t>
      </w:r>
      <w:r>
        <w:rPr>
          <w:rFonts w:ascii="Times New Roman" w:eastAsia="宋体" w:hAnsi="Times New Roman" w:cs="Times New Roman"/>
          <w:b/>
          <w:bCs/>
          <w:sz w:val="32"/>
          <w:szCs w:val="32"/>
        </w:rPr>
        <w:t>年年度报告</w:t>
      </w:r>
    </w:p>
    <w:p w14:paraId="58F62175" w14:textId="77777777" w:rsidR="00113A51" w:rsidRDefault="00113A51">
      <w:pPr>
        <w:spacing w:before="1000" w:line="240" w:lineRule="exact"/>
        <w:jc w:val="center"/>
        <w:rPr>
          <w:rFonts w:ascii="宋体" w:eastAsia="宋体" w:hAnsi="宋体" w:cs="宋体"/>
          <w:b/>
          <w:bCs/>
          <w:szCs w:val="21"/>
        </w:rPr>
      </w:pPr>
    </w:p>
    <w:p w14:paraId="10FC5B4D" w14:textId="77777777" w:rsidR="00113A51" w:rsidRDefault="00113A51">
      <w:pPr>
        <w:spacing w:before="1000" w:after="1000" w:line="0" w:lineRule="atLeast"/>
        <w:jc w:val="center"/>
        <w:rPr>
          <w:rFonts w:ascii="Times New Roman" w:eastAsia="宋体" w:hAnsi="Times New Roman" w:cs="Times New Roman"/>
        </w:rPr>
      </w:pPr>
    </w:p>
    <w:p w14:paraId="5FFA0741" w14:textId="77777777" w:rsidR="00113A51" w:rsidRDefault="00766EC7">
      <w:pPr>
        <w:spacing w:before="400" w:line="320" w:lineRule="exact"/>
        <w:jc w:val="center"/>
        <w:rPr>
          <w:rFonts w:ascii="宋体" w:eastAsia="宋体" w:hAnsi="宋体" w:cs="宋体"/>
          <w:b/>
          <w:bCs/>
          <w:sz w:val="32"/>
          <w:szCs w:val="32"/>
        </w:rPr>
      </w:pPr>
      <w:r>
        <w:rPr>
          <w:rFonts w:ascii="Times New Roman" w:eastAsia="宋体" w:hAnsi="Times New Roman" w:cs="Times New Roman"/>
          <w:b/>
          <w:bCs/>
          <w:sz w:val="32"/>
          <w:szCs w:val="32"/>
        </w:rPr>
        <w:t>2026</w:t>
      </w:r>
      <w:r>
        <w:rPr>
          <w:rFonts w:ascii="Times New Roman" w:eastAsia="宋体" w:hAnsi="Times New Roman" w:cs="Times New Roman"/>
          <w:b/>
          <w:bCs/>
          <w:sz w:val="32"/>
          <w:szCs w:val="32"/>
        </w:rPr>
        <w:t>年</w:t>
      </w:r>
      <w:r>
        <w:rPr>
          <w:rFonts w:ascii="Times New Roman" w:eastAsia="宋体" w:hAnsi="Times New Roman" w:cs="Times New Roman"/>
          <w:b/>
          <w:bCs/>
          <w:sz w:val="32"/>
          <w:szCs w:val="32"/>
        </w:rPr>
        <w:t>04</w:t>
      </w:r>
      <w:r>
        <w:rPr>
          <w:rFonts w:ascii="Times New Roman" w:eastAsia="宋体" w:hAnsi="Times New Roman" w:cs="Times New Roman"/>
          <w:b/>
          <w:bCs/>
          <w:sz w:val="32"/>
          <w:szCs w:val="32"/>
        </w:rPr>
        <w:t>月</w:t>
      </w:r>
    </w:p>
    <w:p w14:paraId="6C9A89B9" w14:textId="77777777" w:rsidR="00113A51" w:rsidRDefault="00766EC7">
      <w:r>
        <w:br w:type="page"/>
      </w:r>
    </w:p>
    <w:p w14:paraId="7D0AA419" w14:textId="77777777" w:rsidR="009E4C8A" w:rsidRPr="00C707CF" w:rsidRDefault="009E4C8A" w:rsidP="009E4C8A">
      <w:pPr>
        <w:spacing w:beforeLines="100" w:before="312" w:afterLines="100" w:after="312" w:line="360" w:lineRule="auto"/>
        <w:jc w:val="center"/>
        <w:rPr>
          <w:rFonts w:ascii="宋体" w:eastAsia="宋体" w:hAnsi="宋体"/>
          <w:b/>
          <w:sz w:val="32"/>
          <w:szCs w:val="32"/>
        </w:rPr>
      </w:pPr>
      <w:r w:rsidRPr="00C707CF">
        <w:rPr>
          <w:rFonts w:ascii="宋体" w:eastAsia="宋体" w:hAnsi="宋体"/>
          <w:b/>
          <w:sz w:val="32"/>
          <w:szCs w:val="32"/>
        </w:rPr>
        <w:lastRenderedPageBreak/>
        <w:t>致股东的一封信</w:t>
      </w:r>
    </w:p>
    <w:p w14:paraId="1C46407B" w14:textId="77777777" w:rsidR="009E4C8A" w:rsidRPr="00C707CF" w:rsidRDefault="009E4C8A" w:rsidP="00C707CF">
      <w:pPr>
        <w:spacing w:line="360" w:lineRule="auto"/>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尊敬的股东朋友们：</w:t>
      </w:r>
    </w:p>
    <w:p w14:paraId="4E2469A7"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感谢您长期以来对公司的信任与支持！</w:t>
      </w:r>
    </w:p>
    <w:p w14:paraId="65F603A2"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当丙午马年的蹄音再次叩响时光，从壬午马年启程的三诺已走过二十四载，开启第三个生肖轮回。我们深知，轮回不会自动进阶，唯有进化，常变长青，方能抵达下一程。</w:t>
      </w:r>
    </w:p>
    <w:p w14:paraId="29F64122"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过去的蛇年，是蜕变向新的一年，不但三诺在发生着改变，整个全球的经济、技术也是在风云变幻。我们怎么样更好地追求卓越的成长呢？常变，是我们的组织形态，是我们个人的成长；长青，是我们以用户为中心，帮助用户更好地健康生活，这个使命是我们需要去传承的。</w:t>
      </w:r>
    </w:p>
    <w:p w14:paraId="672D82AD" w14:textId="7083F87D"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公司</w:t>
      </w:r>
      <w:r w:rsidRPr="00C707CF">
        <w:rPr>
          <w:rFonts w:ascii="Times New Roman" w:eastAsia="宋体" w:hAnsi="Times New Roman" w:cs="Times New Roman"/>
          <w:sz w:val="24"/>
          <w:szCs w:val="24"/>
        </w:rPr>
        <w:t>2025</w:t>
      </w:r>
      <w:r w:rsidRPr="00C707CF">
        <w:rPr>
          <w:rFonts w:ascii="Times New Roman" w:eastAsia="宋体" w:hAnsi="Times New Roman" w:cs="Times New Roman"/>
          <w:sz w:val="24"/>
          <w:szCs w:val="24"/>
        </w:rPr>
        <w:t>年实现营业收入</w:t>
      </w:r>
      <w:r w:rsidRPr="00C707CF">
        <w:rPr>
          <w:rFonts w:ascii="Times New Roman" w:eastAsia="宋体" w:hAnsi="Times New Roman" w:cs="Times New Roman"/>
          <w:sz w:val="24"/>
          <w:szCs w:val="24"/>
        </w:rPr>
        <w:t>46.59</w:t>
      </w:r>
      <w:r w:rsidRPr="00C707CF">
        <w:rPr>
          <w:rFonts w:ascii="Times New Roman" w:eastAsia="宋体" w:hAnsi="Times New Roman" w:cs="Times New Roman"/>
          <w:sz w:val="24"/>
          <w:szCs w:val="24"/>
        </w:rPr>
        <w:t>亿元，同比增长</w:t>
      </w:r>
      <w:r w:rsidRPr="00C707CF">
        <w:rPr>
          <w:rFonts w:ascii="Times New Roman" w:eastAsia="宋体" w:hAnsi="Times New Roman" w:cs="Times New Roman"/>
          <w:sz w:val="24"/>
          <w:szCs w:val="24"/>
        </w:rPr>
        <w:t>4.87%</w:t>
      </w:r>
      <w:r w:rsidRPr="00C707CF">
        <w:rPr>
          <w:rFonts w:ascii="Times New Roman" w:eastAsia="宋体" w:hAnsi="Times New Roman" w:cs="Times New Roman"/>
          <w:sz w:val="24"/>
          <w:szCs w:val="24"/>
        </w:rPr>
        <w:t>；其中海外收入</w:t>
      </w:r>
      <w:r w:rsidRPr="00C707CF">
        <w:rPr>
          <w:rFonts w:ascii="Times New Roman" w:eastAsia="宋体" w:hAnsi="Times New Roman" w:cs="Times New Roman"/>
          <w:sz w:val="24"/>
          <w:szCs w:val="24"/>
        </w:rPr>
        <w:t>20.52</w:t>
      </w:r>
      <w:r w:rsidRPr="00C707CF">
        <w:rPr>
          <w:rFonts w:ascii="Times New Roman" w:eastAsia="宋体" w:hAnsi="Times New Roman" w:cs="Times New Roman"/>
          <w:sz w:val="24"/>
          <w:szCs w:val="24"/>
        </w:rPr>
        <w:t>亿元，占比</w:t>
      </w:r>
      <w:r w:rsidRPr="00C707CF">
        <w:rPr>
          <w:rFonts w:ascii="Times New Roman" w:eastAsia="宋体" w:hAnsi="Times New Roman" w:cs="Times New Roman"/>
          <w:sz w:val="24"/>
          <w:szCs w:val="24"/>
        </w:rPr>
        <w:t>44.04%</w:t>
      </w:r>
      <w:r w:rsidRPr="00C707CF">
        <w:rPr>
          <w:rFonts w:ascii="Times New Roman" w:eastAsia="宋体" w:hAnsi="Times New Roman" w:cs="Times New Roman"/>
          <w:sz w:val="24"/>
          <w:szCs w:val="24"/>
        </w:rPr>
        <w:t>，同比增长</w:t>
      </w:r>
      <w:r w:rsidRPr="00C707CF">
        <w:rPr>
          <w:rFonts w:ascii="Times New Roman" w:eastAsia="宋体" w:hAnsi="Times New Roman" w:cs="Times New Roman"/>
          <w:sz w:val="24"/>
          <w:szCs w:val="24"/>
        </w:rPr>
        <w:t>10.02%</w:t>
      </w:r>
      <w:r w:rsidRPr="00C707CF">
        <w:rPr>
          <w:rFonts w:ascii="Times New Roman" w:eastAsia="宋体" w:hAnsi="Times New Roman" w:cs="Times New Roman"/>
          <w:sz w:val="24"/>
          <w:szCs w:val="24"/>
        </w:rPr>
        <w:t>。归属于母公司净利润</w:t>
      </w:r>
      <w:r w:rsidRPr="00C707CF">
        <w:rPr>
          <w:rFonts w:ascii="Times New Roman" w:eastAsia="宋体" w:hAnsi="Times New Roman" w:cs="Times New Roman"/>
          <w:sz w:val="24"/>
          <w:szCs w:val="24"/>
        </w:rPr>
        <w:t>9</w:t>
      </w:r>
      <w:r w:rsidR="00545D0C">
        <w:rPr>
          <w:rFonts w:ascii="Times New Roman" w:eastAsia="宋体" w:hAnsi="Times New Roman" w:cs="Times New Roman"/>
          <w:sz w:val="24"/>
          <w:szCs w:val="24"/>
        </w:rPr>
        <w:t>,</w:t>
      </w:r>
      <w:r w:rsidRPr="00C707CF">
        <w:rPr>
          <w:rFonts w:ascii="Times New Roman" w:eastAsia="宋体" w:hAnsi="Times New Roman" w:cs="Times New Roman"/>
          <w:sz w:val="24"/>
          <w:szCs w:val="24"/>
        </w:rPr>
        <w:t>264.89</w:t>
      </w:r>
      <w:r w:rsidRPr="00C707CF">
        <w:rPr>
          <w:rFonts w:ascii="Times New Roman" w:eastAsia="宋体" w:hAnsi="Times New Roman" w:cs="Times New Roman"/>
          <w:sz w:val="24"/>
          <w:szCs w:val="24"/>
        </w:rPr>
        <w:t>万元，同比下降</w:t>
      </w:r>
      <w:r w:rsidRPr="00C707CF">
        <w:rPr>
          <w:rFonts w:ascii="Times New Roman" w:eastAsia="宋体" w:hAnsi="Times New Roman" w:cs="Times New Roman"/>
          <w:sz w:val="24"/>
          <w:szCs w:val="24"/>
        </w:rPr>
        <w:t>71.61%</w:t>
      </w:r>
      <w:r w:rsidRPr="00C707CF">
        <w:rPr>
          <w:rFonts w:ascii="Times New Roman" w:eastAsia="宋体" w:hAnsi="Times New Roman" w:cs="Times New Roman"/>
          <w:sz w:val="24"/>
          <w:szCs w:val="24"/>
        </w:rPr>
        <w:t>。净利润的大幅下滑，主要源于公司在全球化与新业务推进过程中所经历的阶段性挑战与投入。一方面，</w:t>
      </w:r>
      <w:r w:rsidRPr="00C707CF">
        <w:rPr>
          <w:rFonts w:ascii="Times New Roman" w:eastAsia="宋体" w:hAnsi="Times New Roman" w:cs="Times New Roman"/>
          <w:sz w:val="24"/>
          <w:szCs w:val="24"/>
        </w:rPr>
        <w:t>CGM</w:t>
      </w:r>
      <w:r w:rsidRPr="00C707CF">
        <w:rPr>
          <w:rFonts w:ascii="Times New Roman" w:eastAsia="宋体" w:hAnsi="Times New Roman" w:cs="Times New Roman"/>
          <w:sz w:val="24"/>
          <w:szCs w:val="24"/>
        </w:rPr>
        <w:t>业务在欧洲市场遭遇专利诉讼，影响了阶段性推进节奏；另一方面，子公司</w:t>
      </w:r>
      <w:r w:rsidRPr="00C707CF">
        <w:rPr>
          <w:rFonts w:ascii="Times New Roman" w:eastAsia="宋体" w:hAnsi="Times New Roman" w:cs="Times New Roman"/>
          <w:sz w:val="24"/>
          <w:szCs w:val="24"/>
        </w:rPr>
        <w:t>Trividia</w:t>
      </w:r>
      <w:r w:rsidRPr="00C707CF">
        <w:rPr>
          <w:rFonts w:ascii="Times New Roman" w:eastAsia="宋体" w:hAnsi="Times New Roman" w:cs="Times New Roman"/>
          <w:sz w:val="24"/>
          <w:szCs w:val="24"/>
        </w:rPr>
        <w:t>完成与罗氏的专利纠纷和解，同时</w:t>
      </w:r>
      <w:r w:rsidRPr="00C707CF">
        <w:rPr>
          <w:rFonts w:ascii="Times New Roman" w:eastAsia="宋体" w:hAnsi="Times New Roman" w:cs="Times New Roman"/>
          <w:sz w:val="24"/>
          <w:szCs w:val="24"/>
        </w:rPr>
        <w:t>PTS</w:t>
      </w:r>
      <w:r w:rsidRPr="00C707CF">
        <w:rPr>
          <w:rFonts w:ascii="Times New Roman" w:eastAsia="宋体" w:hAnsi="Times New Roman" w:cs="Times New Roman"/>
          <w:sz w:val="24"/>
          <w:szCs w:val="24"/>
        </w:rPr>
        <w:t>相关业务计提商誉减值。这些因素在短期内对净利润产生了集中影响。我们认为，我们正在经历成长为</w:t>
      </w:r>
      <w:r w:rsidRPr="00C707CF">
        <w:rPr>
          <w:rFonts w:ascii="Times New Roman" w:eastAsia="宋体" w:hAnsi="Times New Roman" w:cs="Times New Roman"/>
          <w:sz w:val="24"/>
          <w:szCs w:val="24"/>
        </w:rPr>
        <w:t>MNC</w:t>
      </w:r>
      <w:r w:rsidRPr="00C707CF">
        <w:rPr>
          <w:rFonts w:ascii="Times New Roman" w:eastAsia="宋体" w:hAnsi="Times New Roman" w:cs="Times New Roman"/>
          <w:sz w:val="24"/>
          <w:szCs w:val="24"/>
        </w:rPr>
        <w:t>（</w:t>
      </w:r>
      <w:r w:rsidRPr="00C707CF">
        <w:rPr>
          <w:rFonts w:ascii="Times New Roman" w:eastAsia="宋体" w:hAnsi="Times New Roman" w:cs="Times New Roman"/>
          <w:sz w:val="24"/>
          <w:szCs w:val="24"/>
        </w:rPr>
        <w:t>Multinational Company</w:t>
      </w:r>
      <w:r w:rsidRPr="00C707CF">
        <w:rPr>
          <w:rFonts w:ascii="Times New Roman" w:eastAsia="宋体" w:hAnsi="Times New Roman" w:cs="Times New Roman"/>
          <w:sz w:val="24"/>
          <w:szCs w:val="24"/>
        </w:rPr>
        <w:t>）的成人礼，我们在付出阶段性的代价，为长期的可持续健康成长积聚能力。</w:t>
      </w:r>
    </w:p>
    <w:p w14:paraId="57FB1212"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三诺一直致力于生物传感技术的创新，十年前我们提出了行业领导者起航，我们要产品领先、卓越运营、用户贴近。这些策略是没有变的，任何商业我们都需要围绕着这三点在不同发展阶段发力以持续的获得竞争的差异化，然后获得战略优势。但是面对业务需求的变化和人工智能新时代，</w:t>
      </w:r>
      <w:r w:rsidRPr="00C707CF">
        <w:rPr>
          <w:rFonts w:ascii="Times New Roman" w:eastAsia="宋体" w:hAnsi="Times New Roman" w:cs="Times New Roman"/>
          <w:sz w:val="24"/>
          <w:szCs w:val="24"/>
        </w:rPr>
        <w:t>2022</w:t>
      </w:r>
      <w:r w:rsidRPr="00C707CF">
        <w:rPr>
          <w:rFonts w:ascii="Times New Roman" w:eastAsia="宋体" w:hAnsi="Times New Roman" w:cs="Times New Roman"/>
          <w:sz w:val="24"/>
          <w:szCs w:val="24"/>
        </w:rPr>
        <w:t>年我们提出的</w:t>
      </w:r>
      <w:r w:rsidRPr="00C707CF">
        <w:rPr>
          <w:rFonts w:ascii="Times New Roman" w:eastAsia="宋体" w:hAnsi="Times New Roman" w:cs="Times New Roman"/>
          <w:sz w:val="24"/>
          <w:szCs w:val="24"/>
        </w:rPr>
        <w:t>“</w:t>
      </w:r>
      <w:r w:rsidRPr="00C707CF">
        <w:rPr>
          <w:rFonts w:ascii="Times New Roman" w:eastAsia="宋体" w:hAnsi="Times New Roman" w:cs="Times New Roman"/>
          <w:sz w:val="24"/>
          <w:szCs w:val="24"/>
        </w:rPr>
        <w:t>专业化、数智化、全球化</w:t>
      </w:r>
      <w:r w:rsidRPr="00C707CF">
        <w:rPr>
          <w:rFonts w:ascii="Times New Roman" w:eastAsia="宋体" w:hAnsi="Times New Roman" w:cs="Times New Roman"/>
          <w:sz w:val="24"/>
          <w:szCs w:val="24"/>
        </w:rPr>
        <w:t>”</w:t>
      </w:r>
      <w:r w:rsidRPr="00C707CF">
        <w:rPr>
          <w:rFonts w:ascii="Times New Roman" w:eastAsia="宋体" w:hAnsi="Times New Roman" w:cs="Times New Roman"/>
          <w:sz w:val="24"/>
          <w:szCs w:val="24"/>
        </w:rPr>
        <w:t>的组织能力，核心是要敢于进行管理变革，从固定型思维转变为成长型思维。去年蛇年，我们确立了</w:t>
      </w:r>
      <w:r w:rsidRPr="00C707CF">
        <w:rPr>
          <w:rFonts w:ascii="宋体" w:eastAsia="宋体" w:hAnsi="宋体" w:cs="Times New Roman"/>
          <w:sz w:val="24"/>
          <w:szCs w:val="24"/>
        </w:rPr>
        <w:t>“</w:t>
      </w:r>
      <w:r w:rsidRPr="00C707CF">
        <w:rPr>
          <w:rFonts w:ascii="Times New Roman" w:eastAsia="宋体" w:hAnsi="Times New Roman" w:cs="Times New Roman"/>
          <w:sz w:val="24"/>
          <w:szCs w:val="24"/>
        </w:rPr>
        <w:t>简化、</w:t>
      </w: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、交付</w:t>
      </w:r>
      <w:r w:rsidRPr="00C707CF">
        <w:rPr>
          <w:rFonts w:ascii="宋体" w:eastAsia="宋体" w:hAnsi="宋体" w:cs="Times New Roman"/>
          <w:sz w:val="24"/>
          <w:szCs w:val="24"/>
        </w:rPr>
        <w:t>”</w:t>
      </w:r>
      <w:r w:rsidRPr="00C707CF">
        <w:rPr>
          <w:rFonts w:ascii="Times New Roman" w:eastAsia="宋体" w:hAnsi="Times New Roman" w:cs="Times New Roman"/>
          <w:sz w:val="24"/>
          <w:szCs w:val="24"/>
        </w:rPr>
        <w:t>为进化的支点；今年马年，这三个支点需要成长为三诺穿越这一轮剧烈进化周期的三大支柱：</w:t>
      </w:r>
    </w:p>
    <w:p w14:paraId="55F1139B" w14:textId="77777777" w:rsidR="009E4C8A" w:rsidRPr="00C707CF" w:rsidRDefault="009E4C8A" w:rsidP="00C707CF">
      <w:pPr>
        <w:spacing w:line="360" w:lineRule="auto"/>
        <w:ind w:firstLineChars="200" w:firstLine="480"/>
        <w:rPr>
          <w:rFonts w:ascii="Times New Roman" w:eastAsia="宋体" w:hAnsi="Times New Roman" w:cs="Times New Roman"/>
          <w:sz w:val="24"/>
          <w:szCs w:val="24"/>
        </w:rPr>
      </w:pPr>
      <w:r w:rsidRPr="00C707CF">
        <w:rPr>
          <w:rFonts w:ascii="Times New Roman" w:eastAsia="宋体" w:hAnsi="Times New Roman" w:cs="Times New Roman"/>
          <w:sz w:val="24"/>
          <w:szCs w:val="24"/>
        </w:rPr>
        <w:t>简化：砍掉所有不指向用户获益的冗余，让组织更敏捷，提升跨部门的质量和速度，基于数据进行决策，提升决策质量。推进</w:t>
      </w:r>
      <w:r w:rsidRPr="00C707CF">
        <w:rPr>
          <w:rFonts w:ascii="Times New Roman" w:eastAsia="宋体" w:hAnsi="Times New Roman" w:cs="Times New Roman"/>
          <w:sz w:val="24"/>
          <w:szCs w:val="24"/>
        </w:rPr>
        <w:t>IPD</w:t>
      </w:r>
      <w:r w:rsidRPr="00C707CF">
        <w:rPr>
          <w:rFonts w:ascii="Times New Roman" w:eastAsia="宋体" w:hAnsi="Times New Roman" w:cs="Times New Roman"/>
          <w:sz w:val="24"/>
          <w:szCs w:val="24"/>
        </w:rPr>
        <w:t>变革，打通需求、研发与注册，让资源流向真正创造价值的地方。</w:t>
      </w:r>
    </w:p>
    <w:p w14:paraId="1C89FDB3"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：在</w:t>
      </w: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方面，我们要从工具应用到组织进化，在业务融合上将</w:t>
      </w: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深度嵌入核心业务流程。按照</w:t>
      </w:r>
      <w:r w:rsidRPr="00C707CF">
        <w:rPr>
          <w:rFonts w:ascii="Times New Roman" w:eastAsia="宋体" w:hAnsi="Times New Roman" w:cs="Times New Roman"/>
          <w:sz w:val="24"/>
          <w:szCs w:val="24"/>
        </w:rPr>
        <w:t>DSLC</w:t>
      </w:r>
      <w:r w:rsidRPr="00C707CF">
        <w:rPr>
          <w:rFonts w:ascii="Times New Roman" w:eastAsia="宋体" w:hAnsi="Times New Roman" w:cs="Times New Roman"/>
          <w:sz w:val="24"/>
          <w:szCs w:val="24"/>
        </w:rPr>
        <w:t>（数据科学生命周期）流程建立可信数据体系，建立符合</w:t>
      </w:r>
      <w:r w:rsidRPr="00C707CF">
        <w:rPr>
          <w:rFonts w:ascii="Times New Roman" w:eastAsia="宋体" w:hAnsi="Times New Roman" w:cs="Times New Roman"/>
          <w:sz w:val="24"/>
          <w:szCs w:val="24"/>
        </w:rPr>
        <w:t>PCS</w:t>
      </w:r>
      <w:r w:rsidRPr="00C707CF">
        <w:rPr>
          <w:rFonts w:ascii="Times New Roman" w:eastAsia="宋体" w:hAnsi="Times New Roman" w:cs="Times New Roman"/>
          <w:sz w:val="24"/>
          <w:szCs w:val="24"/>
        </w:rPr>
        <w:t>（可预</w:t>
      </w:r>
      <w:r w:rsidRPr="00C707CF">
        <w:rPr>
          <w:rFonts w:ascii="Times New Roman" w:eastAsia="宋体" w:hAnsi="Times New Roman" w:cs="Times New Roman"/>
          <w:sz w:val="24"/>
          <w:szCs w:val="24"/>
        </w:rPr>
        <w:lastRenderedPageBreak/>
        <w:t>期、可计算和稳定）要求的算法模型。以</w:t>
      </w:r>
      <w:r w:rsidRPr="00C707CF">
        <w:rPr>
          <w:rFonts w:ascii="Times New Roman" w:eastAsia="宋体" w:hAnsi="Times New Roman" w:cs="Times New Roman"/>
          <w:sz w:val="24"/>
          <w:szCs w:val="24"/>
        </w:rPr>
        <w:t>AI Ready</w:t>
      </w:r>
      <w:r w:rsidRPr="00C707CF">
        <w:rPr>
          <w:rFonts w:ascii="Times New Roman" w:eastAsia="宋体" w:hAnsi="Times New Roman" w:cs="Times New Roman"/>
          <w:sz w:val="24"/>
          <w:szCs w:val="24"/>
        </w:rPr>
        <w:t>为目标推动组织与业务创新的深度融合，让人机协同在业务流程中真正落地，让</w:t>
      </w: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真正驱动业务效率与用户价值持续提升。</w:t>
      </w:r>
    </w:p>
    <w:p w14:paraId="74D66E14"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交付：以精益管理提升质量、控制成本，加速传感器创新。以全球合规及时满足不同市场用户需求。我们要从产品交付到价值交付，实现高质量规模化生产和个性化、智能化糖尿病管理的双重交付。</w:t>
      </w:r>
    </w:p>
    <w:p w14:paraId="6149DBFE"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糖尿病及相关慢性病患病人群持续扩大，疾病负担不断加重，在医疗资源分布不均与患者自我管理能力参差不齐的背景下，如何以更高效率、更低成本实现长期有效管理，是全球医疗体系共同面对的核心命题，也是三诺长期坚持努力的方向，以</w:t>
      </w:r>
      <w:r w:rsidRPr="00C707CF">
        <w:rPr>
          <w:rFonts w:ascii="Times New Roman" w:eastAsia="宋体" w:hAnsi="Times New Roman" w:cs="Times New Roman"/>
          <w:sz w:val="24"/>
          <w:szCs w:val="24"/>
        </w:rPr>
        <w:t>CGM</w:t>
      </w:r>
      <w:r w:rsidRPr="00C707CF">
        <w:rPr>
          <w:rFonts w:ascii="Times New Roman" w:eastAsia="宋体" w:hAnsi="Times New Roman" w:cs="Times New Roman"/>
          <w:sz w:val="24"/>
          <w:szCs w:val="24"/>
        </w:rPr>
        <w:t>、多指标监测以及</w:t>
      </w: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技术推动的连续化、精准化与个性化的糖尿病管理策略，在可预见的未来，正在快速成为现实。</w:t>
      </w:r>
    </w:p>
    <w:p w14:paraId="69897A4F"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企业的成功</w:t>
      </w:r>
      <w:r w:rsidRPr="00C707CF">
        <w:rPr>
          <w:rFonts w:ascii="Times New Roman" w:eastAsia="宋体" w:hAnsi="Times New Roman" w:cs="Times New Roman"/>
          <w:sz w:val="24"/>
          <w:szCs w:val="24"/>
        </w:rPr>
        <w:t>=</w:t>
      </w:r>
      <w:r w:rsidRPr="00C707CF">
        <w:rPr>
          <w:rFonts w:ascii="Times New Roman" w:eastAsia="宋体" w:hAnsi="Times New Roman" w:cs="Times New Roman"/>
          <w:sz w:val="24"/>
          <w:szCs w:val="24"/>
        </w:rPr>
        <w:t>战略</w:t>
      </w:r>
      <w:r w:rsidRPr="00C707CF">
        <w:rPr>
          <w:rFonts w:ascii="Times New Roman" w:eastAsia="宋体" w:hAnsi="Times New Roman" w:cs="Times New Roman"/>
          <w:sz w:val="24"/>
          <w:szCs w:val="24"/>
        </w:rPr>
        <w:t>*</w:t>
      </w:r>
      <w:r w:rsidRPr="00C707CF">
        <w:rPr>
          <w:rFonts w:ascii="Times New Roman" w:eastAsia="宋体" w:hAnsi="Times New Roman" w:cs="Times New Roman"/>
          <w:sz w:val="24"/>
          <w:szCs w:val="24"/>
        </w:rPr>
        <w:t>组织能力。在战略上，三诺长期坚守的糖尿病监测与管理领域，在过去</w:t>
      </w:r>
      <w:r w:rsidRPr="00C707CF">
        <w:rPr>
          <w:rFonts w:ascii="Times New Roman" w:eastAsia="宋体" w:hAnsi="Times New Roman" w:cs="Times New Roman"/>
          <w:sz w:val="24"/>
          <w:szCs w:val="24"/>
        </w:rPr>
        <w:t>20</w:t>
      </w:r>
      <w:r w:rsidRPr="00C707CF">
        <w:rPr>
          <w:rFonts w:ascii="Times New Roman" w:eastAsia="宋体" w:hAnsi="Times New Roman" w:cs="Times New Roman"/>
          <w:sz w:val="24"/>
          <w:szCs w:val="24"/>
        </w:rPr>
        <w:t>年，以及可预见的未来，仍是一个非常好的赛道；在组织能力上，基于成长型思维，三诺年轻的管理团队成长在践行</w:t>
      </w:r>
      <w:r w:rsidRPr="00C707CF">
        <w:rPr>
          <w:rFonts w:ascii="宋体" w:eastAsia="宋体" w:hAnsi="宋体" w:cs="Times New Roman"/>
          <w:sz w:val="24"/>
          <w:szCs w:val="24"/>
        </w:rPr>
        <w:t>“为爱而诺”核心价值观的“爱就是成就人”的</w:t>
      </w:r>
      <w:r w:rsidRPr="00C707CF">
        <w:rPr>
          <w:rFonts w:ascii="Times New Roman" w:eastAsia="宋体" w:hAnsi="Times New Roman" w:cs="Times New Roman"/>
          <w:sz w:val="24"/>
          <w:szCs w:val="24"/>
        </w:rPr>
        <w:t>土壤上，超过</w:t>
      </w:r>
      <w:r w:rsidRPr="00C707CF">
        <w:rPr>
          <w:rFonts w:ascii="Times New Roman" w:eastAsia="宋体" w:hAnsi="Times New Roman" w:cs="Times New Roman"/>
          <w:sz w:val="24"/>
          <w:szCs w:val="24"/>
        </w:rPr>
        <w:t>10</w:t>
      </w:r>
      <w:r w:rsidRPr="00C707CF">
        <w:rPr>
          <w:rFonts w:ascii="Times New Roman" w:eastAsia="宋体" w:hAnsi="Times New Roman" w:cs="Times New Roman"/>
          <w:sz w:val="24"/>
          <w:szCs w:val="24"/>
        </w:rPr>
        <w:t>年业务历练的战略执行团队和业务操作团队，以及浓厚的</w:t>
      </w:r>
      <w:r w:rsidRPr="00C707CF">
        <w:rPr>
          <w:rFonts w:ascii="Times New Roman" w:eastAsia="宋体" w:hAnsi="Times New Roman" w:cs="Times New Roman"/>
          <w:sz w:val="24"/>
          <w:szCs w:val="24"/>
        </w:rPr>
        <w:t>One Sinocare</w:t>
      </w:r>
      <w:r w:rsidRPr="00C707CF">
        <w:rPr>
          <w:rFonts w:ascii="Times New Roman" w:eastAsia="宋体" w:hAnsi="Times New Roman" w:cs="Times New Roman"/>
          <w:sz w:val="24"/>
          <w:szCs w:val="24"/>
        </w:rPr>
        <w:t>文化，成就了可信的</w:t>
      </w:r>
      <w:r w:rsidRPr="00C707CF">
        <w:rPr>
          <w:rFonts w:ascii="宋体" w:eastAsia="宋体" w:hAnsi="宋体" w:cs="Times New Roman"/>
          <w:sz w:val="24"/>
          <w:szCs w:val="24"/>
        </w:rPr>
        <w:t>“专业化、数智化、全球化”</w:t>
      </w:r>
      <w:r w:rsidRPr="00C707CF">
        <w:rPr>
          <w:rFonts w:ascii="Times New Roman" w:eastAsia="宋体" w:hAnsi="Times New Roman" w:cs="Times New Roman"/>
          <w:sz w:val="24"/>
          <w:szCs w:val="24"/>
        </w:rPr>
        <w:t>的核心组织能力。</w:t>
      </w:r>
    </w:p>
    <w:p w14:paraId="5A261D23" w14:textId="77777777" w:rsidR="009E4C8A" w:rsidRPr="00C707CF" w:rsidRDefault="009E4C8A" w:rsidP="00C707CF">
      <w:pPr>
        <w:spacing w:line="360" w:lineRule="auto"/>
        <w:ind w:firstLineChars="200" w:firstLine="480"/>
        <w:jc w:val="both"/>
        <w:rPr>
          <w:rFonts w:ascii="Times New Roman" w:eastAsia="宋体" w:hAnsi="Times New Roman" w:cs="Times New Roman"/>
          <w:sz w:val="24"/>
          <w:szCs w:val="24"/>
        </w:rPr>
      </w:pPr>
      <w:r w:rsidRPr="00C707CF">
        <w:rPr>
          <w:rFonts w:ascii="Times New Roman" w:eastAsia="宋体" w:hAnsi="Times New Roman" w:cs="Times New Roman"/>
          <w:sz w:val="24"/>
          <w:szCs w:val="24"/>
        </w:rPr>
        <w:t>二十四载，三度轮回。从血糖监测的普及者，到全球糖尿病数字管理专家，三诺的进化始终遵循这条准则：用技术和爱把健康量化成</w:t>
      </w:r>
      <w:r w:rsidRPr="00C707CF">
        <w:rPr>
          <w:rFonts w:ascii="Times New Roman" w:eastAsia="宋体" w:hAnsi="Times New Roman" w:cs="Times New Roman"/>
          <w:sz w:val="24"/>
          <w:szCs w:val="24"/>
        </w:rPr>
        <w:t>iCan</w:t>
      </w:r>
      <w:r w:rsidRPr="00C707CF">
        <w:rPr>
          <w:rFonts w:ascii="Times New Roman" w:eastAsia="宋体" w:hAnsi="Times New Roman" w:cs="Times New Roman"/>
          <w:sz w:val="24"/>
          <w:szCs w:val="24"/>
        </w:rPr>
        <w:t>掌控生活。我们深化</w:t>
      </w:r>
      <w:r w:rsidRPr="00C707CF">
        <w:rPr>
          <w:rFonts w:ascii="宋体" w:eastAsia="宋体" w:hAnsi="宋体" w:cs="Times New Roman"/>
          <w:sz w:val="24"/>
          <w:szCs w:val="24"/>
        </w:rPr>
        <w:t>“</w:t>
      </w:r>
      <w:r w:rsidRPr="00C707CF">
        <w:rPr>
          <w:rFonts w:ascii="Times New Roman" w:eastAsia="宋体" w:hAnsi="Times New Roman" w:cs="Times New Roman"/>
          <w:sz w:val="24"/>
          <w:szCs w:val="24"/>
        </w:rPr>
        <w:t>简化、</w:t>
      </w:r>
      <w:r w:rsidRPr="00C707CF">
        <w:rPr>
          <w:rFonts w:ascii="Times New Roman" w:eastAsia="宋体" w:hAnsi="Times New Roman" w:cs="Times New Roman"/>
          <w:sz w:val="24"/>
          <w:szCs w:val="24"/>
        </w:rPr>
        <w:t>AI</w:t>
      </w:r>
      <w:r w:rsidRPr="00C707CF">
        <w:rPr>
          <w:rFonts w:ascii="Times New Roman" w:eastAsia="宋体" w:hAnsi="Times New Roman" w:cs="Times New Roman"/>
          <w:sz w:val="24"/>
          <w:szCs w:val="24"/>
        </w:rPr>
        <w:t>、交付</w:t>
      </w:r>
      <w:r w:rsidRPr="00C707CF">
        <w:rPr>
          <w:rFonts w:ascii="宋体" w:eastAsia="宋体" w:hAnsi="宋体" w:cs="Times New Roman"/>
          <w:sz w:val="24"/>
          <w:szCs w:val="24"/>
        </w:rPr>
        <w:t>”</w:t>
      </w:r>
      <w:r w:rsidRPr="00C707CF">
        <w:rPr>
          <w:rFonts w:ascii="Times New Roman" w:eastAsia="宋体" w:hAnsi="Times New Roman" w:cs="Times New Roman"/>
          <w:sz w:val="24"/>
          <w:szCs w:val="24"/>
        </w:rPr>
        <w:t>三大支柱，坚持进化的勇气，勇敢踏入世界性的</w:t>
      </w:r>
      <w:r w:rsidRPr="00C707CF">
        <w:rPr>
          <w:rFonts w:ascii="宋体" w:eastAsia="宋体" w:hAnsi="宋体" w:cs="Times New Roman"/>
          <w:sz w:val="24"/>
          <w:szCs w:val="24"/>
        </w:rPr>
        <w:t>“短期内的剧烈进化”</w:t>
      </w:r>
      <w:r w:rsidRPr="00C707CF">
        <w:rPr>
          <w:rFonts w:ascii="Times New Roman" w:eastAsia="宋体" w:hAnsi="Times New Roman" w:cs="Times New Roman"/>
          <w:sz w:val="24"/>
          <w:szCs w:val="24"/>
        </w:rPr>
        <w:t>轮回。</w:t>
      </w:r>
    </w:p>
    <w:p w14:paraId="0338ABE6" w14:textId="77777777" w:rsidR="009E4C8A" w:rsidRPr="00C707CF" w:rsidRDefault="009E4C8A" w:rsidP="00C707CF">
      <w:pPr>
        <w:spacing w:line="360" w:lineRule="auto"/>
        <w:ind w:firstLineChars="200" w:firstLine="480"/>
        <w:jc w:val="both"/>
        <w:rPr>
          <w:rFonts w:ascii="宋体" w:eastAsia="宋体" w:hAnsi="宋体"/>
          <w:sz w:val="24"/>
          <w:szCs w:val="24"/>
        </w:rPr>
      </w:pPr>
    </w:p>
    <w:p w14:paraId="30274469" w14:textId="77777777" w:rsidR="009E4C8A" w:rsidRPr="00C707CF" w:rsidRDefault="009E4C8A" w:rsidP="00C707CF">
      <w:pPr>
        <w:spacing w:line="360" w:lineRule="auto"/>
        <w:ind w:firstLineChars="200" w:firstLine="480"/>
        <w:jc w:val="right"/>
        <w:rPr>
          <w:rFonts w:ascii="Times New Roman" w:eastAsia="宋体" w:hAnsi="Times New Roman" w:cs="Times New Roman"/>
          <w:sz w:val="24"/>
          <w:szCs w:val="24"/>
        </w:rPr>
      </w:pPr>
      <w:r w:rsidRPr="00C707CF">
        <w:rPr>
          <w:rFonts w:ascii="Times New Roman" w:eastAsia="宋体" w:hAnsi="Times New Roman" w:cs="Times New Roman"/>
          <w:sz w:val="24"/>
          <w:szCs w:val="24"/>
        </w:rPr>
        <w:t>三诺生物传感股份有限公司董事长：李少波</w:t>
      </w:r>
    </w:p>
    <w:p w14:paraId="6D785047" w14:textId="061153BC" w:rsidR="009E4C8A" w:rsidRPr="00C707CF" w:rsidRDefault="009E4C8A" w:rsidP="00C707CF">
      <w:pPr>
        <w:spacing w:line="360" w:lineRule="auto"/>
        <w:ind w:firstLineChars="200" w:firstLine="480"/>
        <w:jc w:val="right"/>
        <w:rPr>
          <w:rFonts w:ascii="Times New Roman" w:eastAsia="宋体" w:hAnsi="Times New Roman" w:cs="Times New Roman"/>
          <w:b/>
          <w:bCs/>
          <w:sz w:val="24"/>
          <w:szCs w:val="24"/>
        </w:rPr>
      </w:pPr>
      <w:r w:rsidRPr="00C707CF">
        <w:rPr>
          <w:rFonts w:ascii="Times New Roman" w:eastAsia="宋体" w:hAnsi="Times New Roman" w:cs="Times New Roman"/>
          <w:sz w:val="24"/>
          <w:szCs w:val="24"/>
        </w:rPr>
        <w:t>二〇二六年四月二</w:t>
      </w:r>
      <w:r w:rsidR="00DA7B90">
        <w:rPr>
          <w:rFonts w:ascii="Times New Roman" w:eastAsia="宋体" w:hAnsi="Times New Roman" w:cs="Times New Roman" w:hint="eastAsia"/>
          <w:sz w:val="24"/>
          <w:szCs w:val="24"/>
        </w:rPr>
        <w:t>十</w:t>
      </w:r>
      <w:r w:rsidR="006F2A0F">
        <w:rPr>
          <w:rFonts w:ascii="Times New Roman" w:eastAsia="宋体" w:hAnsi="Times New Roman" w:cs="Times New Roman" w:hint="eastAsia"/>
          <w:sz w:val="24"/>
          <w:szCs w:val="24"/>
        </w:rPr>
        <w:t>八</w:t>
      </w:r>
      <w:r w:rsidRPr="00C707CF">
        <w:rPr>
          <w:rFonts w:ascii="Times New Roman" w:eastAsia="宋体" w:hAnsi="Times New Roman" w:cs="Times New Roman"/>
          <w:sz w:val="24"/>
          <w:szCs w:val="24"/>
        </w:rPr>
        <w:t>日</w:t>
      </w:r>
    </w:p>
    <w:p w14:paraId="624E70B7" w14:textId="6F9F1197" w:rsidR="009E4C8A" w:rsidRDefault="009E4C8A">
      <w:pPr>
        <w:spacing w:before="1000" w:after="40" w:line="440" w:lineRule="exact"/>
        <w:jc w:val="center"/>
        <w:rPr>
          <w:rFonts w:ascii="宋体" w:eastAsia="宋体" w:hAnsi="宋体" w:cs="宋体"/>
          <w:b/>
          <w:bCs/>
          <w:sz w:val="44"/>
          <w:szCs w:val="44"/>
        </w:rPr>
      </w:pPr>
    </w:p>
    <w:p w14:paraId="4472BE66" w14:textId="77777777" w:rsidR="009E4C8A" w:rsidRDefault="009E4C8A">
      <w:pPr>
        <w:widowControl/>
        <w:rPr>
          <w:rFonts w:ascii="宋体" w:eastAsia="宋体" w:hAnsi="宋体" w:cs="宋体"/>
          <w:b/>
          <w:bCs/>
          <w:sz w:val="44"/>
          <w:szCs w:val="44"/>
        </w:rPr>
      </w:pPr>
      <w:r>
        <w:rPr>
          <w:rFonts w:ascii="宋体" w:eastAsia="宋体" w:hAnsi="宋体" w:cs="宋体"/>
          <w:b/>
          <w:bCs/>
          <w:sz w:val="44"/>
          <w:szCs w:val="44"/>
        </w:rPr>
        <w:br w:type="page"/>
      </w:r>
    </w:p>
    <w:p w14:paraId="393690F3" w14:textId="77777777" w:rsidR="00113A51" w:rsidRDefault="00766EC7">
      <w:pPr>
        <w:spacing w:before="1000" w:after="40" w:line="440" w:lineRule="exact"/>
        <w:jc w:val="center"/>
        <w:rPr>
          <w:rFonts w:ascii="宋体" w:eastAsia="宋体" w:hAnsi="宋体" w:cs="宋体"/>
          <w:b/>
          <w:bCs/>
          <w:sz w:val="44"/>
          <w:szCs w:val="44"/>
        </w:rPr>
      </w:pPr>
      <w:r>
        <w:rPr>
          <w:rFonts w:ascii="宋体" w:eastAsia="宋体" w:hAnsi="宋体" w:cs="宋体"/>
          <w:b/>
          <w:bCs/>
          <w:sz w:val="44"/>
          <w:szCs w:val="44"/>
        </w:rPr>
        <w:t>2025年年度报告</w:t>
      </w:r>
    </w:p>
    <w:p w14:paraId="3AE4B4D1" w14:textId="77777777" w:rsidR="00113A51" w:rsidRDefault="00766EC7">
      <w:pPr>
        <w:pStyle w:val="headingh1"/>
        <w:spacing w:before="340" w:after="330" w:line="773" w:lineRule="exact"/>
        <w:jc w:val="center"/>
        <w:rPr>
          <w:rFonts w:ascii="宋体" w:eastAsia="宋体" w:hAnsi="宋体" w:cs="宋体"/>
          <w:b/>
          <w:bCs/>
          <w:sz w:val="32"/>
          <w:szCs w:val="32"/>
        </w:rPr>
      </w:pPr>
      <w:bookmarkStart w:id="0" w:name="_Toc228122502"/>
      <w:r>
        <w:rPr>
          <w:rFonts w:ascii="宋体" w:eastAsia="宋体" w:hAnsi="宋体" w:cs="宋体"/>
          <w:b/>
          <w:bCs/>
          <w:sz w:val="32"/>
          <w:szCs w:val="32"/>
        </w:rPr>
        <w:t>第一节 重要提示、目录和释义</w:t>
      </w:r>
      <w:bookmarkEnd w:id="0"/>
    </w:p>
    <w:p w14:paraId="42307977" w14:textId="77777777" w:rsidR="00113A51" w:rsidRDefault="00766EC7">
      <w:pPr>
        <w:spacing w:before="40" w:after="40" w:line="560" w:lineRule="exact"/>
        <w:ind w:firstLineChars="200" w:firstLine="562"/>
        <w:rPr>
          <w:rFonts w:ascii="Times New Roman" w:eastAsia="宋体" w:hAnsi="Times New Roman" w:cs="宋体"/>
          <w:b/>
          <w:bCs/>
          <w:sz w:val="28"/>
          <w:szCs w:val="28"/>
        </w:rPr>
      </w:pPr>
      <w:r>
        <w:rPr>
          <w:rFonts w:ascii="Times New Roman" w:eastAsia="宋体" w:hAnsi="Times New Roman" w:cs="宋体"/>
          <w:b/>
          <w:bCs/>
          <w:sz w:val="28"/>
          <w:szCs w:val="28"/>
        </w:rPr>
        <w:t>公司董事会及董事、高级管理人员保证年度报告内容的真实、准确、完整，不存在虚假记载、误导性陈述或者重大遗漏，并承担个别和连带的法律责任。</w:t>
      </w:r>
    </w:p>
    <w:p w14:paraId="5856E219" w14:textId="77777777" w:rsidR="00113A51" w:rsidRDefault="00766EC7">
      <w:pPr>
        <w:spacing w:line="560" w:lineRule="exact"/>
        <w:ind w:firstLineChars="200" w:firstLine="562"/>
        <w:rPr>
          <w:rFonts w:ascii="Times New Roman" w:eastAsia="宋体" w:hAnsi="Times New Roman" w:cs="宋体"/>
          <w:b/>
          <w:bCs/>
          <w:sz w:val="28"/>
          <w:szCs w:val="28"/>
        </w:rPr>
      </w:pPr>
      <w:r>
        <w:rPr>
          <w:rFonts w:ascii="Times New Roman" w:eastAsia="宋体" w:hAnsi="Times New Roman" w:cs="宋体"/>
          <w:b/>
          <w:bCs/>
          <w:sz w:val="28"/>
          <w:szCs w:val="28"/>
        </w:rPr>
        <w:t>公司负责人李少波、主管会计工作负责人何竹子及会计机构负责人</w:t>
      </w:r>
      <w:r>
        <w:rPr>
          <w:rFonts w:ascii="Times New Roman" w:eastAsia="宋体" w:hAnsi="Times New Roman" w:cs="宋体"/>
          <w:b/>
          <w:bCs/>
          <w:sz w:val="28"/>
          <w:szCs w:val="28"/>
        </w:rPr>
        <w:t>(</w:t>
      </w:r>
      <w:r>
        <w:rPr>
          <w:rFonts w:ascii="Times New Roman" w:eastAsia="宋体" w:hAnsi="Times New Roman" w:cs="宋体"/>
          <w:b/>
          <w:bCs/>
          <w:sz w:val="28"/>
          <w:szCs w:val="28"/>
        </w:rPr>
        <w:t>会计主管人员</w:t>
      </w:r>
      <w:r>
        <w:rPr>
          <w:rFonts w:ascii="Times New Roman" w:eastAsia="宋体" w:hAnsi="Times New Roman" w:cs="宋体"/>
          <w:b/>
          <w:bCs/>
          <w:sz w:val="28"/>
          <w:szCs w:val="28"/>
        </w:rPr>
        <w:t>)</w:t>
      </w:r>
      <w:r>
        <w:rPr>
          <w:rFonts w:ascii="Times New Roman" w:eastAsia="宋体" w:hAnsi="Times New Roman" w:cs="宋体"/>
          <w:b/>
          <w:bCs/>
          <w:sz w:val="28"/>
          <w:szCs w:val="28"/>
        </w:rPr>
        <w:t>谈波声明：保证本年度报告中财务报告的真实、准确、完整。</w:t>
      </w:r>
    </w:p>
    <w:p w14:paraId="62B10446" w14:textId="77777777" w:rsidR="00113A51" w:rsidRDefault="00766EC7">
      <w:pPr>
        <w:spacing w:line="560" w:lineRule="exact"/>
        <w:ind w:firstLineChars="200" w:firstLine="562"/>
        <w:rPr>
          <w:rFonts w:ascii="Times New Roman" w:eastAsia="宋体" w:hAnsi="Times New Roman" w:cs="宋体"/>
          <w:b/>
          <w:bCs/>
          <w:sz w:val="28"/>
          <w:szCs w:val="28"/>
        </w:rPr>
      </w:pPr>
      <w:r>
        <w:rPr>
          <w:rFonts w:ascii="Times New Roman" w:eastAsia="宋体" w:hAnsi="Times New Roman" w:cs="宋体"/>
          <w:b/>
          <w:bCs/>
          <w:sz w:val="28"/>
          <w:szCs w:val="28"/>
        </w:rPr>
        <w:t>所有董事均已出席了审议本报告的董事会会议。</w:t>
      </w:r>
    </w:p>
    <w:p w14:paraId="33093FC0" w14:textId="77777777" w:rsidR="0098499C" w:rsidRPr="00C707CF" w:rsidRDefault="0098499C" w:rsidP="0098499C">
      <w:pPr>
        <w:widowControl/>
        <w:spacing w:line="560" w:lineRule="atLeast"/>
        <w:ind w:firstLine="648"/>
        <w:rPr>
          <w:rFonts w:ascii="Times New Roman" w:eastAsia="宋体" w:hAnsi="Times New Roman"/>
          <w:b/>
          <w:bCs/>
          <w:sz w:val="28"/>
          <w:szCs w:val="28"/>
        </w:rPr>
      </w:pPr>
      <w:r w:rsidRPr="00C707CF">
        <w:rPr>
          <w:rFonts w:ascii="Times New Roman" w:eastAsia="宋体" w:hAnsi="Times New Roman" w:hint="eastAsia"/>
          <w:b/>
          <w:bCs/>
          <w:sz w:val="28"/>
          <w:szCs w:val="28"/>
        </w:rPr>
        <w:t>公司主营业务、核心竞争力未发生重大不利变化，公司所处行业不存在产能过剩、持续衰退等情形，公司持续经营能力不存在重大风险。公司在本报告“第三节管理层讨论与分析”之“四、主营业务分析”及“十一、公司未来发展的展望”详细描述了公司业绩变动的原因及改善措施，敬请投资者关注相关内容。</w:t>
      </w:r>
    </w:p>
    <w:p w14:paraId="76F56266" w14:textId="77777777" w:rsidR="0098499C" w:rsidRPr="00C707CF" w:rsidRDefault="0098499C" w:rsidP="0098499C">
      <w:pPr>
        <w:widowControl/>
        <w:spacing w:line="560" w:lineRule="atLeast"/>
        <w:ind w:firstLine="648"/>
        <w:rPr>
          <w:rFonts w:ascii="Times New Roman" w:eastAsia="宋体" w:hAnsi="Times New Roman"/>
          <w:b/>
          <w:bCs/>
          <w:sz w:val="28"/>
          <w:szCs w:val="28"/>
        </w:rPr>
      </w:pPr>
      <w:r w:rsidRPr="00C707CF">
        <w:rPr>
          <w:rFonts w:ascii="Times New Roman" w:eastAsia="宋体" w:hAnsi="Times New Roman" w:hint="eastAsia"/>
          <w:b/>
          <w:bCs/>
          <w:sz w:val="28"/>
          <w:szCs w:val="28"/>
        </w:rPr>
        <w:t>本年度报告中涉及未来计划等前瞻性陈述，不构成公司对投资者的实质承诺，敬请投资者注意投资风险。</w:t>
      </w:r>
    </w:p>
    <w:p w14:paraId="104EE417" w14:textId="51F31EE7" w:rsidR="00113A51" w:rsidRDefault="00766EC7" w:rsidP="0098499C">
      <w:pPr>
        <w:widowControl/>
        <w:spacing w:line="560" w:lineRule="atLeast"/>
        <w:ind w:firstLine="648"/>
        <w:rPr>
          <w:rFonts w:ascii="Times New Roman" w:eastAsia="宋体" w:hAnsi="Times New Roman"/>
          <w:b/>
          <w:bCs/>
          <w:kern w:val="0"/>
          <w:sz w:val="28"/>
          <w:szCs w:val="28"/>
        </w:rPr>
      </w:pPr>
      <w:r>
        <w:rPr>
          <w:rFonts w:ascii="Times New Roman" w:eastAsia="宋体" w:hAnsi="Times New Roman" w:hint="eastAsia"/>
          <w:b/>
          <w:bCs/>
          <w:sz w:val="28"/>
          <w:szCs w:val="28"/>
        </w:rPr>
        <w:t>公司在本年度报告中详细阐述了未来可能发生的有关风险因素及对策，详见“第三节</w:t>
      </w:r>
      <w:r>
        <w:rPr>
          <w:rFonts w:ascii="Times New Roman" w:eastAsia="宋体" w:hAnsi="Times New Roman" w:hint="eastAsia"/>
          <w:b/>
          <w:bCs/>
          <w:sz w:val="28"/>
          <w:szCs w:val="28"/>
        </w:rPr>
        <w:t xml:space="preserve"> </w:t>
      </w:r>
      <w:r>
        <w:rPr>
          <w:rFonts w:ascii="Times New Roman" w:eastAsia="宋体" w:hAnsi="Times New Roman" w:hint="eastAsia"/>
          <w:b/>
          <w:bCs/>
          <w:sz w:val="28"/>
          <w:szCs w:val="28"/>
        </w:rPr>
        <w:t>管理层讨论与分析”之“十一、公司未来发展的展望”中的“公司可能面对的风险及应对措施”，敬请投资者予以关注。</w:t>
      </w:r>
    </w:p>
    <w:p w14:paraId="2C758FE8" w14:textId="28003920" w:rsidR="00113A51" w:rsidRDefault="00766EC7">
      <w:pPr>
        <w:spacing w:line="560" w:lineRule="exact"/>
        <w:ind w:firstLineChars="200" w:firstLine="562"/>
        <w:rPr>
          <w:rFonts w:ascii="Times New Roman" w:eastAsia="宋体" w:hAnsi="Times New Roman" w:cs="宋体"/>
          <w:b/>
          <w:bCs/>
          <w:sz w:val="28"/>
          <w:szCs w:val="28"/>
        </w:rPr>
      </w:pPr>
      <w:r>
        <w:rPr>
          <w:rFonts w:ascii="Times New Roman" w:eastAsia="宋体" w:hAnsi="Times New Roman" w:cs="宋体"/>
          <w:b/>
          <w:bCs/>
          <w:sz w:val="28"/>
          <w:szCs w:val="28"/>
        </w:rPr>
        <w:t>公司经本次董事会审议通过的利润分配预案为：</w:t>
      </w:r>
      <w:r w:rsidR="00434AAD">
        <w:rPr>
          <w:rFonts w:ascii="Times New Roman" w:eastAsia="宋体" w:hAnsi="Times New Roman" w:cs="宋体" w:hint="eastAsia"/>
          <w:b/>
          <w:bCs/>
          <w:sz w:val="28"/>
          <w:szCs w:val="28"/>
        </w:rPr>
        <w:t>拟不派发现金红利，不送红股，不</w:t>
      </w:r>
      <w:r w:rsidR="006F11C7">
        <w:rPr>
          <w:rFonts w:ascii="Times New Roman" w:eastAsia="宋体" w:hAnsi="Times New Roman" w:cs="宋体" w:hint="eastAsia"/>
          <w:b/>
          <w:bCs/>
          <w:sz w:val="28"/>
          <w:szCs w:val="28"/>
        </w:rPr>
        <w:t>进行</w:t>
      </w:r>
      <w:r w:rsidR="00434AAD">
        <w:rPr>
          <w:rFonts w:ascii="Times New Roman" w:eastAsia="宋体" w:hAnsi="Times New Roman" w:cs="宋体" w:hint="eastAsia"/>
          <w:b/>
          <w:bCs/>
          <w:sz w:val="28"/>
          <w:szCs w:val="28"/>
        </w:rPr>
        <w:t>公积金转增股本</w:t>
      </w:r>
      <w:r>
        <w:rPr>
          <w:rFonts w:ascii="Times New Roman" w:eastAsia="宋体" w:hAnsi="Times New Roman" w:cs="宋体"/>
          <w:b/>
          <w:bCs/>
          <w:sz w:val="28"/>
          <w:szCs w:val="28"/>
        </w:rPr>
        <w:t>。</w:t>
      </w:r>
    </w:p>
    <w:p w14:paraId="0117B691" w14:textId="77777777" w:rsidR="00113A51" w:rsidRPr="00434AAD" w:rsidRDefault="00113A51">
      <w:pPr>
        <w:spacing w:beforeLines="750" w:before="2340" w:afterLines="400" w:after="1248" w:line="720" w:lineRule="auto"/>
        <w:jc w:val="center"/>
        <w:rPr>
          <w:rFonts w:ascii="宋体" w:eastAsia="宋体" w:hAnsi="宋体" w:cs="宋体"/>
          <w:b/>
          <w:bCs/>
          <w:sz w:val="36"/>
          <w:szCs w:val="36"/>
        </w:rPr>
        <w:sectPr w:rsidR="00113A51" w:rsidRPr="00434AAD">
          <w:headerReference w:type="default" r:id="rId9"/>
          <w:footerReference w:type="default" r:id="rId10"/>
          <w:pgSz w:w="11905" w:h="16840"/>
          <w:pgMar w:top="1440" w:right="1134" w:bottom="1440" w:left="1134" w:header="850" w:footer="992" w:gutter="0"/>
          <w:cols w:space="720"/>
          <w:docGrid w:type="linesAndChars" w:linePitch="312"/>
        </w:sectPr>
      </w:pPr>
    </w:p>
    <w:p w14:paraId="684D7191" w14:textId="77777777" w:rsidR="00113A51" w:rsidRDefault="00766EC7">
      <w:pPr>
        <w:spacing w:beforeLines="750" w:before="2340" w:afterLines="400" w:after="1248" w:line="720" w:lineRule="auto"/>
        <w:jc w:val="center"/>
        <w:rPr>
          <w:rFonts w:ascii="宋体" w:eastAsia="宋体" w:hAnsi="宋体" w:cs="宋体"/>
          <w:b/>
          <w:bCs/>
          <w:sz w:val="36"/>
          <w:szCs w:val="36"/>
        </w:rPr>
      </w:pPr>
      <w:r>
        <w:rPr>
          <w:rFonts w:ascii="宋体" w:eastAsia="宋体" w:hAnsi="宋体" w:cs="宋体"/>
          <w:b/>
          <w:bCs/>
          <w:sz w:val="36"/>
          <w:szCs w:val="36"/>
        </w:rPr>
        <w:t>目录</w:t>
      </w:r>
    </w:p>
    <w:p w14:paraId="3C6EFE89" w14:textId="558569F8" w:rsidR="006F1229" w:rsidRPr="00C707CF" w:rsidRDefault="006F1229" w:rsidP="00C707CF">
      <w:pPr>
        <w:pStyle w:val="1"/>
        <w:tabs>
          <w:tab w:val="right" w:leader="dot" w:pos="9627"/>
        </w:tabs>
        <w:spacing w:line="720" w:lineRule="auto"/>
        <w:rPr>
          <w:rFonts w:ascii="Times New Roman" w:hAnsi="Times New Roman" w:cs="Times New Roman"/>
          <w:b/>
          <w:noProof/>
          <w:sz w:val="28"/>
          <w:szCs w:val="28"/>
        </w:rPr>
      </w:pPr>
      <w:r w:rsidRPr="00C707CF">
        <w:rPr>
          <w:rFonts w:ascii="Times New Roman" w:eastAsia="宋体" w:hAnsi="Times New Roman" w:cs="Times New Roman"/>
          <w:b/>
          <w:bCs/>
          <w:sz w:val="28"/>
          <w:szCs w:val="28"/>
        </w:rPr>
        <w:fldChar w:fldCharType="begin"/>
      </w:r>
      <w:r w:rsidRPr="00C707CF">
        <w:rPr>
          <w:rFonts w:ascii="Times New Roman" w:eastAsia="宋体" w:hAnsi="Times New Roman" w:cs="Times New Roman"/>
          <w:b/>
          <w:bCs/>
          <w:sz w:val="28"/>
          <w:szCs w:val="28"/>
        </w:rPr>
        <w:instrText xml:space="preserve"> TOC \o "1-1" \h \z \u </w:instrText>
      </w:r>
      <w:r w:rsidRPr="00C707CF">
        <w:rPr>
          <w:rFonts w:ascii="Times New Roman" w:eastAsia="宋体" w:hAnsi="Times New Roman" w:cs="Times New Roman"/>
          <w:b/>
          <w:bCs/>
          <w:sz w:val="28"/>
          <w:szCs w:val="28"/>
        </w:rPr>
        <w:fldChar w:fldCharType="separate"/>
      </w:r>
      <w:hyperlink w:anchor="_Toc228122502" w:history="1">
        <w:r w:rsidRPr="00C707CF">
          <w:rPr>
            <w:rStyle w:val="af2"/>
            <w:rFonts w:ascii="Times New Roman" w:eastAsia="宋体" w:hAnsi="Times New Roman" w:cs="Times New Roman"/>
            <w:b/>
            <w:bCs/>
            <w:noProof/>
            <w:sz w:val="28"/>
            <w:szCs w:val="28"/>
          </w:rPr>
          <w:t>第一节</w:t>
        </w:r>
        <w:r w:rsidRPr="00C707CF">
          <w:rPr>
            <w:rStyle w:val="af2"/>
            <w:rFonts w:ascii="Times New Roman" w:eastAsia="宋体" w:hAnsi="Times New Roman" w:cs="Times New Roman"/>
            <w:b/>
            <w:bCs/>
            <w:noProof/>
            <w:sz w:val="28"/>
            <w:szCs w:val="28"/>
          </w:rPr>
          <w:t xml:space="preserve"> </w:t>
        </w:r>
        <w:r w:rsidRPr="00C707CF">
          <w:rPr>
            <w:rStyle w:val="af2"/>
            <w:rFonts w:ascii="Times New Roman" w:eastAsia="宋体" w:hAnsi="Times New Roman" w:cs="Times New Roman"/>
            <w:b/>
            <w:bCs/>
            <w:noProof/>
            <w:sz w:val="28"/>
            <w:szCs w:val="28"/>
          </w:rPr>
          <w:t>重要提示、目录和释义</w:t>
        </w:r>
        <w:r w:rsidRPr="00C707CF">
          <w:rPr>
            <w:rFonts w:ascii="Times New Roman" w:hAnsi="Times New Roman" w:cs="Times New Roman"/>
            <w:b/>
            <w:noProof/>
            <w:webHidden/>
            <w:sz w:val="28"/>
            <w:szCs w:val="28"/>
          </w:rPr>
          <w:tab/>
        </w:r>
        <w:r w:rsidRPr="00C707CF">
          <w:rPr>
            <w:rFonts w:ascii="Times New Roman" w:hAnsi="Times New Roman" w:cs="Times New Roman"/>
            <w:b/>
            <w:noProof/>
            <w:webHidden/>
            <w:sz w:val="28"/>
            <w:szCs w:val="28"/>
          </w:rPr>
          <w:fldChar w:fldCharType="begin"/>
        </w:r>
        <w:r w:rsidRPr="00C707CF">
          <w:rPr>
            <w:rFonts w:ascii="Times New Roman" w:hAnsi="Times New Roman" w:cs="Times New Roman"/>
            <w:b/>
            <w:noProof/>
            <w:webHidden/>
            <w:sz w:val="28"/>
            <w:szCs w:val="28"/>
          </w:rPr>
          <w:instrText xml:space="preserve"> PAGEREF _Toc228122502 \h </w:instrText>
        </w:r>
        <w:r w:rsidRPr="00C707CF">
          <w:rPr>
            <w:rFonts w:ascii="Times New Roman" w:hAnsi="Times New Roman" w:cs="Times New Roman"/>
            <w:b/>
            <w:noProof/>
            <w:webHidden/>
            <w:sz w:val="28"/>
            <w:szCs w:val="28"/>
          </w:rPr>
        </w:r>
        <w:r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4</w:t>
        </w:r>
        <w:r w:rsidRPr="00C707CF">
          <w:rPr>
            <w:rFonts w:ascii="Times New Roman" w:hAnsi="Times New Roman" w:cs="Times New Roman"/>
            <w:b/>
            <w:noProof/>
            <w:webHidden/>
            <w:sz w:val="28"/>
            <w:szCs w:val="28"/>
          </w:rPr>
          <w:fldChar w:fldCharType="end"/>
        </w:r>
      </w:hyperlink>
    </w:p>
    <w:p w14:paraId="0927A2BE" w14:textId="1C4D90EF"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3" w:history="1">
        <w:r w:rsidR="006F1229" w:rsidRPr="00C707CF">
          <w:rPr>
            <w:rStyle w:val="af2"/>
            <w:rFonts w:ascii="Times New Roman" w:eastAsia="宋体" w:hAnsi="Times New Roman" w:cs="Times New Roman"/>
            <w:b/>
            <w:bCs/>
            <w:noProof/>
            <w:sz w:val="28"/>
            <w:szCs w:val="28"/>
          </w:rPr>
          <w:t>第二节</w:t>
        </w:r>
        <w:r w:rsidR="006F1229" w:rsidRPr="00C707CF">
          <w:rPr>
            <w:rStyle w:val="af2"/>
            <w:rFonts w:ascii="Times New Roman" w:eastAsia="宋体" w:hAnsi="Times New Roman" w:cs="Times New Roman"/>
            <w:b/>
            <w:bCs/>
            <w:noProof/>
            <w:sz w:val="28"/>
            <w:szCs w:val="28"/>
          </w:rPr>
          <w:t xml:space="preserve"> </w:t>
        </w:r>
        <w:r w:rsidR="006F1229" w:rsidRPr="00C707CF">
          <w:rPr>
            <w:rStyle w:val="af2"/>
            <w:rFonts w:ascii="Times New Roman" w:eastAsia="宋体" w:hAnsi="Times New Roman" w:cs="Times New Roman"/>
            <w:b/>
            <w:bCs/>
            <w:noProof/>
            <w:sz w:val="28"/>
            <w:szCs w:val="28"/>
          </w:rPr>
          <w:t>公司简介和主要财务指标</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_Toc228122503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9</w:t>
        </w:r>
        <w:r w:rsidR="006F1229" w:rsidRPr="00C707CF">
          <w:rPr>
            <w:rFonts w:ascii="Times New Roman" w:hAnsi="Times New Roman" w:cs="Times New Roman"/>
            <w:b/>
            <w:noProof/>
            <w:webHidden/>
            <w:sz w:val="28"/>
            <w:szCs w:val="28"/>
          </w:rPr>
          <w:fldChar w:fldCharType="end"/>
        </w:r>
      </w:hyperlink>
    </w:p>
    <w:p w14:paraId="509B05C0" w14:textId="1AFBE451"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4" w:history="1">
        <w:r w:rsidR="006F1229" w:rsidRPr="00C707CF">
          <w:rPr>
            <w:rStyle w:val="af2"/>
            <w:rFonts w:ascii="Times New Roman" w:eastAsia="宋体" w:hAnsi="Times New Roman" w:cs="Times New Roman"/>
            <w:b/>
            <w:bCs/>
            <w:noProof/>
            <w:sz w:val="28"/>
            <w:szCs w:val="28"/>
          </w:rPr>
          <w:t>第三节</w:t>
        </w:r>
        <w:r w:rsidR="006F1229" w:rsidRPr="00C707CF">
          <w:rPr>
            <w:rStyle w:val="af2"/>
            <w:rFonts w:ascii="Times New Roman" w:eastAsia="宋体" w:hAnsi="Times New Roman" w:cs="Times New Roman"/>
            <w:b/>
            <w:bCs/>
            <w:noProof/>
            <w:sz w:val="28"/>
            <w:szCs w:val="28"/>
          </w:rPr>
          <w:t xml:space="preserve"> </w:t>
        </w:r>
        <w:r w:rsidR="006F1229" w:rsidRPr="00C707CF">
          <w:rPr>
            <w:rStyle w:val="af2"/>
            <w:rFonts w:ascii="Times New Roman" w:eastAsia="宋体" w:hAnsi="Times New Roman" w:cs="Times New Roman"/>
            <w:b/>
            <w:bCs/>
            <w:noProof/>
            <w:sz w:val="28"/>
            <w:szCs w:val="28"/>
          </w:rPr>
          <w:t>管理层讨论与分析</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_Toc228122504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13</w:t>
        </w:r>
        <w:r w:rsidR="006F1229" w:rsidRPr="00C707CF">
          <w:rPr>
            <w:rFonts w:ascii="Times New Roman" w:hAnsi="Times New Roman" w:cs="Times New Roman"/>
            <w:b/>
            <w:noProof/>
            <w:webHidden/>
            <w:sz w:val="28"/>
            <w:szCs w:val="28"/>
          </w:rPr>
          <w:fldChar w:fldCharType="end"/>
        </w:r>
      </w:hyperlink>
    </w:p>
    <w:p w14:paraId="66386F77" w14:textId="172EF81F"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5" w:history="1">
        <w:r w:rsidR="006F1229" w:rsidRPr="00C707CF">
          <w:rPr>
            <w:rStyle w:val="af2"/>
            <w:rFonts w:ascii="Times New Roman" w:eastAsia="宋体" w:hAnsi="Times New Roman" w:cs="Times New Roman"/>
            <w:b/>
            <w:bCs/>
            <w:noProof/>
            <w:sz w:val="28"/>
            <w:szCs w:val="28"/>
          </w:rPr>
          <w:t>第四节</w:t>
        </w:r>
        <w:r w:rsidR="006F1229" w:rsidRPr="00C707CF">
          <w:rPr>
            <w:rStyle w:val="af2"/>
            <w:rFonts w:ascii="Times New Roman" w:eastAsia="宋体" w:hAnsi="Times New Roman" w:cs="Times New Roman"/>
            <w:b/>
            <w:bCs/>
            <w:noProof/>
            <w:sz w:val="28"/>
            <w:szCs w:val="28"/>
          </w:rPr>
          <w:t xml:space="preserve"> </w:t>
        </w:r>
        <w:r w:rsidR="006F1229" w:rsidRPr="00C707CF">
          <w:rPr>
            <w:rStyle w:val="af2"/>
            <w:rFonts w:ascii="Times New Roman" w:eastAsia="宋体" w:hAnsi="Times New Roman" w:cs="Times New Roman"/>
            <w:b/>
            <w:bCs/>
            <w:noProof/>
            <w:sz w:val="28"/>
            <w:szCs w:val="28"/>
          </w:rPr>
          <w:t>公司治理、环境和社会</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_Toc228122505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79</w:t>
        </w:r>
        <w:r w:rsidR="006F1229" w:rsidRPr="00C707CF">
          <w:rPr>
            <w:rFonts w:ascii="Times New Roman" w:hAnsi="Times New Roman" w:cs="Times New Roman"/>
            <w:b/>
            <w:noProof/>
            <w:webHidden/>
            <w:sz w:val="28"/>
            <w:szCs w:val="28"/>
          </w:rPr>
          <w:fldChar w:fldCharType="end"/>
        </w:r>
      </w:hyperlink>
    </w:p>
    <w:p w14:paraId="1E190478" w14:textId="65D5B9AE"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6" w:history="1">
        <w:r w:rsidR="006F1229" w:rsidRPr="00C707CF">
          <w:rPr>
            <w:rStyle w:val="af2"/>
            <w:rFonts w:ascii="Times New Roman" w:eastAsia="宋体" w:hAnsi="Times New Roman" w:cs="Times New Roman"/>
            <w:b/>
            <w:bCs/>
            <w:noProof/>
            <w:kern w:val="44"/>
            <w:sz w:val="28"/>
            <w:szCs w:val="28"/>
          </w:rPr>
          <w:t>第五节</w:t>
        </w:r>
        <w:r w:rsidR="006F1229" w:rsidRPr="00C707CF">
          <w:rPr>
            <w:rStyle w:val="af2"/>
            <w:rFonts w:ascii="Times New Roman" w:eastAsia="宋体" w:hAnsi="Times New Roman" w:cs="Times New Roman"/>
            <w:b/>
            <w:bCs/>
            <w:noProof/>
            <w:kern w:val="44"/>
            <w:sz w:val="28"/>
            <w:szCs w:val="28"/>
          </w:rPr>
          <w:t xml:space="preserve"> </w:t>
        </w:r>
        <w:r w:rsidR="006F1229" w:rsidRPr="00C707CF">
          <w:rPr>
            <w:rStyle w:val="af2"/>
            <w:rFonts w:ascii="Times New Roman" w:eastAsia="宋体" w:hAnsi="Times New Roman" w:cs="Times New Roman"/>
            <w:b/>
            <w:bCs/>
            <w:noProof/>
            <w:kern w:val="44"/>
            <w:sz w:val="28"/>
            <w:szCs w:val="28"/>
          </w:rPr>
          <w:t>重要事项</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_Toc228122506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109</w:t>
        </w:r>
        <w:r w:rsidR="006F1229" w:rsidRPr="00C707CF">
          <w:rPr>
            <w:rFonts w:ascii="Times New Roman" w:hAnsi="Times New Roman" w:cs="Times New Roman"/>
            <w:b/>
            <w:noProof/>
            <w:webHidden/>
            <w:sz w:val="28"/>
            <w:szCs w:val="28"/>
          </w:rPr>
          <w:fldChar w:fldCharType="end"/>
        </w:r>
      </w:hyperlink>
    </w:p>
    <w:p w14:paraId="40CD3A13" w14:textId="5455B369"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7" w:history="1">
        <w:r w:rsidR="006F1229" w:rsidRPr="00C707CF">
          <w:rPr>
            <w:rStyle w:val="af2"/>
            <w:rFonts w:ascii="Times New Roman" w:eastAsia="宋体" w:hAnsi="Times New Roman" w:cs="Times New Roman"/>
            <w:b/>
            <w:bCs/>
            <w:noProof/>
            <w:kern w:val="44"/>
            <w:sz w:val="28"/>
            <w:szCs w:val="28"/>
          </w:rPr>
          <w:t>第六节</w:t>
        </w:r>
        <w:r w:rsidR="006F1229" w:rsidRPr="00C707CF">
          <w:rPr>
            <w:rStyle w:val="af2"/>
            <w:rFonts w:ascii="Times New Roman" w:eastAsia="宋体" w:hAnsi="Times New Roman" w:cs="Times New Roman"/>
            <w:b/>
            <w:bCs/>
            <w:noProof/>
            <w:kern w:val="44"/>
            <w:sz w:val="28"/>
            <w:szCs w:val="28"/>
          </w:rPr>
          <w:t xml:space="preserve"> </w:t>
        </w:r>
        <w:r w:rsidR="006F1229" w:rsidRPr="00C707CF">
          <w:rPr>
            <w:rStyle w:val="af2"/>
            <w:rFonts w:ascii="Times New Roman" w:eastAsia="宋体" w:hAnsi="Times New Roman" w:cs="Times New Roman"/>
            <w:b/>
            <w:bCs/>
            <w:noProof/>
            <w:kern w:val="44"/>
            <w:sz w:val="28"/>
            <w:szCs w:val="28"/>
          </w:rPr>
          <w:t>股份变动及股东情况</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_Toc228122507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120</w:t>
        </w:r>
        <w:r w:rsidR="006F1229" w:rsidRPr="00C707CF">
          <w:rPr>
            <w:rFonts w:ascii="Times New Roman" w:hAnsi="Times New Roman" w:cs="Times New Roman"/>
            <w:b/>
            <w:noProof/>
            <w:webHidden/>
            <w:sz w:val="28"/>
            <w:szCs w:val="28"/>
          </w:rPr>
          <w:fldChar w:fldCharType="end"/>
        </w:r>
      </w:hyperlink>
    </w:p>
    <w:p w14:paraId="1C39B383" w14:textId="1F3AB456"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8" w:history="1">
        <w:r w:rsidR="006F1229" w:rsidRPr="00C707CF">
          <w:rPr>
            <w:rStyle w:val="af2"/>
            <w:rFonts w:ascii="Times New Roman" w:eastAsia="宋体" w:hAnsi="Times New Roman" w:cs="Times New Roman"/>
            <w:b/>
            <w:bCs/>
            <w:noProof/>
            <w:sz w:val="28"/>
            <w:szCs w:val="28"/>
          </w:rPr>
          <w:t>第七节</w:t>
        </w:r>
        <w:r w:rsidR="006F1229" w:rsidRPr="00C707CF">
          <w:rPr>
            <w:rStyle w:val="af2"/>
            <w:rFonts w:ascii="Times New Roman" w:eastAsia="宋体" w:hAnsi="Times New Roman" w:cs="Times New Roman"/>
            <w:b/>
            <w:bCs/>
            <w:noProof/>
            <w:sz w:val="28"/>
            <w:szCs w:val="28"/>
          </w:rPr>
          <w:t xml:space="preserve"> </w:t>
        </w:r>
        <w:r w:rsidR="006F1229" w:rsidRPr="00C707CF">
          <w:rPr>
            <w:rStyle w:val="af2"/>
            <w:rFonts w:ascii="Times New Roman" w:eastAsia="宋体" w:hAnsi="Times New Roman" w:cs="Times New Roman"/>
            <w:b/>
            <w:bCs/>
            <w:noProof/>
            <w:sz w:val="28"/>
            <w:szCs w:val="28"/>
          </w:rPr>
          <w:t>债券相关情况</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_Toc228122508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129</w:t>
        </w:r>
        <w:r w:rsidR="006F1229" w:rsidRPr="00C707CF">
          <w:rPr>
            <w:rFonts w:ascii="Times New Roman" w:hAnsi="Times New Roman" w:cs="Times New Roman"/>
            <w:b/>
            <w:noProof/>
            <w:webHidden/>
            <w:sz w:val="28"/>
            <w:szCs w:val="28"/>
          </w:rPr>
          <w:fldChar w:fldCharType="end"/>
        </w:r>
      </w:hyperlink>
    </w:p>
    <w:p w14:paraId="6CA85C70" w14:textId="40FE49B8" w:rsidR="006F1229" w:rsidRPr="00C707CF" w:rsidRDefault="006F11C7" w:rsidP="00C707CF">
      <w:pPr>
        <w:pStyle w:val="1"/>
        <w:tabs>
          <w:tab w:val="right" w:leader="dot" w:pos="9627"/>
        </w:tabs>
        <w:spacing w:line="720" w:lineRule="auto"/>
        <w:rPr>
          <w:rFonts w:ascii="Times New Roman" w:hAnsi="Times New Roman" w:cs="Times New Roman"/>
          <w:b/>
          <w:noProof/>
          <w:sz w:val="28"/>
          <w:szCs w:val="28"/>
        </w:rPr>
      </w:pPr>
      <w:hyperlink w:anchor="_Toc228122509" w:history="1">
        <w:r w:rsidR="006F1229" w:rsidRPr="00C707CF">
          <w:rPr>
            <w:rStyle w:val="af2"/>
            <w:rFonts w:ascii="Times New Roman" w:eastAsia="宋体" w:hAnsi="Times New Roman" w:cs="Times New Roman"/>
            <w:b/>
            <w:bCs/>
            <w:noProof/>
            <w:sz w:val="28"/>
            <w:szCs w:val="28"/>
          </w:rPr>
          <w:t>第八节</w:t>
        </w:r>
        <w:r w:rsidR="006F1229" w:rsidRPr="00C707CF">
          <w:rPr>
            <w:rStyle w:val="af2"/>
            <w:rFonts w:ascii="Times New Roman" w:eastAsia="宋体" w:hAnsi="Times New Roman" w:cs="Times New Roman"/>
            <w:b/>
            <w:bCs/>
            <w:noProof/>
            <w:sz w:val="28"/>
            <w:szCs w:val="28"/>
          </w:rPr>
          <w:t xml:space="preserve"> </w:t>
        </w:r>
        <w:r w:rsidR="006F1229" w:rsidRPr="00C707CF">
          <w:rPr>
            <w:rStyle w:val="af2"/>
            <w:rFonts w:ascii="Times New Roman" w:eastAsia="宋体" w:hAnsi="Times New Roman" w:cs="Times New Roman"/>
            <w:b/>
            <w:bCs/>
            <w:noProof/>
            <w:sz w:val="28"/>
            <w:szCs w:val="28"/>
          </w:rPr>
          <w:t>财务报告</w:t>
        </w:r>
        <w:r w:rsidR="006F1229" w:rsidRPr="00C707CF">
          <w:rPr>
            <w:rFonts w:ascii="Times New Roman" w:hAnsi="Times New Roman" w:cs="Times New Roman"/>
            <w:b/>
            <w:noProof/>
            <w:webHidden/>
            <w:sz w:val="28"/>
            <w:szCs w:val="28"/>
          </w:rPr>
          <w:tab/>
        </w:r>
        <w:r w:rsidR="006F1229" w:rsidRPr="00C707CF">
          <w:rPr>
            <w:rFonts w:ascii="Times New Roman" w:hAnsi="Times New Roman" w:cs="Times New Roman"/>
            <w:b/>
            <w:noProof/>
            <w:webHidden/>
            <w:sz w:val="28"/>
            <w:szCs w:val="28"/>
          </w:rPr>
          <w:fldChar w:fldCharType="begin"/>
        </w:r>
        <w:r w:rsidR="006F1229" w:rsidRPr="00C707CF">
          <w:rPr>
            <w:rFonts w:ascii="Times New Roman" w:hAnsi="Times New Roman" w:cs="Times New Roman"/>
            <w:b/>
            <w:noProof/>
            <w:webHidden/>
            <w:sz w:val="28"/>
            <w:szCs w:val="28"/>
          </w:rPr>
          <w:instrText xml:space="preserve"> PAGEREF _Toc228122509 \h </w:instrText>
        </w:r>
        <w:r w:rsidR="006F1229" w:rsidRPr="00C707CF">
          <w:rPr>
            <w:rFonts w:ascii="Times New Roman" w:hAnsi="Times New Roman" w:cs="Times New Roman"/>
            <w:b/>
            <w:noProof/>
            <w:webHidden/>
            <w:sz w:val="28"/>
            <w:szCs w:val="28"/>
          </w:rPr>
        </w:r>
        <w:r w:rsidR="006F1229" w:rsidRPr="00C707CF">
          <w:rPr>
            <w:rFonts w:ascii="Times New Roman" w:hAnsi="Times New Roman" w:cs="Times New Roman"/>
            <w:b/>
            <w:noProof/>
            <w:webHidden/>
            <w:sz w:val="28"/>
            <w:szCs w:val="28"/>
          </w:rPr>
          <w:fldChar w:fldCharType="separate"/>
        </w:r>
        <w:r w:rsidR="006F2A0F">
          <w:rPr>
            <w:rFonts w:ascii="Times New Roman" w:hAnsi="Times New Roman" w:cs="Times New Roman"/>
            <w:b/>
            <w:noProof/>
            <w:webHidden/>
            <w:sz w:val="28"/>
            <w:szCs w:val="28"/>
          </w:rPr>
          <w:t>135</w:t>
        </w:r>
        <w:r w:rsidR="006F1229" w:rsidRPr="00C707CF">
          <w:rPr>
            <w:rFonts w:ascii="Times New Roman" w:hAnsi="Times New Roman" w:cs="Times New Roman"/>
            <w:b/>
            <w:noProof/>
            <w:webHidden/>
            <w:sz w:val="28"/>
            <w:szCs w:val="28"/>
          </w:rPr>
          <w:fldChar w:fldCharType="end"/>
        </w:r>
      </w:hyperlink>
    </w:p>
    <w:p w14:paraId="1122E1FD" w14:textId="5CF14072" w:rsidR="00113A51" w:rsidRDefault="006F1229" w:rsidP="0025222D">
      <w:pPr>
        <w:pStyle w:val="1"/>
        <w:tabs>
          <w:tab w:val="left" w:leader="dot" w:pos="9469"/>
        </w:tabs>
        <w:spacing w:line="720" w:lineRule="auto"/>
        <w:jc w:val="both"/>
        <w:sectPr w:rsidR="00113A51">
          <w:pgSz w:w="11905" w:h="16840"/>
          <w:pgMar w:top="1440" w:right="1134" w:bottom="1440" w:left="1134" w:header="850" w:footer="992" w:gutter="0"/>
          <w:cols w:space="720"/>
          <w:docGrid w:type="linesAndChars" w:linePitch="312"/>
        </w:sectPr>
      </w:pPr>
      <w:r w:rsidRPr="00C707CF">
        <w:rPr>
          <w:rFonts w:ascii="Times New Roman" w:eastAsia="宋体" w:hAnsi="Times New Roman" w:cs="Times New Roman"/>
          <w:b/>
          <w:bCs/>
          <w:sz w:val="28"/>
          <w:szCs w:val="28"/>
        </w:rPr>
        <w:fldChar w:fldCharType="end"/>
      </w:r>
    </w:p>
    <w:p w14:paraId="14CF4434" w14:textId="77777777" w:rsidR="00113A51" w:rsidRDefault="00766EC7">
      <w:pPr>
        <w:spacing w:beforeLines="100" w:before="312" w:afterLines="100" w:after="312" w:line="720" w:lineRule="auto"/>
        <w:jc w:val="center"/>
        <w:rPr>
          <w:rFonts w:ascii="宋体" w:eastAsia="宋体" w:hAnsi="宋体" w:cs="宋体"/>
          <w:b/>
          <w:bCs/>
          <w:sz w:val="32"/>
          <w:szCs w:val="32"/>
        </w:rPr>
      </w:pPr>
      <w:r>
        <w:rPr>
          <w:rFonts w:ascii="宋体" w:eastAsia="宋体" w:hAnsi="宋体" w:cs="宋体"/>
          <w:b/>
          <w:bCs/>
          <w:sz w:val="32"/>
          <w:szCs w:val="32"/>
        </w:rPr>
        <w:t>备查文件目录</w:t>
      </w:r>
    </w:p>
    <w:p w14:paraId="7E49D1B1" w14:textId="77777777" w:rsidR="00113A51" w:rsidRPr="00C707CF" w:rsidRDefault="00766EC7">
      <w:pPr>
        <w:pStyle w:val="a9"/>
        <w:spacing w:before="0" w:beforeAutospacing="0" w:after="0" w:afterAutospacing="0" w:line="360" w:lineRule="auto"/>
        <w:ind w:firstLineChars="200" w:firstLine="420"/>
        <w:rPr>
          <w:rFonts w:ascii="Times New Roman" w:hAnsi="Times New Roman" w:cs="Times New Roman"/>
          <w:sz w:val="21"/>
          <w:szCs w:val="21"/>
        </w:rPr>
      </w:pPr>
      <w:r w:rsidRPr="00C707CF">
        <w:rPr>
          <w:rFonts w:ascii="Times New Roman" w:hAnsi="Times New Roman" w:cs="Times New Roman" w:hint="eastAsia"/>
          <w:sz w:val="21"/>
          <w:szCs w:val="21"/>
        </w:rPr>
        <w:t>（一）载有法定代表人李少波先生签名的</w:t>
      </w:r>
      <w:r w:rsidRPr="00C707CF">
        <w:rPr>
          <w:rFonts w:ascii="Times New Roman" w:hAnsi="Times New Roman" w:cs="Times New Roman"/>
          <w:sz w:val="21"/>
          <w:szCs w:val="21"/>
        </w:rPr>
        <w:t>2025</w:t>
      </w:r>
      <w:r w:rsidRPr="00C707CF">
        <w:rPr>
          <w:rFonts w:ascii="Times New Roman" w:hAnsi="Times New Roman" w:cs="Times New Roman" w:hint="eastAsia"/>
          <w:sz w:val="21"/>
          <w:szCs w:val="21"/>
        </w:rPr>
        <w:t>年年度报告文本；</w:t>
      </w:r>
    </w:p>
    <w:p w14:paraId="055BBF65" w14:textId="77777777" w:rsidR="00113A51" w:rsidRPr="00C707CF" w:rsidRDefault="00766EC7">
      <w:pPr>
        <w:pStyle w:val="a9"/>
        <w:spacing w:before="0" w:beforeAutospacing="0" w:after="0" w:afterAutospacing="0" w:line="360" w:lineRule="auto"/>
        <w:ind w:firstLineChars="200" w:firstLine="420"/>
        <w:rPr>
          <w:rFonts w:ascii="Times New Roman" w:hAnsi="Times New Roman" w:cs="Times New Roman"/>
          <w:sz w:val="21"/>
          <w:szCs w:val="21"/>
        </w:rPr>
      </w:pPr>
      <w:r w:rsidRPr="00C707CF">
        <w:rPr>
          <w:rFonts w:ascii="Times New Roman" w:hAnsi="Times New Roman" w:cs="Times New Roman" w:hint="eastAsia"/>
          <w:sz w:val="21"/>
          <w:szCs w:val="21"/>
        </w:rPr>
        <w:t>（二）载有公司负责人、主管会计工作负责人、会计机构负责人签名并盖章的财务报表；</w:t>
      </w:r>
    </w:p>
    <w:p w14:paraId="65799E6C" w14:textId="77777777" w:rsidR="00113A51" w:rsidRPr="00C707CF" w:rsidRDefault="00766EC7">
      <w:pPr>
        <w:pStyle w:val="a9"/>
        <w:spacing w:before="0" w:beforeAutospacing="0" w:after="0" w:afterAutospacing="0" w:line="360" w:lineRule="auto"/>
        <w:ind w:firstLineChars="200" w:firstLine="420"/>
        <w:rPr>
          <w:rFonts w:ascii="Times New Roman" w:hAnsi="Times New Roman" w:cs="Times New Roman"/>
          <w:sz w:val="21"/>
          <w:szCs w:val="21"/>
        </w:rPr>
      </w:pPr>
      <w:r w:rsidRPr="00C707CF">
        <w:rPr>
          <w:rFonts w:ascii="Times New Roman" w:hAnsi="Times New Roman" w:cs="Times New Roman" w:hint="eastAsia"/>
          <w:sz w:val="21"/>
          <w:szCs w:val="21"/>
        </w:rPr>
        <w:t>（三）载有会计师事务所盖章、注册会计师签名并盖章的审计报告原件；</w:t>
      </w:r>
    </w:p>
    <w:p w14:paraId="399C5DB2" w14:textId="77777777" w:rsidR="00113A51" w:rsidRPr="00C707CF" w:rsidRDefault="00766EC7">
      <w:pPr>
        <w:pStyle w:val="a9"/>
        <w:spacing w:before="0" w:beforeAutospacing="0" w:after="0" w:afterAutospacing="0" w:line="360" w:lineRule="auto"/>
        <w:ind w:firstLineChars="200" w:firstLine="420"/>
        <w:rPr>
          <w:rFonts w:ascii="Times New Roman" w:hAnsi="Times New Roman" w:cs="Times New Roman"/>
          <w:sz w:val="21"/>
          <w:szCs w:val="21"/>
        </w:rPr>
      </w:pPr>
      <w:r w:rsidRPr="00C707CF">
        <w:rPr>
          <w:rFonts w:ascii="Times New Roman" w:hAnsi="Times New Roman" w:cs="Times New Roman" w:hint="eastAsia"/>
          <w:sz w:val="21"/>
          <w:szCs w:val="21"/>
        </w:rPr>
        <w:t>（四）报告期内在中国证监会指定网站上公开披露过的所有公司文件的正本及公告的原稿；</w:t>
      </w:r>
    </w:p>
    <w:p w14:paraId="1247DDA2" w14:textId="77777777" w:rsidR="00113A51" w:rsidRPr="00C707CF" w:rsidRDefault="00766EC7">
      <w:pPr>
        <w:pStyle w:val="a9"/>
        <w:spacing w:before="0" w:beforeAutospacing="0" w:after="0" w:afterAutospacing="0" w:line="360" w:lineRule="auto"/>
        <w:ind w:firstLineChars="200" w:firstLine="420"/>
        <w:rPr>
          <w:rFonts w:ascii="Times New Roman" w:hAnsi="Times New Roman" w:cs="Times New Roman"/>
          <w:sz w:val="21"/>
          <w:szCs w:val="21"/>
        </w:rPr>
      </w:pPr>
      <w:r w:rsidRPr="00C707CF">
        <w:rPr>
          <w:rFonts w:ascii="Times New Roman" w:hAnsi="Times New Roman" w:cs="Times New Roman" w:hint="eastAsia"/>
          <w:sz w:val="21"/>
          <w:szCs w:val="21"/>
        </w:rPr>
        <w:t>（五）其他相关资料；</w:t>
      </w:r>
    </w:p>
    <w:p w14:paraId="6B72FFFC" w14:textId="77777777" w:rsidR="00113A51" w:rsidRPr="00C707CF" w:rsidRDefault="00766EC7">
      <w:pPr>
        <w:pStyle w:val="a9"/>
        <w:spacing w:before="0" w:beforeAutospacing="0" w:after="0" w:afterAutospacing="0" w:line="360" w:lineRule="auto"/>
        <w:ind w:firstLineChars="200" w:firstLine="420"/>
        <w:rPr>
          <w:rFonts w:ascii="Times New Roman" w:hAnsi="Times New Roman" w:cs="Times New Roman"/>
          <w:sz w:val="21"/>
          <w:szCs w:val="21"/>
        </w:rPr>
      </w:pPr>
      <w:r w:rsidRPr="00C707CF">
        <w:rPr>
          <w:rFonts w:ascii="Times New Roman" w:hAnsi="Times New Roman" w:cs="Times New Roman" w:hint="eastAsia"/>
          <w:sz w:val="21"/>
          <w:szCs w:val="21"/>
        </w:rPr>
        <w:t>（六）以上备查文件的备置地点：公司投资者关系部。</w:t>
      </w:r>
    </w:p>
    <w:p w14:paraId="4DD3B586" w14:textId="77777777" w:rsidR="00113A51" w:rsidRDefault="00766EC7">
      <w:pPr>
        <w:sectPr w:rsidR="00113A51">
          <w:pgSz w:w="11905" w:h="16840"/>
          <w:pgMar w:top="1440" w:right="1134" w:bottom="1440" w:left="1134" w:header="850" w:footer="992" w:gutter="0"/>
          <w:cols w:space="720"/>
          <w:docGrid w:type="linesAndChars" w:linePitch="312"/>
        </w:sectPr>
      </w:pPr>
      <w:r>
        <w:br w:type="page"/>
      </w:r>
    </w:p>
    <w:p w14:paraId="6A7CA0B7" w14:textId="77777777" w:rsidR="00113A51" w:rsidRDefault="00766EC7">
      <w:pPr>
        <w:spacing w:before="480" w:after="480" w:line="560" w:lineRule="exact"/>
        <w:jc w:val="center"/>
        <w:rPr>
          <w:rFonts w:ascii="宋体" w:eastAsia="宋体" w:hAnsi="宋体" w:cs="宋体"/>
          <w:b/>
          <w:bCs/>
          <w:sz w:val="32"/>
          <w:szCs w:val="32"/>
        </w:rPr>
      </w:pPr>
      <w:r>
        <w:rPr>
          <w:rFonts w:ascii="宋体" w:eastAsia="宋体" w:hAnsi="宋体" w:cs="宋体"/>
          <w:b/>
          <w:bCs/>
          <w:sz w:val="32"/>
          <w:szCs w:val="32"/>
        </w:rPr>
        <w:t>释义</w:t>
      </w:r>
    </w:p>
    <w:tbl>
      <w:tblPr>
        <w:tblW w:w="9643" w:type="dxa"/>
        <w:tblInd w:w="108" w:type="dxa"/>
        <w:tblLayout w:type="fixed"/>
        <w:tblLook w:val="04A0" w:firstRow="1" w:lastRow="0" w:firstColumn="1" w:lastColumn="0" w:noHBand="0" w:noVBand="1"/>
      </w:tblPr>
      <w:tblGrid>
        <w:gridCol w:w="3152"/>
        <w:gridCol w:w="567"/>
        <w:gridCol w:w="5924"/>
      </w:tblGrid>
      <w:tr w:rsidR="00C57E60" w14:paraId="22156EC4" w14:textId="77777777">
        <w:trPr>
          <w:trHeight w:val="240"/>
        </w:trPr>
        <w:tc>
          <w:tcPr>
            <w:tcW w:w="3152" w:type="dxa"/>
            <w:tcBorders>
              <w:top w:val="single" w:sz="2" w:space="0" w:color="auto"/>
              <w:left w:val="single" w:sz="2" w:space="0" w:color="auto"/>
              <w:bottom w:val="single" w:sz="2" w:space="0" w:color="auto"/>
              <w:right w:val="single" w:sz="2" w:space="0" w:color="auto"/>
            </w:tcBorders>
            <w:shd w:val="clear" w:color="auto" w:fill="D3D3D3"/>
            <w:vAlign w:val="center"/>
          </w:tcPr>
          <w:p w14:paraId="6769CBB8"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释义项</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03AAFCA"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shd w:val="clear" w:color="auto" w:fill="D3D3D3"/>
            <w:vAlign w:val="center"/>
          </w:tcPr>
          <w:p w14:paraId="691A34E2"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释义内容</w:t>
            </w:r>
          </w:p>
        </w:tc>
      </w:tr>
      <w:tr w:rsidR="00C57E60" w14:paraId="5EF3EF14"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7D3FC9D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本公司</w:t>
            </w:r>
            <w:r>
              <w:rPr>
                <w:rFonts w:ascii="Times New Roman" w:eastAsia="宋体" w:hAnsi="Times New Roman" w:cs="宋体"/>
                <w:sz w:val="18"/>
                <w:szCs w:val="18"/>
              </w:rPr>
              <w:t>/</w:t>
            </w:r>
            <w:r>
              <w:rPr>
                <w:rFonts w:ascii="Times New Roman" w:eastAsia="宋体" w:hAnsi="Times New Roman" w:cs="宋体"/>
                <w:sz w:val="18"/>
                <w:szCs w:val="18"/>
              </w:rPr>
              <w:t>公司</w:t>
            </w:r>
            <w:r>
              <w:rPr>
                <w:rFonts w:ascii="Times New Roman" w:eastAsia="宋体" w:hAnsi="Times New Roman" w:cs="宋体"/>
                <w:sz w:val="18"/>
                <w:szCs w:val="18"/>
              </w:rPr>
              <w:t>/</w:t>
            </w:r>
            <w:r>
              <w:rPr>
                <w:rFonts w:ascii="Times New Roman" w:eastAsia="宋体" w:hAnsi="Times New Roman" w:cs="宋体"/>
                <w:sz w:val="18"/>
                <w:szCs w:val="18"/>
              </w:rPr>
              <w:t>上市公司</w:t>
            </w:r>
            <w:r>
              <w:rPr>
                <w:rFonts w:ascii="Times New Roman" w:eastAsia="宋体" w:hAnsi="Times New Roman" w:cs="宋体"/>
                <w:sz w:val="18"/>
                <w:szCs w:val="18"/>
              </w:rPr>
              <w:t>/</w:t>
            </w:r>
            <w:r>
              <w:rPr>
                <w:rFonts w:ascii="Times New Roman" w:eastAsia="宋体" w:hAnsi="Times New Roman" w:cs="宋体"/>
                <w:sz w:val="18"/>
                <w:szCs w:val="18"/>
              </w:rPr>
              <w:t>三诺生物</w:t>
            </w:r>
            <w:r>
              <w:rPr>
                <w:rFonts w:ascii="Times New Roman" w:eastAsia="宋体" w:hAnsi="Times New Roman" w:cs="宋体"/>
                <w:sz w:val="18"/>
                <w:szCs w:val="18"/>
              </w:rPr>
              <w:t>/</w:t>
            </w:r>
            <w:r>
              <w:rPr>
                <w:rFonts w:ascii="Times New Roman" w:eastAsia="宋体" w:hAnsi="Times New Roman" w:cs="宋体"/>
                <w:sz w:val="18"/>
                <w:szCs w:val="18"/>
              </w:rPr>
              <w:t>三诺</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6CBFE25"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2F15D107"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三诺生物传感股份有限公司</w:t>
            </w:r>
          </w:p>
        </w:tc>
      </w:tr>
      <w:tr w:rsidR="00C57E60" w14:paraId="44B1038D" w14:textId="77777777">
        <w:trPr>
          <w:trHeight w:val="90"/>
        </w:trPr>
        <w:tc>
          <w:tcPr>
            <w:tcW w:w="3152" w:type="dxa"/>
            <w:tcBorders>
              <w:top w:val="single" w:sz="2" w:space="0" w:color="auto"/>
              <w:left w:val="single" w:sz="2" w:space="0" w:color="auto"/>
              <w:bottom w:val="single" w:sz="2" w:space="0" w:color="auto"/>
              <w:right w:val="single" w:sz="2" w:space="0" w:color="auto"/>
            </w:tcBorders>
            <w:vAlign w:val="center"/>
          </w:tcPr>
          <w:p w14:paraId="41B79667"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《公司章程》</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887DF18"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02196DCF"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《三诺生物传感股份有限公司章程》及其修订</w:t>
            </w:r>
          </w:p>
        </w:tc>
      </w:tr>
      <w:tr w:rsidR="00C57E60" w14:paraId="5DF854AE"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CE3FE3F"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《公司法》</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E53F9E6"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37FD2C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《中华人民共和国公司法》及其修订</w:t>
            </w:r>
          </w:p>
        </w:tc>
      </w:tr>
      <w:tr w:rsidR="00C57E60" w14:paraId="0B6719F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BCE1C9B"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《证券法》</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94B9BA3"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51B6445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《中华人民共和国证券法》及其修订</w:t>
            </w:r>
          </w:p>
        </w:tc>
      </w:tr>
      <w:tr w:rsidR="00C57E60" w14:paraId="3B564D8E"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98387E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中国证监会</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81B96C8"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48F0595"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中国证券监督管理委员会</w:t>
            </w:r>
          </w:p>
        </w:tc>
      </w:tr>
      <w:tr w:rsidR="00C57E60" w14:paraId="481E781B"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DB1C32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深交所</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1BDDC68"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67E3EE53"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深圳证券交易所</w:t>
            </w:r>
          </w:p>
        </w:tc>
      </w:tr>
      <w:tr w:rsidR="00C57E60" w14:paraId="18ED996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D5B4BD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糖尿病</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B7DF988"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F4577B8"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一组由于胰岛素分泌缺陷和（或）其生物学作用障碍引起的、以血糖增高为主的综合性代谢紊乱。临床上以高血糖为主要特点，典型病例可出现多尿、多饮、多食、消瘦等表现，即</w:t>
            </w:r>
            <w:r>
              <w:rPr>
                <w:rFonts w:ascii="Times New Roman" w:eastAsia="宋体" w:hAnsi="Times New Roman" w:cs="宋体"/>
                <w:sz w:val="18"/>
                <w:szCs w:val="18"/>
              </w:rPr>
              <w:t>“</w:t>
            </w:r>
            <w:r>
              <w:rPr>
                <w:rFonts w:ascii="Times New Roman" w:eastAsia="宋体" w:hAnsi="Times New Roman" w:cs="宋体"/>
                <w:sz w:val="18"/>
                <w:szCs w:val="18"/>
              </w:rPr>
              <w:t>三多一少</w:t>
            </w:r>
            <w:r>
              <w:rPr>
                <w:rFonts w:ascii="Times New Roman" w:eastAsia="宋体" w:hAnsi="Times New Roman" w:cs="宋体"/>
                <w:sz w:val="18"/>
                <w:szCs w:val="18"/>
              </w:rPr>
              <w:t>”</w:t>
            </w:r>
            <w:r>
              <w:rPr>
                <w:rFonts w:ascii="Times New Roman" w:eastAsia="宋体" w:hAnsi="Times New Roman" w:cs="宋体"/>
                <w:sz w:val="18"/>
                <w:szCs w:val="18"/>
              </w:rPr>
              <w:t>症状</w:t>
            </w:r>
          </w:p>
        </w:tc>
      </w:tr>
      <w:tr w:rsidR="00C57E60" w14:paraId="6B792246"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5389C49"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IDF</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B6C0E83"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64FF6B0B"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International Diabetes Federation</w:t>
            </w:r>
            <w:r>
              <w:rPr>
                <w:rFonts w:ascii="Times New Roman" w:eastAsia="宋体" w:hAnsi="Times New Roman" w:cs="宋体"/>
                <w:sz w:val="18"/>
                <w:szCs w:val="18"/>
              </w:rPr>
              <w:t>，国际糖尿病联盟</w:t>
            </w:r>
          </w:p>
        </w:tc>
      </w:tr>
      <w:tr w:rsidR="00C57E60" w14:paraId="1ABF52A4"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F2EDDD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FDA</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569C3DD"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2635F6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U.S.Food &amp; Drug Administration</w:t>
            </w:r>
            <w:r>
              <w:rPr>
                <w:rFonts w:ascii="Times New Roman" w:eastAsia="宋体" w:hAnsi="Times New Roman" w:cs="宋体"/>
                <w:sz w:val="18"/>
                <w:szCs w:val="18"/>
              </w:rPr>
              <w:t>（美国食品药品监督管理局）</w:t>
            </w:r>
          </w:p>
        </w:tc>
      </w:tr>
      <w:tr w:rsidR="00C57E60" w14:paraId="6D9D3AF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31D9DFB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CE</w:t>
            </w:r>
            <w:r>
              <w:rPr>
                <w:rFonts w:ascii="Times New Roman" w:eastAsia="宋体" w:hAnsi="Times New Roman" w:cs="宋体"/>
                <w:sz w:val="18"/>
                <w:szCs w:val="18"/>
              </w:rPr>
              <w:t>认证</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817B6A5"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46AA9B3F"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Conformite Europeenne</w:t>
            </w:r>
            <w:r>
              <w:rPr>
                <w:rFonts w:ascii="Times New Roman" w:eastAsia="宋体" w:hAnsi="Times New Roman" w:cs="宋体"/>
                <w:sz w:val="18"/>
                <w:szCs w:val="18"/>
              </w:rPr>
              <w:t>的缩写，</w:t>
            </w:r>
            <w:r>
              <w:rPr>
                <w:rFonts w:ascii="Times New Roman" w:eastAsia="宋体" w:hAnsi="Times New Roman" w:cs="宋体"/>
                <w:sz w:val="18"/>
                <w:szCs w:val="18"/>
              </w:rPr>
              <w:t>CE</w:t>
            </w:r>
            <w:r>
              <w:rPr>
                <w:rFonts w:ascii="Times New Roman" w:eastAsia="宋体" w:hAnsi="Times New Roman" w:cs="宋体"/>
                <w:sz w:val="18"/>
                <w:szCs w:val="18"/>
              </w:rPr>
              <w:t>认证表明该产品已经达到了欧盟指令规定的安全要求，是产品进入欧盟市场销售的准入条件</w:t>
            </w:r>
          </w:p>
        </w:tc>
      </w:tr>
      <w:tr w:rsidR="00C57E60" w14:paraId="73B0ABC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0B5112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血糖</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9DA5CFE"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46FC32D0"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血浆中的葡萄糖</w:t>
            </w:r>
          </w:p>
        </w:tc>
      </w:tr>
      <w:tr w:rsidR="00C57E60" w14:paraId="4FE37E74"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FBBE1B9"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血糖测试仪</w:t>
            </w:r>
            <w:r>
              <w:rPr>
                <w:rFonts w:ascii="Times New Roman" w:eastAsia="宋体" w:hAnsi="Times New Roman" w:cs="宋体"/>
                <w:sz w:val="18"/>
                <w:szCs w:val="18"/>
              </w:rPr>
              <w:t>/</w:t>
            </w:r>
            <w:r>
              <w:rPr>
                <w:rFonts w:ascii="Times New Roman" w:eastAsia="宋体" w:hAnsi="Times New Roman" w:cs="宋体"/>
                <w:sz w:val="18"/>
                <w:szCs w:val="18"/>
              </w:rPr>
              <w:t>血糖仪</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6F9B582"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0C25BCF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通过生物传感技术，用以测定血糖浓度的仪器</w:t>
            </w:r>
          </w:p>
        </w:tc>
      </w:tr>
      <w:tr w:rsidR="00C57E60" w14:paraId="2373D643"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7BC51DB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血糖测试试条</w:t>
            </w:r>
            <w:r>
              <w:rPr>
                <w:rFonts w:ascii="Times New Roman" w:eastAsia="宋体" w:hAnsi="Times New Roman" w:cs="宋体"/>
                <w:sz w:val="18"/>
                <w:szCs w:val="18"/>
              </w:rPr>
              <w:t>/</w:t>
            </w:r>
            <w:r>
              <w:rPr>
                <w:rFonts w:ascii="Times New Roman" w:eastAsia="宋体" w:hAnsi="Times New Roman" w:cs="宋体"/>
                <w:sz w:val="18"/>
                <w:szCs w:val="18"/>
              </w:rPr>
              <w:t>血糖试条</w:t>
            </w:r>
            <w:r>
              <w:rPr>
                <w:rFonts w:ascii="Times New Roman" w:eastAsia="宋体" w:hAnsi="Times New Roman" w:cs="宋体"/>
                <w:sz w:val="18"/>
                <w:szCs w:val="18"/>
              </w:rPr>
              <w:t>/</w:t>
            </w:r>
            <w:r>
              <w:rPr>
                <w:rFonts w:ascii="Times New Roman" w:eastAsia="宋体" w:hAnsi="Times New Roman" w:cs="宋体"/>
                <w:sz w:val="18"/>
                <w:szCs w:val="18"/>
              </w:rPr>
              <w:t>试条</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34994C9"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66A3B334"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与血糖测试仪配套进行血糖浓度检测的测试条</w:t>
            </w:r>
          </w:p>
        </w:tc>
      </w:tr>
      <w:tr w:rsidR="00C57E60" w14:paraId="57B5AF5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525ACD0"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A196382"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22F90BC8"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由血糖测试仪和试条构成，对血糖进行监测的系统</w:t>
            </w:r>
          </w:p>
        </w:tc>
      </w:tr>
      <w:tr w:rsidR="00C57E60" w14:paraId="004CC3C1"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4A60B243"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生物传感器</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6950C29"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A5713C9"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将生物敏感元件如酶、抗体、细胞器等同物理或化学换能器相结合，对所测定对象作出精确定量反应，并借助现代电子技术将所测得信号以直观数字形式输出的一类新型分析装置</w:t>
            </w:r>
          </w:p>
        </w:tc>
      </w:tr>
      <w:tr w:rsidR="00C57E60" w14:paraId="0E0C7A08"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CBC9A92"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CGM</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2BE94E8"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24AF834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连续血糖监测（</w:t>
            </w:r>
            <w:r>
              <w:rPr>
                <w:rFonts w:ascii="Times New Roman" w:eastAsia="宋体" w:hAnsi="Times New Roman" w:cs="宋体"/>
                <w:sz w:val="18"/>
                <w:szCs w:val="18"/>
              </w:rPr>
              <w:t>Continuous Glucose Monitoring</w:t>
            </w:r>
            <w:r>
              <w:rPr>
                <w:rFonts w:ascii="Times New Roman" w:eastAsia="宋体" w:hAnsi="Times New Roman" w:cs="宋体"/>
                <w:sz w:val="18"/>
                <w:szCs w:val="18"/>
              </w:rPr>
              <w:t>），是指通过葡萄糖感应器连续监测皮下组织间液的葡萄糖浓度而间接反映血糖水平的监测技术</w:t>
            </w:r>
          </w:p>
        </w:tc>
      </w:tr>
      <w:tr w:rsidR="00C57E60" w14:paraId="4146EF00"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1535BF7"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POCT/</w:t>
            </w:r>
            <w:r>
              <w:rPr>
                <w:rFonts w:ascii="Times New Roman" w:eastAsia="宋体" w:hAnsi="Times New Roman" w:cs="宋体"/>
                <w:sz w:val="18"/>
                <w:szCs w:val="18"/>
              </w:rPr>
              <w:t>即时检测</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68E1989"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0D5B23E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Point of Care Testing</w:t>
            </w:r>
            <w:r>
              <w:rPr>
                <w:rFonts w:ascii="Times New Roman" w:eastAsia="宋体" w:hAnsi="Times New Roman" w:cs="宋体"/>
                <w:sz w:val="18"/>
                <w:szCs w:val="18"/>
              </w:rPr>
              <w:t>，在采样现场进行的、利用便携式分析仪器及配套试剂快速得到检测结果的一种检测方式</w:t>
            </w:r>
          </w:p>
        </w:tc>
      </w:tr>
      <w:tr w:rsidR="00C57E60" w14:paraId="47664373"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D9B19B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糖化血红蛋白</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1DF43F3"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71E23F8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人体血液中红细胞内的血红蛋白与血糖结合的产物。糖化血红蛋白的英文名称为</w:t>
            </w:r>
            <w:r>
              <w:rPr>
                <w:rFonts w:ascii="Times New Roman" w:eastAsia="宋体" w:hAnsi="Times New Roman" w:cs="宋体"/>
                <w:sz w:val="18"/>
                <w:szCs w:val="18"/>
              </w:rPr>
              <w:t>HbA1c</w:t>
            </w:r>
            <w:r>
              <w:rPr>
                <w:rFonts w:ascii="Times New Roman" w:eastAsia="宋体" w:hAnsi="Times New Roman" w:cs="宋体"/>
                <w:sz w:val="18"/>
                <w:szCs w:val="18"/>
              </w:rPr>
              <w:t>。糖化血红蛋白测试通常可以有效反映患者过去</w:t>
            </w:r>
            <w:r>
              <w:rPr>
                <w:rFonts w:ascii="Times New Roman" w:eastAsia="宋体" w:hAnsi="Times New Roman" w:cs="宋体"/>
                <w:sz w:val="18"/>
                <w:szCs w:val="18"/>
              </w:rPr>
              <w:t>8-12</w:t>
            </w:r>
            <w:r>
              <w:rPr>
                <w:rFonts w:ascii="Times New Roman" w:eastAsia="宋体" w:hAnsi="Times New Roman" w:cs="宋体"/>
                <w:sz w:val="18"/>
                <w:szCs w:val="18"/>
              </w:rPr>
              <w:t>周的血糖控制情况</w:t>
            </w:r>
          </w:p>
        </w:tc>
      </w:tr>
      <w:tr w:rsidR="00C57E60" w14:paraId="78423772"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F4498E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血脂</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94F6A47"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63A59E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脂是血浆中的中性脂肪（甘油三酯）和类脂（磷脂、糖脂、固醇、类固醇）的总称。血脂检查，主要是对血液中所含脂类进行的一种定量测定的方法。主要是测定血清中的总胆固醇、甘油三酯、低密度脂蛋白胆固醇和高密度脂蛋白胆固醇的水平等。通过检查血浆中的血脂，可以预防或知晓是否患有肥胖症、动脉硬化、高血脂、冠心病、糖尿病、肾病综合征，以及其他一些心血管疾病</w:t>
            </w:r>
          </w:p>
        </w:tc>
      </w:tr>
      <w:tr w:rsidR="00C57E60" w14:paraId="43AB9070"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03DCD52"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血脂检测系统</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9BFDC37"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5D6CF33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由分析仪和配套试条构成，能经济、有效、快捷和便捷的床旁分析系统，能精确的检测患者多项指标（血脂四项及单项指标、血糖、肌酐）</w:t>
            </w:r>
          </w:p>
        </w:tc>
      </w:tr>
      <w:tr w:rsidR="00C57E60" w14:paraId="175C468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A638F4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糖化血红蛋白检测系统</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4DBA594E"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A74F94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由糖化血红蛋白测试仪和配套试条构成，对糖化血红蛋白进行监测的系统</w:t>
            </w:r>
          </w:p>
        </w:tc>
      </w:tr>
      <w:tr w:rsidR="00C57E60" w14:paraId="30439995"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7970AC2"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第二期员工持股计划</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86831E9"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E97B53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《三诺生物传感股份有限公司第二期员工持股计划（草案修订稿）》</w:t>
            </w:r>
          </w:p>
        </w:tc>
      </w:tr>
      <w:tr w:rsidR="00C57E60" w14:paraId="24984B4B"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424FE61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第三期员工持股计划</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A6D53B5"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4297AA6F"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《三诺生物传感股份有限公司第三期员工持股计划（草案修订稿）》</w:t>
            </w:r>
          </w:p>
        </w:tc>
      </w:tr>
      <w:tr w:rsidR="00C57E60" w14:paraId="22132ADF"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476AEC8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 xml:space="preserve">TISA/TISA </w:t>
            </w:r>
            <w:r>
              <w:rPr>
                <w:rFonts w:ascii="Times New Roman" w:eastAsia="宋体" w:hAnsi="Times New Roman" w:cs="宋体"/>
                <w:sz w:val="18"/>
                <w:szCs w:val="18"/>
              </w:rPr>
              <w:t>公司</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C49F27A"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4484164B"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古巴</w:t>
            </w:r>
            <w:r>
              <w:rPr>
                <w:rFonts w:ascii="Times New Roman" w:eastAsia="宋体" w:hAnsi="Times New Roman" w:cs="宋体"/>
                <w:sz w:val="18"/>
                <w:szCs w:val="18"/>
              </w:rPr>
              <w:t xml:space="preserve"> Tecnosuma International S.A.</w:t>
            </w:r>
            <w:r>
              <w:rPr>
                <w:rFonts w:ascii="Times New Roman" w:eastAsia="宋体" w:hAnsi="Times New Roman" w:cs="宋体"/>
                <w:sz w:val="18"/>
                <w:szCs w:val="18"/>
              </w:rPr>
              <w:t>公司，系公司拉美地区独家经销商</w:t>
            </w:r>
          </w:p>
        </w:tc>
      </w:tr>
      <w:tr w:rsidR="00C57E60" w14:paraId="1184CB86"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4EFAC38"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三诺健康产业</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51B707B"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3B498E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深圳市三诺健康产业发展有限公司（曾用名</w:t>
            </w:r>
            <w:r>
              <w:rPr>
                <w:rFonts w:ascii="Times New Roman" w:eastAsia="宋体" w:hAnsi="Times New Roman" w:cs="宋体"/>
                <w:sz w:val="18"/>
                <w:szCs w:val="18"/>
              </w:rPr>
              <w:t>“</w:t>
            </w:r>
            <w:r>
              <w:rPr>
                <w:rFonts w:ascii="Times New Roman" w:eastAsia="宋体" w:hAnsi="Times New Roman" w:cs="宋体"/>
                <w:sz w:val="18"/>
                <w:szCs w:val="18"/>
              </w:rPr>
              <w:t>三诺健康产业投资有限公司</w:t>
            </w:r>
            <w:r>
              <w:rPr>
                <w:rFonts w:ascii="Times New Roman" w:eastAsia="宋体" w:hAnsi="Times New Roman" w:cs="宋体"/>
                <w:sz w:val="18"/>
                <w:szCs w:val="18"/>
              </w:rPr>
              <w:t>”</w:t>
            </w:r>
            <w:r>
              <w:rPr>
                <w:rFonts w:ascii="Times New Roman" w:eastAsia="宋体" w:hAnsi="Times New Roman" w:cs="宋体"/>
                <w:sz w:val="18"/>
                <w:szCs w:val="18"/>
              </w:rPr>
              <w:t>），系公司的全资子公司</w:t>
            </w:r>
          </w:p>
        </w:tc>
      </w:tr>
      <w:tr w:rsidR="00C57E60" w14:paraId="16CD58A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788B5C3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三诺香港</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5574AA7"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076192C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三诺生物（香港）有限公司（</w:t>
            </w:r>
            <w:r>
              <w:rPr>
                <w:rFonts w:ascii="Times New Roman" w:eastAsia="宋体" w:hAnsi="Times New Roman" w:cs="宋体"/>
                <w:sz w:val="18"/>
                <w:szCs w:val="18"/>
              </w:rPr>
              <w:t>Sannuo Hong Kong Limited</w:t>
            </w:r>
            <w:r>
              <w:rPr>
                <w:rFonts w:ascii="Times New Roman" w:eastAsia="宋体" w:hAnsi="Times New Roman" w:cs="宋体"/>
                <w:sz w:val="18"/>
                <w:szCs w:val="18"/>
              </w:rPr>
              <w:t>），系公司在香港设立的全资子公司</w:t>
            </w:r>
          </w:p>
        </w:tc>
      </w:tr>
      <w:tr w:rsidR="00C57E60" w14:paraId="5ED6C585"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5EF5E73"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 xml:space="preserve">SM </w:t>
            </w:r>
            <w:r>
              <w:rPr>
                <w:rFonts w:ascii="Times New Roman" w:eastAsia="宋体" w:hAnsi="Times New Roman" w:cs="宋体"/>
                <w:sz w:val="18"/>
                <w:szCs w:val="18"/>
              </w:rPr>
              <w:t>公司</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481FDACB"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0F070E9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Sinocare Meditech,Inc.</w:t>
            </w:r>
            <w:r>
              <w:rPr>
                <w:rFonts w:ascii="Times New Roman" w:eastAsia="宋体" w:hAnsi="Times New Roman" w:cs="宋体"/>
                <w:sz w:val="18"/>
                <w:szCs w:val="18"/>
              </w:rPr>
              <w:t>，系公司在美国设立的全资子公司</w:t>
            </w:r>
          </w:p>
        </w:tc>
      </w:tr>
      <w:tr w:rsidR="00C57E60" w14:paraId="55723D0E"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266AED9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三诺健康</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76F1A7A"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78A5C0D0"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三诺健康管理有限公司，系公司的全资子公司</w:t>
            </w:r>
          </w:p>
        </w:tc>
      </w:tr>
      <w:tr w:rsidR="00C57E60" w14:paraId="198CD607"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C334F76"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PTS</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44546A3B"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2E346714"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Polymer Technology Systems,Inc.</w:t>
            </w:r>
            <w:r>
              <w:rPr>
                <w:rFonts w:ascii="Times New Roman" w:eastAsia="宋体" w:hAnsi="Times New Roman" w:cs="宋体"/>
                <w:sz w:val="18"/>
                <w:szCs w:val="18"/>
              </w:rPr>
              <w:t>，系三诺健康的全资子公司</w:t>
            </w:r>
          </w:p>
        </w:tc>
      </w:tr>
      <w:tr w:rsidR="00C57E60" w14:paraId="3162A658"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EAF59B2"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EOFLOW</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5BD2DA1"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5B3646F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韩国</w:t>
            </w:r>
            <w:r>
              <w:rPr>
                <w:rFonts w:ascii="Times New Roman" w:eastAsia="宋体" w:hAnsi="Times New Roman" w:cs="宋体"/>
                <w:sz w:val="18"/>
                <w:szCs w:val="18"/>
              </w:rPr>
              <w:t>EOFLOW CO.,LTD</w:t>
            </w:r>
            <w:r>
              <w:rPr>
                <w:rFonts w:ascii="Times New Roman" w:eastAsia="宋体" w:hAnsi="Times New Roman" w:cs="宋体"/>
                <w:sz w:val="18"/>
                <w:szCs w:val="18"/>
              </w:rPr>
              <w:t>公司，系公司的参股公司</w:t>
            </w:r>
          </w:p>
        </w:tc>
      </w:tr>
      <w:tr w:rsidR="00C57E60" w14:paraId="46F0A6C0"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6E2D4E4"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心诺健康</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3165B71"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8A163D9"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长沙心诺健康产业投资有限公司（曾用名</w:t>
            </w:r>
            <w:r>
              <w:rPr>
                <w:rFonts w:ascii="Times New Roman" w:eastAsia="宋体" w:hAnsi="Times New Roman" w:cs="宋体"/>
                <w:sz w:val="18"/>
                <w:szCs w:val="18"/>
              </w:rPr>
              <w:t>“</w:t>
            </w:r>
            <w:r>
              <w:rPr>
                <w:rFonts w:ascii="Times New Roman" w:eastAsia="宋体" w:hAnsi="Times New Roman" w:cs="宋体"/>
                <w:sz w:val="18"/>
                <w:szCs w:val="18"/>
              </w:rPr>
              <w:t>深圳市心诺健康产业投资有限公司</w:t>
            </w:r>
            <w:r>
              <w:rPr>
                <w:rFonts w:ascii="Times New Roman" w:eastAsia="宋体" w:hAnsi="Times New Roman" w:cs="宋体"/>
                <w:sz w:val="18"/>
                <w:szCs w:val="18"/>
              </w:rPr>
              <w:t>”</w:t>
            </w:r>
            <w:r>
              <w:rPr>
                <w:rFonts w:ascii="Times New Roman" w:eastAsia="宋体" w:hAnsi="Times New Roman" w:cs="宋体"/>
                <w:sz w:val="18"/>
                <w:szCs w:val="18"/>
              </w:rPr>
              <w:t>），系公司的控股子公司</w:t>
            </w:r>
          </w:p>
        </w:tc>
      </w:tr>
      <w:tr w:rsidR="00C57E60" w14:paraId="5CEC9C14"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78DD40B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Trividia/THI</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06C74F4"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91A17B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Trividia Health,Inc.</w:t>
            </w:r>
            <w:r>
              <w:rPr>
                <w:rFonts w:ascii="Times New Roman" w:eastAsia="宋体" w:hAnsi="Times New Roman" w:cs="宋体"/>
                <w:sz w:val="18"/>
                <w:szCs w:val="18"/>
              </w:rPr>
              <w:t>，系心诺健康的全资子公司</w:t>
            </w:r>
          </w:p>
        </w:tc>
      </w:tr>
      <w:tr w:rsidR="00C57E60" w14:paraId="5739BD98"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BC18418"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北京糖护</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9528B04"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722E315B"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北京糖护科技有限公司，系公司的参股公司</w:t>
            </w:r>
          </w:p>
        </w:tc>
      </w:tr>
      <w:tr w:rsidR="00C57E60" w14:paraId="62F859C5"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3DB6674"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东莞一测</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5E25BDA"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23580351"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东莞一测科技有限公司，系公司的控股子公司</w:t>
            </w:r>
          </w:p>
        </w:tc>
      </w:tr>
      <w:tr w:rsidR="00C57E60" w14:paraId="3EABCDA3"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333F4027"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北京健恒医院</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43E6FEF"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6F3AA1D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北京三诺健恒糖尿病医院，系三诺健康的全资子公司</w:t>
            </w:r>
          </w:p>
        </w:tc>
      </w:tr>
      <w:tr w:rsidR="00C57E60" w14:paraId="7C4FC28D"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6E299AC"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乐准生物</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F701741"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44DE830B"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湖南乐准生物科技有限公司，系公司的参股公司</w:t>
            </w:r>
          </w:p>
        </w:tc>
      </w:tr>
      <w:tr w:rsidR="00C57E60" w14:paraId="40D846A4"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4A2C41B8"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甜蜜医联</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2DEF364"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E21ABC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长沙甜蜜医联网络科技有限公司，系公司的全资子公司</w:t>
            </w:r>
          </w:p>
        </w:tc>
      </w:tr>
      <w:tr w:rsidR="00C57E60" w14:paraId="53AE5D12"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59D7A73F"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三诺医学检验</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77AC8C6"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5DE87CE6"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长沙三诺医学检验有限公司，系公司的全资子公司</w:t>
            </w:r>
          </w:p>
        </w:tc>
      </w:tr>
      <w:tr w:rsidR="00C57E60" w14:paraId="114CCE13"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268C434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晶准生物</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365ECAB"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138932D9"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晶准生物医药集团有限公司，系三诺香港的参股公司</w:t>
            </w:r>
          </w:p>
        </w:tc>
      </w:tr>
      <w:tr w:rsidR="00C57E60" w14:paraId="4C1B32CB"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6D53BC2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福诺医疗</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C09D7D6"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79588A5"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长沙福诺医疗科技有限公司，系公司的控股子公司</w:t>
            </w:r>
          </w:p>
        </w:tc>
      </w:tr>
      <w:tr w:rsidR="00C57E60" w14:paraId="0BB66423"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3B0F9F22"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三诺转债</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F75AC22"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7AA8E2C3"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三诺生物传感股份有限公司向不特定对象发行的可转换公司债券</w:t>
            </w:r>
          </w:p>
        </w:tc>
      </w:tr>
      <w:tr w:rsidR="00C57E60" w14:paraId="13A413E9"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4FB3C32B"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元</w:t>
            </w:r>
            <w:r>
              <w:rPr>
                <w:rFonts w:ascii="Times New Roman" w:eastAsia="宋体" w:hAnsi="Times New Roman" w:cs="宋体"/>
                <w:sz w:val="18"/>
                <w:szCs w:val="18"/>
              </w:rPr>
              <w:t>/</w:t>
            </w:r>
            <w:r>
              <w:rPr>
                <w:rFonts w:ascii="Times New Roman" w:eastAsia="宋体" w:hAnsi="Times New Roman" w:cs="宋体"/>
                <w:sz w:val="18"/>
                <w:szCs w:val="18"/>
              </w:rPr>
              <w:t>万元</w:t>
            </w:r>
            <w:r>
              <w:rPr>
                <w:rFonts w:ascii="Times New Roman" w:eastAsia="宋体" w:hAnsi="Times New Roman" w:cs="宋体"/>
                <w:sz w:val="18"/>
                <w:szCs w:val="18"/>
              </w:rPr>
              <w:t>/</w:t>
            </w:r>
            <w:r>
              <w:rPr>
                <w:rFonts w:ascii="Times New Roman" w:eastAsia="宋体" w:hAnsi="Times New Roman" w:cs="宋体"/>
                <w:sz w:val="18"/>
                <w:szCs w:val="18"/>
              </w:rPr>
              <w:t>亿元</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A2758E1"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998E22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人民币元</w:t>
            </w:r>
            <w:r>
              <w:rPr>
                <w:rFonts w:ascii="Times New Roman" w:eastAsia="宋体" w:hAnsi="Times New Roman" w:cs="宋体"/>
                <w:sz w:val="18"/>
                <w:szCs w:val="18"/>
              </w:rPr>
              <w:t>/</w:t>
            </w:r>
            <w:r>
              <w:rPr>
                <w:rFonts w:ascii="Times New Roman" w:eastAsia="宋体" w:hAnsi="Times New Roman" w:cs="宋体"/>
                <w:sz w:val="18"/>
                <w:szCs w:val="18"/>
              </w:rPr>
              <w:t>万元</w:t>
            </w:r>
            <w:r>
              <w:rPr>
                <w:rFonts w:ascii="Times New Roman" w:eastAsia="宋体" w:hAnsi="Times New Roman" w:cs="宋体"/>
                <w:sz w:val="18"/>
                <w:szCs w:val="18"/>
              </w:rPr>
              <w:t>/</w:t>
            </w:r>
            <w:r>
              <w:rPr>
                <w:rFonts w:ascii="Times New Roman" w:eastAsia="宋体" w:hAnsi="Times New Roman" w:cs="宋体"/>
                <w:sz w:val="18"/>
                <w:szCs w:val="18"/>
              </w:rPr>
              <w:t>亿元</w:t>
            </w:r>
          </w:p>
        </w:tc>
      </w:tr>
      <w:tr w:rsidR="00C57E60" w14:paraId="4A40EA30"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32BF72DE"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报告期</w:t>
            </w:r>
            <w:r>
              <w:rPr>
                <w:rFonts w:ascii="Times New Roman" w:eastAsia="宋体" w:hAnsi="Times New Roman" w:cs="宋体"/>
                <w:sz w:val="18"/>
                <w:szCs w:val="18"/>
              </w:rPr>
              <w:t>/</w:t>
            </w:r>
            <w:r>
              <w:rPr>
                <w:rFonts w:ascii="Times New Roman" w:eastAsia="宋体" w:hAnsi="Times New Roman" w:cs="宋体"/>
                <w:sz w:val="18"/>
                <w:szCs w:val="18"/>
              </w:rPr>
              <w:t>本期</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698D54C"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A4592E2"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w:t>
            </w:r>
            <w:r>
              <w:rPr>
                <w:rFonts w:ascii="Times New Roman" w:eastAsia="宋体" w:hAnsi="Times New Roman" w:cs="宋体"/>
                <w:sz w:val="18"/>
                <w:szCs w:val="18"/>
              </w:rPr>
              <w:t>月</w:t>
            </w:r>
            <w:r>
              <w:rPr>
                <w:rFonts w:ascii="Times New Roman" w:eastAsia="宋体" w:hAnsi="Times New Roman" w:cs="宋体"/>
                <w:sz w:val="18"/>
                <w:szCs w:val="18"/>
              </w:rPr>
              <w:t>1</w:t>
            </w:r>
            <w:r>
              <w:rPr>
                <w:rFonts w:ascii="Times New Roman" w:eastAsia="宋体" w:hAnsi="Times New Roman" w:cs="宋体"/>
                <w:sz w:val="18"/>
                <w:szCs w:val="18"/>
              </w:rPr>
              <w:t>日至</w:t>
            </w: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r>
      <w:tr w:rsidR="00C57E60" w14:paraId="3C591BD8"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2DD8100"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上年同期</w:t>
            </w:r>
            <w:r>
              <w:rPr>
                <w:rFonts w:ascii="Times New Roman" w:eastAsia="宋体" w:hAnsi="Times New Roman" w:cs="宋体"/>
                <w:sz w:val="18"/>
                <w:szCs w:val="18"/>
              </w:rPr>
              <w:t>/</w:t>
            </w:r>
            <w:r>
              <w:rPr>
                <w:rFonts w:ascii="Times New Roman" w:eastAsia="宋体" w:hAnsi="Times New Roman" w:cs="宋体"/>
                <w:sz w:val="18"/>
                <w:szCs w:val="18"/>
              </w:rPr>
              <w:t>上期</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1CD053E"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64512285"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r>
              <w:rPr>
                <w:rFonts w:ascii="Times New Roman" w:eastAsia="宋体" w:hAnsi="Times New Roman" w:cs="宋体"/>
                <w:sz w:val="18"/>
                <w:szCs w:val="18"/>
              </w:rPr>
              <w:t>1</w:t>
            </w:r>
            <w:r>
              <w:rPr>
                <w:rFonts w:ascii="Times New Roman" w:eastAsia="宋体" w:hAnsi="Times New Roman" w:cs="宋体"/>
                <w:sz w:val="18"/>
                <w:szCs w:val="18"/>
              </w:rPr>
              <w:t>月</w:t>
            </w:r>
            <w:r>
              <w:rPr>
                <w:rFonts w:ascii="Times New Roman" w:eastAsia="宋体" w:hAnsi="Times New Roman" w:cs="宋体"/>
                <w:sz w:val="18"/>
                <w:szCs w:val="18"/>
              </w:rPr>
              <w:t>1</w:t>
            </w:r>
            <w:r>
              <w:rPr>
                <w:rFonts w:ascii="Times New Roman" w:eastAsia="宋体" w:hAnsi="Times New Roman" w:cs="宋体"/>
                <w:sz w:val="18"/>
                <w:szCs w:val="18"/>
              </w:rPr>
              <w:t>日至</w:t>
            </w:r>
            <w:r>
              <w:rPr>
                <w:rFonts w:ascii="Times New Roman" w:eastAsia="宋体" w:hAnsi="Times New Roman" w:cs="宋体"/>
                <w:sz w:val="18"/>
                <w:szCs w:val="18"/>
              </w:rPr>
              <w:t>2024</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r>
      <w:tr w:rsidR="00C57E60" w14:paraId="7DF8132F"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02F9684D"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期初</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4B9C0D9B"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36B7B013"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w:t>
            </w:r>
            <w:r>
              <w:rPr>
                <w:rFonts w:ascii="Times New Roman" w:eastAsia="宋体" w:hAnsi="Times New Roman" w:cs="宋体"/>
                <w:sz w:val="18"/>
                <w:szCs w:val="18"/>
              </w:rPr>
              <w:t>月</w:t>
            </w:r>
            <w:r>
              <w:rPr>
                <w:rFonts w:ascii="Times New Roman" w:eastAsia="宋体" w:hAnsi="Times New Roman" w:cs="宋体"/>
                <w:sz w:val="18"/>
                <w:szCs w:val="18"/>
              </w:rPr>
              <w:t>1</w:t>
            </w:r>
            <w:r>
              <w:rPr>
                <w:rFonts w:ascii="Times New Roman" w:eastAsia="宋体" w:hAnsi="Times New Roman" w:cs="宋体"/>
                <w:sz w:val="18"/>
                <w:szCs w:val="18"/>
              </w:rPr>
              <w:t>日</w:t>
            </w:r>
          </w:p>
        </w:tc>
      </w:tr>
      <w:tr w:rsidR="00C57E60" w14:paraId="22710657"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2FD2806A"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期末</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48182DD"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4C1B0793"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r>
      <w:tr w:rsidR="00C57E60" w14:paraId="3DEADC0C" w14:textId="77777777">
        <w:trPr>
          <w:trHeight w:val="240"/>
        </w:trPr>
        <w:tc>
          <w:tcPr>
            <w:tcW w:w="3152" w:type="dxa"/>
            <w:tcBorders>
              <w:top w:val="single" w:sz="2" w:space="0" w:color="auto"/>
              <w:left w:val="single" w:sz="2" w:space="0" w:color="auto"/>
              <w:bottom w:val="single" w:sz="2" w:space="0" w:color="auto"/>
              <w:right w:val="single" w:sz="2" w:space="0" w:color="auto"/>
            </w:tcBorders>
            <w:vAlign w:val="center"/>
          </w:tcPr>
          <w:p w14:paraId="19DC59C7"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巨潮资讯网</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76459C2" w14:textId="77777777" w:rsidR="00113A51" w:rsidRDefault="00766EC7" w:rsidP="005941BE">
            <w:pPr>
              <w:spacing w:before="40" w:after="40" w:line="336" w:lineRule="auto"/>
              <w:jc w:val="center"/>
              <w:rPr>
                <w:rFonts w:ascii="Times New Roman" w:eastAsia="宋体" w:hAnsi="Times New Roman" w:cs="宋体"/>
                <w:sz w:val="18"/>
                <w:szCs w:val="18"/>
              </w:rPr>
            </w:pPr>
            <w:r>
              <w:rPr>
                <w:rFonts w:ascii="Times New Roman" w:eastAsia="宋体" w:hAnsi="Times New Roman" w:cs="宋体"/>
                <w:sz w:val="18"/>
                <w:szCs w:val="18"/>
              </w:rPr>
              <w:t>指</w:t>
            </w:r>
          </w:p>
        </w:tc>
        <w:tc>
          <w:tcPr>
            <w:tcW w:w="5924" w:type="dxa"/>
            <w:tcBorders>
              <w:top w:val="single" w:sz="2" w:space="0" w:color="auto"/>
              <w:left w:val="single" w:sz="2" w:space="0" w:color="auto"/>
              <w:bottom w:val="single" w:sz="2" w:space="0" w:color="auto"/>
              <w:right w:val="single" w:sz="2" w:space="0" w:color="auto"/>
            </w:tcBorders>
            <w:vAlign w:val="center"/>
          </w:tcPr>
          <w:p w14:paraId="26AA6D74" w14:textId="77777777" w:rsidR="00113A51" w:rsidRDefault="00766EC7" w:rsidP="005941BE">
            <w:pPr>
              <w:spacing w:line="336" w:lineRule="auto"/>
              <w:rPr>
                <w:rFonts w:ascii="Times New Roman" w:eastAsia="宋体" w:hAnsi="Times New Roman" w:cs="宋体"/>
                <w:sz w:val="18"/>
                <w:szCs w:val="18"/>
              </w:rPr>
            </w:pPr>
            <w:r>
              <w:rPr>
                <w:rFonts w:ascii="Times New Roman" w:eastAsia="宋体" w:hAnsi="Times New Roman" w:cs="宋体"/>
                <w:sz w:val="18"/>
                <w:szCs w:val="18"/>
              </w:rPr>
              <w:t>中国证监会指定的创业板信息披露网站</w:t>
            </w:r>
            <w:r>
              <w:rPr>
                <w:rFonts w:ascii="Times New Roman" w:eastAsia="宋体" w:hAnsi="Times New Roman" w:cs="宋体"/>
                <w:sz w:val="18"/>
                <w:szCs w:val="18"/>
              </w:rPr>
              <w:t>www.cninfo.com.cn</w:t>
            </w:r>
          </w:p>
        </w:tc>
      </w:tr>
    </w:tbl>
    <w:p w14:paraId="5B355BA7" w14:textId="77777777" w:rsidR="00113A51" w:rsidRDefault="00766EC7">
      <w:r>
        <w:br w:type="page"/>
      </w:r>
    </w:p>
    <w:p w14:paraId="21BE38AA" w14:textId="77777777" w:rsidR="00113A51" w:rsidRDefault="00766EC7">
      <w:pPr>
        <w:pStyle w:val="headingh1"/>
        <w:spacing w:before="340" w:after="330" w:line="773" w:lineRule="exact"/>
        <w:jc w:val="center"/>
        <w:rPr>
          <w:rFonts w:ascii="宋体" w:eastAsia="宋体" w:hAnsi="宋体" w:cs="宋体"/>
          <w:b/>
          <w:bCs/>
          <w:sz w:val="32"/>
          <w:szCs w:val="32"/>
        </w:rPr>
      </w:pPr>
      <w:bookmarkStart w:id="1" w:name="_Toc228122503"/>
      <w:r>
        <w:rPr>
          <w:rFonts w:ascii="宋体" w:eastAsia="宋体" w:hAnsi="宋体" w:cs="宋体"/>
          <w:b/>
          <w:bCs/>
          <w:sz w:val="32"/>
          <w:szCs w:val="32"/>
        </w:rPr>
        <w:t>第二节 公司简介和主要财务指标</w:t>
      </w:r>
      <w:bookmarkEnd w:id="1"/>
    </w:p>
    <w:p w14:paraId="09B37270" w14:textId="77777777" w:rsidR="00113A51" w:rsidRDefault="00766EC7">
      <w:pPr>
        <w:pStyle w:val="2"/>
        <w:spacing w:before="300" w:after="300" w:line="320" w:lineRule="exact"/>
        <w:rPr>
          <w:rFonts w:ascii="宋体" w:eastAsia="宋体" w:hAnsi="宋体" w:cs="宋体"/>
          <w:b/>
          <w:bCs/>
          <w:sz w:val="24"/>
          <w:szCs w:val="24"/>
        </w:rPr>
      </w:pPr>
      <w:bookmarkStart w:id="2" w:name="_Toc988891"/>
      <w:r>
        <w:rPr>
          <w:rFonts w:ascii="宋体" w:eastAsia="宋体" w:hAnsi="宋体" w:cs="宋体"/>
          <w:b/>
          <w:bCs/>
          <w:sz w:val="24"/>
          <w:szCs w:val="24"/>
        </w:rPr>
        <w:t>一、公司信息</w:t>
      </w:r>
      <w:bookmarkEnd w:id="2"/>
    </w:p>
    <w:tbl>
      <w:tblPr>
        <w:tblW w:w="9638" w:type="dxa"/>
        <w:tblInd w:w="108" w:type="dxa"/>
        <w:tblLayout w:type="fixed"/>
        <w:tblLook w:val="04A0" w:firstRow="1" w:lastRow="0" w:firstColumn="1" w:lastColumn="0" w:noHBand="0" w:noVBand="1"/>
      </w:tblPr>
      <w:tblGrid>
        <w:gridCol w:w="2693"/>
        <w:gridCol w:w="2126"/>
        <w:gridCol w:w="2410"/>
        <w:gridCol w:w="2409"/>
      </w:tblGrid>
      <w:tr w:rsidR="00C57E60" w14:paraId="42E8D42C"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4706475F"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股票简称</w:t>
            </w:r>
          </w:p>
        </w:tc>
        <w:tc>
          <w:tcPr>
            <w:tcW w:w="2126" w:type="dxa"/>
            <w:tcBorders>
              <w:top w:val="single" w:sz="2" w:space="0" w:color="auto"/>
              <w:left w:val="single" w:sz="2" w:space="0" w:color="auto"/>
              <w:bottom w:val="single" w:sz="2" w:space="0" w:color="auto"/>
              <w:right w:val="single" w:sz="2" w:space="0" w:color="auto"/>
            </w:tcBorders>
            <w:vAlign w:val="center"/>
          </w:tcPr>
          <w:p w14:paraId="75D4DFE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三诺生物</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2BCF3F2"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股票代码</w:t>
            </w:r>
          </w:p>
        </w:tc>
        <w:tc>
          <w:tcPr>
            <w:tcW w:w="2409" w:type="dxa"/>
            <w:tcBorders>
              <w:top w:val="single" w:sz="2" w:space="0" w:color="auto"/>
              <w:left w:val="single" w:sz="2" w:space="0" w:color="auto"/>
              <w:bottom w:val="single" w:sz="2" w:space="0" w:color="auto"/>
              <w:right w:val="single" w:sz="2" w:space="0" w:color="auto"/>
            </w:tcBorders>
            <w:vAlign w:val="center"/>
          </w:tcPr>
          <w:p w14:paraId="20ABBDC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300298</w:t>
            </w:r>
          </w:p>
        </w:tc>
      </w:tr>
      <w:tr w:rsidR="00C57E60" w14:paraId="6D54F152"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371FDEB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公司的中文名称</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13EDA24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三诺生物传感股份有限公司</w:t>
            </w:r>
          </w:p>
        </w:tc>
      </w:tr>
      <w:tr w:rsidR="00C57E60" w14:paraId="10CB208A"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F87524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公司的中文简称</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33CDF37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三诺生物</w:t>
            </w:r>
          </w:p>
        </w:tc>
      </w:tr>
      <w:tr w:rsidR="00C57E60" w14:paraId="743BE782"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0925CCFC"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公司的外文名称（如有）</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7AF2EC4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Sinocare Inc.</w:t>
            </w:r>
          </w:p>
        </w:tc>
      </w:tr>
      <w:tr w:rsidR="00C57E60" w14:paraId="1D2FA22D"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3F969B6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公司的外文名称缩写（如有）</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50FA030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Sinocare</w:t>
            </w:r>
          </w:p>
        </w:tc>
      </w:tr>
      <w:tr w:rsidR="00C57E60" w14:paraId="4A1EEB80"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11E670BA"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公司的法定代表人</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0A1379D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李少波</w:t>
            </w:r>
          </w:p>
        </w:tc>
      </w:tr>
      <w:tr w:rsidR="00C57E60" w14:paraId="130856E4"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408F2370"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注册地址</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70BDF6E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长沙高新技术产业开发区谷苑路</w:t>
            </w:r>
            <w:r>
              <w:rPr>
                <w:rFonts w:ascii="Times New Roman" w:eastAsia="宋体" w:hAnsi="Times New Roman" w:cs="宋体"/>
                <w:sz w:val="18"/>
                <w:szCs w:val="18"/>
              </w:rPr>
              <w:t>265</w:t>
            </w:r>
            <w:r>
              <w:rPr>
                <w:rFonts w:ascii="Times New Roman" w:eastAsia="宋体" w:hAnsi="Times New Roman" w:cs="宋体"/>
                <w:sz w:val="18"/>
                <w:szCs w:val="18"/>
              </w:rPr>
              <w:t>号</w:t>
            </w:r>
          </w:p>
        </w:tc>
      </w:tr>
      <w:tr w:rsidR="00C57E60" w14:paraId="344A806E"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0BECC406"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注册地址的邮政编码</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0C0557D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410205</w:t>
            </w:r>
          </w:p>
        </w:tc>
      </w:tr>
      <w:tr w:rsidR="00C57E60" w14:paraId="5CC39E6A"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3662286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公司注册地址历史变更情况</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452D7C4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2013</w:t>
            </w:r>
            <w:r>
              <w:rPr>
                <w:rFonts w:ascii="Times New Roman" w:eastAsia="宋体" w:hAnsi="Times New Roman" w:cs="宋体"/>
                <w:sz w:val="18"/>
                <w:szCs w:val="18"/>
              </w:rPr>
              <w:t>年</w:t>
            </w:r>
            <w:r>
              <w:rPr>
                <w:rFonts w:ascii="Times New Roman" w:eastAsia="宋体" w:hAnsi="Times New Roman" w:cs="宋体"/>
                <w:sz w:val="18"/>
                <w:szCs w:val="18"/>
              </w:rPr>
              <w:t>10</w:t>
            </w:r>
            <w:r>
              <w:rPr>
                <w:rFonts w:ascii="Times New Roman" w:eastAsia="宋体" w:hAnsi="Times New Roman" w:cs="宋体"/>
                <w:sz w:val="18"/>
                <w:szCs w:val="18"/>
              </w:rPr>
              <w:t>月</w:t>
            </w:r>
            <w:r>
              <w:rPr>
                <w:rFonts w:ascii="Times New Roman" w:eastAsia="宋体" w:hAnsi="Times New Roman" w:cs="宋体"/>
                <w:sz w:val="18"/>
                <w:szCs w:val="18"/>
              </w:rPr>
              <w:t>9</w:t>
            </w:r>
            <w:r>
              <w:rPr>
                <w:rFonts w:ascii="Times New Roman" w:eastAsia="宋体" w:hAnsi="Times New Roman" w:cs="宋体"/>
                <w:sz w:val="18"/>
                <w:szCs w:val="18"/>
              </w:rPr>
              <w:t>日，公司注册地址由长沙高新技术产业开发区</w:t>
            </w:r>
            <w:r>
              <w:rPr>
                <w:rFonts w:ascii="Times New Roman" w:eastAsia="宋体" w:hAnsi="Times New Roman" w:cs="宋体"/>
                <w:sz w:val="18"/>
                <w:szCs w:val="18"/>
              </w:rPr>
              <w:t>M0</w:t>
            </w:r>
            <w:r>
              <w:rPr>
                <w:rFonts w:ascii="Times New Roman" w:eastAsia="宋体" w:hAnsi="Times New Roman" w:cs="宋体"/>
                <w:sz w:val="18"/>
                <w:szCs w:val="18"/>
              </w:rPr>
              <w:t>栋北三楼变更为长沙高新技术产业开发区谷苑路</w:t>
            </w:r>
            <w:r>
              <w:rPr>
                <w:rFonts w:ascii="Times New Roman" w:eastAsia="宋体" w:hAnsi="Times New Roman" w:cs="宋体"/>
                <w:sz w:val="18"/>
                <w:szCs w:val="18"/>
              </w:rPr>
              <w:t>265</w:t>
            </w:r>
            <w:r>
              <w:rPr>
                <w:rFonts w:ascii="Times New Roman" w:eastAsia="宋体" w:hAnsi="Times New Roman" w:cs="宋体"/>
                <w:sz w:val="18"/>
                <w:szCs w:val="18"/>
              </w:rPr>
              <w:t>号</w:t>
            </w:r>
          </w:p>
        </w:tc>
      </w:tr>
      <w:tr w:rsidR="00C57E60" w14:paraId="5BA6E264"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486F156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办公地址</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0CF3468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长沙高新技术产业开发区谷苑路</w:t>
            </w:r>
            <w:r>
              <w:rPr>
                <w:rFonts w:ascii="Times New Roman" w:eastAsia="宋体" w:hAnsi="Times New Roman" w:cs="宋体"/>
                <w:sz w:val="18"/>
                <w:szCs w:val="18"/>
              </w:rPr>
              <w:t>265</w:t>
            </w:r>
            <w:r>
              <w:rPr>
                <w:rFonts w:ascii="Times New Roman" w:eastAsia="宋体" w:hAnsi="Times New Roman" w:cs="宋体"/>
                <w:sz w:val="18"/>
                <w:szCs w:val="18"/>
              </w:rPr>
              <w:t>号</w:t>
            </w:r>
          </w:p>
        </w:tc>
      </w:tr>
      <w:tr w:rsidR="00C57E60" w14:paraId="609E7EBA"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445ACA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办公地址的邮政编码</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2FAE58C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410205</w:t>
            </w:r>
          </w:p>
        </w:tc>
      </w:tr>
      <w:tr w:rsidR="00C57E60" w14:paraId="6B0D54AD"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7832C27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公司网址</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61BCA5F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http://www.sinocare.com</w:t>
            </w:r>
          </w:p>
        </w:tc>
      </w:tr>
      <w:tr w:rsidR="00C57E60" w14:paraId="50126F16"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98D62B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电子信箱</w:t>
            </w:r>
          </w:p>
        </w:tc>
        <w:tc>
          <w:tcPr>
            <w:tcW w:w="6945" w:type="dxa"/>
            <w:gridSpan w:val="3"/>
            <w:tcBorders>
              <w:top w:val="single" w:sz="2" w:space="0" w:color="auto"/>
              <w:left w:val="single" w:sz="2" w:space="0" w:color="auto"/>
              <w:bottom w:val="single" w:sz="2" w:space="0" w:color="auto"/>
              <w:right w:val="single" w:sz="2" w:space="0" w:color="auto"/>
            </w:tcBorders>
            <w:vAlign w:val="center"/>
          </w:tcPr>
          <w:p w14:paraId="5BA0D31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mail@sinocare.com</w:t>
            </w:r>
          </w:p>
        </w:tc>
      </w:tr>
    </w:tbl>
    <w:p w14:paraId="39B15326" w14:textId="77777777" w:rsidR="00113A51" w:rsidRDefault="00766EC7">
      <w:pPr>
        <w:pStyle w:val="2"/>
        <w:spacing w:before="300" w:after="300" w:line="320" w:lineRule="exact"/>
        <w:rPr>
          <w:rFonts w:ascii="宋体" w:eastAsia="宋体" w:hAnsi="宋体" w:cs="宋体"/>
          <w:b/>
          <w:bCs/>
          <w:sz w:val="24"/>
          <w:szCs w:val="24"/>
        </w:rPr>
      </w:pPr>
      <w:bookmarkStart w:id="3" w:name="_Toc988892"/>
      <w:r>
        <w:rPr>
          <w:rFonts w:ascii="宋体" w:eastAsia="宋体" w:hAnsi="宋体" w:cs="宋体"/>
          <w:b/>
          <w:bCs/>
          <w:sz w:val="24"/>
          <w:szCs w:val="24"/>
        </w:rPr>
        <w:t>二、联系人和联系方式</w:t>
      </w:r>
      <w:bookmarkEnd w:id="3"/>
    </w:p>
    <w:tbl>
      <w:tblPr>
        <w:tblW w:w="9633" w:type="dxa"/>
        <w:tblInd w:w="108" w:type="dxa"/>
        <w:tblLayout w:type="fixed"/>
        <w:tblLook w:val="04A0" w:firstRow="1" w:lastRow="0" w:firstColumn="1" w:lastColumn="0" w:noHBand="0" w:noVBand="1"/>
      </w:tblPr>
      <w:tblGrid>
        <w:gridCol w:w="2693"/>
        <w:gridCol w:w="3470"/>
        <w:gridCol w:w="3470"/>
      </w:tblGrid>
      <w:tr w:rsidR="00C57E60" w14:paraId="22C0405C"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1A0C0915" w14:textId="77777777" w:rsidR="00113A51" w:rsidRDefault="00113A51">
            <w:pPr>
              <w:spacing w:line="360" w:lineRule="auto"/>
              <w:rPr>
                <w:rFonts w:ascii="Times New Roman" w:eastAsia="宋体" w:hAnsi="Times New Roman"/>
                <w:szCs w:val="18"/>
              </w:rPr>
            </w:pPr>
          </w:p>
        </w:tc>
        <w:tc>
          <w:tcPr>
            <w:tcW w:w="3470" w:type="dxa"/>
            <w:tcBorders>
              <w:top w:val="single" w:sz="2" w:space="0" w:color="auto"/>
              <w:left w:val="single" w:sz="2" w:space="0" w:color="auto"/>
              <w:bottom w:val="single" w:sz="2" w:space="0" w:color="auto"/>
              <w:right w:val="single" w:sz="2" w:space="0" w:color="auto"/>
            </w:tcBorders>
            <w:shd w:val="clear" w:color="auto" w:fill="D3D3D3"/>
            <w:vAlign w:val="center"/>
          </w:tcPr>
          <w:p w14:paraId="7D361B8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董事会秘书</w:t>
            </w:r>
          </w:p>
        </w:tc>
        <w:tc>
          <w:tcPr>
            <w:tcW w:w="3470" w:type="dxa"/>
            <w:tcBorders>
              <w:top w:val="single" w:sz="2" w:space="0" w:color="auto"/>
              <w:left w:val="single" w:sz="2" w:space="0" w:color="auto"/>
              <w:bottom w:val="single" w:sz="2" w:space="0" w:color="auto"/>
              <w:right w:val="single" w:sz="2" w:space="0" w:color="auto"/>
            </w:tcBorders>
            <w:shd w:val="clear" w:color="auto" w:fill="D3D3D3"/>
            <w:vAlign w:val="center"/>
          </w:tcPr>
          <w:p w14:paraId="47A0294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证券事务代表</w:t>
            </w:r>
          </w:p>
        </w:tc>
      </w:tr>
      <w:tr w:rsidR="00C57E60" w14:paraId="5F08DFF1"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72FEC01A"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姓名</w:t>
            </w:r>
          </w:p>
        </w:tc>
        <w:tc>
          <w:tcPr>
            <w:tcW w:w="3470" w:type="dxa"/>
            <w:tcBorders>
              <w:top w:val="single" w:sz="2" w:space="0" w:color="auto"/>
              <w:left w:val="single" w:sz="2" w:space="0" w:color="auto"/>
              <w:bottom w:val="single" w:sz="2" w:space="0" w:color="auto"/>
              <w:right w:val="single" w:sz="2" w:space="0" w:color="auto"/>
            </w:tcBorders>
            <w:vAlign w:val="center"/>
          </w:tcPr>
          <w:p w14:paraId="0F6F0F7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郑霁耘</w:t>
            </w:r>
          </w:p>
        </w:tc>
        <w:tc>
          <w:tcPr>
            <w:tcW w:w="3470" w:type="dxa"/>
            <w:tcBorders>
              <w:top w:val="single" w:sz="2" w:space="0" w:color="auto"/>
              <w:left w:val="single" w:sz="2" w:space="0" w:color="auto"/>
              <w:bottom w:val="single" w:sz="2" w:space="0" w:color="auto"/>
              <w:right w:val="single" w:sz="2" w:space="0" w:color="auto"/>
            </w:tcBorders>
            <w:vAlign w:val="center"/>
          </w:tcPr>
          <w:p w14:paraId="5B0F3FE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许卉雨</w:t>
            </w:r>
          </w:p>
        </w:tc>
      </w:tr>
      <w:tr w:rsidR="00C57E60" w14:paraId="505CAFA2"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26493AE"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联系地址</w:t>
            </w:r>
          </w:p>
        </w:tc>
        <w:tc>
          <w:tcPr>
            <w:tcW w:w="3470" w:type="dxa"/>
            <w:tcBorders>
              <w:top w:val="single" w:sz="2" w:space="0" w:color="auto"/>
              <w:left w:val="single" w:sz="2" w:space="0" w:color="auto"/>
              <w:bottom w:val="single" w:sz="2" w:space="0" w:color="auto"/>
              <w:right w:val="single" w:sz="2" w:space="0" w:color="auto"/>
            </w:tcBorders>
            <w:vAlign w:val="center"/>
          </w:tcPr>
          <w:p w14:paraId="3C201B0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长沙高新技术产业开发区谷苑路</w:t>
            </w:r>
            <w:r>
              <w:rPr>
                <w:rFonts w:ascii="Times New Roman" w:eastAsia="宋体" w:hAnsi="Times New Roman" w:cs="宋体"/>
                <w:sz w:val="18"/>
                <w:szCs w:val="18"/>
              </w:rPr>
              <w:t>265</w:t>
            </w:r>
            <w:r>
              <w:rPr>
                <w:rFonts w:ascii="Times New Roman" w:eastAsia="宋体" w:hAnsi="Times New Roman" w:cs="宋体"/>
                <w:sz w:val="18"/>
                <w:szCs w:val="18"/>
              </w:rPr>
              <w:t>号</w:t>
            </w:r>
          </w:p>
        </w:tc>
        <w:tc>
          <w:tcPr>
            <w:tcW w:w="3470" w:type="dxa"/>
            <w:tcBorders>
              <w:top w:val="single" w:sz="2" w:space="0" w:color="auto"/>
              <w:left w:val="single" w:sz="2" w:space="0" w:color="auto"/>
              <w:bottom w:val="single" w:sz="2" w:space="0" w:color="auto"/>
              <w:right w:val="single" w:sz="2" w:space="0" w:color="auto"/>
            </w:tcBorders>
            <w:vAlign w:val="center"/>
          </w:tcPr>
          <w:p w14:paraId="25996DC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长沙高新技术产业开发区谷苑路</w:t>
            </w:r>
            <w:r>
              <w:rPr>
                <w:rFonts w:ascii="Times New Roman" w:eastAsia="宋体" w:hAnsi="Times New Roman" w:cs="宋体"/>
                <w:sz w:val="18"/>
                <w:szCs w:val="18"/>
              </w:rPr>
              <w:t>265</w:t>
            </w:r>
            <w:r>
              <w:rPr>
                <w:rFonts w:ascii="Times New Roman" w:eastAsia="宋体" w:hAnsi="Times New Roman" w:cs="宋体"/>
                <w:sz w:val="18"/>
                <w:szCs w:val="18"/>
              </w:rPr>
              <w:t>号</w:t>
            </w:r>
          </w:p>
        </w:tc>
      </w:tr>
      <w:tr w:rsidR="00C57E60" w14:paraId="10486B64"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0CCABF7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电话</w:t>
            </w:r>
          </w:p>
        </w:tc>
        <w:tc>
          <w:tcPr>
            <w:tcW w:w="3470" w:type="dxa"/>
            <w:tcBorders>
              <w:top w:val="single" w:sz="2" w:space="0" w:color="auto"/>
              <w:left w:val="single" w:sz="2" w:space="0" w:color="auto"/>
              <w:bottom w:val="single" w:sz="2" w:space="0" w:color="auto"/>
              <w:right w:val="single" w:sz="2" w:space="0" w:color="auto"/>
            </w:tcBorders>
            <w:vAlign w:val="center"/>
          </w:tcPr>
          <w:p w14:paraId="3F9E187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0731-8993 5529</w:t>
            </w:r>
          </w:p>
        </w:tc>
        <w:tc>
          <w:tcPr>
            <w:tcW w:w="3470" w:type="dxa"/>
            <w:tcBorders>
              <w:top w:val="single" w:sz="2" w:space="0" w:color="auto"/>
              <w:left w:val="single" w:sz="2" w:space="0" w:color="auto"/>
              <w:bottom w:val="single" w:sz="2" w:space="0" w:color="auto"/>
              <w:right w:val="single" w:sz="2" w:space="0" w:color="auto"/>
            </w:tcBorders>
            <w:vAlign w:val="center"/>
          </w:tcPr>
          <w:p w14:paraId="3B000EF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0731-8993 5529</w:t>
            </w:r>
          </w:p>
        </w:tc>
      </w:tr>
      <w:tr w:rsidR="00C57E60" w14:paraId="26C9F298"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18B007AE"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传真</w:t>
            </w:r>
          </w:p>
        </w:tc>
        <w:tc>
          <w:tcPr>
            <w:tcW w:w="3470" w:type="dxa"/>
            <w:tcBorders>
              <w:top w:val="single" w:sz="2" w:space="0" w:color="auto"/>
              <w:left w:val="single" w:sz="2" w:space="0" w:color="auto"/>
              <w:bottom w:val="single" w:sz="2" w:space="0" w:color="auto"/>
              <w:right w:val="single" w:sz="2" w:space="0" w:color="auto"/>
            </w:tcBorders>
            <w:vAlign w:val="center"/>
          </w:tcPr>
          <w:p w14:paraId="1116E0B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0731-8993 5530</w:t>
            </w:r>
          </w:p>
        </w:tc>
        <w:tc>
          <w:tcPr>
            <w:tcW w:w="3470" w:type="dxa"/>
            <w:tcBorders>
              <w:top w:val="single" w:sz="2" w:space="0" w:color="auto"/>
              <w:left w:val="single" w:sz="2" w:space="0" w:color="auto"/>
              <w:bottom w:val="single" w:sz="2" w:space="0" w:color="auto"/>
              <w:right w:val="single" w:sz="2" w:space="0" w:color="auto"/>
            </w:tcBorders>
            <w:vAlign w:val="center"/>
          </w:tcPr>
          <w:p w14:paraId="35FA3AD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0731-8993 5530</w:t>
            </w:r>
          </w:p>
        </w:tc>
      </w:tr>
      <w:tr w:rsidR="00C57E60" w14:paraId="57EF34D9"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52C772DC"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电子信箱</w:t>
            </w:r>
          </w:p>
        </w:tc>
        <w:tc>
          <w:tcPr>
            <w:tcW w:w="3470" w:type="dxa"/>
            <w:tcBorders>
              <w:top w:val="single" w:sz="2" w:space="0" w:color="auto"/>
              <w:left w:val="single" w:sz="2" w:space="0" w:color="auto"/>
              <w:bottom w:val="single" w:sz="2" w:space="0" w:color="auto"/>
              <w:right w:val="single" w:sz="2" w:space="0" w:color="auto"/>
            </w:tcBorders>
            <w:vAlign w:val="center"/>
          </w:tcPr>
          <w:p w14:paraId="7C38425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investor@sinocare.com</w:t>
            </w:r>
          </w:p>
        </w:tc>
        <w:tc>
          <w:tcPr>
            <w:tcW w:w="3470" w:type="dxa"/>
            <w:tcBorders>
              <w:top w:val="single" w:sz="2" w:space="0" w:color="auto"/>
              <w:left w:val="single" w:sz="2" w:space="0" w:color="auto"/>
              <w:bottom w:val="single" w:sz="2" w:space="0" w:color="auto"/>
              <w:right w:val="single" w:sz="2" w:space="0" w:color="auto"/>
            </w:tcBorders>
            <w:vAlign w:val="center"/>
          </w:tcPr>
          <w:p w14:paraId="76591EE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investor@sinocare.com</w:t>
            </w:r>
          </w:p>
        </w:tc>
      </w:tr>
    </w:tbl>
    <w:p w14:paraId="4093C177" w14:textId="77777777" w:rsidR="00113A51" w:rsidRDefault="00766EC7">
      <w:pPr>
        <w:pStyle w:val="2"/>
        <w:spacing w:before="300" w:after="300" w:line="320" w:lineRule="exact"/>
        <w:rPr>
          <w:rFonts w:ascii="宋体" w:eastAsia="宋体" w:hAnsi="宋体" w:cs="宋体"/>
          <w:b/>
          <w:bCs/>
          <w:sz w:val="24"/>
          <w:szCs w:val="24"/>
        </w:rPr>
      </w:pPr>
      <w:bookmarkStart w:id="4" w:name="_Toc988893"/>
      <w:r>
        <w:rPr>
          <w:rFonts w:ascii="宋体" w:eastAsia="宋体" w:hAnsi="宋体" w:cs="宋体"/>
          <w:b/>
          <w:bCs/>
          <w:sz w:val="24"/>
          <w:szCs w:val="24"/>
        </w:rPr>
        <w:t>三、信息披露及备置地点</w:t>
      </w:r>
      <w:bookmarkEnd w:id="4"/>
    </w:p>
    <w:tbl>
      <w:tblPr>
        <w:tblW w:w="9631" w:type="dxa"/>
        <w:tblInd w:w="108" w:type="dxa"/>
        <w:tblLayout w:type="fixed"/>
        <w:tblLook w:val="04A0" w:firstRow="1" w:lastRow="0" w:firstColumn="1" w:lastColumn="0" w:noHBand="0" w:noVBand="1"/>
      </w:tblPr>
      <w:tblGrid>
        <w:gridCol w:w="3260"/>
        <w:gridCol w:w="6371"/>
      </w:tblGrid>
      <w:tr w:rsidR="00C57E60" w14:paraId="29A3B14F"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638740E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公司披露年度报告的证券交易所网站</w:t>
            </w:r>
          </w:p>
        </w:tc>
        <w:tc>
          <w:tcPr>
            <w:tcW w:w="6371" w:type="dxa"/>
            <w:tcBorders>
              <w:top w:val="single" w:sz="2" w:space="0" w:color="auto"/>
              <w:left w:val="single" w:sz="2" w:space="0" w:color="auto"/>
              <w:bottom w:val="single" w:sz="2" w:space="0" w:color="auto"/>
              <w:right w:val="single" w:sz="2" w:space="0" w:color="auto"/>
            </w:tcBorders>
            <w:vAlign w:val="center"/>
          </w:tcPr>
          <w:p w14:paraId="53E8D4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深圳证券交易所</w:t>
            </w:r>
            <w:r>
              <w:rPr>
                <w:rFonts w:ascii="Times New Roman" w:eastAsia="宋体" w:hAnsi="Times New Roman" w:cs="宋体"/>
                <w:sz w:val="18"/>
                <w:szCs w:val="18"/>
              </w:rPr>
              <w:t xml:space="preserve"> http://www.szse.cn</w:t>
            </w:r>
          </w:p>
        </w:tc>
      </w:tr>
      <w:tr w:rsidR="00C57E60" w14:paraId="35B77C77"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7C279026"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公司披露年度报告的媒体名称及网址</w:t>
            </w:r>
          </w:p>
        </w:tc>
        <w:tc>
          <w:tcPr>
            <w:tcW w:w="6371" w:type="dxa"/>
            <w:tcBorders>
              <w:top w:val="single" w:sz="2" w:space="0" w:color="auto"/>
              <w:left w:val="single" w:sz="2" w:space="0" w:color="auto"/>
              <w:bottom w:val="single" w:sz="2" w:space="0" w:color="auto"/>
              <w:right w:val="single" w:sz="2" w:space="0" w:color="auto"/>
            </w:tcBorders>
            <w:vAlign w:val="center"/>
          </w:tcPr>
          <w:p w14:paraId="389BE4F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《证券时报》《中国证券报》《上海证券报》《证券日报》</w:t>
            </w:r>
          </w:p>
          <w:p w14:paraId="496A5E9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巨潮资讯网</w:t>
            </w:r>
            <w:r>
              <w:rPr>
                <w:rFonts w:ascii="Times New Roman" w:eastAsia="宋体" w:hAnsi="Times New Roman" w:cs="宋体"/>
                <w:sz w:val="18"/>
                <w:szCs w:val="18"/>
              </w:rPr>
              <w:t xml:space="preserve"> http://www.cninfo.com.cn</w:t>
            </w:r>
          </w:p>
        </w:tc>
      </w:tr>
      <w:tr w:rsidR="00C57E60" w14:paraId="26DD607A"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7FB9FC8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公司年度报告备置地点</w:t>
            </w:r>
          </w:p>
        </w:tc>
        <w:tc>
          <w:tcPr>
            <w:tcW w:w="6371" w:type="dxa"/>
            <w:tcBorders>
              <w:top w:val="single" w:sz="2" w:space="0" w:color="auto"/>
              <w:left w:val="single" w:sz="2" w:space="0" w:color="auto"/>
              <w:bottom w:val="single" w:sz="2" w:space="0" w:color="auto"/>
              <w:right w:val="single" w:sz="2" w:space="0" w:color="auto"/>
            </w:tcBorders>
            <w:vAlign w:val="center"/>
          </w:tcPr>
          <w:p w14:paraId="1CBF561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公司投资者关系部</w:t>
            </w:r>
          </w:p>
        </w:tc>
      </w:tr>
    </w:tbl>
    <w:p w14:paraId="2881DEB3" w14:textId="77777777" w:rsidR="00113A51" w:rsidRDefault="00766EC7">
      <w:pPr>
        <w:pStyle w:val="2"/>
        <w:spacing w:before="300" w:after="300" w:line="320" w:lineRule="exact"/>
        <w:rPr>
          <w:rFonts w:ascii="宋体" w:eastAsia="宋体" w:hAnsi="宋体" w:cs="宋体"/>
          <w:b/>
          <w:bCs/>
          <w:sz w:val="24"/>
          <w:szCs w:val="24"/>
        </w:rPr>
      </w:pPr>
      <w:bookmarkStart w:id="5" w:name="_Toc988894"/>
      <w:r>
        <w:rPr>
          <w:rFonts w:ascii="宋体" w:eastAsia="宋体" w:hAnsi="宋体" w:cs="宋体"/>
          <w:b/>
          <w:bCs/>
          <w:sz w:val="24"/>
          <w:szCs w:val="24"/>
        </w:rPr>
        <w:t>四、其他有关资料</w:t>
      </w:r>
      <w:bookmarkEnd w:id="5"/>
    </w:p>
    <w:p w14:paraId="0F5E4500"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公司聘请的会计师事务所</w:t>
      </w:r>
    </w:p>
    <w:tbl>
      <w:tblPr>
        <w:tblW w:w="9639" w:type="dxa"/>
        <w:tblInd w:w="108" w:type="dxa"/>
        <w:tblLayout w:type="fixed"/>
        <w:tblLook w:val="04A0" w:firstRow="1" w:lastRow="0" w:firstColumn="1" w:lastColumn="0" w:noHBand="0" w:noVBand="1"/>
      </w:tblPr>
      <w:tblGrid>
        <w:gridCol w:w="3257"/>
        <w:gridCol w:w="6382"/>
      </w:tblGrid>
      <w:tr w:rsidR="00C57E60" w14:paraId="25BD4BFC" w14:textId="77777777">
        <w:trPr>
          <w:trHeight w:val="240"/>
        </w:trPr>
        <w:tc>
          <w:tcPr>
            <w:tcW w:w="3257" w:type="dxa"/>
            <w:tcBorders>
              <w:top w:val="single" w:sz="2" w:space="0" w:color="auto"/>
              <w:left w:val="single" w:sz="2" w:space="0" w:color="auto"/>
              <w:bottom w:val="single" w:sz="2" w:space="0" w:color="auto"/>
              <w:right w:val="single" w:sz="2" w:space="0" w:color="auto"/>
            </w:tcBorders>
            <w:shd w:val="clear" w:color="auto" w:fill="D3D3D3"/>
            <w:vAlign w:val="center"/>
          </w:tcPr>
          <w:p w14:paraId="3393DC4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会计师事务所名称</w:t>
            </w:r>
          </w:p>
        </w:tc>
        <w:tc>
          <w:tcPr>
            <w:tcW w:w="6382" w:type="dxa"/>
            <w:tcBorders>
              <w:top w:val="single" w:sz="2" w:space="0" w:color="auto"/>
              <w:left w:val="single" w:sz="2" w:space="0" w:color="auto"/>
              <w:bottom w:val="single" w:sz="2" w:space="0" w:color="auto"/>
              <w:right w:val="single" w:sz="2" w:space="0" w:color="auto"/>
            </w:tcBorders>
            <w:vAlign w:val="center"/>
          </w:tcPr>
          <w:p w14:paraId="09DA684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信永中和会计师事务所（特殊普通合伙）</w:t>
            </w:r>
          </w:p>
        </w:tc>
      </w:tr>
      <w:tr w:rsidR="00C57E60" w14:paraId="556CE36A" w14:textId="77777777">
        <w:trPr>
          <w:trHeight w:val="240"/>
        </w:trPr>
        <w:tc>
          <w:tcPr>
            <w:tcW w:w="3257" w:type="dxa"/>
            <w:tcBorders>
              <w:top w:val="single" w:sz="2" w:space="0" w:color="auto"/>
              <w:left w:val="single" w:sz="2" w:space="0" w:color="auto"/>
              <w:bottom w:val="single" w:sz="2" w:space="0" w:color="auto"/>
              <w:right w:val="single" w:sz="2" w:space="0" w:color="auto"/>
            </w:tcBorders>
            <w:shd w:val="clear" w:color="auto" w:fill="D3D3D3"/>
            <w:vAlign w:val="center"/>
          </w:tcPr>
          <w:p w14:paraId="3CCCAE20"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会计师事务所办公地址</w:t>
            </w:r>
          </w:p>
        </w:tc>
        <w:tc>
          <w:tcPr>
            <w:tcW w:w="6382" w:type="dxa"/>
            <w:tcBorders>
              <w:top w:val="single" w:sz="2" w:space="0" w:color="auto"/>
              <w:left w:val="single" w:sz="2" w:space="0" w:color="auto"/>
              <w:bottom w:val="single" w:sz="2" w:space="0" w:color="auto"/>
              <w:right w:val="single" w:sz="2" w:space="0" w:color="auto"/>
            </w:tcBorders>
            <w:vAlign w:val="center"/>
          </w:tcPr>
          <w:p w14:paraId="19EB0CE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北京市东城区朝阳门北大街</w:t>
            </w:r>
            <w:r>
              <w:rPr>
                <w:rFonts w:ascii="Times New Roman" w:eastAsia="宋体" w:hAnsi="Times New Roman" w:cs="宋体"/>
                <w:sz w:val="18"/>
                <w:szCs w:val="18"/>
              </w:rPr>
              <w:t>8</w:t>
            </w:r>
            <w:r>
              <w:rPr>
                <w:rFonts w:ascii="Times New Roman" w:eastAsia="宋体" w:hAnsi="Times New Roman" w:cs="宋体"/>
                <w:sz w:val="18"/>
                <w:szCs w:val="18"/>
              </w:rPr>
              <w:t>号富华大厦</w:t>
            </w:r>
            <w:r>
              <w:rPr>
                <w:rFonts w:ascii="Times New Roman" w:eastAsia="宋体" w:hAnsi="Times New Roman" w:cs="宋体"/>
                <w:sz w:val="18"/>
                <w:szCs w:val="18"/>
              </w:rPr>
              <w:t>A</w:t>
            </w:r>
            <w:r>
              <w:rPr>
                <w:rFonts w:ascii="Times New Roman" w:eastAsia="宋体" w:hAnsi="Times New Roman" w:cs="宋体"/>
                <w:sz w:val="18"/>
                <w:szCs w:val="18"/>
              </w:rPr>
              <w:t>座</w:t>
            </w:r>
            <w:r>
              <w:rPr>
                <w:rFonts w:ascii="Times New Roman" w:eastAsia="宋体" w:hAnsi="Times New Roman" w:cs="宋体"/>
                <w:sz w:val="18"/>
                <w:szCs w:val="18"/>
              </w:rPr>
              <w:t>8</w:t>
            </w:r>
            <w:r>
              <w:rPr>
                <w:rFonts w:ascii="Times New Roman" w:eastAsia="宋体" w:hAnsi="Times New Roman" w:cs="宋体"/>
                <w:sz w:val="18"/>
                <w:szCs w:val="18"/>
              </w:rPr>
              <w:t>层</w:t>
            </w:r>
          </w:p>
        </w:tc>
      </w:tr>
      <w:tr w:rsidR="00C57E60" w14:paraId="0C11A8CD" w14:textId="77777777">
        <w:trPr>
          <w:trHeight w:val="240"/>
        </w:trPr>
        <w:tc>
          <w:tcPr>
            <w:tcW w:w="3257" w:type="dxa"/>
            <w:tcBorders>
              <w:top w:val="single" w:sz="2" w:space="0" w:color="auto"/>
              <w:left w:val="single" w:sz="2" w:space="0" w:color="auto"/>
              <w:bottom w:val="single" w:sz="2" w:space="0" w:color="auto"/>
              <w:right w:val="single" w:sz="2" w:space="0" w:color="auto"/>
            </w:tcBorders>
            <w:shd w:val="clear" w:color="auto" w:fill="D3D3D3"/>
            <w:vAlign w:val="center"/>
          </w:tcPr>
          <w:p w14:paraId="3ABE2F1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签字会计师姓名</w:t>
            </w:r>
          </w:p>
        </w:tc>
        <w:tc>
          <w:tcPr>
            <w:tcW w:w="6382" w:type="dxa"/>
            <w:tcBorders>
              <w:top w:val="single" w:sz="2" w:space="0" w:color="auto"/>
              <w:left w:val="single" w:sz="2" w:space="0" w:color="auto"/>
              <w:bottom w:val="single" w:sz="2" w:space="0" w:color="auto"/>
              <w:right w:val="single" w:sz="2" w:space="0" w:color="auto"/>
            </w:tcBorders>
            <w:vAlign w:val="center"/>
          </w:tcPr>
          <w:p w14:paraId="48B412B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蒋盛森、潘钊</w:t>
            </w:r>
          </w:p>
        </w:tc>
      </w:tr>
    </w:tbl>
    <w:p w14:paraId="3A99430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公司聘请的报告期内履行持续督导职责的保荐机构</w:t>
      </w:r>
    </w:p>
    <w:p w14:paraId="48DDF59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3085857"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公司聘请的报告期内履行持续督导职责的财务顾问</w:t>
      </w:r>
    </w:p>
    <w:p w14:paraId="080E408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671C512" w14:textId="77777777" w:rsidR="00113A51" w:rsidRDefault="00766EC7">
      <w:pPr>
        <w:pStyle w:val="2"/>
        <w:spacing w:before="300" w:after="300" w:line="320" w:lineRule="exact"/>
        <w:rPr>
          <w:rFonts w:ascii="宋体" w:eastAsia="宋体" w:hAnsi="宋体" w:cs="宋体"/>
          <w:b/>
          <w:bCs/>
          <w:sz w:val="24"/>
          <w:szCs w:val="24"/>
        </w:rPr>
      </w:pPr>
      <w:bookmarkStart w:id="6" w:name="_Toc988895"/>
      <w:r>
        <w:rPr>
          <w:rFonts w:ascii="宋体" w:eastAsia="宋体" w:hAnsi="宋体" w:cs="宋体"/>
          <w:b/>
          <w:bCs/>
          <w:sz w:val="24"/>
          <w:szCs w:val="24"/>
        </w:rPr>
        <w:t>五、主要会计数据和财务指标</w:t>
      </w:r>
      <w:bookmarkEnd w:id="6"/>
    </w:p>
    <w:p w14:paraId="7BAF6D46"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公司是否需追溯调整或重述以前年度会计数据</w:t>
      </w:r>
    </w:p>
    <w:p w14:paraId="3D657DD6"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tbl>
      <w:tblPr>
        <w:tblW w:w="9638" w:type="dxa"/>
        <w:tblInd w:w="108" w:type="dxa"/>
        <w:tblLayout w:type="fixed"/>
        <w:tblLook w:val="04A0" w:firstRow="1" w:lastRow="0" w:firstColumn="1" w:lastColumn="0" w:noHBand="0" w:noVBand="1"/>
      </w:tblPr>
      <w:tblGrid>
        <w:gridCol w:w="3118"/>
        <w:gridCol w:w="1559"/>
        <w:gridCol w:w="1559"/>
        <w:gridCol w:w="1843"/>
        <w:gridCol w:w="1559"/>
      </w:tblGrid>
      <w:tr w:rsidR="00C57E60" w14:paraId="45C6CE12" w14:textId="7777777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13D0B2E4" w14:textId="77777777" w:rsidR="00113A51" w:rsidRDefault="00113A51">
            <w:pPr>
              <w:spacing w:line="360" w:lineRule="auto"/>
              <w:rPr>
                <w:rFonts w:ascii="Times New Roman" w:eastAsia="宋体" w:hAnsi="Times New Roman"/>
                <w:szCs w:val="18"/>
                <w:shd w:val="clear" w:color="FFFFFF" w:fill="D9D9D9"/>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17B3D90A"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2025</w:t>
            </w:r>
            <w:r>
              <w:rPr>
                <w:rFonts w:ascii="Times New Roman" w:eastAsia="宋体" w:hAnsi="Times New Roman" w:cs="宋体"/>
                <w:sz w:val="18"/>
                <w:szCs w:val="18"/>
                <w:shd w:val="clear" w:color="FFFFFF" w:fill="D9D9D9"/>
              </w:rPr>
              <w:t>年</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98E71E3"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2024</w:t>
            </w:r>
            <w:r>
              <w:rPr>
                <w:rFonts w:ascii="Times New Roman" w:eastAsia="宋体" w:hAnsi="Times New Roman" w:cs="宋体"/>
                <w:sz w:val="18"/>
                <w:szCs w:val="18"/>
                <w:shd w:val="clear" w:color="FFFFFF" w:fill="D9D9D9"/>
              </w:rPr>
              <w:t>年</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59F3E141"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本年比上年增减</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479E4FDA"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2023</w:t>
            </w:r>
            <w:r>
              <w:rPr>
                <w:rFonts w:ascii="Times New Roman" w:eastAsia="宋体" w:hAnsi="Times New Roman" w:cs="宋体"/>
                <w:sz w:val="18"/>
                <w:szCs w:val="18"/>
                <w:shd w:val="clear" w:color="FFFFFF" w:fill="D9D9D9"/>
              </w:rPr>
              <w:t>年</w:t>
            </w:r>
          </w:p>
        </w:tc>
      </w:tr>
      <w:tr w:rsidR="00C57E60" w14:paraId="010465EA"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24074A1A"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营业收入（元）</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4E7274C"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4,659,335,913.50</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4CE3354"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4,443,123,570.61</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A18B3BD"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4.87%</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3AEA0A"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4,058,786,045.41</w:t>
            </w:r>
          </w:p>
        </w:tc>
      </w:tr>
      <w:tr w:rsidR="00C57E60" w14:paraId="75E406C1"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38A86F00"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归属于上市公司股东的净利润（元）</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80A2C41" w14:textId="35C304B0" w:rsidR="00113A51" w:rsidRPr="00766EC7" w:rsidRDefault="005941BE">
            <w:pPr>
              <w:spacing w:line="360" w:lineRule="auto"/>
              <w:jc w:val="right"/>
              <w:rPr>
                <w:rFonts w:ascii="Times New Roman" w:eastAsia="宋体" w:hAnsi="Times New Roman" w:cs="宋体"/>
                <w:sz w:val="18"/>
                <w:szCs w:val="18"/>
              </w:rPr>
            </w:pPr>
            <w:r w:rsidRPr="005941BE">
              <w:rPr>
                <w:rFonts w:ascii="Times New Roman" w:eastAsia="宋体" w:hAnsi="Times New Roman" w:cs="宋体"/>
                <w:sz w:val="18"/>
                <w:szCs w:val="18"/>
              </w:rPr>
              <w:t>92,648,858.69</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6026905"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326,290,993.05</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E35C9A6" w14:textId="3BA6CD63"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w:t>
            </w:r>
            <w:r w:rsidR="005941BE" w:rsidRPr="005941BE">
              <w:rPr>
                <w:rFonts w:ascii="Times New Roman" w:eastAsia="宋体" w:hAnsi="Times New Roman" w:cs="宋体"/>
                <w:sz w:val="18"/>
                <w:szCs w:val="18"/>
              </w:rPr>
              <w:t>71.61</w:t>
            </w:r>
            <w:r w:rsidRPr="00766EC7">
              <w:rPr>
                <w:rFonts w:ascii="Times New Roman" w:eastAsia="宋体" w:hAnsi="Times New Roman" w:cs="宋体"/>
                <w:sz w:val="18"/>
                <w:szCs w:val="18"/>
              </w:rPr>
              <w:t>%</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557AFE1"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284,397,911.89</w:t>
            </w:r>
          </w:p>
        </w:tc>
      </w:tr>
      <w:tr w:rsidR="00C57E60" w14:paraId="1538729F"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0CB931F9"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归属于上市公司股东的扣除非经常性损益的净利润（元）</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AC34352" w14:textId="1FD8EE66" w:rsidR="00113A51" w:rsidRPr="00766EC7" w:rsidRDefault="005941BE">
            <w:pPr>
              <w:spacing w:line="360" w:lineRule="auto"/>
              <w:jc w:val="right"/>
              <w:rPr>
                <w:rFonts w:ascii="Times New Roman" w:eastAsia="宋体" w:hAnsi="Times New Roman" w:cs="宋体"/>
                <w:sz w:val="18"/>
                <w:szCs w:val="18"/>
              </w:rPr>
            </w:pPr>
            <w:r w:rsidRPr="005941BE">
              <w:rPr>
                <w:rFonts w:ascii="Times New Roman" w:eastAsia="宋体" w:hAnsi="Times New Roman" w:cs="宋体"/>
                <w:sz w:val="18"/>
                <w:szCs w:val="18"/>
              </w:rPr>
              <w:t>59,020,547.98</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65981B3"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294,640,718.70</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42C2C09"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-79.97%</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18F656E"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292,735,101.27</w:t>
            </w:r>
          </w:p>
        </w:tc>
      </w:tr>
      <w:tr w:rsidR="00C57E60" w14:paraId="4972C537"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6A5BFE09"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经营活动产生的现金流量净额（元）</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8C05F8D"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605,144,568.58</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0D340F6"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631,288,899.17</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E3087C"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-4.14%</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24A109D"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735,145,903.36</w:t>
            </w:r>
          </w:p>
        </w:tc>
      </w:tr>
      <w:tr w:rsidR="00C57E60" w14:paraId="77095839"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224E61F9"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基本每股收益（元</w:t>
            </w:r>
            <w:r>
              <w:rPr>
                <w:rFonts w:ascii="Times New Roman" w:eastAsia="宋体" w:hAnsi="Times New Roman" w:cs="宋体"/>
                <w:sz w:val="18"/>
                <w:szCs w:val="18"/>
                <w:shd w:val="clear" w:color="FFFFFF" w:fill="D9D9D9"/>
              </w:rPr>
              <w:t>/</w:t>
            </w:r>
            <w:r>
              <w:rPr>
                <w:rFonts w:ascii="Times New Roman" w:eastAsia="宋体" w:hAnsi="Times New Roman" w:cs="宋体"/>
                <w:sz w:val="18"/>
                <w:szCs w:val="18"/>
                <w:shd w:val="clear" w:color="FFFFFF" w:fill="D9D9D9"/>
              </w:rPr>
              <w:t>股）</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2A56882" w14:textId="064EE610" w:rsidR="00113A51" w:rsidRPr="00766EC7" w:rsidRDefault="005941BE" w:rsidP="00D1021E">
            <w:pPr>
              <w:spacing w:line="360" w:lineRule="auto"/>
              <w:jc w:val="right"/>
              <w:rPr>
                <w:rFonts w:ascii="Times New Roman" w:eastAsia="宋体" w:hAnsi="Times New Roman" w:cs="宋体"/>
                <w:sz w:val="18"/>
                <w:szCs w:val="18"/>
              </w:rPr>
            </w:pPr>
            <w:r w:rsidRPr="005941BE">
              <w:rPr>
                <w:rFonts w:ascii="Times New Roman" w:eastAsia="宋体" w:hAnsi="Times New Roman" w:cs="宋体"/>
                <w:sz w:val="18"/>
                <w:szCs w:val="18"/>
              </w:rPr>
              <w:t>0.</w:t>
            </w:r>
            <w:r w:rsidR="009E5C76" w:rsidRPr="005941BE">
              <w:rPr>
                <w:rFonts w:ascii="Times New Roman" w:eastAsia="宋体" w:hAnsi="Times New Roman" w:cs="宋体"/>
                <w:sz w:val="18"/>
                <w:szCs w:val="18"/>
              </w:rPr>
              <w:t>16</w:t>
            </w:r>
            <w:r w:rsidR="009E5C76">
              <w:rPr>
                <w:rFonts w:ascii="Times New Roman" w:eastAsia="宋体" w:hAnsi="Times New Roman" w:cs="宋体"/>
                <w:sz w:val="18"/>
                <w:szCs w:val="18"/>
              </w:rPr>
              <w:t>85</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2ED3073"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0.5890</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7067EE" w14:textId="7BB9EBAA" w:rsidR="00113A51" w:rsidRPr="00766EC7" w:rsidRDefault="00766EC7" w:rsidP="00D1021E">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w:t>
            </w:r>
            <w:r w:rsidR="00520E31" w:rsidRPr="00766EC7">
              <w:rPr>
                <w:rFonts w:ascii="Times New Roman" w:eastAsia="宋体" w:hAnsi="Times New Roman" w:cs="宋体"/>
                <w:sz w:val="18"/>
                <w:szCs w:val="18"/>
              </w:rPr>
              <w:t>7</w:t>
            </w:r>
            <w:r w:rsidR="00520E31">
              <w:rPr>
                <w:rFonts w:ascii="Times New Roman" w:eastAsia="宋体" w:hAnsi="Times New Roman" w:cs="宋体" w:hint="eastAsia"/>
                <w:sz w:val="18"/>
                <w:szCs w:val="18"/>
              </w:rPr>
              <w:t>1</w:t>
            </w:r>
            <w:r w:rsidRPr="00766EC7">
              <w:rPr>
                <w:rFonts w:ascii="Times New Roman" w:eastAsia="宋体" w:hAnsi="Times New Roman" w:cs="宋体"/>
                <w:sz w:val="18"/>
                <w:szCs w:val="18"/>
              </w:rPr>
              <w:t>.</w:t>
            </w:r>
            <w:r w:rsidR="009E5C76">
              <w:rPr>
                <w:rFonts w:ascii="Times New Roman" w:eastAsia="宋体" w:hAnsi="Times New Roman" w:cs="宋体"/>
                <w:sz w:val="18"/>
                <w:szCs w:val="18"/>
              </w:rPr>
              <w:t>39</w:t>
            </w:r>
            <w:r w:rsidRPr="00766EC7">
              <w:rPr>
                <w:rFonts w:ascii="Times New Roman" w:eastAsia="宋体" w:hAnsi="Times New Roman" w:cs="宋体"/>
                <w:sz w:val="18"/>
                <w:szCs w:val="18"/>
              </w:rPr>
              <w:t>%</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4AC2687"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0.5107</w:t>
            </w:r>
          </w:p>
        </w:tc>
      </w:tr>
      <w:tr w:rsidR="00C57E60" w14:paraId="2690F00E"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59C54AE4"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稀释每股收益（元</w:t>
            </w:r>
            <w:r>
              <w:rPr>
                <w:rFonts w:ascii="Times New Roman" w:eastAsia="宋体" w:hAnsi="Times New Roman" w:cs="宋体"/>
                <w:sz w:val="18"/>
                <w:szCs w:val="18"/>
                <w:shd w:val="clear" w:color="FFFFFF" w:fill="D9D9D9"/>
              </w:rPr>
              <w:t>/</w:t>
            </w:r>
            <w:r>
              <w:rPr>
                <w:rFonts w:ascii="Times New Roman" w:eastAsia="宋体" w:hAnsi="Times New Roman" w:cs="宋体"/>
                <w:sz w:val="18"/>
                <w:szCs w:val="18"/>
                <w:shd w:val="clear" w:color="FFFFFF" w:fill="D9D9D9"/>
              </w:rPr>
              <w:t>股）</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399120B" w14:textId="2692C34F" w:rsidR="00113A51" w:rsidRPr="00766EC7" w:rsidRDefault="005941BE" w:rsidP="00D1021E">
            <w:pPr>
              <w:spacing w:line="360" w:lineRule="auto"/>
              <w:jc w:val="right"/>
              <w:rPr>
                <w:rFonts w:ascii="Times New Roman" w:eastAsia="宋体" w:hAnsi="Times New Roman" w:cs="宋体"/>
                <w:sz w:val="18"/>
                <w:szCs w:val="18"/>
              </w:rPr>
            </w:pPr>
            <w:r w:rsidRPr="005941BE">
              <w:rPr>
                <w:rFonts w:ascii="Times New Roman" w:eastAsia="宋体" w:hAnsi="Times New Roman" w:cs="宋体"/>
                <w:sz w:val="18"/>
                <w:szCs w:val="18"/>
              </w:rPr>
              <w:t>0.</w:t>
            </w:r>
            <w:r w:rsidR="009E5C76" w:rsidRPr="005941BE">
              <w:rPr>
                <w:rFonts w:ascii="Times New Roman" w:eastAsia="宋体" w:hAnsi="Times New Roman" w:cs="宋体"/>
                <w:sz w:val="18"/>
                <w:szCs w:val="18"/>
              </w:rPr>
              <w:t>16</w:t>
            </w:r>
            <w:r w:rsidR="009E5C76">
              <w:rPr>
                <w:rFonts w:ascii="Times New Roman" w:eastAsia="宋体" w:hAnsi="Times New Roman" w:cs="宋体"/>
                <w:sz w:val="18"/>
                <w:szCs w:val="18"/>
              </w:rPr>
              <w:t>85</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26877B"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0.5890</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97CC962" w14:textId="4EB3F196" w:rsidR="00113A51" w:rsidRPr="00766EC7" w:rsidRDefault="00766EC7" w:rsidP="00D1021E">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w:t>
            </w:r>
            <w:r w:rsidR="00520E31" w:rsidRPr="00766EC7">
              <w:rPr>
                <w:rFonts w:ascii="Times New Roman" w:eastAsia="宋体" w:hAnsi="Times New Roman" w:cs="宋体"/>
                <w:sz w:val="18"/>
                <w:szCs w:val="18"/>
              </w:rPr>
              <w:t>7</w:t>
            </w:r>
            <w:r w:rsidR="00520E31">
              <w:rPr>
                <w:rFonts w:ascii="Times New Roman" w:eastAsia="宋体" w:hAnsi="Times New Roman" w:cs="宋体" w:hint="eastAsia"/>
                <w:sz w:val="18"/>
                <w:szCs w:val="18"/>
              </w:rPr>
              <w:t>1</w:t>
            </w:r>
            <w:r w:rsidRPr="00766EC7">
              <w:rPr>
                <w:rFonts w:ascii="Times New Roman" w:eastAsia="宋体" w:hAnsi="Times New Roman" w:cs="宋体"/>
                <w:sz w:val="18"/>
                <w:szCs w:val="18"/>
              </w:rPr>
              <w:t>.</w:t>
            </w:r>
            <w:r w:rsidR="009E5C76">
              <w:rPr>
                <w:rFonts w:ascii="Times New Roman" w:eastAsia="宋体" w:hAnsi="Times New Roman" w:cs="宋体"/>
                <w:sz w:val="18"/>
                <w:szCs w:val="18"/>
              </w:rPr>
              <w:t>39</w:t>
            </w:r>
            <w:r w:rsidRPr="00766EC7">
              <w:rPr>
                <w:rFonts w:ascii="Times New Roman" w:eastAsia="宋体" w:hAnsi="Times New Roman" w:cs="宋体"/>
                <w:sz w:val="18"/>
                <w:szCs w:val="18"/>
              </w:rPr>
              <w:t>%</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58853B6"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0.5107</w:t>
            </w:r>
          </w:p>
        </w:tc>
      </w:tr>
      <w:tr w:rsidR="00C57E60" w14:paraId="7CE079CC" w14:textId="77777777" w:rsidTr="00766EC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6DD37AD4"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加权平均净资产收益率</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8BBD90" w14:textId="327E5A08" w:rsidR="00113A51" w:rsidRPr="00766EC7" w:rsidRDefault="005941BE">
            <w:pPr>
              <w:spacing w:line="360" w:lineRule="auto"/>
              <w:jc w:val="right"/>
              <w:rPr>
                <w:rFonts w:ascii="Times New Roman" w:eastAsia="宋体" w:hAnsi="Times New Roman" w:cs="宋体"/>
                <w:sz w:val="18"/>
                <w:szCs w:val="18"/>
              </w:rPr>
            </w:pPr>
            <w:r w:rsidRPr="005941BE">
              <w:rPr>
                <w:rFonts w:ascii="Times New Roman" w:eastAsia="宋体" w:hAnsi="Times New Roman" w:cs="宋体"/>
                <w:sz w:val="18"/>
                <w:szCs w:val="18"/>
              </w:rPr>
              <w:t>2.82%</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F52849D"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10.30%</w:t>
            </w:r>
          </w:p>
        </w:tc>
        <w:tc>
          <w:tcPr>
            <w:tcW w:w="184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06978A9" w14:textId="26549AA5" w:rsidR="00113A51" w:rsidRPr="00766EC7" w:rsidRDefault="00123CA3" w:rsidP="005941BE">
            <w:pPr>
              <w:spacing w:line="360" w:lineRule="auto"/>
              <w:jc w:val="right"/>
              <w:rPr>
                <w:rFonts w:ascii="Times New Roman" w:eastAsia="宋体" w:hAnsi="Times New Roman" w:cs="宋体"/>
                <w:sz w:val="18"/>
                <w:szCs w:val="18"/>
              </w:rPr>
            </w:pPr>
            <w:r>
              <w:rPr>
                <w:rFonts w:ascii="Times New Roman" w:eastAsia="宋体" w:hAnsi="Times New Roman" w:cs="宋体" w:hint="eastAsia"/>
                <w:sz w:val="18"/>
                <w:szCs w:val="18"/>
              </w:rPr>
              <w:t>减少</w:t>
            </w:r>
            <w:r w:rsidR="00766EC7" w:rsidRPr="00766EC7">
              <w:rPr>
                <w:rFonts w:ascii="Times New Roman" w:eastAsia="宋体" w:hAnsi="Times New Roman" w:cs="宋体"/>
                <w:sz w:val="18"/>
                <w:szCs w:val="18"/>
              </w:rPr>
              <w:t>7.</w:t>
            </w:r>
            <w:r w:rsidR="005941BE">
              <w:rPr>
                <w:rFonts w:ascii="Times New Roman" w:eastAsia="宋体" w:hAnsi="Times New Roman" w:cs="宋体"/>
                <w:sz w:val="18"/>
                <w:szCs w:val="18"/>
              </w:rPr>
              <w:t>48</w:t>
            </w:r>
            <w:r w:rsidR="00F1566C">
              <w:rPr>
                <w:rFonts w:ascii="Times New Roman" w:eastAsia="宋体" w:hAnsi="Times New Roman" w:cs="宋体" w:hint="eastAsia"/>
                <w:sz w:val="18"/>
                <w:szCs w:val="18"/>
              </w:rPr>
              <w:t>个百分点</w:t>
            </w:r>
          </w:p>
        </w:tc>
        <w:tc>
          <w:tcPr>
            <w:tcW w:w="1559"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137A3E6"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9.24%</w:t>
            </w:r>
          </w:p>
        </w:tc>
      </w:tr>
      <w:tr w:rsidR="00C57E60" w14:paraId="7D9A4054" w14:textId="7777777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0AF85F3B" w14:textId="77777777" w:rsidR="00113A51" w:rsidRDefault="00113A51">
            <w:pPr>
              <w:spacing w:line="360" w:lineRule="auto"/>
              <w:rPr>
                <w:rFonts w:ascii="Times New Roman" w:eastAsia="宋体" w:hAnsi="Times New Roman"/>
                <w:szCs w:val="18"/>
                <w:shd w:val="clear" w:color="FFFFFF" w:fill="D9D9D9"/>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AEA771C"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2025</w:t>
            </w:r>
            <w:r>
              <w:rPr>
                <w:rFonts w:ascii="Times New Roman" w:eastAsia="宋体" w:hAnsi="Times New Roman" w:cs="宋体"/>
                <w:sz w:val="18"/>
                <w:szCs w:val="18"/>
                <w:shd w:val="clear" w:color="FFFFFF" w:fill="D9D9D9"/>
              </w:rPr>
              <w:t>年末</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1850F2B1"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2024</w:t>
            </w:r>
            <w:r>
              <w:rPr>
                <w:rFonts w:ascii="Times New Roman" w:eastAsia="宋体" w:hAnsi="Times New Roman" w:cs="宋体"/>
                <w:sz w:val="18"/>
                <w:szCs w:val="18"/>
                <w:shd w:val="clear" w:color="FFFFFF" w:fill="D9D9D9"/>
              </w:rPr>
              <w:t>年末</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7A1EBD4B"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本年末比上年末增减</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26D3D956" w14:textId="77777777" w:rsidR="00113A51" w:rsidRDefault="00766EC7">
            <w:pPr>
              <w:spacing w:before="40" w:after="40" w:line="360" w:lineRule="auto"/>
              <w:jc w:val="center"/>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2023</w:t>
            </w:r>
            <w:r>
              <w:rPr>
                <w:rFonts w:ascii="Times New Roman" w:eastAsia="宋体" w:hAnsi="Times New Roman" w:cs="宋体"/>
                <w:sz w:val="18"/>
                <w:szCs w:val="18"/>
                <w:shd w:val="clear" w:color="FFFFFF" w:fill="D9D9D9"/>
              </w:rPr>
              <w:t>年末</w:t>
            </w:r>
          </w:p>
        </w:tc>
      </w:tr>
      <w:tr w:rsidR="00C57E60" w14:paraId="7C0365F8" w14:textId="7777777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7BB83C69"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资产总额（元）</w:t>
            </w:r>
          </w:p>
        </w:tc>
        <w:tc>
          <w:tcPr>
            <w:tcW w:w="1559" w:type="dxa"/>
            <w:tcBorders>
              <w:top w:val="single" w:sz="2" w:space="0" w:color="auto"/>
              <w:left w:val="single" w:sz="2" w:space="0" w:color="auto"/>
              <w:bottom w:val="single" w:sz="2" w:space="0" w:color="auto"/>
              <w:right w:val="single" w:sz="2" w:space="0" w:color="auto"/>
            </w:tcBorders>
            <w:vAlign w:val="center"/>
          </w:tcPr>
          <w:p w14:paraId="1BE6AFD9"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5,962,221,403.29</w:t>
            </w:r>
          </w:p>
        </w:tc>
        <w:tc>
          <w:tcPr>
            <w:tcW w:w="1559" w:type="dxa"/>
            <w:tcBorders>
              <w:top w:val="single" w:sz="2" w:space="0" w:color="auto"/>
              <w:left w:val="single" w:sz="2" w:space="0" w:color="auto"/>
              <w:bottom w:val="single" w:sz="2" w:space="0" w:color="auto"/>
              <w:right w:val="single" w:sz="2" w:space="0" w:color="auto"/>
            </w:tcBorders>
            <w:vAlign w:val="center"/>
          </w:tcPr>
          <w:p w14:paraId="4BC2FC32"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6,097,564,952.38</w:t>
            </w:r>
          </w:p>
        </w:tc>
        <w:tc>
          <w:tcPr>
            <w:tcW w:w="1843" w:type="dxa"/>
            <w:tcBorders>
              <w:top w:val="single" w:sz="2" w:space="0" w:color="auto"/>
              <w:left w:val="single" w:sz="2" w:space="0" w:color="auto"/>
              <w:bottom w:val="single" w:sz="2" w:space="0" w:color="auto"/>
              <w:right w:val="single" w:sz="2" w:space="0" w:color="auto"/>
            </w:tcBorders>
            <w:vAlign w:val="center"/>
          </w:tcPr>
          <w:p w14:paraId="61B0B577"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-2.22%</w:t>
            </w:r>
          </w:p>
        </w:tc>
        <w:tc>
          <w:tcPr>
            <w:tcW w:w="1559" w:type="dxa"/>
            <w:tcBorders>
              <w:top w:val="single" w:sz="2" w:space="0" w:color="auto"/>
              <w:left w:val="single" w:sz="2" w:space="0" w:color="auto"/>
              <w:bottom w:val="single" w:sz="2" w:space="0" w:color="auto"/>
              <w:right w:val="single" w:sz="2" w:space="0" w:color="auto"/>
            </w:tcBorders>
            <w:vAlign w:val="center"/>
          </w:tcPr>
          <w:p w14:paraId="279D2559"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5,926,971,817.35</w:t>
            </w:r>
          </w:p>
        </w:tc>
      </w:tr>
      <w:tr w:rsidR="00C57E60" w14:paraId="27EE79C6" w14:textId="77777777">
        <w:trPr>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3C49FE1F" w14:textId="77777777" w:rsidR="00113A51" w:rsidRDefault="00766EC7">
            <w:pPr>
              <w:spacing w:before="40" w:after="40" w:line="360" w:lineRule="auto"/>
              <w:rPr>
                <w:rFonts w:ascii="Times New Roman" w:eastAsia="宋体" w:hAnsi="Times New Roman" w:cs="宋体"/>
                <w:sz w:val="18"/>
                <w:szCs w:val="18"/>
                <w:shd w:val="clear" w:color="FFFFFF" w:fill="D9D9D9"/>
              </w:rPr>
            </w:pPr>
            <w:r>
              <w:rPr>
                <w:rFonts w:ascii="Times New Roman" w:eastAsia="宋体" w:hAnsi="Times New Roman" w:cs="宋体"/>
                <w:sz w:val="18"/>
                <w:szCs w:val="18"/>
                <w:shd w:val="clear" w:color="FFFFFF" w:fill="D9D9D9"/>
              </w:rPr>
              <w:t>归属于上市公司股东的净资产（元）</w:t>
            </w:r>
          </w:p>
        </w:tc>
        <w:tc>
          <w:tcPr>
            <w:tcW w:w="1559" w:type="dxa"/>
            <w:tcBorders>
              <w:top w:val="single" w:sz="2" w:space="0" w:color="auto"/>
              <w:left w:val="single" w:sz="2" w:space="0" w:color="auto"/>
              <w:bottom w:val="single" w:sz="2" w:space="0" w:color="auto"/>
              <w:right w:val="single" w:sz="2" w:space="0" w:color="auto"/>
            </w:tcBorders>
            <w:vAlign w:val="center"/>
          </w:tcPr>
          <w:p w14:paraId="42325437" w14:textId="63484090" w:rsidR="00113A51" w:rsidRPr="00766EC7" w:rsidRDefault="005941BE">
            <w:pPr>
              <w:spacing w:line="360" w:lineRule="auto"/>
              <w:jc w:val="right"/>
              <w:rPr>
                <w:rFonts w:ascii="Times New Roman" w:eastAsia="宋体" w:hAnsi="Times New Roman" w:cs="宋体"/>
                <w:sz w:val="18"/>
                <w:szCs w:val="18"/>
              </w:rPr>
            </w:pPr>
            <w:r w:rsidRPr="005941BE">
              <w:rPr>
                <w:rFonts w:ascii="Times New Roman" w:eastAsia="宋体" w:hAnsi="Times New Roman" w:cs="宋体"/>
                <w:sz w:val="18"/>
                <w:szCs w:val="18"/>
              </w:rPr>
              <w:t>3,112,857,330.78</w:t>
            </w:r>
          </w:p>
        </w:tc>
        <w:tc>
          <w:tcPr>
            <w:tcW w:w="1559" w:type="dxa"/>
            <w:tcBorders>
              <w:top w:val="single" w:sz="2" w:space="0" w:color="auto"/>
              <w:left w:val="single" w:sz="2" w:space="0" w:color="auto"/>
              <w:bottom w:val="single" w:sz="2" w:space="0" w:color="auto"/>
              <w:right w:val="single" w:sz="2" w:space="0" w:color="auto"/>
            </w:tcBorders>
            <w:vAlign w:val="center"/>
          </w:tcPr>
          <w:p w14:paraId="1749DF05"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3,357,739,858.80</w:t>
            </w:r>
          </w:p>
        </w:tc>
        <w:tc>
          <w:tcPr>
            <w:tcW w:w="1843" w:type="dxa"/>
            <w:tcBorders>
              <w:top w:val="single" w:sz="2" w:space="0" w:color="auto"/>
              <w:left w:val="single" w:sz="2" w:space="0" w:color="auto"/>
              <w:bottom w:val="single" w:sz="2" w:space="0" w:color="auto"/>
              <w:right w:val="single" w:sz="2" w:space="0" w:color="auto"/>
            </w:tcBorders>
            <w:vAlign w:val="center"/>
          </w:tcPr>
          <w:p w14:paraId="66FA04B2" w14:textId="1A75F906" w:rsidR="00113A51" w:rsidRPr="00766EC7" w:rsidRDefault="00766EC7" w:rsidP="00052EB0">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-7.</w:t>
            </w:r>
            <w:r w:rsidR="00052EB0">
              <w:rPr>
                <w:rFonts w:ascii="Times New Roman" w:eastAsia="宋体" w:hAnsi="Times New Roman" w:cs="宋体"/>
                <w:sz w:val="18"/>
                <w:szCs w:val="18"/>
              </w:rPr>
              <w:t>29</w:t>
            </w:r>
            <w:r w:rsidRPr="00766EC7">
              <w:rPr>
                <w:rFonts w:ascii="Times New Roman" w:eastAsia="宋体" w:hAnsi="Times New Roman" w:cs="宋体"/>
                <w:sz w:val="18"/>
                <w:szCs w:val="18"/>
              </w:rPr>
              <w:t>%</w:t>
            </w:r>
          </w:p>
        </w:tc>
        <w:tc>
          <w:tcPr>
            <w:tcW w:w="1559" w:type="dxa"/>
            <w:tcBorders>
              <w:top w:val="single" w:sz="2" w:space="0" w:color="auto"/>
              <w:left w:val="single" w:sz="2" w:space="0" w:color="auto"/>
              <w:bottom w:val="single" w:sz="2" w:space="0" w:color="auto"/>
              <w:right w:val="single" w:sz="2" w:space="0" w:color="auto"/>
            </w:tcBorders>
            <w:vAlign w:val="center"/>
          </w:tcPr>
          <w:p w14:paraId="6597E3EA" w14:textId="77777777" w:rsidR="00113A51" w:rsidRPr="00766EC7" w:rsidRDefault="00766EC7">
            <w:pPr>
              <w:spacing w:line="360" w:lineRule="auto"/>
              <w:jc w:val="right"/>
              <w:rPr>
                <w:rFonts w:ascii="Times New Roman" w:eastAsia="宋体" w:hAnsi="Times New Roman" w:cs="宋体"/>
                <w:sz w:val="18"/>
                <w:szCs w:val="18"/>
              </w:rPr>
            </w:pPr>
            <w:r w:rsidRPr="00766EC7">
              <w:rPr>
                <w:rFonts w:ascii="Times New Roman" w:eastAsia="宋体" w:hAnsi="Times New Roman" w:cs="宋体"/>
                <w:sz w:val="18"/>
                <w:szCs w:val="18"/>
              </w:rPr>
              <w:t>3,078,648,376.29</w:t>
            </w:r>
          </w:p>
        </w:tc>
      </w:tr>
    </w:tbl>
    <w:p w14:paraId="7925845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公司最近三个会计年度扣除非经常性损益前后净利润孰低者均为负值，且最近一年审计报告显示公司持续经营能力存在不确定性</w:t>
      </w:r>
    </w:p>
    <w:p w14:paraId="575733E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11B312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公司报告期内经审计利润总额、净利润、扣除非经常性损益后的净利润三者孰低为负值</w:t>
      </w:r>
    </w:p>
    <w:p w14:paraId="78EBDDD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2B785A14" w14:textId="19D99EA3"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公司报告期末至年度报告披露日股本是否因发行新股、增发、配股、股权激励行权、回购等原因发生变化且影响所有者权益金额</w:t>
      </w:r>
    </w:p>
    <w:p w14:paraId="5F8679C1" w14:textId="723C2EED"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639" w:type="dxa"/>
        <w:tblInd w:w="108" w:type="dxa"/>
        <w:tblLayout w:type="fixed"/>
        <w:tblLook w:val="04A0" w:firstRow="1" w:lastRow="0" w:firstColumn="1" w:lastColumn="0" w:noHBand="0" w:noVBand="1"/>
      </w:tblPr>
      <w:tblGrid>
        <w:gridCol w:w="4820"/>
        <w:gridCol w:w="4819"/>
      </w:tblGrid>
      <w:tr w:rsidR="00C57E60" w14:paraId="1C3C10F7" w14:textId="6CF2ED38">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6B47396" w14:textId="1F333CFB"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支付的优先股股利</w:t>
            </w:r>
          </w:p>
        </w:tc>
        <w:tc>
          <w:tcPr>
            <w:tcW w:w="4820" w:type="dxa"/>
            <w:tcBorders>
              <w:top w:val="single" w:sz="2" w:space="0" w:color="auto"/>
              <w:left w:val="single" w:sz="2" w:space="0" w:color="auto"/>
              <w:bottom w:val="single" w:sz="2" w:space="0" w:color="auto"/>
              <w:right w:val="single" w:sz="2" w:space="0" w:color="auto"/>
            </w:tcBorders>
            <w:vAlign w:val="center"/>
          </w:tcPr>
          <w:p w14:paraId="6ECA63D2" w14:textId="0FAFF912"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r w:rsidR="00C57E60" w14:paraId="50D3A797" w14:textId="301D7A2D">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088EBA8" w14:textId="5506FA85"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支付的永续债利息（元）</w:t>
            </w:r>
          </w:p>
        </w:tc>
        <w:tc>
          <w:tcPr>
            <w:tcW w:w="4820" w:type="dxa"/>
            <w:tcBorders>
              <w:top w:val="single" w:sz="2" w:space="0" w:color="auto"/>
              <w:left w:val="single" w:sz="2" w:space="0" w:color="auto"/>
              <w:bottom w:val="single" w:sz="2" w:space="0" w:color="auto"/>
              <w:right w:val="single" w:sz="2" w:space="0" w:color="auto"/>
            </w:tcBorders>
            <w:vAlign w:val="center"/>
          </w:tcPr>
          <w:p w14:paraId="35E5EC42" w14:textId="442A9185"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r w:rsidR="00C57E60" w14:paraId="0B0AA193" w14:textId="6CE9C0EC">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C1824AD" w14:textId="779C6A13"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用最新股本计算的全面摊薄每股收益（元</w:t>
            </w:r>
            <w:r>
              <w:rPr>
                <w:rFonts w:ascii="Times New Roman" w:eastAsia="宋体" w:hAnsi="Times New Roman" w:cs="宋体"/>
                <w:sz w:val="18"/>
                <w:szCs w:val="18"/>
              </w:rPr>
              <w:t>/</w:t>
            </w:r>
            <w:r>
              <w:rPr>
                <w:rFonts w:ascii="Times New Roman" w:eastAsia="宋体" w:hAnsi="Times New Roman" w:cs="宋体"/>
                <w:sz w:val="18"/>
                <w:szCs w:val="18"/>
              </w:rPr>
              <w:t>股）</w:t>
            </w:r>
          </w:p>
        </w:tc>
        <w:tc>
          <w:tcPr>
            <w:tcW w:w="4820" w:type="dxa"/>
            <w:tcBorders>
              <w:top w:val="single" w:sz="2" w:space="0" w:color="auto"/>
              <w:left w:val="single" w:sz="2" w:space="0" w:color="auto"/>
              <w:bottom w:val="single" w:sz="2" w:space="0" w:color="auto"/>
              <w:right w:val="single" w:sz="2" w:space="0" w:color="auto"/>
            </w:tcBorders>
            <w:vAlign w:val="center"/>
          </w:tcPr>
          <w:p w14:paraId="6C743AA3" w14:textId="049F4369"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w:t>
            </w:r>
            <w:r w:rsidR="009D685B" w:rsidRPr="009D685B">
              <w:rPr>
                <w:rFonts w:ascii="Times New Roman" w:eastAsia="宋体" w:hAnsi="Times New Roman" w:cs="宋体"/>
                <w:sz w:val="18"/>
                <w:szCs w:val="18"/>
              </w:rPr>
              <w:t>1654</w:t>
            </w:r>
          </w:p>
        </w:tc>
      </w:tr>
    </w:tbl>
    <w:p w14:paraId="78289324" w14:textId="77777777" w:rsidR="00113A51" w:rsidRDefault="00766EC7">
      <w:pPr>
        <w:pStyle w:val="2"/>
        <w:spacing w:before="300" w:after="300" w:line="320" w:lineRule="exact"/>
        <w:rPr>
          <w:rFonts w:ascii="宋体" w:eastAsia="宋体" w:hAnsi="宋体" w:cs="宋体"/>
          <w:b/>
          <w:bCs/>
          <w:sz w:val="24"/>
          <w:szCs w:val="24"/>
        </w:rPr>
      </w:pPr>
      <w:bookmarkStart w:id="7" w:name="_Toc988896"/>
      <w:r>
        <w:rPr>
          <w:rFonts w:ascii="宋体" w:eastAsia="宋体" w:hAnsi="宋体" w:cs="宋体"/>
          <w:b/>
          <w:bCs/>
          <w:sz w:val="24"/>
          <w:szCs w:val="24"/>
        </w:rPr>
        <w:t>六、分季度主要财务指标</w:t>
      </w:r>
      <w:bookmarkEnd w:id="7"/>
    </w:p>
    <w:p w14:paraId="734AE6D7"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2" w:type="dxa"/>
        <w:tblInd w:w="108" w:type="dxa"/>
        <w:tblLayout w:type="fixed"/>
        <w:tblLook w:val="04A0" w:firstRow="1" w:lastRow="0" w:firstColumn="1" w:lastColumn="0" w:noHBand="0" w:noVBand="1"/>
      </w:tblPr>
      <w:tblGrid>
        <w:gridCol w:w="3260"/>
        <w:gridCol w:w="1593"/>
        <w:gridCol w:w="1593"/>
        <w:gridCol w:w="1593"/>
        <w:gridCol w:w="1593"/>
      </w:tblGrid>
      <w:tr w:rsidR="00C57E60" w14:paraId="4263DB7D"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16709E87" w14:textId="77777777" w:rsidR="00113A51" w:rsidRDefault="00113A51">
            <w:pPr>
              <w:spacing w:line="360" w:lineRule="auto"/>
              <w:rPr>
                <w:rFonts w:ascii="Times New Roman" w:eastAsia="宋体" w:hAnsi="Times New Roman"/>
                <w:szCs w:val="18"/>
              </w:rPr>
            </w:pPr>
          </w:p>
        </w:tc>
        <w:tc>
          <w:tcPr>
            <w:tcW w:w="1593" w:type="dxa"/>
            <w:tcBorders>
              <w:top w:val="single" w:sz="2" w:space="0" w:color="auto"/>
              <w:left w:val="single" w:sz="2" w:space="0" w:color="auto"/>
              <w:bottom w:val="single" w:sz="2" w:space="0" w:color="auto"/>
              <w:right w:val="single" w:sz="2" w:space="0" w:color="auto"/>
            </w:tcBorders>
            <w:shd w:val="clear" w:color="auto" w:fill="D3D3D3"/>
            <w:vAlign w:val="center"/>
          </w:tcPr>
          <w:p w14:paraId="3E3C7BC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第一季度</w:t>
            </w:r>
          </w:p>
        </w:tc>
        <w:tc>
          <w:tcPr>
            <w:tcW w:w="1593" w:type="dxa"/>
            <w:tcBorders>
              <w:top w:val="single" w:sz="2" w:space="0" w:color="auto"/>
              <w:left w:val="single" w:sz="2" w:space="0" w:color="auto"/>
              <w:bottom w:val="single" w:sz="2" w:space="0" w:color="auto"/>
              <w:right w:val="single" w:sz="2" w:space="0" w:color="auto"/>
            </w:tcBorders>
            <w:shd w:val="clear" w:color="auto" w:fill="D3D3D3"/>
            <w:vAlign w:val="center"/>
          </w:tcPr>
          <w:p w14:paraId="5CFBF38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第二季度</w:t>
            </w:r>
          </w:p>
        </w:tc>
        <w:tc>
          <w:tcPr>
            <w:tcW w:w="1593" w:type="dxa"/>
            <w:tcBorders>
              <w:top w:val="single" w:sz="2" w:space="0" w:color="auto"/>
              <w:left w:val="single" w:sz="2" w:space="0" w:color="auto"/>
              <w:bottom w:val="single" w:sz="2" w:space="0" w:color="auto"/>
              <w:right w:val="single" w:sz="2" w:space="0" w:color="auto"/>
            </w:tcBorders>
            <w:shd w:val="clear" w:color="auto" w:fill="D3D3D3"/>
            <w:vAlign w:val="center"/>
          </w:tcPr>
          <w:p w14:paraId="39510EB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第三季度</w:t>
            </w:r>
          </w:p>
        </w:tc>
        <w:tc>
          <w:tcPr>
            <w:tcW w:w="1593" w:type="dxa"/>
            <w:tcBorders>
              <w:top w:val="single" w:sz="2" w:space="0" w:color="auto"/>
              <w:left w:val="single" w:sz="2" w:space="0" w:color="auto"/>
              <w:bottom w:val="single" w:sz="2" w:space="0" w:color="auto"/>
              <w:right w:val="single" w:sz="2" w:space="0" w:color="auto"/>
            </w:tcBorders>
            <w:shd w:val="clear" w:color="auto" w:fill="D3D3D3"/>
            <w:vAlign w:val="center"/>
          </w:tcPr>
          <w:p w14:paraId="0F20E2F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第四季度</w:t>
            </w:r>
          </w:p>
        </w:tc>
      </w:tr>
      <w:tr w:rsidR="00C57E60" w14:paraId="6153B8FC"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6C984E3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营业收入</w:t>
            </w:r>
          </w:p>
        </w:tc>
        <w:tc>
          <w:tcPr>
            <w:tcW w:w="1593" w:type="dxa"/>
            <w:tcBorders>
              <w:top w:val="single" w:sz="2" w:space="0" w:color="auto"/>
              <w:left w:val="single" w:sz="2" w:space="0" w:color="auto"/>
              <w:bottom w:val="single" w:sz="2" w:space="0" w:color="auto"/>
              <w:right w:val="single" w:sz="2" w:space="0" w:color="auto"/>
            </w:tcBorders>
            <w:vAlign w:val="center"/>
          </w:tcPr>
          <w:p w14:paraId="56A1677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1,041,603,772.08</w:t>
            </w:r>
          </w:p>
        </w:tc>
        <w:tc>
          <w:tcPr>
            <w:tcW w:w="1593" w:type="dxa"/>
            <w:tcBorders>
              <w:top w:val="single" w:sz="2" w:space="0" w:color="auto"/>
              <w:left w:val="single" w:sz="2" w:space="0" w:color="auto"/>
              <w:bottom w:val="single" w:sz="2" w:space="0" w:color="auto"/>
              <w:right w:val="single" w:sz="2" w:space="0" w:color="auto"/>
            </w:tcBorders>
            <w:vAlign w:val="center"/>
          </w:tcPr>
          <w:p w14:paraId="00B7689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1,222,063,837.73</w:t>
            </w:r>
          </w:p>
        </w:tc>
        <w:tc>
          <w:tcPr>
            <w:tcW w:w="1593" w:type="dxa"/>
            <w:tcBorders>
              <w:top w:val="single" w:sz="2" w:space="0" w:color="auto"/>
              <w:left w:val="single" w:sz="2" w:space="0" w:color="auto"/>
              <w:bottom w:val="single" w:sz="2" w:space="0" w:color="auto"/>
              <w:right w:val="single" w:sz="2" w:space="0" w:color="auto"/>
            </w:tcBorders>
            <w:vAlign w:val="center"/>
          </w:tcPr>
          <w:p w14:paraId="63D49DA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1,189,603,867.45</w:t>
            </w:r>
          </w:p>
        </w:tc>
        <w:tc>
          <w:tcPr>
            <w:tcW w:w="1593" w:type="dxa"/>
            <w:tcBorders>
              <w:top w:val="single" w:sz="2" w:space="0" w:color="auto"/>
              <w:left w:val="single" w:sz="2" w:space="0" w:color="auto"/>
              <w:bottom w:val="single" w:sz="2" w:space="0" w:color="auto"/>
              <w:right w:val="single" w:sz="2" w:space="0" w:color="auto"/>
            </w:tcBorders>
            <w:vAlign w:val="center"/>
          </w:tcPr>
          <w:p w14:paraId="2E76050D" w14:textId="6847E84C" w:rsidR="00113A51" w:rsidRDefault="00766EC7" w:rsidP="00D1021E">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1,206,064,436.</w:t>
            </w:r>
            <w:r w:rsidR="00D1021E">
              <w:rPr>
                <w:rFonts w:ascii="Times New Roman" w:eastAsia="宋体" w:hAnsi="Times New Roman" w:cs="宋体"/>
                <w:sz w:val="18"/>
                <w:szCs w:val="18"/>
              </w:rPr>
              <w:t>24</w:t>
            </w:r>
          </w:p>
        </w:tc>
      </w:tr>
      <w:tr w:rsidR="00C57E60" w14:paraId="0317F4DB"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779FF25C"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归属于上市公司股东的净利润</w:t>
            </w:r>
          </w:p>
        </w:tc>
        <w:tc>
          <w:tcPr>
            <w:tcW w:w="1593" w:type="dxa"/>
            <w:tcBorders>
              <w:top w:val="single" w:sz="2" w:space="0" w:color="auto"/>
              <w:left w:val="single" w:sz="2" w:space="0" w:color="auto"/>
              <w:bottom w:val="single" w:sz="2" w:space="0" w:color="auto"/>
              <w:right w:val="single" w:sz="2" w:space="0" w:color="auto"/>
            </w:tcBorders>
            <w:vAlign w:val="center"/>
          </w:tcPr>
          <w:p w14:paraId="5FAB0FF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72,115,093.50</w:t>
            </w:r>
          </w:p>
        </w:tc>
        <w:tc>
          <w:tcPr>
            <w:tcW w:w="1593" w:type="dxa"/>
            <w:tcBorders>
              <w:top w:val="single" w:sz="2" w:space="0" w:color="auto"/>
              <w:left w:val="single" w:sz="2" w:space="0" w:color="auto"/>
              <w:bottom w:val="single" w:sz="2" w:space="0" w:color="auto"/>
              <w:right w:val="single" w:sz="2" w:space="0" w:color="auto"/>
            </w:tcBorders>
            <w:vAlign w:val="center"/>
          </w:tcPr>
          <w:p w14:paraId="0784F28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108,539,614.51</w:t>
            </w:r>
          </w:p>
        </w:tc>
        <w:tc>
          <w:tcPr>
            <w:tcW w:w="1593" w:type="dxa"/>
            <w:tcBorders>
              <w:top w:val="single" w:sz="2" w:space="0" w:color="auto"/>
              <w:left w:val="single" w:sz="2" w:space="0" w:color="auto"/>
              <w:bottom w:val="single" w:sz="2" w:space="0" w:color="auto"/>
              <w:right w:val="single" w:sz="2" w:space="0" w:color="auto"/>
            </w:tcBorders>
            <w:vAlign w:val="center"/>
          </w:tcPr>
          <w:p w14:paraId="3A509DA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30,348,664.34</w:t>
            </w:r>
          </w:p>
        </w:tc>
        <w:tc>
          <w:tcPr>
            <w:tcW w:w="1593" w:type="dxa"/>
            <w:tcBorders>
              <w:top w:val="single" w:sz="2" w:space="0" w:color="auto"/>
              <w:left w:val="single" w:sz="2" w:space="0" w:color="auto"/>
              <w:bottom w:val="single" w:sz="2" w:space="0" w:color="auto"/>
              <w:right w:val="single" w:sz="2" w:space="0" w:color="auto"/>
            </w:tcBorders>
            <w:vAlign w:val="center"/>
          </w:tcPr>
          <w:p w14:paraId="22A3B5A1" w14:textId="005066DE"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w:t>
            </w:r>
            <w:r w:rsidR="00CB14BB" w:rsidRPr="00CB14BB">
              <w:rPr>
                <w:rFonts w:ascii="Times New Roman" w:eastAsia="宋体" w:hAnsi="Times New Roman" w:cs="宋体"/>
                <w:sz w:val="18"/>
                <w:szCs w:val="18"/>
              </w:rPr>
              <w:t>118,354,513.66</w:t>
            </w:r>
          </w:p>
        </w:tc>
      </w:tr>
      <w:tr w:rsidR="00C57E60" w14:paraId="62B5CD8F"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696B4658"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归属于上市公司股东的扣除非经常性损益的净利润</w:t>
            </w:r>
          </w:p>
        </w:tc>
        <w:tc>
          <w:tcPr>
            <w:tcW w:w="1593" w:type="dxa"/>
            <w:tcBorders>
              <w:top w:val="single" w:sz="2" w:space="0" w:color="auto"/>
              <w:left w:val="single" w:sz="2" w:space="0" w:color="auto"/>
              <w:bottom w:val="single" w:sz="2" w:space="0" w:color="auto"/>
              <w:right w:val="single" w:sz="2" w:space="0" w:color="auto"/>
            </w:tcBorders>
            <w:vAlign w:val="center"/>
          </w:tcPr>
          <w:p w14:paraId="03E6E5A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66,841,779.15</w:t>
            </w:r>
          </w:p>
        </w:tc>
        <w:tc>
          <w:tcPr>
            <w:tcW w:w="1593" w:type="dxa"/>
            <w:tcBorders>
              <w:top w:val="single" w:sz="2" w:space="0" w:color="auto"/>
              <w:left w:val="single" w:sz="2" w:space="0" w:color="auto"/>
              <w:bottom w:val="single" w:sz="2" w:space="0" w:color="auto"/>
              <w:right w:val="single" w:sz="2" w:space="0" w:color="auto"/>
            </w:tcBorders>
            <w:vAlign w:val="center"/>
          </w:tcPr>
          <w:p w14:paraId="1AA248C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91,437,872.73</w:t>
            </w:r>
          </w:p>
        </w:tc>
        <w:tc>
          <w:tcPr>
            <w:tcW w:w="1593" w:type="dxa"/>
            <w:tcBorders>
              <w:top w:val="single" w:sz="2" w:space="0" w:color="auto"/>
              <w:left w:val="single" w:sz="2" w:space="0" w:color="auto"/>
              <w:bottom w:val="single" w:sz="2" w:space="0" w:color="auto"/>
              <w:right w:val="single" w:sz="2" w:space="0" w:color="auto"/>
            </w:tcBorders>
            <w:vAlign w:val="center"/>
          </w:tcPr>
          <w:p w14:paraId="3A6B5A9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22,105,317.83</w:t>
            </w:r>
          </w:p>
        </w:tc>
        <w:tc>
          <w:tcPr>
            <w:tcW w:w="1593" w:type="dxa"/>
            <w:tcBorders>
              <w:top w:val="single" w:sz="2" w:space="0" w:color="auto"/>
              <w:left w:val="single" w:sz="2" w:space="0" w:color="auto"/>
              <w:bottom w:val="single" w:sz="2" w:space="0" w:color="auto"/>
              <w:right w:val="single" w:sz="2" w:space="0" w:color="auto"/>
            </w:tcBorders>
            <w:vAlign w:val="center"/>
          </w:tcPr>
          <w:p w14:paraId="600E1EE0" w14:textId="1EDA73F1" w:rsidR="00113A51" w:rsidRDefault="00766EC7" w:rsidP="00CB14BB">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-121,364,421.7</w:t>
            </w:r>
            <w:r w:rsidR="00CB14BB">
              <w:rPr>
                <w:rFonts w:ascii="Times New Roman" w:eastAsia="宋体" w:hAnsi="Times New Roman" w:cs="宋体"/>
                <w:sz w:val="18"/>
                <w:szCs w:val="18"/>
              </w:rPr>
              <w:t>3</w:t>
            </w:r>
          </w:p>
        </w:tc>
      </w:tr>
      <w:tr w:rsidR="00C57E60" w14:paraId="3A53CAA4" w14:textId="77777777">
        <w:trPr>
          <w:trHeight w:val="240"/>
        </w:trPr>
        <w:tc>
          <w:tcPr>
            <w:tcW w:w="3260" w:type="dxa"/>
            <w:tcBorders>
              <w:top w:val="single" w:sz="2" w:space="0" w:color="auto"/>
              <w:left w:val="single" w:sz="2" w:space="0" w:color="auto"/>
              <w:bottom w:val="single" w:sz="2" w:space="0" w:color="auto"/>
              <w:right w:val="single" w:sz="2" w:space="0" w:color="auto"/>
            </w:tcBorders>
            <w:shd w:val="clear" w:color="auto" w:fill="D3D3D3"/>
            <w:vAlign w:val="center"/>
          </w:tcPr>
          <w:p w14:paraId="673F6B75"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经营活动产生的现金流量净额</w:t>
            </w:r>
          </w:p>
        </w:tc>
        <w:tc>
          <w:tcPr>
            <w:tcW w:w="1593" w:type="dxa"/>
            <w:tcBorders>
              <w:top w:val="single" w:sz="2" w:space="0" w:color="auto"/>
              <w:left w:val="single" w:sz="2" w:space="0" w:color="auto"/>
              <w:bottom w:val="single" w:sz="2" w:space="0" w:color="auto"/>
              <w:right w:val="single" w:sz="2" w:space="0" w:color="auto"/>
            </w:tcBorders>
            <w:vAlign w:val="center"/>
          </w:tcPr>
          <w:p w14:paraId="59B24C5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197,078,619.88</w:t>
            </w:r>
          </w:p>
        </w:tc>
        <w:tc>
          <w:tcPr>
            <w:tcW w:w="1593" w:type="dxa"/>
            <w:tcBorders>
              <w:top w:val="single" w:sz="2" w:space="0" w:color="auto"/>
              <w:left w:val="single" w:sz="2" w:space="0" w:color="auto"/>
              <w:bottom w:val="single" w:sz="2" w:space="0" w:color="auto"/>
              <w:right w:val="single" w:sz="2" w:space="0" w:color="auto"/>
            </w:tcBorders>
            <w:vAlign w:val="center"/>
          </w:tcPr>
          <w:p w14:paraId="53BDAD4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76,286,211.75</w:t>
            </w:r>
          </w:p>
        </w:tc>
        <w:tc>
          <w:tcPr>
            <w:tcW w:w="1593" w:type="dxa"/>
            <w:tcBorders>
              <w:top w:val="single" w:sz="2" w:space="0" w:color="auto"/>
              <w:left w:val="single" w:sz="2" w:space="0" w:color="auto"/>
              <w:bottom w:val="single" w:sz="2" w:space="0" w:color="auto"/>
              <w:right w:val="single" w:sz="2" w:space="0" w:color="auto"/>
            </w:tcBorders>
            <w:vAlign w:val="center"/>
          </w:tcPr>
          <w:p w14:paraId="43F53FB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263,864,142.03</w:t>
            </w:r>
          </w:p>
        </w:tc>
        <w:tc>
          <w:tcPr>
            <w:tcW w:w="1593" w:type="dxa"/>
            <w:tcBorders>
              <w:top w:val="single" w:sz="2" w:space="0" w:color="auto"/>
              <w:left w:val="single" w:sz="2" w:space="0" w:color="auto"/>
              <w:bottom w:val="single" w:sz="2" w:space="0" w:color="auto"/>
              <w:right w:val="single" w:sz="2" w:space="0" w:color="auto"/>
            </w:tcBorders>
            <w:vAlign w:val="center"/>
          </w:tcPr>
          <w:p w14:paraId="626BD99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67,915,594.92</w:t>
            </w:r>
          </w:p>
        </w:tc>
      </w:tr>
    </w:tbl>
    <w:p w14:paraId="302E6B1C"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上述财务指标或其加总数是否与公司已披露季度报告、半年度报告相关财务指标存在重大差异</w:t>
      </w:r>
    </w:p>
    <w:p w14:paraId="585248B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1FEFFA9B" w14:textId="77777777" w:rsidR="00113A51" w:rsidRDefault="00766EC7">
      <w:pPr>
        <w:pStyle w:val="2"/>
        <w:spacing w:before="300" w:after="300" w:line="320" w:lineRule="exact"/>
        <w:rPr>
          <w:rFonts w:ascii="宋体" w:eastAsia="宋体" w:hAnsi="宋体" w:cs="宋体"/>
          <w:b/>
          <w:bCs/>
          <w:sz w:val="24"/>
          <w:szCs w:val="24"/>
        </w:rPr>
      </w:pPr>
      <w:bookmarkStart w:id="8" w:name="_Toc988897"/>
      <w:r>
        <w:rPr>
          <w:rFonts w:ascii="宋体" w:eastAsia="宋体" w:hAnsi="宋体" w:cs="宋体"/>
          <w:b/>
          <w:bCs/>
          <w:sz w:val="24"/>
          <w:szCs w:val="24"/>
        </w:rPr>
        <w:t>七、境内外会计准则下会计数据差异</w:t>
      </w:r>
      <w:bookmarkEnd w:id="8"/>
    </w:p>
    <w:p w14:paraId="3B7E0634" w14:textId="77777777" w:rsidR="00113A51" w:rsidRDefault="00766EC7">
      <w:pPr>
        <w:pStyle w:val="3"/>
        <w:spacing w:line="280" w:lineRule="exact"/>
        <w:jc w:val="left"/>
        <w:rPr>
          <w:rFonts w:ascii="宋体" w:hAnsi="宋体" w:cs="宋体"/>
          <w:b/>
          <w:bCs/>
        </w:rPr>
      </w:pPr>
      <w:bookmarkStart w:id="9" w:name="_Toc988898"/>
      <w:r>
        <w:rPr>
          <w:rFonts w:ascii="宋体" w:hAnsi="宋体" w:cs="宋体"/>
          <w:b/>
          <w:bCs/>
        </w:rPr>
        <w:t>1、同时按照国际会计准则与按照中国会计准则披露的财务报告中净利润和净资产差异情况</w:t>
      </w:r>
      <w:bookmarkEnd w:id="9"/>
    </w:p>
    <w:p w14:paraId="67644DA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5A8E79F"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公司报告期不存在按照国际会计准则与按照中国会计准则披露的财务报告中净利润和净资产差异情况。</w:t>
      </w:r>
    </w:p>
    <w:p w14:paraId="10198E72" w14:textId="77777777" w:rsidR="00113A51" w:rsidRDefault="00766EC7">
      <w:pPr>
        <w:pStyle w:val="3"/>
        <w:spacing w:line="280" w:lineRule="exact"/>
        <w:jc w:val="left"/>
        <w:rPr>
          <w:rFonts w:ascii="宋体" w:hAnsi="宋体" w:cs="宋体"/>
          <w:b/>
          <w:bCs/>
        </w:rPr>
      </w:pPr>
      <w:bookmarkStart w:id="10" w:name="_Toc988899"/>
      <w:r>
        <w:rPr>
          <w:rFonts w:ascii="宋体" w:hAnsi="宋体" w:cs="宋体"/>
          <w:b/>
          <w:bCs/>
        </w:rPr>
        <w:t>2、同时按照境外会计准则与按照中国会计准则披露的财务报告中净利润和净资产差异情况</w:t>
      </w:r>
      <w:bookmarkEnd w:id="10"/>
    </w:p>
    <w:p w14:paraId="6C8E3CC4"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29A90B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公司报告期不存在按照境外会计准则与按照中国会计准则披露的财务报告中净利润和净资产差异情况。</w:t>
      </w:r>
    </w:p>
    <w:p w14:paraId="693553BF" w14:textId="77777777" w:rsidR="00113A51" w:rsidRDefault="00766EC7">
      <w:pPr>
        <w:pStyle w:val="2"/>
        <w:spacing w:before="300" w:after="300" w:line="320" w:lineRule="exact"/>
        <w:rPr>
          <w:rFonts w:ascii="宋体" w:eastAsia="宋体" w:hAnsi="宋体" w:cs="宋体"/>
          <w:b/>
          <w:bCs/>
          <w:sz w:val="24"/>
          <w:szCs w:val="24"/>
        </w:rPr>
      </w:pPr>
      <w:bookmarkStart w:id="11" w:name="_Toc988900"/>
      <w:r>
        <w:rPr>
          <w:rFonts w:ascii="宋体" w:eastAsia="宋体" w:hAnsi="宋体" w:cs="宋体"/>
          <w:b/>
          <w:bCs/>
          <w:sz w:val="24"/>
          <w:szCs w:val="24"/>
        </w:rPr>
        <w:t>八、非经常性损益项目及金额</w:t>
      </w:r>
      <w:bookmarkEnd w:id="11"/>
    </w:p>
    <w:p w14:paraId="679C311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9F01195"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4252"/>
        <w:gridCol w:w="1276"/>
        <w:gridCol w:w="1276"/>
        <w:gridCol w:w="1276"/>
        <w:gridCol w:w="1559"/>
      </w:tblGrid>
      <w:tr w:rsidR="00C57E60" w14:paraId="61F7A2C0"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5E605DA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项目</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D66F95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年金额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77A3691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年金额</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51FBCA6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2023</w:t>
            </w:r>
            <w:r>
              <w:rPr>
                <w:rFonts w:ascii="Times New Roman" w:eastAsia="宋体" w:hAnsi="Times New Roman" w:cs="宋体"/>
                <w:sz w:val="18"/>
                <w:szCs w:val="18"/>
              </w:rPr>
              <w:t>年金额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1BADDD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说明</w:t>
            </w:r>
          </w:p>
        </w:tc>
      </w:tr>
      <w:tr w:rsidR="00C57E60" w14:paraId="465F7F70"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454281B0"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非流动性资产处置损益（包括已计提资产减值准备的冲销部分）</w:t>
            </w:r>
          </w:p>
        </w:tc>
        <w:tc>
          <w:tcPr>
            <w:tcW w:w="1276" w:type="dxa"/>
            <w:tcBorders>
              <w:top w:val="single" w:sz="2" w:space="0" w:color="auto"/>
              <w:left w:val="single" w:sz="2" w:space="0" w:color="auto"/>
              <w:bottom w:val="single" w:sz="2" w:space="0" w:color="auto"/>
              <w:right w:val="single" w:sz="2" w:space="0" w:color="auto"/>
            </w:tcBorders>
            <w:vAlign w:val="center"/>
          </w:tcPr>
          <w:p w14:paraId="053BF18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-1,143,532.66</w:t>
            </w:r>
          </w:p>
        </w:tc>
        <w:tc>
          <w:tcPr>
            <w:tcW w:w="1276" w:type="dxa"/>
            <w:tcBorders>
              <w:top w:val="single" w:sz="2" w:space="0" w:color="auto"/>
              <w:left w:val="single" w:sz="2" w:space="0" w:color="auto"/>
              <w:bottom w:val="single" w:sz="2" w:space="0" w:color="auto"/>
              <w:right w:val="single" w:sz="2" w:space="0" w:color="auto"/>
            </w:tcBorders>
            <w:vAlign w:val="center"/>
          </w:tcPr>
          <w:p w14:paraId="5F667FB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957,336.24</w:t>
            </w:r>
          </w:p>
        </w:tc>
        <w:tc>
          <w:tcPr>
            <w:tcW w:w="1276" w:type="dxa"/>
            <w:tcBorders>
              <w:top w:val="single" w:sz="2" w:space="0" w:color="auto"/>
              <w:left w:val="single" w:sz="2" w:space="0" w:color="auto"/>
              <w:bottom w:val="single" w:sz="2" w:space="0" w:color="auto"/>
              <w:right w:val="single" w:sz="2" w:space="0" w:color="auto"/>
            </w:tcBorders>
            <w:vAlign w:val="center"/>
          </w:tcPr>
          <w:p w14:paraId="2CAB00D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-5,766,699.72</w:t>
            </w:r>
          </w:p>
        </w:tc>
        <w:tc>
          <w:tcPr>
            <w:tcW w:w="1559" w:type="dxa"/>
            <w:tcBorders>
              <w:top w:val="single" w:sz="2" w:space="0" w:color="auto"/>
              <w:left w:val="single" w:sz="2" w:space="0" w:color="auto"/>
              <w:bottom w:val="single" w:sz="2" w:space="0" w:color="auto"/>
              <w:right w:val="single" w:sz="2" w:space="0" w:color="auto"/>
            </w:tcBorders>
            <w:vAlign w:val="center"/>
          </w:tcPr>
          <w:p w14:paraId="1528F46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资产处置收益</w:t>
            </w:r>
          </w:p>
        </w:tc>
      </w:tr>
      <w:tr w:rsidR="00C57E60" w14:paraId="5BE2B268"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54A9A9B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计入当期损益的政府补助（与公司正常经营业务密切相关，符合国家政策规定、按照确定的标准享有、对公司损益产生持续影响的政府补助除外）</w:t>
            </w:r>
          </w:p>
        </w:tc>
        <w:tc>
          <w:tcPr>
            <w:tcW w:w="1276" w:type="dxa"/>
            <w:tcBorders>
              <w:top w:val="single" w:sz="2" w:space="0" w:color="auto"/>
              <w:left w:val="single" w:sz="2" w:space="0" w:color="auto"/>
              <w:bottom w:val="single" w:sz="2" w:space="0" w:color="auto"/>
              <w:right w:val="single" w:sz="2" w:space="0" w:color="auto"/>
            </w:tcBorders>
            <w:vAlign w:val="center"/>
          </w:tcPr>
          <w:p w14:paraId="57EC431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27,849,487.54</w:t>
            </w:r>
          </w:p>
        </w:tc>
        <w:tc>
          <w:tcPr>
            <w:tcW w:w="1276" w:type="dxa"/>
            <w:tcBorders>
              <w:top w:val="single" w:sz="2" w:space="0" w:color="auto"/>
              <w:left w:val="single" w:sz="2" w:space="0" w:color="auto"/>
              <w:bottom w:val="single" w:sz="2" w:space="0" w:color="auto"/>
              <w:right w:val="single" w:sz="2" w:space="0" w:color="auto"/>
            </w:tcBorders>
            <w:vAlign w:val="center"/>
          </w:tcPr>
          <w:p w14:paraId="6ADAA5B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37,734,605.22</w:t>
            </w:r>
          </w:p>
        </w:tc>
        <w:tc>
          <w:tcPr>
            <w:tcW w:w="1276" w:type="dxa"/>
            <w:tcBorders>
              <w:top w:val="single" w:sz="2" w:space="0" w:color="auto"/>
              <w:left w:val="single" w:sz="2" w:space="0" w:color="auto"/>
              <w:bottom w:val="single" w:sz="2" w:space="0" w:color="auto"/>
              <w:right w:val="single" w:sz="2" w:space="0" w:color="auto"/>
            </w:tcBorders>
            <w:vAlign w:val="center"/>
          </w:tcPr>
          <w:p w14:paraId="73D7BD7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14,777,589.14</w:t>
            </w:r>
          </w:p>
        </w:tc>
        <w:tc>
          <w:tcPr>
            <w:tcW w:w="1559" w:type="dxa"/>
            <w:tcBorders>
              <w:top w:val="single" w:sz="2" w:space="0" w:color="auto"/>
              <w:left w:val="single" w:sz="2" w:space="0" w:color="auto"/>
              <w:bottom w:val="single" w:sz="2" w:space="0" w:color="auto"/>
              <w:right w:val="single" w:sz="2" w:space="0" w:color="auto"/>
            </w:tcBorders>
            <w:vAlign w:val="center"/>
          </w:tcPr>
          <w:p w14:paraId="676408B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政府补助</w:t>
            </w:r>
          </w:p>
        </w:tc>
      </w:tr>
      <w:tr w:rsidR="00C57E60" w14:paraId="7E5D6ECA"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4CC3AB5E"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除同公司正常经营业务相关的有效套期保值业务外，非金融企业持有金融资产和金融负债产生的公允价值变动损益以及处置金融资产和金融负债产生的损益</w:t>
            </w:r>
          </w:p>
        </w:tc>
        <w:tc>
          <w:tcPr>
            <w:tcW w:w="1276" w:type="dxa"/>
            <w:tcBorders>
              <w:top w:val="single" w:sz="2" w:space="0" w:color="auto"/>
              <w:left w:val="single" w:sz="2" w:space="0" w:color="auto"/>
              <w:bottom w:val="single" w:sz="2" w:space="0" w:color="auto"/>
              <w:right w:val="single" w:sz="2" w:space="0" w:color="auto"/>
            </w:tcBorders>
            <w:vAlign w:val="center"/>
          </w:tcPr>
          <w:p w14:paraId="17C2601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2,941,034.88</w:t>
            </w:r>
          </w:p>
        </w:tc>
        <w:tc>
          <w:tcPr>
            <w:tcW w:w="1276" w:type="dxa"/>
            <w:tcBorders>
              <w:top w:val="single" w:sz="2" w:space="0" w:color="auto"/>
              <w:left w:val="single" w:sz="2" w:space="0" w:color="auto"/>
              <w:bottom w:val="single" w:sz="2" w:space="0" w:color="auto"/>
              <w:right w:val="single" w:sz="2" w:space="0" w:color="auto"/>
            </w:tcBorders>
            <w:vAlign w:val="center"/>
          </w:tcPr>
          <w:p w14:paraId="564E038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1,135,959.66</w:t>
            </w:r>
          </w:p>
        </w:tc>
        <w:tc>
          <w:tcPr>
            <w:tcW w:w="1276" w:type="dxa"/>
            <w:tcBorders>
              <w:top w:val="single" w:sz="2" w:space="0" w:color="auto"/>
              <w:left w:val="single" w:sz="2" w:space="0" w:color="auto"/>
              <w:bottom w:val="single" w:sz="2" w:space="0" w:color="auto"/>
              <w:right w:val="single" w:sz="2" w:space="0" w:color="auto"/>
            </w:tcBorders>
            <w:vAlign w:val="center"/>
          </w:tcPr>
          <w:p w14:paraId="436189A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135,022.24</w:t>
            </w:r>
          </w:p>
        </w:tc>
        <w:tc>
          <w:tcPr>
            <w:tcW w:w="1559" w:type="dxa"/>
            <w:tcBorders>
              <w:top w:val="single" w:sz="2" w:space="0" w:color="auto"/>
              <w:left w:val="single" w:sz="2" w:space="0" w:color="auto"/>
              <w:bottom w:val="single" w:sz="2" w:space="0" w:color="auto"/>
              <w:right w:val="single" w:sz="2" w:space="0" w:color="auto"/>
            </w:tcBorders>
            <w:vAlign w:val="center"/>
          </w:tcPr>
          <w:p w14:paraId="5F3D47C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交易性金融资产</w:t>
            </w:r>
          </w:p>
        </w:tc>
      </w:tr>
      <w:tr w:rsidR="00C57E60" w14:paraId="2B822608"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1C1CEA92"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单独进行减值测试的应收款项减值准备转回</w:t>
            </w:r>
          </w:p>
        </w:tc>
        <w:tc>
          <w:tcPr>
            <w:tcW w:w="1276" w:type="dxa"/>
            <w:tcBorders>
              <w:top w:val="single" w:sz="2" w:space="0" w:color="auto"/>
              <w:left w:val="single" w:sz="2" w:space="0" w:color="auto"/>
              <w:bottom w:val="single" w:sz="2" w:space="0" w:color="auto"/>
              <w:right w:val="single" w:sz="2" w:space="0" w:color="auto"/>
            </w:tcBorders>
            <w:vAlign w:val="center"/>
          </w:tcPr>
          <w:p w14:paraId="1FF354F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20,000.00</w:t>
            </w:r>
          </w:p>
        </w:tc>
        <w:tc>
          <w:tcPr>
            <w:tcW w:w="1276" w:type="dxa"/>
            <w:tcBorders>
              <w:top w:val="single" w:sz="2" w:space="0" w:color="auto"/>
              <w:left w:val="single" w:sz="2" w:space="0" w:color="auto"/>
              <w:bottom w:val="single" w:sz="2" w:space="0" w:color="auto"/>
              <w:right w:val="single" w:sz="2" w:space="0" w:color="auto"/>
            </w:tcBorders>
            <w:vAlign w:val="center"/>
          </w:tcPr>
          <w:p w14:paraId="6BAA9BDF" w14:textId="77777777" w:rsidR="00113A51" w:rsidRDefault="00113A51">
            <w:pPr>
              <w:spacing w:line="360" w:lineRule="auto"/>
              <w:jc w:val="right"/>
              <w:rPr>
                <w:rFonts w:ascii="Times New Roman" w:eastAsia="宋体" w:hAnsi="Times New Roman" w:cs="宋体"/>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AB0251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2,072,608.23</w:t>
            </w:r>
          </w:p>
        </w:tc>
        <w:tc>
          <w:tcPr>
            <w:tcW w:w="1559" w:type="dxa"/>
            <w:tcBorders>
              <w:top w:val="single" w:sz="2" w:space="0" w:color="auto"/>
              <w:left w:val="single" w:sz="2" w:space="0" w:color="auto"/>
              <w:bottom w:val="single" w:sz="2" w:space="0" w:color="auto"/>
              <w:right w:val="single" w:sz="2" w:space="0" w:color="auto"/>
            </w:tcBorders>
            <w:vAlign w:val="center"/>
          </w:tcPr>
          <w:p w14:paraId="3EAEF7A1" w14:textId="77777777" w:rsidR="00113A51" w:rsidRDefault="00113A51">
            <w:pPr>
              <w:spacing w:line="360" w:lineRule="auto"/>
              <w:rPr>
                <w:rFonts w:ascii="Times New Roman" w:eastAsia="宋体" w:hAnsi="Times New Roman" w:cs="宋体"/>
                <w:sz w:val="18"/>
                <w:szCs w:val="18"/>
              </w:rPr>
            </w:pPr>
          </w:p>
        </w:tc>
      </w:tr>
      <w:tr w:rsidR="00C57E60" w14:paraId="1BB760AD"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3BC3F33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同一控制下企业合并产生的子公司期初至合并日的当期净损益</w:t>
            </w:r>
          </w:p>
        </w:tc>
        <w:tc>
          <w:tcPr>
            <w:tcW w:w="1276" w:type="dxa"/>
            <w:tcBorders>
              <w:top w:val="single" w:sz="2" w:space="0" w:color="auto"/>
              <w:left w:val="single" w:sz="2" w:space="0" w:color="auto"/>
              <w:bottom w:val="single" w:sz="2" w:space="0" w:color="auto"/>
              <w:right w:val="single" w:sz="2" w:space="0" w:color="auto"/>
            </w:tcBorders>
            <w:vAlign w:val="center"/>
          </w:tcPr>
          <w:p w14:paraId="1CA88D92" w14:textId="77777777" w:rsidR="00113A51" w:rsidRDefault="00113A51">
            <w:pPr>
              <w:spacing w:line="360" w:lineRule="auto"/>
              <w:jc w:val="right"/>
              <w:rPr>
                <w:rFonts w:ascii="Times New Roman" w:eastAsia="宋体" w:hAnsi="Times New Roman" w:cs="宋体"/>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7AE4F96B" w14:textId="77777777" w:rsidR="00113A51" w:rsidRDefault="00113A51">
            <w:pPr>
              <w:spacing w:line="360" w:lineRule="auto"/>
              <w:jc w:val="right"/>
              <w:rPr>
                <w:rFonts w:ascii="Times New Roman" w:eastAsia="宋体" w:hAnsi="Times New Roman" w:cs="宋体"/>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460154A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-45,245,186.66</w:t>
            </w:r>
          </w:p>
        </w:tc>
        <w:tc>
          <w:tcPr>
            <w:tcW w:w="1559" w:type="dxa"/>
            <w:tcBorders>
              <w:top w:val="single" w:sz="2" w:space="0" w:color="auto"/>
              <w:left w:val="single" w:sz="2" w:space="0" w:color="auto"/>
              <w:bottom w:val="single" w:sz="2" w:space="0" w:color="auto"/>
              <w:right w:val="single" w:sz="2" w:space="0" w:color="auto"/>
            </w:tcBorders>
            <w:vAlign w:val="center"/>
          </w:tcPr>
          <w:p w14:paraId="676DDCE9" w14:textId="77777777" w:rsidR="00113A51" w:rsidRDefault="00113A51">
            <w:pPr>
              <w:spacing w:line="360" w:lineRule="auto"/>
              <w:rPr>
                <w:rFonts w:ascii="Times New Roman" w:eastAsia="宋体" w:hAnsi="Times New Roman" w:cs="宋体"/>
                <w:sz w:val="18"/>
                <w:szCs w:val="18"/>
              </w:rPr>
            </w:pPr>
          </w:p>
        </w:tc>
      </w:tr>
      <w:tr w:rsidR="00C57E60" w14:paraId="7C1CFAE5"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4D3B8154"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除上述各项之外的其他营业外收入和支出</w:t>
            </w:r>
          </w:p>
        </w:tc>
        <w:tc>
          <w:tcPr>
            <w:tcW w:w="1276" w:type="dxa"/>
            <w:tcBorders>
              <w:top w:val="single" w:sz="2" w:space="0" w:color="auto"/>
              <w:left w:val="single" w:sz="2" w:space="0" w:color="auto"/>
              <w:bottom w:val="single" w:sz="2" w:space="0" w:color="auto"/>
              <w:right w:val="single" w:sz="2" w:space="0" w:color="auto"/>
            </w:tcBorders>
            <w:vAlign w:val="center"/>
          </w:tcPr>
          <w:p w14:paraId="5046F79C" w14:textId="57FC9F2E" w:rsidR="00113A51" w:rsidRDefault="00CB14BB">
            <w:pPr>
              <w:spacing w:line="360" w:lineRule="auto"/>
              <w:jc w:val="right"/>
              <w:rPr>
                <w:rFonts w:ascii="Times New Roman" w:eastAsia="宋体" w:hAnsi="Times New Roman" w:cs="宋体"/>
                <w:sz w:val="18"/>
                <w:szCs w:val="18"/>
              </w:rPr>
            </w:pPr>
            <w:r w:rsidRPr="00CB14BB">
              <w:rPr>
                <w:rFonts w:ascii="Times New Roman" w:eastAsia="宋体" w:hAnsi="Times New Roman" w:cs="宋体"/>
                <w:sz w:val="18"/>
                <w:szCs w:val="18"/>
              </w:rPr>
              <w:t>10,047,011.74</w:t>
            </w:r>
          </w:p>
        </w:tc>
        <w:tc>
          <w:tcPr>
            <w:tcW w:w="1276" w:type="dxa"/>
            <w:tcBorders>
              <w:top w:val="single" w:sz="2" w:space="0" w:color="auto"/>
              <w:left w:val="single" w:sz="2" w:space="0" w:color="auto"/>
              <w:bottom w:val="single" w:sz="2" w:space="0" w:color="auto"/>
              <w:right w:val="single" w:sz="2" w:space="0" w:color="auto"/>
            </w:tcBorders>
            <w:vAlign w:val="center"/>
          </w:tcPr>
          <w:p w14:paraId="1632E1C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-3,716,547.29</w:t>
            </w:r>
          </w:p>
        </w:tc>
        <w:tc>
          <w:tcPr>
            <w:tcW w:w="1276" w:type="dxa"/>
            <w:tcBorders>
              <w:top w:val="single" w:sz="2" w:space="0" w:color="auto"/>
              <w:left w:val="single" w:sz="2" w:space="0" w:color="auto"/>
              <w:bottom w:val="single" w:sz="2" w:space="0" w:color="auto"/>
              <w:right w:val="single" w:sz="2" w:space="0" w:color="auto"/>
            </w:tcBorders>
            <w:vAlign w:val="center"/>
          </w:tcPr>
          <w:p w14:paraId="082AF25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-15,764,853.57</w:t>
            </w:r>
          </w:p>
        </w:tc>
        <w:tc>
          <w:tcPr>
            <w:tcW w:w="1559" w:type="dxa"/>
            <w:tcBorders>
              <w:top w:val="single" w:sz="2" w:space="0" w:color="auto"/>
              <w:left w:val="single" w:sz="2" w:space="0" w:color="auto"/>
              <w:bottom w:val="single" w:sz="2" w:space="0" w:color="auto"/>
              <w:right w:val="single" w:sz="2" w:space="0" w:color="auto"/>
            </w:tcBorders>
            <w:vAlign w:val="center"/>
          </w:tcPr>
          <w:p w14:paraId="5CFB71A5" w14:textId="77777777" w:rsidR="00113A51" w:rsidRDefault="00113A51">
            <w:pPr>
              <w:spacing w:line="360" w:lineRule="auto"/>
              <w:rPr>
                <w:rFonts w:ascii="Times New Roman" w:eastAsia="宋体" w:hAnsi="Times New Roman" w:cs="宋体"/>
                <w:sz w:val="18"/>
                <w:szCs w:val="18"/>
              </w:rPr>
            </w:pPr>
          </w:p>
        </w:tc>
      </w:tr>
      <w:tr w:rsidR="00C57E60" w14:paraId="5CA7E267"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0019484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减：所得税影响额</w:t>
            </w:r>
          </w:p>
        </w:tc>
        <w:tc>
          <w:tcPr>
            <w:tcW w:w="1276" w:type="dxa"/>
            <w:tcBorders>
              <w:top w:val="single" w:sz="2" w:space="0" w:color="auto"/>
              <w:left w:val="single" w:sz="2" w:space="0" w:color="auto"/>
              <w:bottom w:val="single" w:sz="2" w:space="0" w:color="auto"/>
              <w:right w:val="single" w:sz="2" w:space="0" w:color="auto"/>
            </w:tcBorders>
            <w:vAlign w:val="center"/>
          </w:tcPr>
          <w:p w14:paraId="56CF16E1" w14:textId="421C8E5A" w:rsidR="00113A51" w:rsidRDefault="00CB14BB">
            <w:pPr>
              <w:spacing w:line="360" w:lineRule="auto"/>
              <w:jc w:val="right"/>
              <w:rPr>
                <w:rFonts w:ascii="Times New Roman" w:eastAsia="宋体" w:hAnsi="Times New Roman" w:cs="宋体"/>
                <w:sz w:val="18"/>
                <w:szCs w:val="18"/>
              </w:rPr>
            </w:pPr>
            <w:r w:rsidRPr="00CB14BB">
              <w:rPr>
                <w:rFonts w:ascii="Times New Roman" w:eastAsia="宋体" w:hAnsi="Times New Roman" w:cs="宋体"/>
                <w:sz w:val="18"/>
                <w:szCs w:val="18"/>
              </w:rPr>
              <w:t>5,898,050.74</w:t>
            </w:r>
          </w:p>
        </w:tc>
        <w:tc>
          <w:tcPr>
            <w:tcW w:w="1276" w:type="dxa"/>
            <w:tcBorders>
              <w:top w:val="single" w:sz="2" w:space="0" w:color="auto"/>
              <w:left w:val="single" w:sz="2" w:space="0" w:color="auto"/>
              <w:bottom w:val="single" w:sz="2" w:space="0" w:color="auto"/>
              <w:right w:val="single" w:sz="2" w:space="0" w:color="auto"/>
            </w:tcBorders>
            <w:vAlign w:val="center"/>
          </w:tcPr>
          <w:p w14:paraId="5856E5E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5,453,135.34</w:t>
            </w:r>
          </w:p>
        </w:tc>
        <w:tc>
          <w:tcPr>
            <w:tcW w:w="1276" w:type="dxa"/>
            <w:tcBorders>
              <w:top w:val="single" w:sz="2" w:space="0" w:color="auto"/>
              <w:left w:val="single" w:sz="2" w:space="0" w:color="auto"/>
              <w:bottom w:val="single" w:sz="2" w:space="0" w:color="auto"/>
              <w:right w:val="single" w:sz="2" w:space="0" w:color="auto"/>
            </w:tcBorders>
            <w:vAlign w:val="center"/>
          </w:tcPr>
          <w:p w14:paraId="4A13B26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-1,036,709.04</w:t>
            </w:r>
          </w:p>
        </w:tc>
        <w:tc>
          <w:tcPr>
            <w:tcW w:w="1559" w:type="dxa"/>
            <w:tcBorders>
              <w:top w:val="single" w:sz="2" w:space="0" w:color="auto"/>
              <w:left w:val="single" w:sz="2" w:space="0" w:color="auto"/>
              <w:bottom w:val="single" w:sz="2" w:space="0" w:color="auto"/>
              <w:right w:val="single" w:sz="2" w:space="0" w:color="auto"/>
            </w:tcBorders>
            <w:vAlign w:val="center"/>
          </w:tcPr>
          <w:p w14:paraId="47C66774" w14:textId="77777777" w:rsidR="00113A51" w:rsidRDefault="00113A51">
            <w:pPr>
              <w:spacing w:line="360" w:lineRule="auto"/>
              <w:rPr>
                <w:rFonts w:ascii="Times New Roman" w:eastAsia="宋体" w:hAnsi="Times New Roman" w:cs="宋体"/>
                <w:sz w:val="18"/>
                <w:szCs w:val="18"/>
              </w:rPr>
            </w:pPr>
          </w:p>
        </w:tc>
      </w:tr>
      <w:tr w:rsidR="00C57E60" w14:paraId="78FA1455"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6AF16F48" w14:textId="77777777" w:rsidR="00113A51" w:rsidRDefault="00766EC7">
            <w:pPr>
              <w:spacing w:before="40" w:after="40" w:line="360" w:lineRule="auto"/>
              <w:ind w:firstLineChars="200" w:firstLine="360"/>
              <w:rPr>
                <w:rFonts w:ascii="Times New Roman" w:eastAsia="宋体" w:hAnsi="Times New Roman" w:cs="宋体"/>
                <w:sz w:val="18"/>
                <w:szCs w:val="18"/>
              </w:rPr>
            </w:pPr>
            <w:r>
              <w:rPr>
                <w:rFonts w:ascii="Times New Roman" w:eastAsia="宋体" w:hAnsi="Times New Roman" w:cs="宋体"/>
                <w:sz w:val="18"/>
                <w:szCs w:val="18"/>
              </w:rPr>
              <w:t>少数股东权益影响额（税后）</w:t>
            </w:r>
          </w:p>
        </w:tc>
        <w:tc>
          <w:tcPr>
            <w:tcW w:w="1276" w:type="dxa"/>
            <w:tcBorders>
              <w:top w:val="single" w:sz="2" w:space="0" w:color="auto"/>
              <w:left w:val="single" w:sz="2" w:space="0" w:color="auto"/>
              <w:bottom w:val="single" w:sz="2" w:space="0" w:color="auto"/>
              <w:right w:val="single" w:sz="2" w:space="0" w:color="auto"/>
            </w:tcBorders>
            <w:vAlign w:val="center"/>
          </w:tcPr>
          <w:p w14:paraId="76B35C55" w14:textId="31A6DA56" w:rsidR="00113A51" w:rsidRDefault="00CB14BB">
            <w:pPr>
              <w:spacing w:line="360" w:lineRule="auto"/>
              <w:jc w:val="right"/>
              <w:rPr>
                <w:rFonts w:ascii="Times New Roman" w:eastAsia="宋体" w:hAnsi="Times New Roman" w:cs="宋体"/>
                <w:sz w:val="18"/>
                <w:szCs w:val="18"/>
              </w:rPr>
            </w:pPr>
            <w:r w:rsidRPr="00CB14BB">
              <w:rPr>
                <w:rFonts w:ascii="Times New Roman" w:eastAsia="宋体" w:hAnsi="Times New Roman" w:cs="宋体"/>
                <w:sz w:val="18"/>
                <w:szCs w:val="18"/>
              </w:rPr>
              <w:t>187,640.05</w:t>
            </w:r>
          </w:p>
        </w:tc>
        <w:tc>
          <w:tcPr>
            <w:tcW w:w="1276" w:type="dxa"/>
            <w:tcBorders>
              <w:top w:val="single" w:sz="2" w:space="0" w:color="auto"/>
              <w:left w:val="single" w:sz="2" w:space="0" w:color="auto"/>
              <w:bottom w:val="single" w:sz="2" w:space="0" w:color="auto"/>
              <w:right w:val="single" w:sz="2" w:space="0" w:color="auto"/>
            </w:tcBorders>
            <w:vAlign w:val="center"/>
          </w:tcPr>
          <w:p w14:paraId="58CBEEA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-992,055.86</w:t>
            </w:r>
          </w:p>
        </w:tc>
        <w:tc>
          <w:tcPr>
            <w:tcW w:w="1276" w:type="dxa"/>
            <w:tcBorders>
              <w:top w:val="single" w:sz="2" w:space="0" w:color="auto"/>
              <w:left w:val="single" w:sz="2" w:space="0" w:color="auto"/>
              <w:bottom w:val="single" w:sz="2" w:space="0" w:color="auto"/>
              <w:right w:val="single" w:sz="2" w:space="0" w:color="auto"/>
            </w:tcBorders>
            <w:vAlign w:val="center"/>
          </w:tcPr>
          <w:p w14:paraId="10D6830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-40,417,621.92</w:t>
            </w:r>
          </w:p>
        </w:tc>
        <w:tc>
          <w:tcPr>
            <w:tcW w:w="1559" w:type="dxa"/>
            <w:tcBorders>
              <w:top w:val="single" w:sz="2" w:space="0" w:color="auto"/>
              <w:left w:val="single" w:sz="2" w:space="0" w:color="auto"/>
              <w:bottom w:val="single" w:sz="2" w:space="0" w:color="auto"/>
              <w:right w:val="single" w:sz="2" w:space="0" w:color="auto"/>
            </w:tcBorders>
            <w:vAlign w:val="center"/>
          </w:tcPr>
          <w:p w14:paraId="483ED9EB" w14:textId="77777777" w:rsidR="00113A51" w:rsidRDefault="00113A51">
            <w:pPr>
              <w:spacing w:line="360" w:lineRule="auto"/>
              <w:rPr>
                <w:rFonts w:ascii="Times New Roman" w:eastAsia="宋体" w:hAnsi="Times New Roman" w:cs="宋体"/>
                <w:sz w:val="18"/>
                <w:szCs w:val="18"/>
              </w:rPr>
            </w:pPr>
          </w:p>
        </w:tc>
      </w:tr>
      <w:tr w:rsidR="00C57E60" w14:paraId="4D64A215" w14:textId="77777777" w:rsidTr="00CB14BB">
        <w:trPr>
          <w:cantSplit/>
          <w:trHeight w:val="240"/>
          <w:tblHeader/>
        </w:trPr>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686B063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合计</w:t>
            </w:r>
          </w:p>
        </w:tc>
        <w:tc>
          <w:tcPr>
            <w:tcW w:w="1276" w:type="dxa"/>
            <w:tcBorders>
              <w:top w:val="single" w:sz="2" w:space="0" w:color="auto"/>
              <w:left w:val="single" w:sz="2" w:space="0" w:color="auto"/>
              <w:bottom w:val="single" w:sz="2" w:space="0" w:color="auto"/>
              <w:right w:val="single" w:sz="2" w:space="0" w:color="auto"/>
            </w:tcBorders>
            <w:vAlign w:val="center"/>
          </w:tcPr>
          <w:p w14:paraId="7C918F0C" w14:textId="069F4CBF" w:rsidR="00113A51" w:rsidRDefault="00CB14BB">
            <w:pPr>
              <w:spacing w:line="360" w:lineRule="auto"/>
              <w:jc w:val="right"/>
              <w:rPr>
                <w:rFonts w:ascii="Times New Roman" w:eastAsia="宋体" w:hAnsi="Times New Roman" w:cs="宋体"/>
                <w:sz w:val="18"/>
                <w:szCs w:val="18"/>
              </w:rPr>
            </w:pPr>
            <w:r w:rsidRPr="00CB14BB">
              <w:rPr>
                <w:rFonts w:ascii="Times New Roman" w:eastAsia="宋体" w:hAnsi="Times New Roman" w:cs="宋体"/>
                <w:sz w:val="18"/>
                <w:szCs w:val="18"/>
              </w:rPr>
              <w:t>33,628,310.71</w:t>
            </w:r>
          </w:p>
        </w:tc>
        <w:tc>
          <w:tcPr>
            <w:tcW w:w="1276" w:type="dxa"/>
            <w:tcBorders>
              <w:top w:val="single" w:sz="2" w:space="0" w:color="auto"/>
              <w:left w:val="single" w:sz="2" w:space="0" w:color="auto"/>
              <w:bottom w:val="single" w:sz="2" w:space="0" w:color="auto"/>
              <w:right w:val="single" w:sz="2" w:space="0" w:color="auto"/>
            </w:tcBorders>
            <w:vAlign w:val="center"/>
          </w:tcPr>
          <w:p w14:paraId="1EB641B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31,650,274.35</w:t>
            </w:r>
          </w:p>
        </w:tc>
        <w:tc>
          <w:tcPr>
            <w:tcW w:w="1276" w:type="dxa"/>
            <w:tcBorders>
              <w:top w:val="single" w:sz="2" w:space="0" w:color="auto"/>
              <w:left w:val="single" w:sz="2" w:space="0" w:color="auto"/>
              <w:bottom w:val="single" w:sz="2" w:space="0" w:color="auto"/>
              <w:right w:val="single" w:sz="2" w:space="0" w:color="auto"/>
            </w:tcBorders>
            <w:vAlign w:val="center"/>
          </w:tcPr>
          <w:p w14:paraId="5C5E79D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-8,337,189.38</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675ACAEF" w14:textId="77777777" w:rsidR="00113A51" w:rsidRDefault="00766EC7">
            <w:pPr>
              <w:spacing w:before="40" w:after="40" w:line="360" w:lineRule="auto"/>
              <w:jc w:val="center"/>
              <w:rPr>
                <w:rFonts w:ascii="Times New Roman" w:eastAsia="宋体" w:hAnsi="Times New Roman" w:cs="宋体"/>
                <w:sz w:val="18"/>
                <w:szCs w:val="18"/>
                <w:shd w:val="clear" w:color="auto" w:fill="D3D3D3"/>
              </w:rPr>
            </w:pPr>
            <w:r>
              <w:rPr>
                <w:rFonts w:ascii="Times New Roman" w:eastAsia="宋体" w:hAnsi="Times New Roman" w:cs="宋体"/>
                <w:sz w:val="18"/>
                <w:szCs w:val="18"/>
                <w:shd w:val="clear" w:color="auto" w:fill="D3D3D3"/>
              </w:rPr>
              <w:t>--</w:t>
            </w:r>
          </w:p>
        </w:tc>
      </w:tr>
    </w:tbl>
    <w:p w14:paraId="077349D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14:paraId="7D835D55"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DB877D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公司不存在其他符合非经常性损益定义的损益项目的具体情况。</w:t>
      </w:r>
    </w:p>
    <w:p w14:paraId="06288DCF"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14:paraId="595DD84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A82999C"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公司不存在将《公开发行证券的公司信息披露解释性公告第1号——非经常性损益》中列举的非经常性损益项目界定为经常性损益的项目的情形。</w:t>
      </w:r>
    </w:p>
    <w:p w14:paraId="6F7F7EAD" w14:textId="77777777" w:rsidR="00113A51" w:rsidRDefault="00766EC7">
      <w:pPr>
        <w:sectPr w:rsidR="00113A51">
          <w:pgSz w:w="11905" w:h="16840"/>
          <w:pgMar w:top="1440" w:right="1134" w:bottom="1440" w:left="1134" w:header="850" w:footer="992" w:gutter="0"/>
          <w:cols w:space="720"/>
          <w:docGrid w:type="linesAndChars" w:linePitch="312"/>
        </w:sectPr>
      </w:pPr>
      <w:r>
        <w:br w:type="page"/>
      </w:r>
    </w:p>
    <w:p w14:paraId="67D9CEDE" w14:textId="77777777" w:rsidR="00113A51" w:rsidRDefault="00766EC7">
      <w:pPr>
        <w:pStyle w:val="headingh1"/>
        <w:spacing w:before="340" w:after="330" w:line="773" w:lineRule="exact"/>
        <w:jc w:val="center"/>
        <w:rPr>
          <w:rFonts w:ascii="宋体" w:eastAsia="宋体" w:hAnsi="宋体" w:cs="宋体"/>
          <w:b/>
          <w:bCs/>
          <w:sz w:val="32"/>
          <w:szCs w:val="32"/>
        </w:rPr>
      </w:pPr>
      <w:bookmarkStart w:id="12" w:name="_Toc228122504"/>
      <w:r>
        <w:rPr>
          <w:rFonts w:ascii="宋体" w:eastAsia="宋体" w:hAnsi="宋体" w:cs="宋体"/>
          <w:b/>
          <w:bCs/>
          <w:sz w:val="32"/>
          <w:szCs w:val="32"/>
        </w:rPr>
        <w:t>第三节 管理层讨论与分析</w:t>
      </w:r>
      <w:bookmarkEnd w:id="12"/>
    </w:p>
    <w:p w14:paraId="0491828F" w14:textId="77777777" w:rsidR="00113A51" w:rsidRDefault="00766EC7">
      <w:pPr>
        <w:pStyle w:val="2"/>
        <w:spacing w:before="300" w:after="300" w:line="320" w:lineRule="exact"/>
        <w:rPr>
          <w:rFonts w:ascii="Times New Roman" w:eastAsia="宋体" w:hAnsi="Times New Roman" w:cs="宋体"/>
          <w:b/>
          <w:bCs/>
          <w:sz w:val="24"/>
          <w:szCs w:val="24"/>
        </w:rPr>
      </w:pPr>
      <w:bookmarkStart w:id="13" w:name="_Toc988902"/>
      <w:r>
        <w:rPr>
          <w:rFonts w:ascii="Times New Roman" w:eastAsia="宋体" w:hAnsi="Times New Roman" w:cs="宋体"/>
          <w:b/>
          <w:bCs/>
          <w:sz w:val="24"/>
          <w:szCs w:val="24"/>
        </w:rPr>
        <w:t>一、报告期内公司从事的主要业务</w:t>
      </w:r>
      <w:bookmarkEnd w:id="13"/>
    </w:p>
    <w:p w14:paraId="6A13538B" w14:textId="77777777" w:rsidR="00916538" w:rsidRPr="00916538" w:rsidRDefault="00916538" w:rsidP="00916538">
      <w:pPr>
        <w:spacing w:before="100" w:after="100" w:line="240" w:lineRule="exact"/>
        <w:rPr>
          <w:rFonts w:ascii="宋体" w:eastAsia="宋体" w:hAnsi="宋体" w:cs="宋体"/>
          <w:spacing w:val="-4"/>
          <w:sz w:val="18"/>
          <w:szCs w:val="18"/>
        </w:rPr>
      </w:pPr>
      <w:r w:rsidRPr="00916538">
        <w:rPr>
          <w:rFonts w:ascii="宋体" w:eastAsia="宋体" w:hAnsi="宋体" w:cs="宋体"/>
          <w:spacing w:val="-4"/>
          <w:sz w:val="18"/>
          <w:szCs w:val="18"/>
        </w:rPr>
        <w:t>公司需遵守《深圳证券交易所上市公司自律监管指引第4号——创业板行业信息披露》中的“医疗器械业务”的披露要求</w:t>
      </w:r>
    </w:p>
    <w:p w14:paraId="0A0A3D71" w14:textId="772C041E" w:rsidR="00113A51" w:rsidRDefault="00766EC7">
      <w:pPr>
        <w:spacing w:beforeLines="50" w:before="156" w:afterLines="50" w:after="156" w:line="360" w:lineRule="auto"/>
        <w:ind w:firstLine="420"/>
        <w:jc w:val="both"/>
        <w:rPr>
          <w:rFonts w:ascii="Times New Roman" w:eastAsia="宋体" w:hAnsi="Times New Roman"/>
          <w:szCs w:val="21"/>
        </w:rPr>
      </w:pPr>
      <w:r>
        <w:rPr>
          <w:rFonts w:ascii="Times New Roman" w:eastAsia="宋体" w:hAnsi="Times New Roman"/>
          <w:b/>
          <w:szCs w:val="21"/>
        </w:rPr>
        <w:t>（一）主要业务</w:t>
      </w:r>
    </w:p>
    <w:p w14:paraId="29F63044" w14:textId="77777777" w:rsidR="00113A51" w:rsidRPr="00766EC7" w:rsidRDefault="00766EC7" w:rsidP="00766EC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66EC7">
        <w:rPr>
          <w:rFonts w:ascii="Times New Roman" w:hAnsi="Times New Roman" w:cs="Times New Roman"/>
          <w:sz w:val="21"/>
          <w:szCs w:val="21"/>
        </w:rPr>
        <w:t>三诺生物专注于推动糖尿病及慢病健康事业的发展，始终坚持生物传感技术自主创新，通过二十余年的深耕，聚焦糖尿病及相关慢病检测与管理核心领域，构建了完善的业务布局与经营体系，稳步从</w:t>
      </w:r>
      <w:r w:rsidRPr="00766EC7">
        <w:rPr>
          <w:rFonts w:cs="Times New Roman"/>
          <w:sz w:val="21"/>
          <w:szCs w:val="21"/>
        </w:rPr>
        <w:t>“中国血糖仪普及推动者”</w:t>
      </w:r>
      <w:r w:rsidRPr="00766EC7">
        <w:rPr>
          <w:rFonts w:ascii="Times New Roman" w:hAnsi="Times New Roman" w:cs="Times New Roman"/>
          <w:sz w:val="21"/>
          <w:szCs w:val="21"/>
        </w:rPr>
        <w:t>向</w:t>
      </w:r>
      <w:r w:rsidRPr="00766EC7">
        <w:rPr>
          <w:rFonts w:cs="Times New Roman"/>
          <w:sz w:val="21"/>
          <w:szCs w:val="21"/>
        </w:rPr>
        <w:t>“全球领先的糖尿病数字管理专家”</w:t>
      </w:r>
      <w:r w:rsidRPr="00766EC7">
        <w:rPr>
          <w:rFonts w:ascii="Times New Roman" w:hAnsi="Times New Roman" w:cs="Times New Roman"/>
          <w:sz w:val="21"/>
          <w:szCs w:val="21"/>
        </w:rPr>
        <w:t>的战略愿景迈进。</w:t>
      </w:r>
    </w:p>
    <w:p w14:paraId="61DD8C39" w14:textId="77777777" w:rsidR="00113A51" w:rsidRPr="00766EC7" w:rsidRDefault="00766EC7" w:rsidP="00766EC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66EC7">
        <w:rPr>
          <w:rFonts w:ascii="Times New Roman" w:hAnsi="Times New Roman" w:cs="Times New Roman"/>
          <w:sz w:val="21"/>
          <w:szCs w:val="21"/>
        </w:rPr>
        <w:t>产品布局方面，公司已实现从单一血糖指标检测向涵盖血糖、血脂、糖化血红蛋白、尿酸、尿微量白蛋白等多指标检测体系的全面转型，搭建起以血糖检测为基础、慢病相关指标检测为核心的产品矩阵，可全面覆盖糖尿病及相关慢病日常监测、诊疗辅助等多应用场景，深度贴合慢病防治全流程需求，具备较强的临床适用性与市场适配能力。</w:t>
      </w:r>
    </w:p>
    <w:p w14:paraId="77BD0D2C" w14:textId="77777777" w:rsidR="00113A51" w:rsidRPr="00766EC7" w:rsidRDefault="00766EC7" w:rsidP="00766EC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66EC7">
        <w:rPr>
          <w:rFonts w:ascii="Times New Roman" w:hAnsi="Times New Roman" w:cs="Times New Roman"/>
          <w:sz w:val="21"/>
          <w:szCs w:val="21"/>
        </w:rPr>
        <w:t>市场布局方面，公司持续优化销售渠道布局与市场结构，以零售市场为基础，稳步拓展至医院专业市场及海外市场，成功构建多产品、多渠道、多市场协同发力的立体销售体系。截至报告期末，公司业务已覆盖全球</w:t>
      </w:r>
      <w:r w:rsidRPr="00766EC7">
        <w:rPr>
          <w:rFonts w:ascii="Times New Roman" w:hAnsi="Times New Roman" w:cs="Times New Roman"/>
          <w:sz w:val="21"/>
          <w:szCs w:val="21"/>
        </w:rPr>
        <w:t>187</w:t>
      </w:r>
      <w:r w:rsidRPr="00766EC7">
        <w:rPr>
          <w:rFonts w:ascii="Times New Roman" w:hAnsi="Times New Roman" w:cs="Times New Roman"/>
          <w:sz w:val="21"/>
          <w:szCs w:val="21"/>
        </w:rPr>
        <w:t>个国家和地区，境内外市场协同发力、稳步推进，市场覆盖面与行业影响力持续提升。</w:t>
      </w:r>
    </w:p>
    <w:p w14:paraId="6212F87D" w14:textId="61972B4A" w:rsidR="00113A51" w:rsidRPr="00766EC7" w:rsidRDefault="00766EC7" w:rsidP="00766EC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66EC7">
        <w:rPr>
          <w:rFonts w:ascii="Times New Roman" w:hAnsi="Times New Roman" w:cs="Times New Roman"/>
          <w:sz w:val="21"/>
          <w:szCs w:val="21"/>
        </w:rPr>
        <w:t>研发布局方面，公司持续推进核心技术平台迭代升级，已从单一电化学平台成功延伸至光化学、荧光免疫、液相生化、凝血、化学发光及互联网大数据智慧医疗等多元化技术平台；同步构建起个人掌上实验室（</w:t>
      </w:r>
      <w:r w:rsidRPr="00766EC7">
        <w:rPr>
          <w:rFonts w:ascii="Times New Roman" w:hAnsi="Times New Roman" w:cs="Times New Roman"/>
          <w:sz w:val="21"/>
          <w:szCs w:val="21"/>
        </w:rPr>
        <w:t>PPL</w:t>
      </w:r>
      <w:r w:rsidRPr="00766EC7">
        <w:rPr>
          <w:rFonts w:ascii="Times New Roman" w:hAnsi="Times New Roman" w:cs="Times New Roman"/>
          <w:sz w:val="21"/>
          <w:szCs w:val="21"/>
        </w:rPr>
        <w:t>）、精准桌面实验室（</w:t>
      </w:r>
      <w:r w:rsidRPr="00766EC7">
        <w:rPr>
          <w:rFonts w:ascii="Times New Roman" w:hAnsi="Times New Roman" w:cs="Times New Roman"/>
          <w:sz w:val="21"/>
          <w:szCs w:val="21"/>
        </w:rPr>
        <w:t>PDL</w:t>
      </w:r>
      <w:r w:rsidRPr="00766EC7">
        <w:rPr>
          <w:rFonts w:ascii="Times New Roman" w:hAnsi="Times New Roman" w:cs="Times New Roman"/>
          <w:sz w:val="21"/>
          <w:szCs w:val="21"/>
        </w:rPr>
        <w:t>）、精准可穿戴系统（</w:t>
      </w:r>
      <w:r w:rsidRPr="00766EC7">
        <w:rPr>
          <w:rFonts w:ascii="Times New Roman" w:hAnsi="Times New Roman" w:cs="Times New Roman"/>
          <w:sz w:val="21"/>
          <w:szCs w:val="21"/>
        </w:rPr>
        <w:t>PWS</w:t>
      </w:r>
      <w:r w:rsidRPr="00766EC7">
        <w:rPr>
          <w:rFonts w:ascii="Times New Roman" w:hAnsi="Times New Roman" w:cs="Times New Roman"/>
          <w:sz w:val="21"/>
          <w:szCs w:val="21"/>
        </w:rPr>
        <w:t>）三大核心研发产品线，以技术创新夯实公司业务高质量发展的核心基础，保障产品与服务的持续迭代优化。</w:t>
      </w:r>
    </w:p>
    <w:p w14:paraId="062F4144" w14:textId="77777777" w:rsidR="00113A51" w:rsidRPr="00766EC7" w:rsidRDefault="00766EC7" w:rsidP="00766EC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66EC7">
        <w:rPr>
          <w:rFonts w:ascii="Times New Roman" w:hAnsi="Times New Roman" w:cs="Times New Roman"/>
          <w:sz w:val="21"/>
          <w:szCs w:val="21"/>
        </w:rPr>
        <w:t>业务模式升级方面，公司积极向糖尿病医疗服务领域延伸布局，探索</w:t>
      </w:r>
      <w:r w:rsidRPr="00766EC7">
        <w:rPr>
          <w:rFonts w:ascii="Times New Roman" w:hAnsi="Times New Roman" w:cs="Times New Roman"/>
          <w:sz w:val="21"/>
          <w:szCs w:val="21"/>
        </w:rPr>
        <w:t>“</w:t>
      </w:r>
      <w:r w:rsidRPr="00766EC7">
        <w:rPr>
          <w:rFonts w:ascii="Times New Roman" w:hAnsi="Times New Roman" w:cs="Times New Roman"/>
          <w:sz w:val="21"/>
          <w:szCs w:val="21"/>
        </w:rPr>
        <w:t>生物传感</w:t>
      </w:r>
      <w:r w:rsidRPr="00766EC7">
        <w:rPr>
          <w:rFonts w:ascii="Times New Roman" w:hAnsi="Times New Roman" w:cs="Times New Roman"/>
          <w:sz w:val="21"/>
          <w:szCs w:val="21"/>
        </w:rPr>
        <w:t>+</w:t>
      </w:r>
      <w:r w:rsidRPr="00766EC7">
        <w:rPr>
          <w:rFonts w:ascii="Times New Roman" w:hAnsi="Times New Roman" w:cs="Times New Roman"/>
          <w:sz w:val="21"/>
          <w:szCs w:val="21"/>
        </w:rPr>
        <w:t>人工智能</w:t>
      </w:r>
      <w:r w:rsidRPr="00766EC7">
        <w:rPr>
          <w:rFonts w:ascii="Times New Roman" w:hAnsi="Times New Roman" w:cs="Times New Roman"/>
          <w:sz w:val="21"/>
          <w:szCs w:val="21"/>
        </w:rPr>
        <w:t>+</w:t>
      </w:r>
      <w:r w:rsidRPr="00766EC7">
        <w:rPr>
          <w:rFonts w:ascii="Times New Roman" w:hAnsi="Times New Roman" w:cs="Times New Roman"/>
          <w:sz w:val="21"/>
          <w:szCs w:val="21"/>
        </w:rPr>
        <w:t>医疗服务</w:t>
      </w:r>
      <w:r w:rsidRPr="00766EC7">
        <w:rPr>
          <w:rFonts w:ascii="Times New Roman" w:hAnsi="Times New Roman" w:cs="Times New Roman"/>
          <w:sz w:val="21"/>
          <w:szCs w:val="21"/>
        </w:rPr>
        <w:t>”</w:t>
      </w:r>
      <w:r w:rsidRPr="00766EC7">
        <w:rPr>
          <w:rFonts w:ascii="Times New Roman" w:hAnsi="Times New Roman" w:cs="Times New Roman"/>
          <w:sz w:val="21"/>
          <w:szCs w:val="21"/>
        </w:rPr>
        <w:t>的糖尿病及相关慢病数字管理模式，实现</w:t>
      </w:r>
      <w:r w:rsidRPr="00766EC7">
        <w:rPr>
          <w:rFonts w:ascii="Times New Roman" w:hAnsi="Times New Roman" w:cs="Times New Roman"/>
          <w:sz w:val="21"/>
          <w:szCs w:val="21"/>
        </w:rPr>
        <w:t>“</w:t>
      </w:r>
      <w:r w:rsidRPr="00766EC7">
        <w:rPr>
          <w:rFonts w:ascii="Times New Roman" w:hAnsi="Times New Roman" w:cs="Times New Roman"/>
          <w:sz w:val="21"/>
          <w:szCs w:val="21"/>
        </w:rPr>
        <w:t>感知</w:t>
      </w:r>
      <w:r w:rsidRPr="00766EC7">
        <w:rPr>
          <w:rFonts w:ascii="Times New Roman" w:hAnsi="Times New Roman" w:cs="Times New Roman"/>
          <w:sz w:val="21"/>
          <w:szCs w:val="21"/>
        </w:rPr>
        <w:t>+</w:t>
      </w:r>
      <w:r w:rsidRPr="00766EC7">
        <w:rPr>
          <w:rFonts w:ascii="Times New Roman" w:hAnsi="Times New Roman" w:cs="Times New Roman"/>
          <w:sz w:val="21"/>
          <w:szCs w:val="21"/>
        </w:rPr>
        <w:t>评估</w:t>
      </w:r>
      <w:r w:rsidRPr="00766EC7">
        <w:rPr>
          <w:rFonts w:ascii="Times New Roman" w:hAnsi="Times New Roman" w:cs="Times New Roman"/>
          <w:sz w:val="21"/>
          <w:szCs w:val="21"/>
        </w:rPr>
        <w:t>+</w:t>
      </w:r>
      <w:r w:rsidRPr="00766EC7">
        <w:rPr>
          <w:rFonts w:ascii="Times New Roman" w:hAnsi="Times New Roman" w:cs="Times New Roman"/>
          <w:sz w:val="21"/>
          <w:szCs w:val="21"/>
        </w:rPr>
        <w:t>干预</w:t>
      </w:r>
      <w:r w:rsidRPr="00766EC7">
        <w:rPr>
          <w:rFonts w:ascii="Times New Roman" w:hAnsi="Times New Roman" w:cs="Times New Roman"/>
          <w:sz w:val="21"/>
          <w:szCs w:val="21"/>
        </w:rPr>
        <w:t>”</w:t>
      </w:r>
      <w:r w:rsidRPr="00766EC7">
        <w:rPr>
          <w:rFonts w:ascii="Times New Roman" w:hAnsi="Times New Roman" w:cs="Times New Roman"/>
          <w:sz w:val="21"/>
          <w:szCs w:val="21"/>
        </w:rPr>
        <w:t>的糖尿病智慧管理闭环。依托核心技术与产品优势，公司为慢病防治提供创新性、系统性的智慧医疗解决方案，助力</w:t>
      </w:r>
      <w:r w:rsidRPr="00766EC7">
        <w:rPr>
          <w:rFonts w:ascii="Times New Roman" w:hAnsi="Times New Roman" w:cs="Times New Roman"/>
          <w:sz w:val="21"/>
          <w:szCs w:val="21"/>
        </w:rPr>
        <w:t>“</w:t>
      </w:r>
      <w:r w:rsidRPr="00766EC7">
        <w:rPr>
          <w:rFonts w:ascii="Times New Roman" w:hAnsi="Times New Roman" w:cs="Times New Roman"/>
          <w:sz w:val="21"/>
          <w:szCs w:val="21"/>
        </w:rPr>
        <w:t>全球领先的糖尿病数字管理专家</w:t>
      </w:r>
      <w:r w:rsidRPr="00766EC7">
        <w:rPr>
          <w:rFonts w:ascii="Times New Roman" w:hAnsi="Times New Roman" w:cs="Times New Roman"/>
          <w:sz w:val="21"/>
          <w:szCs w:val="21"/>
        </w:rPr>
        <w:t>”</w:t>
      </w:r>
      <w:r w:rsidRPr="00766EC7">
        <w:rPr>
          <w:rFonts w:ascii="Times New Roman" w:hAnsi="Times New Roman" w:cs="Times New Roman"/>
          <w:sz w:val="21"/>
          <w:szCs w:val="21"/>
        </w:rPr>
        <w:t>战略愿景的实现。</w:t>
      </w:r>
    </w:p>
    <w:p w14:paraId="39B6650C" w14:textId="77777777" w:rsidR="00113A51" w:rsidRPr="001E2F30" w:rsidRDefault="00766EC7">
      <w:pPr>
        <w:spacing w:beforeLines="50" w:before="156" w:afterLines="50" w:after="156" w:line="360" w:lineRule="auto"/>
        <w:ind w:firstLine="420"/>
        <w:jc w:val="both"/>
        <w:rPr>
          <w:rFonts w:ascii="Times New Roman" w:eastAsia="宋体" w:hAnsi="Times New Roman"/>
          <w:b/>
          <w:szCs w:val="21"/>
        </w:rPr>
      </w:pPr>
      <w:r w:rsidRPr="001E2F30">
        <w:rPr>
          <w:rFonts w:ascii="Times New Roman" w:eastAsia="宋体" w:hAnsi="Times New Roman"/>
          <w:b/>
          <w:szCs w:val="21"/>
        </w:rPr>
        <w:t>（二）主要产品及服务</w:t>
      </w:r>
    </w:p>
    <w:p w14:paraId="576469D7"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1</w:t>
      </w:r>
      <w:r w:rsidRPr="001E2F30">
        <w:rPr>
          <w:rFonts w:ascii="Times New Roman" w:hAnsi="Times New Roman" w:cs="Times New Roman"/>
          <w:sz w:val="21"/>
          <w:szCs w:val="21"/>
        </w:rPr>
        <w:t>、家用医疗产品：</w:t>
      </w:r>
      <w:r w:rsidRPr="001E2F30">
        <w:rPr>
          <w:rFonts w:hint="eastAsia"/>
          <w:sz w:val="21"/>
          <w:szCs w:val="21"/>
        </w:rPr>
        <w:t>①</w:t>
      </w:r>
      <w:r w:rsidRPr="001E2F30">
        <w:rPr>
          <w:rFonts w:ascii="Times New Roman" w:hAnsi="Times New Roman" w:cs="Times New Roman"/>
          <w:sz w:val="21"/>
          <w:szCs w:val="21"/>
        </w:rPr>
        <w:t>“</w:t>
      </w:r>
      <w:r w:rsidRPr="001E2F30">
        <w:rPr>
          <w:rFonts w:ascii="Times New Roman" w:hAnsi="Times New Roman" w:cs="Times New Roman"/>
          <w:sz w:val="21"/>
          <w:szCs w:val="21"/>
        </w:rPr>
        <w:t>三诺爱看动态血糖仪</w:t>
      </w:r>
      <w:r w:rsidRPr="001E2F30">
        <w:rPr>
          <w:rFonts w:ascii="Times New Roman" w:hAnsi="Times New Roman" w:cs="Times New Roman"/>
          <w:sz w:val="21"/>
          <w:szCs w:val="21"/>
        </w:rPr>
        <w:t>”</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安稳</w:t>
      </w:r>
      <w:r w:rsidRPr="001E2F30">
        <w:rPr>
          <w:rFonts w:ascii="Times New Roman" w:hAnsi="Times New Roman" w:cs="Times New Roman"/>
          <w:sz w:val="21"/>
          <w:szCs w:val="21"/>
        </w:rPr>
        <w:t>+”</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金</w:t>
      </w:r>
      <w:r w:rsidRPr="001E2F30">
        <w:rPr>
          <w:rFonts w:ascii="Times New Roman" w:hAnsi="Times New Roman" w:cs="Times New Roman"/>
          <w:sz w:val="21"/>
          <w:szCs w:val="21"/>
        </w:rPr>
        <w:t>”</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优</w:t>
      </w:r>
      <w:r w:rsidRPr="001E2F30">
        <w:rPr>
          <w:rFonts w:ascii="Times New Roman" w:hAnsi="Times New Roman" w:cs="Times New Roman"/>
          <w:sz w:val="21"/>
          <w:szCs w:val="21"/>
        </w:rPr>
        <w:t>”</w:t>
      </w:r>
      <w:r w:rsidRPr="001E2F30">
        <w:rPr>
          <w:rFonts w:ascii="Times New Roman" w:hAnsi="Times New Roman" w:cs="Times New Roman"/>
          <w:sz w:val="21"/>
          <w:szCs w:val="21"/>
        </w:rPr>
        <w:t>系列、</w:t>
      </w:r>
      <w:r w:rsidRPr="001E2F30">
        <w:rPr>
          <w:rFonts w:ascii="Times New Roman" w:hAnsi="Times New Roman" w:cs="Times New Roman"/>
          <w:sz w:val="21"/>
          <w:szCs w:val="21"/>
        </w:rPr>
        <w:t>“GA”</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智能</w:t>
      </w:r>
      <w:r w:rsidRPr="001E2F30">
        <w:rPr>
          <w:rFonts w:ascii="Times New Roman" w:hAnsi="Times New Roman" w:cs="Times New Roman"/>
          <w:sz w:val="21"/>
          <w:szCs w:val="21"/>
        </w:rPr>
        <w:t>”</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真睿</w:t>
      </w:r>
      <w:r w:rsidRPr="001E2F30">
        <w:rPr>
          <w:rFonts w:ascii="Times New Roman" w:hAnsi="Times New Roman" w:cs="Times New Roman"/>
          <w:sz w:val="21"/>
          <w:szCs w:val="21"/>
        </w:rPr>
        <w:t>”</w:t>
      </w:r>
      <w:r w:rsidRPr="001E2F30">
        <w:rPr>
          <w:rFonts w:ascii="Times New Roman" w:hAnsi="Times New Roman" w:cs="Times New Roman"/>
          <w:sz w:val="21"/>
          <w:szCs w:val="21"/>
        </w:rPr>
        <w:t>系列等不同系列血糖监测产品；</w:t>
      </w:r>
      <w:r w:rsidRPr="001E2F30">
        <w:rPr>
          <w:rFonts w:hint="eastAsia"/>
          <w:sz w:val="21"/>
          <w:szCs w:val="21"/>
        </w:rPr>
        <w:t>②</w:t>
      </w:r>
      <w:r w:rsidRPr="001E2F30">
        <w:rPr>
          <w:rFonts w:ascii="Times New Roman" w:hAnsi="Times New Roman" w:cs="Times New Roman"/>
          <w:sz w:val="21"/>
          <w:szCs w:val="21"/>
        </w:rPr>
        <w:t>“UA”</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捷准</w:t>
      </w:r>
      <w:r w:rsidRPr="001E2F30">
        <w:rPr>
          <w:rFonts w:ascii="Times New Roman" w:hAnsi="Times New Roman" w:cs="Times New Roman"/>
          <w:sz w:val="21"/>
          <w:szCs w:val="21"/>
        </w:rPr>
        <w:t>”</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捷巧</w:t>
      </w:r>
      <w:r w:rsidRPr="001E2F30">
        <w:rPr>
          <w:rFonts w:ascii="Times New Roman" w:hAnsi="Times New Roman" w:cs="Times New Roman"/>
          <w:sz w:val="21"/>
          <w:szCs w:val="21"/>
        </w:rPr>
        <w:t>”</w:t>
      </w:r>
      <w:r w:rsidRPr="001E2F30">
        <w:rPr>
          <w:rFonts w:ascii="Times New Roman" w:hAnsi="Times New Roman" w:cs="Times New Roman"/>
          <w:sz w:val="21"/>
          <w:szCs w:val="21"/>
        </w:rPr>
        <w:t>系列等不同系列的尿酸监测产品；</w:t>
      </w:r>
      <w:r w:rsidRPr="001E2F30">
        <w:rPr>
          <w:rFonts w:hint="eastAsia"/>
          <w:sz w:val="21"/>
          <w:szCs w:val="21"/>
        </w:rPr>
        <w:t>③</w:t>
      </w:r>
      <w:r w:rsidRPr="001E2F30">
        <w:rPr>
          <w:rFonts w:ascii="Times New Roman" w:hAnsi="Times New Roman" w:cs="Times New Roman"/>
          <w:sz w:val="21"/>
          <w:szCs w:val="21"/>
        </w:rPr>
        <w:t>“EA”</w:t>
      </w:r>
      <w:r w:rsidRPr="001E2F30">
        <w:rPr>
          <w:rFonts w:ascii="Times New Roman" w:hAnsi="Times New Roman" w:cs="Times New Roman"/>
          <w:sz w:val="21"/>
          <w:szCs w:val="21"/>
        </w:rPr>
        <w:t>系列、</w:t>
      </w:r>
      <w:r w:rsidRPr="001E2F30">
        <w:rPr>
          <w:rFonts w:ascii="Times New Roman" w:hAnsi="Times New Roman" w:cs="Times New Roman"/>
          <w:sz w:val="21"/>
          <w:szCs w:val="21"/>
        </w:rPr>
        <w:t>“UG”</w:t>
      </w:r>
      <w:r w:rsidRPr="001E2F30">
        <w:rPr>
          <w:rFonts w:ascii="Times New Roman" w:hAnsi="Times New Roman" w:cs="Times New Roman"/>
          <w:sz w:val="21"/>
          <w:szCs w:val="21"/>
        </w:rPr>
        <w:t>系列、</w:t>
      </w:r>
      <w:r w:rsidRPr="001E2F30">
        <w:rPr>
          <w:rFonts w:ascii="Times New Roman" w:hAnsi="Times New Roman" w:cs="Times New Roman"/>
          <w:sz w:val="21"/>
          <w:szCs w:val="21"/>
        </w:rPr>
        <w:t>“</w:t>
      </w:r>
      <w:r w:rsidRPr="001E2F30">
        <w:rPr>
          <w:rFonts w:ascii="Times New Roman" w:hAnsi="Times New Roman" w:cs="Times New Roman"/>
          <w:sz w:val="21"/>
          <w:szCs w:val="21"/>
        </w:rPr>
        <w:t>捷优</w:t>
      </w:r>
      <w:r w:rsidRPr="001E2F30">
        <w:rPr>
          <w:rFonts w:ascii="Times New Roman" w:hAnsi="Times New Roman" w:cs="Times New Roman"/>
          <w:sz w:val="21"/>
          <w:szCs w:val="21"/>
        </w:rPr>
        <w:t>”</w:t>
      </w:r>
      <w:r w:rsidRPr="001E2F30">
        <w:rPr>
          <w:rFonts w:ascii="Times New Roman" w:hAnsi="Times New Roman" w:cs="Times New Roman"/>
          <w:sz w:val="21"/>
          <w:szCs w:val="21"/>
        </w:rPr>
        <w:t>系列等不同系列的血糖尿酸双功能检测仪；</w:t>
      </w:r>
      <w:r w:rsidRPr="001E2F30">
        <w:rPr>
          <w:rFonts w:hint="eastAsia"/>
          <w:sz w:val="21"/>
          <w:szCs w:val="21"/>
        </w:rPr>
        <w:t>④</w:t>
      </w:r>
      <w:r w:rsidRPr="001E2F30">
        <w:rPr>
          <w:rFonts w:ascii="Times New Roman" w:hAnsi="Times New Roman" w:cs="Times New Roman"/>
          <w:sz w:val="21"/>
          <w:szCs w:val="21"/>
        </w:rPr>
        <w:t>臂式血压计、腕式血压计、血压血糖尿酸多功能检测仪；</w:t>
      </w:r>
      <w:r w:rsidRPr="001E2F30">
        <w:rPr>
          <w:rFonts w:hint="eastAsia"/>
          <w:sz w:val="21"/>
          <w:szCs w:val="21"/>
        </w:rPr>
        <w:t>⑤</w:t>
      </w:r>
      <w:r w:rsidRPr="001E2F30">
        <w:rPr>
          <w:rFonts w:ascii="Times New Roman" w:hAnsi="Times New Roman" w:cs="Times New Roman"/>
          <w:sz w:val="21"/>
          <w:szCs w:val="21"/>
        </w:rPr>
        <w:t>境外子公司</w:t>
      </w:r>
      <w:r w:rsidRPr="001E2F30">
        <w:rPr>
          <w:rFonts w:ascii="Times New Roman" w:hAnsi="Times New Roman" w:cs="Times New Roman"/>
          <w:sz w:val="21"/>
          <w:szCs w:val="21"/>
        </w:rPr>
        <w:t>PTS</w:t>
      </w:r>
      <w:r w:rsidRPr="001E2F30">
        <w:rPr>
          <w:rFonts w:ascii="Times New Roman" w:hAnsi="Times New Roman" w:cs="Times New Roman"/>
          <w:sz w:val="21"/>
          <w:szCs w:val="21"/>
        </w:rPr>
        <w:t>拥有</w:t>
      </w:r>
      <w:r w:rsidRPr="001E2F30">
        <w:rPr>
          <w:rFonts w:ascii="Times New Roman" w:hAnsi="Times New Roman" w:cs="Times New Roman"/>
          <w:sz w:val="21"/>
          <w:szCs w:val="21"/>
        </w:rPr>
        <w:t>“A1C Now+”</w:t>
      </w:r>
      <w:r w:rsidRPr="001E2F30">
        <w:rPr>
          <w:rFonts w:ascii="Times New Roman" w:hAnsi="Times New Roman" w:cs="Times New Roman"/>
          <w:sz w:val="21"/>
          <w:szCs w:val="21"/>
        </w:rPr>
        <w:t>糖化血红蛋白检测系统、</w:t>
      </w:r>
      <w:r w:rsidRPr="001E2F30">
        <w:rPr>
          <w:rFonts w:ascii="Times New Roman" w:hAnsi="Times New Roman" w:cs="Times New Roman"/>
          <w:sz w:val="21"/>
          <w:szCs w:val="21"/>
        </w:rPr>
        <w:t>“Cardio Chek”</w:t>
      </w:r>
      <w:r w:rsidRPr="001E2F30">
        <w:rPr>
          <w:rFonts w:ascii="Times New Roman" w:hAnsi="Times New Roman" w:cs="Times New Roman"/>
          <w:sz w:val="21"/>
          <w:szCs w:val="21"/>
        </w:rPr>
        <w:t>血脂检测系统产品；</w:t>
      </w:r>
      <w:r w:rsidRPr="001E2F30">
        <w:rPr>
          <w:rFonts w:hint="eastAsia"/>
          <w:sz w:val="21"/>
          <w:szCs w:val="21"/>
        </w:rPr>
        <w:t>⑥</w:t>
      </w:r>
      <w:r w:rsidRPr="001E2F30">
        <w:rPr>
          <w:rFonts w:ascii="Times New Roman" w:hAnsi="Times New Roman" w:cs="Times New Roman"/>
          <w:sz w:val="21"/>
          <w:szCs w:val="21"/>
        </w:rPr>
        <w:t>境外子公司</w:t>
      </w:r>
      <w:r w:rsidRPr="001E2F30">
        <w:rPr>
          <w:rFonts w:ascii="Times New Roman" w:hAnsi="Times New Roman" w:cs="Times New Roman"/>
          <w:sz w:val="21"/>
          <w:szCs w:val="21"/>
        </w:rPr>
        <w:t>Trividia</w:t>
      </w:r>
      <w:r w:rsidRPr="001E2F30">
        <w:rPr>
          <w:rFonts w:ascii="Times New Roman" w:hAnsi="Times New Roman" w:cs="Times New Roman"/>
          <w:sz w:val="21"/>
          <w:szCs w:val="21"/>
        </w:rPr>
        <w:t>拥有</w:t>
      </w:r>
      <w:r w:rsidRPr="001E2F30">
        <w:rPr>
          <w:rFonts w:ascii="Times New Roman" w:hAnsi="Times New Roman" w:cs="Times New Roman"/>
          <w:sz w:val="21"/>
          <w:szCs w:val="21"/>
        </w:rPr>
        <w:t>“TRUE”</w:t>
      </w:r>
      <w:r w:rsidRPr="001E2F30">
        <w:rPr>
          <w:rFonts w:ascii="Times New Roman" w:hAnsi="Times New Roman" w:cs="Times New Roman"/>
          <w:sz w:val="21"/>
          <w:szCs w:val="21"/>
        </w:rPr>
        <w:t>系列血糖监测产品和糖尿病辅助产品（糖尿病皮肤护理产品、纤维药片和综合维他命等）。</w:t>
      </w:r>
    </w:p>
    <w:p w14:paraId="6FF7DAD2"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2</w:t>
      </w:r>
      <w:r w:rsidRPr="001E2F30">
        <w:rPr>
          <w:rFonts w:ascii="Times New Roman" w:hAnsi="Times New Roman" w:cs="Times New Roman"/>
          <w:sz w:val="21"/>
          <w:szCs w:val="21"/>
        </w:rPr>
        <w:t>、等级医院专业产品：</w:t>
      </w:r>
      <w:r w:rsidRPr="001E2F30">
        <w:rPr>
          <w:rFonts w:hint="eastAsia"/>
          <w:sz w:val="21"/>
          <w:szCs w:val="21"/>
        </w:rPr>
        <w:t>①</w:t>
      </w:r>
      <w:r w:rsidRPr="001E2F30">
        <w:rPr>
          <w:rFonts w:ascii="Times New Roman" w:hAnsi="Times New Roman" w:cs="Times New Roman"/>
          <w:sz w:val="21"/>
          <w:szCs w:val="21"/>
        </w:rPr>
        <w:t>“</w:t>
      </w:r>
      <w:r w:rsidRPr="001E2F30">
        <w:rPr>
          <w:rFonts w:ascii="Times New Roman" w:hAnsi="Times New Roman" w:cs="Times New Roman"/>
          <w:sz w:val="21"/>
          <w:szCs w:val="21"/>
        </w:rPr>
        <w:t>三诺爱看动态血糖仪</w:t>
      </w:r>
      <w:r w:rsidRPr="001E2F30">
        <w:rPr>
          <w:rFonts w:ascii="Times New Roman" w:hAnsi="Times New Roman" w:cs="Times New Roman"/>
          <w:sz w:val="21"/>
          <w:szCs w:val="21"/>
        </w:rPr>
        <w:t>”</w:t>
      </w:r>
      <w:r w:rsidRPr="001E2F30">
        <w:rPr>
          <w:rFonts w:ascii="Times New Roman" w:hAnsi="Times New Roman" w:cs="Times New Roman"/>
          <w:sz w:val="21"/>
          <w:szCs w:val="21"/>
        </w:rPr>
        <w:t>系列，院内手持式</w:t>
      </w:r>
      <w:r w:rsidRPr="001E2F30">
        <w:rPr>
          <w:rFonts w:ascii="Times New Roman" w:hAnsi="Times New Roman" w:cs="Times New Roman"/>
          <w:sz w:val="21"/>
          <w:szCs w:val="21"/>
        </w:rPr>
        <w:t>“</w:t>
      </w:r>
      <w:r w:rsidRPr="001E2F30">
        <w:rPr>
          <w:rFonts w:ascii="Times New Roman" w:hAnsi="Times New Roman" w:cs="Times New Roman"/>
          <w:sz w:val="21"/>
          <w:szCs w:val="21"/>
        </w:rPr>
        <w:t>臻准</w:t>
      </w:r>
      <w:r w:rsidRPr="001E2F30">
        <w:rPr>
          <w:rFonts w:ascii="Times New Roman" w:hAnsi="Times New Roman" w:cs="Times New Roman"/>
          <w:sz w:val="21"/>
          <w:szCs w:val="21"/>
        </w:rPr>
        <w:t>”“</w:t>
      </w:r>
      <w:r w:rsidRPr="001E2F30">
        <w:rPr>
          <w:rFonts w:ascii="Times New Roman" w:hAnsi="Times New Roman" w:cs="Times New Roman"/>
          <w:sz w:val="21"/>
          <w:szCs w:val="21"/>
        </w:rPr>
        <w:t>金准</w:t>
      </w:r>
      <w:r w:rsidRPr="001E2F30">
        <w:rPr>
          <w:rFonts w:ascii="Times New Roman" w:hAnsi="Times New Roman" w:cs="Times New Roman"/>
          <w:sz w:val="21"/>
          <w:szCs w:val="21"/>
        </w:rPr>
        <w:t>+/</w:t>
      </w:r>
      <w:r w:rsidRPr="001E2F30">
        <w:rPr>
          <w:rFonts w:ascii="Times New Roman" w:hAnsi="Times New Roman" w:cs="Times New Roman"/>
          <w:sz w:val="21"/>
          <w:szCs w:val="21"/>
        </w:rPr>
        <w:t>金准</w:t>
      </w:r>
      <w:r w:rsidRPr="001E2F30">
        <w:rPr>
          <w:rFonts w:ascii="Times New Roman" w:hAnsi="Times New Roman" w:cs="Times New Roman"/>
          <w:sz w:val="21"/>
          <w:szCs w:val="21"/>
        </w:rPr>
        <w:t>+Air”“</w:t>
      </w:r>
      <w:r w:rsidRPr="001E2F30">
        <w:rPr>
          <w:rFonts w:ascii="Times New Roman" w:hAnsi="Times New Roman" w:cs="Times New Roman"/>
          <w:sz w:val="21"/>
          <w:szCs w:val="21"/>
        </w:rPr>
        <w:t>安捷</w:t>
      </w:r>
      <w:r w:rsidRPr="001E2F30">
        <w:rPr>
          <w:rFonts w:ascii="Times New Roman" w:hAnsi="Times New Roman" w:cs="Times New Roman"/>
          <w:sz w:val="21"/>
          <w:szCs w:val="21"/>
        </w:rPr>
        <w:t>”</w:t>
      </w:r>
      <w:r w:rsidRPr="001E2F30">
        <w:rPr>
          <w:rFonts w:ascii="Times New Roman" w:hAnsi="Times New Roman" w:cs="Times New Roman"/>
          <w:sz w:val="21"/>
          <w:szCs w:val="21"/>
        </w:rPr>
        <w:t>等不同系列的医用血糖监测产品；</w:t>
      </w:r>
      <w:r w:rsidRPr="001E2F30">
        <w:rPr>
          <w:rFonts w:hint="eastAsia"/>
          <w:sz w:val="21"/>
          <w:szCs w:val="21"/>
        </w:rPr>
        <w:t>②</w:t>
      </w:r>
      <w:r w:rsidRPr="001E2F30">
        <w:rPr>
          <w:rFonts w:ascii="Times New Roman" w:hAnsi="Times New Roman" w:cs="Times New Roman"/>
          <w:sz w:val="21"/>
          <w:szCs w:val="21"/>
        </w:rPr>
        <w:t>院内手持式</w:t>
      </w:r>
      <w:r w:rsidRPr="001E2F30">
        <w:rPr>
          <w:rFonts w:ascii="Times New Roman" w:hAnsi="Times New Roman" w:cs="Times New Roman"/>
          <w:sz w:val="21"/>
          <w:szCs w:val="21"/>
        </w:rPr>
        <w:t>“EA”</w:t>
      </w:r>
      <w:r w:rsidRPr="001E2F30">
        <w:rPr>
          <w:rFonts w:ascii="Times New Roman" w:hAnsi="Times New Roman" w:cs="Times New Roman"/>
          <w:sz w:val="21"/>
          <w:szCs w:val="21"/>
        </w:rPr>
        <w:t>系列血糖尿酸检测仪、</w:t>
      </w:r>
      <w:r w:rsidRPr="001E2F30">
        <w:rPr>
          <w:rFonts w:ascii="Times New Roman" w:hAnsi="Times New Roman" w:cs="Times New Roman"/>
          <w:sz w:val="21"/>
          <w:szCs w:val="21"/>
        </w:rPr>
        <w:t>“KA”</w:t>
      </w:r>
      <w:r w:rsidRPr="001E2F30">
        <w:rPr>
          <w:rFonts w:ascii="Times New Roman" w:hAnsi="Times New Roman" w:cs="Times New Roman"/>
          <w:sz w:val="21"/>
          <w:szCs w:val="21"/>
        </w:rPr>
        <w:t>系列血糖血酮检测仪等医用双功能监测产品；</w:t>
      </w:r>
      <w:r w:rsidRPr="001E2F30">
        <w:rPr>
          <w:rFonts w:hint="eastAsia"/>
          <w:sz w:val="21"/>
          <w:szCs w:val="21"/>
        </w:rPr>
        <w:t>③</w:t>
      </w:r>
      <w:r w:rsidRPr="001E2F30">
        <w:rPr>
          <w:rFonts w:ascii="Times New Roman" w:hAnsi="Times New Roman" w:cs="Times New Roman"/>
          <w:sz w:val="21"/>
          <w:szCs w:val="21"/>
        </w:rPr>
        <w:t>院内外一体化糖尿病管理，通过搭建一体化慢病管理平台，连通慢病患者院内外信息，将住院患者血糖管理和出院患者自我监测智能结合，实现医患交流、线上复诊、跟踪随访等院内外全病程管理，引导患者自我管理；</w:t>
      </w:r>
      <w:r w:rsidRPr="001E2F30">
        <w:rPr>
          <w:rFonts w:hint="eastAsia"/>
          <w:sz w:val="21"/>
          <w:szCs w:val="21"/>
        </w:rPr>
        <w:t>④</w:t>
      </w:r>
      <w:r w:rsidRPr="001E2F30">
        <w:rPr>
          <w:rFonts w:ascii="Times New Roman" w:hAnsi="Times New Roman" w:cs="Times New Roman"/>
          <w:sz w:val="21"/>
          <w:szCs w:val="21"/>
        </w:rPr>
        <w:t>iPOCT</w:t>
      </w:r>
      <w:r w:rsidRPr="001E2F30">
        <w:rPr>
          <w:rFonts w:ascii="Times New Roman" w:hAnsi="Times New Roman" w:cs="Times New Roman"/>
          <w:sz w:val="21"/>
          <w:szCs w:val="21"/>
        </w:rPr>
        <w:t>检测系统（含分析仪及配套检测试剂或者配套检测试条），主要用于糖尿病及相关慢病的相关指标检测；</w:t>
      </w:r>
      <w:r w:rsidRPr="001E2F30">
        <w:rPr>
          <w:rFonts w:hint="eastAsia"/>
          <w:sz w:val="21"/>
          <w:szCs w:val="21"/>
        </w:rPr>
        <w:t>⑤</w:t>
      </w:r>
      <w:r w:rsidRPr="001E2F30">
        <w:rPr>
          <w:rFonts w:ascii="Times New Roman" w:hAnsi="Times New Roman" w:cs="Times New Roman"/>
          <w:sz w:val="21"/>
          <w:szCs w:val="21"/>
        </w:rPr>
        <w:t>AGEscan</w:t>
      </w:r>
      <w:r w:rsidRPr="001E2F30">
        <w:rPr>
          <w:rFonts w:ascii="Times New Roman" w:hAnsi="Times New Roman" w:cs="Times New Roman"/>
          <w:sz w:val="21"/>
          <w:szCs w:val="21"/>
        </w:rPr>
        <w:t>晚期糖基化终末产物荧光检测仪，主要用于糖尿病风险无创筛查。</w:t>
      </w:r>
    </w:p>
    <w:p w14:paraId="493B8847"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3</w:t>
      </w:r>
      <w:r w:rsidRPr="001E2F30">
        <w:rPr>
          <w:rFonts w:ascii="Times New Roman" w:hAnsi="Times New Roman" w:cs="Times New Roman"/>
          <w:sz w:val="21"/>
          <w:szCs w:val="21"/>
        </w:rPr>
        <w:t>、基层医疗专业产品：</w:t>
      </w:r>
      <w:r w:rsidRPr="001E2F30">
        <w:rPr>
          <w:rFonts w:hint="eastAsia"/>
          <w:sz w:val="21"/>
          <w:szCs w:val="21"/>
        </w:rPr>
        <w:t>①</w:t>
      </w:r>
      <w:r w:rsidRPr="001E2F30">
        <w:rPr>
          <w:rFonts w:ascii="Times New Roman" w:hAnsi="Times New Roman" w:cs="Times New Roman"/>
          <w:sz w:val="21"/>
          <w:szCs w:val="21"/>
        </w:rPr>
        <w:t>iPOCT</w:t>
      </w:r>
      <w:r w:rsidRPr="001E2F30">
        <w:rPr>
          <w:rFonts w:ascii="Times New Roman" w:hAnsi="Times New Roman" w:cs="Times New Roman"/>
          <w:sz w:val="21"/>
          <w:szCs w:val="21"/>
        </w:rPr>
        <w:t>检测系统（含分析仪及配套检测试剂或者配套检测试条），涵盖</w:t>
      </w:r>
      <w:r w:rsidRPr="001E2F30">
        <w:rPr>
          <w:rFonts w:ascii="Times New Roman" w:hAnsi="Times New Roman" w:cs="Times New Roman"/>
          <w:sz w:val="21"/>
          <w:szCs w:val="21"/>
        </w:rPr>
        <w:t>iCARE</w:t>
      </w:r>
      <w:r w:rsidRPr="001E2F30">
        <w:rPr>
          <w:rFonts w:ascii="Times New Roman" w:hAnsi="Times New Roman" w:cs="Times New Roman"/>
          <w:sz w:val="21"/>
          <w:szCs w:val="21"/>
        </w:rPr>
        <w:t>、</w:t>
      </w:r>
      <w:r w:rsidRPr="001E2F30">
        <w:rPr>
          <w:rFonts w:ascii="Times New Roman" w:hAnsi="Times New Roman" w:cs="Times New Roman"/>
          <w:sz w:val="21"/>
          <w:szCs w:val="21"/>
        </w:rPr>
        <w:t>PCH</w:t>
      </w:r>
      <w:r w:rsidRPr="001E2F30">
        <w:rPr>
          <w:rFonts w:ascii="Times New Roman" w:hAnsi="Times New Roman" w:cs="Times New Roman"/>
          <w:sz w:val="21"/>
          <w:szCs w:val="21"/>
        </w:rPr>
        <w:t>、</w:t>
      </w:r>
      <w:r w:rsidRPr="001E2F30">
        <w:rPr>
          <w:rFonts w:ascii="Times New Roman" w:hAnsi="Times New Roman" w:cs="Times New Roman"/>
          <w:sz w:val="21"/>
          <w:szCs w:val="21"/>
        </w:rPr>
        <w:t>PABA</w:t>
      </w:r>
      <w:r w:rsidRPr="001E2F30">
        <w:rPr>
          <w:rFonts w:ascii="Times New Roman" w:hAnsi="Times New Roman" w:cs="Times New Roman"/>
          <w:sz w:val="21"/>
          <w:szCs w:val="21"/>
        </w:rPr>
        <w:t>等系列。其中</w:t>
      </w:r>
      <w:r w:rsidRPr="001E2F30">
        <w:rPr>
          <w:rFonts w:ascii="Times New Roman" w:hAnsi="Times New Roman" w:cs="Times New Roman"/>
          <w:sz w:val="21"/>
          <w:szCs w:val="21"/>
        </w:rPr>
        <w:t>iCARE</w:t>
      </w:r>
      <w:r w:rsidRPr="001E2F30">
        <w:rPr>
          <w:rFonts w:ascii="Times New Roman" w:hAnsi="Times New Roman" w:cs="Times New Roman"/>
          <w:sz w:val="21"/>
          <w:szCs w:val="21"/>
        </w:rPr>
        <w:t>系列可实现多指标检测、</w:t>
      </w:r>
      <w:r w:rsidRPr="001E2F30">
        <w:rPr>
          <w:rFonts w:ascii="Times New Roman" w:hAnsi="Times New Roman" w:cs="Times New Roman"/>
          <w:sz w:val="21"/>
          <w:szCs w:val="21"/>
        </w:rPr>
        <w:t>3-15</w:t>
      </w:r>
      <w:r w:rsidRPr="001E2F30">
        <w:rPr>
          <w:rFonts w:ascii="Times New Roman" w:hAnsi="Times New Roman" w:cs="Times New Roman"/>
          <w:sz w:val="21"/>
          <w:szCs w:val="21"/>
        </w:rPr>
        <w:t>分钟出结果，具备便携、全自动操作优势；</w:t>
      </w:r>
      <w:r w:rsidRPr="001E2F30">
        <w:rPr>
          <w:rFonts w:ascii="Times New Roman" w:hAnsi="Times New Roman" w:cs="Times New Roman"/>
          <w:sz w:val="21"/>
          <w:szCs w:val="21"/>
        </w:rPr>
        <w:t>PCH</w:t>
      </w:r>
      <w:r w:rsidRPr="001E2F30">
        <w:rPr>
          <w:rFonts w:ascii="Times New Roman" w:hAnsi="Times New Roman" w:cs="Times New Roman"/>
          <w:sz w:val="21"/>
          <w:szCs w:val="21"/>
        </w:rPr>
        <w:t>系列可快速检测糖化血红蛋白；</w:t>
      </w:r>
      <w:r w:rsidRPr="001E2F30">
        <w:rPr>
          <w:rFonts w:ascii="Times New Roman" w:hAnsi="Times New Roman" w:cs="Times New Roman"/>
          <w:sz w:val="21"/>
          <w:szCs w:val="21"/>
        </w:rPr>
        <w:t>PABA</w:t>
      </w:r>
      <w:r w:rsidRPr="001E2F30">
        <w:rPr>
          <w:rFonts w:ascii="Times New Roman" w:hAnsi="Times New Roman" w:cs="Times New Roman"/>
          <w:sz w:val="21"/>
          <w:szCs w:val="21"/>
        </w:rPr>
        <w:t>系列可检测尿微量白蛋白等指标；</w:t>
      </w:r>
      <w:r w:rsidRPr="001E2F30">
        <w:rPr>
          <w:rFonts w:hint="eastAsia"/>
          <w:sz w:val="21"/>
          <w:szCs w:val="21"/>
        </w:rPr>
        <w:t>②</w:t>
      </w:r>
      <w:r w:rsidRPr="001E2F30">
        <w:rPr>
          <w:rFonts w:ascii="Times New Roman" w:hAnsi="Times New Roman" w:cs="Times New Roman"/>
          <w:sz w:val="21"/>
          <w:szCs w:val="21"/>
        </w:rPr>
        <w:t>手持式检测系统，涵盖血糖、血脂、尿酸等单功能或双功能检测仪器，操作简单、快速结果，可满足基层慢病日常监测与初步筛查需求；</w:t>
      </w:r>
      <w:r w:rsidRPr="001E2F30">
        <w:rPr>
          <w:rFonts w:hint="eastAsia"/>
          <w:sz w:val="21"/>
          <w:szCs w:val="21"/>
        </w:rPr>
        <w:t>③</w:t>
      </w:r>
      <w:r w:rsidRPr="001E2F30">
        <w:rPr>
          <w:rFonts w:ascii="Times New Roman" w:hAnsi="Times New Roman" w:cs="Times New Roman"/>
          <w:sz w:val="21"/>
          <w:szCs w:val="21"/>
        </w:rPr>
        <w:t>分钟诊所等系列产品，覆盖多项慢病指标，支持蓝牙连接、数据管理及指标解读服务，为乡镇卫生院、诊所、社区医院等基层医疗机构提供多元化的产品组合及整体化的解决方案。</w:t>
      </w:r>
    </w:p>
    <w:p w14:paraId="03508937"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4</w:t>
      </w:r>
      <w:r w:rsidRPr="001E2F30">
        <w:rPr>
          <w:rFonts w:ascii="Times New Roman" w:hAnsi="Times New Roman" w:cs="Times New Roman"/>
          <w:sz w:val="21"/>
          <w:szCs w:val="21"/>
        </w:rPr>
        <w:t>、糖尿病医疗健康服务：公司旗下三诺健康糖尿病门诊作为专注于医疗健康服务的专科门诊，为糖尿病、肥胖症、高尿酸症等代谢性疾病患者提供慢性疾病系统评估、规范治疗、全病程院内外健康管理、知识教育和心理咨询等服务。组建和完善慢病管理医疗体系，以患者为中心</w:t>
      </w:r>
      <w:r w:rsidRPr="001E2F30">
        <w:rPr>
          <w:rFonts w:ascii="Times New Roman" w:hAnsi="Times New Roman" w:cs="Times New Roman"/>
          <w:sz w:val="21"/>
          <w:szCs w:val="21"/>
        </w:rPr>
        <w:t>,</w:t>
      </w:r>
      <w:r w:rsidRPr="001E2F30">
        <w:rPr>
          <w:rFonts w:ascii="Times New Roman" w:hAnsi="Times New Roman" w:cs="Times New Roman"/>
          <w:sz w:val="21"/>
          <w:szCs w:val="21"/>
        </w:rPr>
        <w:t>以健康大数据为基础，以</w:t>
      </w:r>
      <w:r w:rsidRPr="001E2F30">
        <w:rPr>
          <w:rFonts w:ascii="Times New Roman" w:hAnsi="Times New Roman" w:cs="Times New Roman"/>
          <w:sz w:val="21"/>
          <w:szCs w:val="21"/>
        </w:rPr>
        <w:t>“</w:t>
      </w:r>
      <w:r w:rsidRPr="001E2F30">
        <w:rPr>
          <w:rFonts w:ascii="Times New Roman" w:hAnsi="Times New Roman" w:cs="Times New Roman"/>
          <w:sz w:val="21"/>
          <w:szCs w:val="21"/>
        </w:rPr>
        <w:t>互联网</w:t>
      </w:r>
      <w:r w:rsidRPr="001E2F30">
        <w:rPr>
          <w:rFonts w:ascii="Times New Roman" w:hAnsi="Times New Roman" w:cs="Times New Roman"/>
          <w:sz w:val="21"/>
          <w:szCs w:val="21"/>
        </w:rPr>
        <w:t>+”</w:t>
      </w:r>
      <w:r w:rsidRPr="001E2F30">
        <w:rPr>
          <w:rFonts w:ascii="Times New Roman" w:hAnsi="Times New Roman" w:cs="Times New Roman"/>
          <w:sz w:val="21"/>
          <w:szCs w:val="21"/>
        </w:rPr>
        <w:t>的方式为患者提供院内外全病程精细化管理服务，可满足患者精准、连续、个性化的医疗健康与慢病管理服务需求。</w:t>
      </w:r>
    </w:p>
    <w:p w14:paraId="164D5370" w14:textId="77777777" w:rsidR="00113A51" w:rsidRDefault="00766EC7">
      <w:pPr>
        <w:spacing w:before="40" w:after="40"/>
        <w:jc w:val="center"/>
      </w:pPr>
      <w:r>
        <w:rPr>
          <w:noProof/>
        </w:rPr>
        <w:drawing>
          <wp:inline distT="0" distB="0" distL="0" distR="0" wp14:anchorId="2365DFCA" wp14:editId="16470B26">
            <wp:extent cx="6120130" cy="287274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rrowheads="1"/>
                    </pic:cNvPicPr>
                  </pic:nvPicPr>
                  <pic:blipFill>
                    <a:blip r:embed="rId11"/>
                    <a:srcRect/>
                    <a:stretch>
                      <a:fillRect/>
                    </a:stretch>
                  </pic:blipFill>
                  <pic:spPr>
                    <a:xfrm>
                      <a:off x="0" y="0"/>
                      <a:ext cx="6120130" cy="2872740"/>
                    </a:xfrm>
                    <a:prstGeom prst="rect">
                      <a:avLst/>
                    </a:prstGeom>
                  </pic:spPr>
                </pic:pic>
              </a:graphicData>
            </a:graphic>
          </wp:inline>
        </w:drawing>
      </w:r>
    </w:p>
    <w:p w14:paraId="00C4D881"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报告期内，公司主要产品及服务未发生重大变化。</w:t>
      </w:r>
    </w:p>
    <w:p w14:paraId="164A5A35" w14:textId="77777777" w:rsidR="00113A51" w:rsidRPr="001E2F30" w:rsidRDefault="00766EC7">
      <w:pPr>
        <w:spacing w:beforeLines="50" w:before="156" w:afterLines="50" w:after="156" w:line="360" w:lineRule="auto"/>
        <w:ind w:firstLine="420"/>
        <w:jc w:val="both"/>
        <w:rPr>
          <w:rFonts w:ascii="Times New Roman" w:eastAsia="宋体" w:hAnsi="Times New Roman"/>
          <w:b/>
          <w:szCs w:val="21"/>
        </w:rPr>
      </w:pPr>
      <w:r>
        <w:rPr>
          <w:rFonts w:ascii="Times New Roman" w:eastAsia="宋体" w:hAnsi="Times New Roman"/>
          <w:b/>
          <w:szCs w:val="21"/>
        </w:rPr>
        <w:t>（三）经营模式</w:t>
      </w:r>
      <w:r>
        <w:rPr>
          <w:rFonts w:ascii="Times New Roman" w:eastAsia="宋体" w:hAnsi="Times New Roman"/>
          <w:b/>
          <w:szCs w:val="21"/>
        </w:rPr>
        <w:t xml:space="preserve"> </w:t>
      </w:r>
    </w:p>
    <w:p w14:paraId="1B19BA0A"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1</w:t>
      </w:r>
      <w:r w:rsidRPr="001E2F30">
        <w:rPr>
          <w:rFonts w:ascii="Times New Roman" w:hAnsi="Times New Roman" w:cs="Times New Roman"/>
          <w:sz w:val="21"/>
          <w:szCs w:val="21"/>
        </w:rPr>
        <w:t>、采购模式</w:t>
      </w:r>
      <w:r w:rsidRPr="001E2F30">
        <w:rPr>
          <w:rFonts w:ascii="Times New Roman" w:hAnsi="Times New Roman" w:cs="Times New Roman"/>
          <w:sz w:val="21"/>
          <w:szCs w:val="21"/>
        </w:rPr>
        <w:t xml:space="preserve"> </w:t>
      </w:r>
    </w:p>
    <w:p w14:paraId="4F683C47"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公司践行负责任采购理念，不断优化供应链流程管理，建立严格的供应商准入和评估体系，以数字化技术赋能供应链管理，以期实现产业链协同发展。</w:t>
      </w:r>
    </w:p>
    <w:p w14:paraId="03C66B11"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公司采购部与质保部、工艺部负责筛选供应商，从选择供应商开始严格把关，根据企业资质、质量保证能力、生产能力、响应速度和服务水平等进行全方位评审，在过程中对供应商绩效进行监控并辅导改善，定期根据供应商的绩效及社会责任风险进行评估、监督及促进改善，进一步推进透明化供应商开发、绩效管理及淘汰机制，构建公司可持续发展供应链体系。同时公司引入</w:t>
      </w:r>
      <w:r w:rsidRPr="001E2F30">
        <w:rPr>
          <w:rFonts w:ascii="Times New Roman" w:hAnsi="Times New Roman" w:cs="Times New Roman"/>
          <w:sz w:val="21"/>
          <w:szCs w:val="21"/>
        </w:rPr>
        <w:t>SRM</w:t>
      </w:r>
      <w:r w:rsidRPr="001E2F30">
        <w:rPr>
          <w:rFonts w:ascii="Times New Roman" w:hAnsi="Times New Roman" w:cs="Times New Roman"/>
          <w:sz w:val="21"/>
          <w:szCs w:val="21"/>
        </w:rPr>
        <w:t>（供应商关系管理）、</w:t>
      </w:r>
      <w:r w:rsidRPr="001E2F30">
        <w:rPr>
          <w:rFonts w:ascii="Times New Roman" w:hAnsi="Times New Roman" w:cs="Times New Roman"/>
          <w:sz w:val="21"/>
          <w:szCs w:val="21"/>
        </w:rPr>
        <w:t>WMS</w:t>
      </w:r>
      <w:r w:rsidRPr="001E2F30">
        <w:rPr>
          <w:rFonts w:ascii="Times New Roman" w:hAnsi="Times New Roman" w:cs="Times New Roman"/>
          <w:sz w:val="21"/>
          <w:szCs w:val="21"/>
        </w:rPr>
        <w:t>（仓库管理系统）、</w:t>
      </w:r>
      <w:r w:rsidRPr="001E2F30">
        <w:rPr>
          <w:rFonts w:ascii="Times New Roman" w:hAnsi="Times New Roman" w:cs="Times New Roman"/>
          <w:sz w:val="21"/>
          <w:szCs w:val="21"/>
        </w:rPr>
        <w:t>ERP</w:t>
      </w:r>
      <w:r w:rsidRPr="001E2F30">
        <w:rPr>
          <w:rFonts w:ascii="Times New Roman" w:hAnsi="Times New Roman" w:cs="Times New Roman"/>
          <w:sz w:val="21"/>
          <w:szCs w:val="21"/>
        </w:rPr>
        <w:t>（企业资源计划）等关键系统，并将其与</w:t>
      </w:r>
      <w:r w:rsidRPr="001E2F30">
        <w:rPr>
          <w:rFonts w:ascii="Times New Roman" w:hAnsi="Times New Roman" w:cs="Times New Roman"/>
          <w:sz w:val="21"/>
          <w:szCs w:val="21"/>
        </w:rPr>
        <w:t>PLM</w:t>
      </w:r>
      <w:r w:rsidRPr="001E2F30">
        <w:rPr>
          <w:rFonts w:ascii="Times New Roman" w:hAnsi="Times New Roman" w:cs="Times New Roman"/>
          <w:sz w:val="21"/>
          <w:szCs w:val="21"/>
        </w:rPr>
        <w:t>（产品生命周期管理）和</w:t>
      </w:r>
      <w:r w:rsidRPr="001E2F30">
        <w:rPr>
          <w:rFonts w:ascii="Times New Roman" w:hAnsi="Times New Roman" w:cs="Times New Roman"/>
          <w:sz w:val="21"/>
          <w:szCs w:val="21"/>
        </w:rPr>
        <w:t>APS</w:t>
      </w:r>
      <w:r w:rsidRPr="001E2F30">
        <w:rPr>
          <w:rFonts w:ascii="Times New Roman" w:hAnsi="Times New Roman" w:cs="Times New Roman"/>
          <w:sz w:val="21"/>
          <w:szCs w:val="21"/>
        </w:rPr>
        <w:t>（高级计划与排程）等系统深度融合，形成覆盖从采购、生产到交付的全流程数字化管理平台，实现供应链全过程的智能化协作和数据驱动，从而优化供应链网络结构，提高运营效率、降低成本，并实现物流的透明化和质量的全程可追溯。公司积极探索与海外子公司</w:t>
      </w:r>
      <w:r w:rsidRPr="001E2F30">
        <w:rPr>
          <w:rFonts w:ascii="Times New Roman" w:hAnsi="Times New Roman" w:cs="Times New Roman"/>
          <w:sz w:val="21"/>
          <w:szCs w:val="21"/>
        </w:rPr>
        <w:t>PTS</w:t>
      </w:r>
      <w:r w:rsidRPr="001E2F30">
        <w:rPr>
          <w:rFonts w:ascii="Times New Roman" w:hAnsi="Times New Roman" w:cs="Times New Roman"/>
          <w:sz w:val="21"/>
          <w:szCs w:val="21"/>
        </w:rPr>
        <w:t>和</w:t>
      </w:r>
      <w:r w:rsidRPr="001E2F30">
        <w:rPr>
          <w:rFonts w:ascii="Times New Roman" w:hAnsi="Times New Roman" w:cs="Times New Roman"/>
          <w:sz w:val="21"/>
          <w:szCs w:val="21"/>
        </w:rPr>
        <w:t>Trividia</w:t>
      </w:r>
      <w:r w:rsidRPr="001E2F30">
        <w:rPr>
          <w:rFonts w:ascii="Times New Roman" w:hAnsi="Times New Roman" w:cs="Times New Roman"/>
          <w:sz w:val="21"/>
          <w:szCs w:val="21"/>
        </w:rPr>
        <w:t>的国际采购协同模式，通过资源共享、集中采购等方式，实现了物料的全球采购，以降低产品成本、增加采购效率。</w:t>
      </w:r>
    </w:p>
    <w:p w14:paraId="722AB1C4"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2</w:t>
      </w:r>
      <w:r w:rsidRPr="001E2F30">
        <w:rPr>
          <w:rFonts w:ascii="Times New Roman" w:hAnsi="Times New Roman" w:cs="Times New Roman"/>
          <w:sz w:val="21"/>
          <w:szCs w:val="21"/>
        </w:rPr>
        <w:t>、生产模式</w:t>
      </w:r>
      <w:r w:rsidRPr="001E2F30">
        <w:rPr>
          <w:rFonts w:ascii="Times New Roman" w:hAnsi="Times New Roman" w:cs="Times New Roman"/>
          <w:sz w:val="21"/>
          <w:szCs w:val="21"/>
        </w:rPr>
        <w:t xml:space="preserve"> </w:t>
      </w:r>
    </w:p>
    <w:p w14:paraId="6CFB0D2B"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公司及子公司全面推行智能制造与绿色生产，以打造数字化工厂为核心，通过设备与设备、设备与系统之间数据互联互通，实现生产全流程闭环管理。重点建设了试剂产品自动灌装生产线、血糖单支条自动内包生产线等智能化产线，集成装备集成化、产品检测智能化、生产过程追溯自动化三大功能，推动生产线自动化率超过</w:t>
      </w:r>
      <w:r w:rsidRPr="001E2F30">
        <w:rPr>
          <w:rFonts w:ascii="Times New Roman" w:hAnsi="Times New Roman" w:cs="Times New Roman"/>
          <w:sz w:val="21"/>
          <w:szCs w:val="21"/>
        </w:rPr>
        <w:t>90%</w:t>
      </w:r>
      <w:r w:rsidRPr="001E2F30">
        <w:rPr>
          <w:rFonts w:ascii="Times New Roman" w:hAnsi="Times New Roman" w:cs="Times New Roman"/>
          <w:sz w:val="21"/>
          <w:szCs w:val="21"/>
        </w:rPr>
        <w:t>，显著提升整体生产制造能力与智能化管理水平。</w:t>
      </w:r>
    </w:p>
    <w:p w14:paraId="6A1009E3"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公司严格遵循</w:t>
      </w:r>
      <w:r w:rsidRPr="001E2F30">
        <w:rPr>
          <w:rFonts w:ascii="Times New Roman" w:hAnsi="Times New Roman" w:cs="Times New Roman"/>
          <w:sz w:val="21"/>
          <w:szCs w:val="21"/>
        </w:rPr>
        <w:t>ISO:13485:2016</w:t>
      </w:r>
      <w:r w:rsidRPr="001E2F30">
        <w:rPr>
          <w:rFonts w:ascii="Times New Roman" w:hAnsi="Times New Roman" w:cs="Times New Roman"/>
          <w:sz w:val="21"/>
          <w:szCs w:val="21"/>
        </w:rPr>
        <w:t>生产体系认证，并参照巴西</w:t>
      </w:r>
      <w:r w:rsidRPr="001E2F30">
        <w:rPr>
          <w:rFonts w:ascii="Times New Roman" w:hAnsi="Times New Roman" w:cs="Times New Roman"/>
          <w:sz w:val="21"/>
          <w:szCs w:val="21"/>
        </w:rPr>
        <w:t>BGMP</w:t>
      </w:r>
      <w:r w:rsidRPr="001E2F30">
        <w:rPr>
          <w:rFonts w:ascii="Times New Roman" w:hAnsi="Times New Roman" w:cs="Times New Roman"/>
          <w:sz w:val="21"/>
          <w:szCs w:val="21"/>
        </w:rPr>
        <w:t>、美国</w:t>
      </w:r>
      <w:r w:rsidRPr="001E2F30">
        <w:rPr>
          <w:rFonts w:ascii="Times New Roman" w:hAnsi="Times New Roman" w:cs="Times New Roman"/>
          <w:sz w:val="21"/>
          <w:szCs w:val="21"/>
        </w:rPr>
        <w:t>FDA</w:t>
      </w:r>
      <w:r w:rsidRPr="001E2F30">
        <w:rPr>
          <w:rFonts w:ascii="Times New Roman" w:hAnsi="Times New Roman" w:cs="Times New Roman"/>
          <w:sz w:val="21"/>
          <w:szCs w:val="21"/>
        </w:rPr>
        <w:t>以及欧盟</w:t>
      </w:r>
      <w:r w:rsidRPr="001E2F30">
        <w:rPr>
          <w:rFonts w:ascii="Times New Roman" w:hAnsi="Times New Roman" w:cs="Times New Roman"/>
          <w:sz w:val="21"/>
          <w:szCs w:val="21"/>
        </w:rPr>
        <w:t>CE</w:t>
      </w:r>
      <w:r w:rsidRPr="001E2F30">
        <w:rPr>
          <w:rFonts w:ascii="Times New Roman" w:hAnsi="Times New Roman" w:cs="Times New Roman"/>
          <w:sz w:val="21"/>
          <w:szCs w:val="21"/>
        </w:rPr>
        <w:t>等国际体系要求组织生产。组建并实施以</w:t>
      </w:r>
      <w:r w:rsidRPr="001E2F30">
        <w:rPr>
          <w:rFonts w:ascii="Times New Roman" w:hAnsi="Times New Roman" w:cs="Times New Roman"/>
          <w:sz w:val="21"/>
          <w:szCs w:val="21"/>
        </w:rPr>
        <w:t>ERP</w:t>
      </w:r>
      <w:r w:rsidRPr="001E2F30">
        <w:rPr>
          <w:rFonts w:ascii="Times New Roman" w:hAnsi="Times New Roman" w:cs="Times New Roman"/>
          <w:sz w:val="21"/>
          <w:szCs w:val="21"/>
        </w:rPr>
        <w:t>（企业资源计划）、</w:t>
      </w:r>
      <w:r w:rsidRPr="001E2F30">
        <w:rPr>
          <w:rFonts w:ascii="Times New Roman" w:hAnsi="Times New Roman" w:cs="Times New Roman"/>
          <w:sz w:val="21"/>
          <w:szCs w:val="21"/>
        </w:rPr>
        <w:t>MES</w:t>
      </w:r>
      <w:r w:rsidRPr="001E2F30">
        <w:rPr>
          <w:rFonts w:ascii="Times New Roman" w:hAnsi="Times New Roman" w:cs="Times New Roman"/>
          <w:sz w:val="21"/>
          <w:szCs w:val="21"/>
        </w:rPr>
        <w:t>（制造执行系统）、</w:t>
      </w:r>
      <w:r w:rsidRPr="001E2F30">
        <w:rPr>
          <w:rFonts w:ascii="Times New Roman" w:hAnsi="Times New Roman" w:cs="Times New Roman"/>
          <w:sz w:val="21"/>
          <w:szCs w:val="21"/>
        </w:rPr>
        <w:t>APS</w:t>
      </w:r>
      <w:r w:rsidRPr="001E2F30">
        <w:rPr>
          <w:rFonts w:ascii="Times New Roman" w:hAnsi="Times New Roman" w:cs="Times New Roman"/>
          <w:sz w:val="21"/>
          <w:szCs w:val="21"/>
        </w:rPr>
        <w:t>（高级计划与排程）为核心的集成应用平台，实现研发、生产、供应、销售、质量等全环节的一体化协同。运用</w:t>
      </w:r>
      <w:r w:rsidRPr="001E2F30">
        <w:rPr>
          <w:rFonts w:ascii="Times New Roman" w:hAnsi="Times New Roman" w:cs="Times New Roman"/>
          <w:sz w:val="21"/>
          <w:szCs w:val="21"/>
        </w:rPr>
        <w:t>AI</w:t>
      </w:r>
      <w:r w:rsidRPr="001E2F30">
        <w:rPr>
          <w:rFonts w:ascii="Times New Roman" w:hAnsi="Times New Roman" w:cs="Times New Roman"/>
          <w:sz w:val="21"/>
          <w:szCs w:val="21"/>
        </w:rPr>
        <w:t>人工智能、大数据等智能技术实现生产制造防呆防错，提升质量、改善效率及能源消耗；运用</w:t>
      </w:r>
      <w:r w:rsidRPr="001E2F30">
        <w:rPr>
          <w:rFonts w:ascii="Times New Roman" w:hAnsi="Times New Roman" w:cs="Times New Roman"/>
          <w:sz w:val="21"/>
          <w:szCs w:val="21"/>
        </w:rPr>
        <w:t>BI</w:t>
      </w:r>
      <w:r w:rsidRPr="001E2F30">
        <w:rPr>
          <w:rFonts w:ascii="Times New Roman" w:hAnsi="Times New Roman" w:cs="Times New Roman"/>
          <w:sz w:val="21"/>
          <w:szCs w:val="21"/>
        </w:rPr>
        <w:t>看板</w:t>
      </w:r>
      <w:r w:rsidRPr="001E2F30">
        <w:rPr>
          <w:rFonts w:ascii="Times New Roman" w:hAnsi="Times New Roman" w:cs="Times New Roman"/>
          <w:sz w:val="21"/>
          <w:szCs w:val="21"/>
        </w:rPr>
        <w:t>+</w:t>
      </w:r>
      <w:r w:rsidRPr="001E2F30">
        <w:rPr>
          <w:rFonts w:ascii="Times New Roman" w:hAnsi="Times New Roman" w:cs="Times New Roman"/>
          <w:sz w:val="21"/>
          <w:szCs w:val="21"/>
        </w:rPr>
        <w:t>智能</w:t>
      </w:r>
      <w:r w:rsidRPr="001E2F30">
        <w:rPr>
          <w:rFonts w:ascii="Times New Roman" w:hAnsi="Times New Roman" w:cs="Times New Roman"/>
          <w:sz w:val="21"/>
          <w:szCs w:val="21"/>
        </w:rPr>
        <w:t>APP</w:t>
      </w:r>
      <w:r w:rsidRPr="001E2F30">
        <w:rPr>
          <w:rFonts w:ascii="Times New Roman" w:hAnsi="Times New Roman" w:cs="Times New Roman"/>
          <w:sz w:val="21"/>
          <w:szCs w:val="21"/>
        </w:rPr>
        <w:t>等对各项指标进行可视化、预警和预控管理，及时响应、快速改善，打造高效率的生产制造管理体系；通过信息系统全覆盖、数据自动采集实现生产制造数据实时、透明、在线管理，数据驱动管理、驱动改善，为精准决策奠定基础。</w:t>
      </w:r>
    </w:p>
    <w:p w14:paraId="347332B4"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3</w:t>
      </w:r>
      <w:r w:rsidRPr="001E2F30">
        <w:rPr>
          <w:rFonts w:ascii="Times New Roman" w:hAnsi="Times New Roman" w:cs="Times New Roman"/>
          <w:sz w:val="21"/>
          <w:szCs w:val="21"/>
        </w:rPr>
        <w:t>、销售模式</w:t>
      </w:r>
      <w:r w:rsidRPr="001E2F30">
        <w:rPr>
          <w:rFonts w:ascii="Times New Roman" w:hAnsi="Times New Roman" w:cs="Times New Roman"/>
          <w:sz w:val="21"/>
          <w:szCs w:val="21"/>
        </w:rPr>
        <w:t xml:space="preserve"> </w:t>
      </w:r>
    </w:p>
    <w:p w14:paraId="00F7936C"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公司构建了全渠道融合、全球化布局的销售模式，报告期内，产品销售以直销与经销相结合的方式进行，通过分层市场策略实现精准覆盖。</w:t>
      </w:r>
    </w:p>
    <w:p w14:paraId="1E6419BD"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在国内市场方面，公司加速线上线下一体化，积极进行全渠道融合发展，成立中国消费者业务中心，以终端用户为核心，通过联合药企、赋能药房、区域经销商、电商平台等构建多元分销网络。创新推出</w:t>
      </w:r>
      <w:r w:rsidRPr="00916538">
        <w:rPr>
          <w:rFonts w:cs="Times New Roman"/>
          <w:sz w:val="21"/>
          <w:szCs w:val="21"/>
        </w:rPr>
        <w:t>“分钟诊所免测”服务，提供血糖、尿酸等慢病多指标免费检测，通过“用户发现计划”强化消费者粘性</w:t>
      </w:r>
      <w:r w:rsidRPr="001E2F30">
        <w:rPr>
          <w:rFonts w:ascii="Times New Roman" w:hAnsi="Times New Roman" w:cs="Times New Roman"/>
          <w:sz w:val="21"/>
          <w:szCs w:val="21"/>
        </w:rPr>
        <w:t>，同步推动产品升级与周边品类拓展，持续提升零售市场占有率。在医院市场上，针对医疗机构需求，目前已经</w:t>
      </w:r>
      <w:r w:rsidRPr="00916538">
        <w:rPr>
          <w:rFonts w:cs="Times New Roman"/>
          <w:sz w:val="21"/>
          <w:szCs w:val="21"/>
        </w:rPr>
        <w:t>推出“金”、“臻准”系列产</w:t>
      </w:r>
      <w:r w:rsidRPr="001E2F30">
        <w:rPr>
          <w:rFonts w:ascii="Times New Roman" w:hAnsi="Times New Roman" w:cs="Times New Roman"/>
          <w:sz w:val="21"/>
          <w:szCs w:val="21"/>
        </w:rPr>
        <w:t>品、双功能产品、</w:t>
      </w:r>
      <w:r w:rsidRPr="001E2F30">
        <w:rPr>
          <w:rFonts w:ascii="Times New Roman" w:hAnsi="Times New Roman" w:cs="Times New Roman"/>
          <w:sz w:val="21"/>
          <w:szCs w:val="21"/>
        </w:rPr>
        <w:t>iPOCT</w:t>
      </w:r>
      <w:r w:rsidRPr="001E2F30">
        <w:rPr>
          <w:rFonts w:ascii="Times New Roman" w:hAnsi="Times New Roman" w:cs="Times New Roman"/>
          <w:sz w:val="21"/>
          <w:szCs w:val="21"/>
        </w:rPr>
        <w:t>检测系统、持续葡萄糖检测系统以及院内外糖尿病管理系统、区域慢病一体化管理系统得到了医院和基层医疗机构较高的认可度，报告期内，公司通过加速医院开发提升院内覆盖率，依托互联网与物联网技术打通院内外服务壁垒，实现医患互联互通，深化临床场景渗透。在基层医疗业务上，聚焦社区诊所、乡镇卫生院等基层场景，重点拓展</w:t>
      </w:r>
      <w:r w:rsidRPr="001E2F30">
        <w:rPr>
          <w:rFonts w:ascii="Times New Roman" w:hAnsi="Times New Roman" w:cs="Times New Roman"/>
          <w:sz w:val="21"/>
          <w:szCs w:val="21"/>
        </w:rPr>
        <w:t xml:space="preserve"> POCT </w:t>
      </w:r>
      <w:r w:rsidRPr="001E2F30">
        <w:rPr>
          <w:rFonts w:ascii="Times New Roman" w:hAnsi="Times New Roman" w:cs="Times New Roman"/>
          <w:sz w:val="21"/>
          <w:szCs w:val="21"/>
        </w:rPr>
        <w:t>产品销售与用户直联。探索线上线下融合的慢病管理服务，借助区域一体化项目快速开发高质量基层医疗机构，实现下沉市场的规模化覆盖。</w:t>
      </w:r>
    </w:p>
    <w:p w14:paraId="59F3AE4D"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在海外市场方面，公司与国际伙伴建立长期稳定的战略合作关系，借鉴国内的推广模式深耕和开拓东南亚、南亚、非洲及中东等市场，陆续在越南、菲律宾、印度尼西亚、印度和泰国等国家设立分子公司，组建本地销售团队，扎根区域市场需求；发展跨境电商业务，在欧洲、北美、东南亚等</w:t>
      </w:r>
      <w:r w:rsidRPr="001E2F30">
        <w:rPr>
          <w:rFonts w:ascii="Times New Roman" w:hAnsi="Times New Roman" w:cs="Times New Roman"/>
          <w:sz w:val="21"/>
          <w:szCs w:val="21"/>
        </w:rPr>
        <w:t>18</w:t>
      </w:r>
      <w:r w:rsidRPr="001E2F30">
        <w:rPr>
          <w:rFonts w:ascii="Times New Roman" w:hAnsi="Times New Roman" w:cs="Times New Roman"/>
          <w:sz w:val="21"/>
          <w:szCs w:val="21"/>
        </w:rPr>
        <w:t>个国家拥有了合作海外仓，实现物流本地化；海外子公司</w:t>
      </w:r>
      <w:r w:rsidRPr="001E2F30">
        <w:rPr>
          <w:rFonts w:ascii="Times New Roman" w:hAnsi="Times New Roman" w:cs="Times New Roman"/>
          <w:sz w:val="21"/>
          <w:szCs w:val="21"/>
        </w:rPr>
        <w:t>PTS</w:t>
      </w:r>
      <w:r w:rsidRPr="001E2F30">
        <w:rPr>
          <w:rFonts w:ascii="Times New Roman" w:hAnsi="Times New Roman" w:cs="Times New Roman"/>
          <w:sz w:val="21"/>
          <w:szCs w:val="21"/>
        </w:rPr>
        <w:t>和</w:t>
      </w:r>
      <w:r w:rsidRPr="001E2F30">
        <w:rPr>
          <w:rFonts w:ascii="Times New Roman" w:hAnsi="Times New Roman" w:cs="Times New Roman"/>
          <w:sz w:val="21"/>
          <w:szCs w:val="21"/>
        </w:rPr>
        <w:t>Trividia</w:t>
      </w:r>
      <w:r w:rsidRPr="001E2F30">
        <w:rPr>
          <w:rFonts w:ascii="Times New Roman" w:hAnsi="Times New Roman" w:cs="Times New Roman"/>
          <w:sz w:val="21"/>
          <w:szCs w:val="21"/>
        </w:rPr>
        <w:t>立足本土，通过本土运营探索欧美市场，并以投标等方式拓展墨西哥、非洲等地区业务，形成区域互补。</w:t>
      </w:r>
      <w:r w:rsidRPr="001E2F30">
        <w:rPr>
          <w:rFonts w:ascii="Times New Roman" w:hAnsi="Times New Roman" w:cs="Times New Roman"/>
          <w:sz w:val="21"/>
          <w:szCs w:val="21"/>
        </w:rPr>
        <w:t>Sinocare</w:t>
      </w:r>
      <w:r w:rsidRPr="001E2F30">
        <w:rPr>
          <w:rFonts w:ascii="Times New Roman" w:hAnsi="Times New Roman" w:cs="Times New Roman"/>
          <w:sz w:val="21"/>
          <w:szCs w:val="21"/>
        </w:rPr>
        <w:t>与</w:t>
      </w:r>
      <w:r w:rsidRPr="001E2F30">
        <w:rPr>
          <w:rFonts w:ascii="Times New Roman" w:hAnsi="Times New Roman" w:cs="Times New Roman"/>
          <w:sz w:val="21"/>
          <w:szCs w:val="21"/>
        </w:rPr>
        <w:t>PTS</w:t>
      </w:r>
      <w:r w:rsidRPr="001E2F30">
        <w:rPr>
          <w:rFonts w:ascii="Times New Roman" w:hAnsi="Times New Roman" w:cs="Times New Roman"/>
          <w:sz w:val="21"/>
          <w:szCs w:val="21"/>
        </w:rPr>
        <w:t>、</w:t>
      </w:r>
      <w:r w:rsidRPr="001E2F30">
        <w:rPr>
          <w:rFonts w:ascii="Times New Roman" w:hAnsi="Times New Roman" w:cs="Times New Roman"/>
          <w:sz w:val="21"/>
          <w:szCs w:val="21"/>
        </w:rPr>
        <w:t>Trividia</w:t>
      </w:r>
      <w:r w:rsidRPr="001E2F30">
        <w:rPr>
          <w:rFonts w:ascii="Times New Roman" w:hAnsi="Times New Roman" w:cs="Times New Roman"/>
          <w:sz w:val="21"/>
          <w:szCs w:val="21"/>
        </w:rPr>
        <w:t>产品通过协同销售，整合海外营销网络，覆盖</w:t>
      </w:r>
      <w:r w:rsidRPr="001E2F30">
        <w:rPr>
          <w:rFonts w:ascii="Times New Roman" w:hAnsi="Times New Roman" w:cs="Times New Roman"/>
          <w:sz w:val="21"/>
          <w:szCs w:val="21"/>
        </w:rPr>
        <w:t>187</w:t>
      </w:r>
      <w:r w:rsidRPr="001E2F30">
        <w:rPr>
          <w:rFonts w:ascii="Times New Roman" w:hAnsi="Times New Roman" w:cs="Times New Roman"/>
          <w:sz w:val="21"/>
          <w:szCs w:val="21"/>
        </w:rPr>
        <w:t>个国家和地区，建立起全球化渠道矩阵。</w:t>
      </w:r>
    </w:p>
    <w:p w14:paraId="000DFD2A"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sz w:val="21"/>
          <w:szCs w:val="21"/>
        </w:rPr>
        <w:t>报告期内，公司经营模式未发生重大变化。</w:t>
      </w:r>
    </w:p>
    <w:p w14:paraId="366C7F6E" w14:textId="77777777" w:rsidR="00113A51" w:rsidRDefault="00766EC7">
      <w:pPr>
        <w:pStyle w:val="2"/>
        <w:spacing w:before="300" w:after="300" w:line="320" w:lineRule="exact"/>
        <w:rPr>
          <w:rFonts w:ascii="宋体" w:eastAsia="宋体" w:hAnsi="宋体" w:cs="宋体"/>
          <w:b/>
          <w:bCs/>
          <w:sz w:val="24"/>
          <w:szCs w:val="24"/>
        </w:rPr>
      </w:pPr>
      <w:bookmarkStart w:id="14" w:name="_Toc988903"/>
      <w:r>
        <w:rPr>
          <w:rFonts w:ascii="宋体" w:eastAsia="宋体" w:hAnsi="宋体" w:cs="宋体"/>
          <w:b/>
          <w:bCs/>
          <w:sz w:val="24"/>
          <w:szCs w:val="24"/>
        </w:rPr>
        <w:t>二、报告期内公司所处行业情况</w:t>
      </w:r>
      <w:bookmarkEnd w:id="14"/>
    </w:p>
    <w:p w14:paraId="441CC88F"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（一）行业基本情况与发展阶段</w:t>
      </w:r>
    </w:p>
    <w:p w14:paraId="12D63CAD"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bookmarkStart w:id="15" w:name="_Hlk130222831"/>
      <w:bookmarkEnd w:id="15"/>
      <w:r w:rsidRPr="001E2F30">
        <w:rPr>
          <w:rFonts w:ascii="Times New Roman" w:hAnsi="Times New Roman" w:cs="Times New Roman" w:hint="eastAsia"/>
          <w:sz w:val="21"/>
          <w:szCs w:val="21"/>
        </w:rPr>
        <w:t>医疗器械属于人类生命健康关系密切的行业，需求刚性较强，受经济周期影响较小。随着经济水平的提高和医疗健康管理意识的增强，以及人口老龄化的持续加速，体外诊断行业中的</w:t>
      </w:r>
      <w:r>
        <w:rPr>
          <w:rFonts w:ascii="Times New Roman" w:hAnsi="Times New Roman" w:cs="Times New Roman"/>
          <w:sz w:val="21"/>
          <w:szCs w:val="21"/>
        </w:rPr>
        <w:t>POCT</w:t>
      </w:r>
      <w:r w:rsidRPr="001E2F30">
        <w:rPr>
          <w:rFonts w:ascii="Times New Roman" w:hAnsi="Times New Roman" w:cs="Times New Roman" w:hint="eastAsia"/>
          <w:sz w:val="21"/>
          <w:szCs w:val="21"/>
        </w:rPr>
        <w:t>市场规模将持续攀升。</w:t>
      </w:r>
    </w:p>
    <w:p w14:paraId="66967349"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1</w:t>
      </w:r>
      <w:r>
        <w:rPr>
          <w:rStyle w:val="aa"/>
          <w:rFonts w:ascii="Times New Roman" w:hAnsi="Times New Roman" w:hint="eastAsia"/>
          <w:sz w:val="21"/>
          <w:szCs w:val="21"/>
        </w:rPr>
        <w:t>、</w:t>
      </w:r>
      <w:r>
        <w:rPr>
          <w:rStyle w:val="aa"/>
          <w:rFonts w:ascii="Times New Roman" w:hAnsi="Times New Roman" w:cs="Times New Roman"/>
          <w:sz w:val="21"/>
          <w:szCs w:val="21"/>
        </w:rPr>
        <w:t>POCT</w:t>
      </w:r>
      <w:r>
        <w:rPr>
          <w:rStyle w:val="aa"/>
          <w:rFonts w:ascii="Times New Roman" w:hAnsi="Times New Roman" w:hint="eastAsia"/>
          <w:sz w:val="21"/>
          <w:szCs w:val="21"/>
        </w:rPr>
        <w:t>行业</w:t>
      </w:r>
    </w:p>
    <w:p w14:paraId="42F6ADDA" w14:textId="5599957F"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POCT</w:t>
      </w:r>
      <w:r w:rsidRPr="001E2F30">
        <w:rPr>
          <w:rFonts w:ascii="Times New Roman" w:hAnsi="Times New Roman" w:cs="Times New Roman" w:hint="eastAsia"/>
          <w:sz w:val="21"/>
          <w:szCs w:val="21"/>
        </w:rPr>
        <w:t>（</w:t>
      </w:r>
      <w:r>
        <w:rPr>
          <w:rFonts w:ascii="Times New Roman" w:hAnsi="Times New Roman" w:cs="Times New Roman"/>
          <w:sz w:val="21"/>
          <w:szCs w:val="21"/>
        </w:rPr>
        <w:t>Point of Care Testing</w:t>
      </w:r>
      <w:r w:rsidRPr="001E2F30">
        <w:rPr>
          <w:rFonts w:ascii="Times New Roman" w:hAnsi="Times New Roman" w:cs="Times New Roman" w:hint="eastAsia"/>
          <w:sz w:val="21"/>
          <w:szCs w:val="21"/>
        </w:rPr>
        <w:t>）又称即时检验，是通过使用可携带式的体外检测仪器和试剂在患者身旁进行现场检测，并在取样现场即刻进行样本分析，从而快速得到检测结果的一类检测方法，具有检测空间不受限制、检测诊断时间更短、检验流程更便捷、有助于降低医院医疗资源的占用率等优点。</w:t>
      </w:r>
    </w:p>
    <w:p w14:paraId="4A26C6B8"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POCT</w:t>
      </w:r>
      <w:r w:rsidRPr="001E2F30">
        <w:rPr>
          <w:rFonts w:ascii="Times New Roman" w:hAnsi="Times New Roman" w:cs="Times New Roman" w:hint="eastAsia"/>
          <w:sz w:val="21"/>
          <w:szCs w:val="21"/>
        </w:rPr>
        <w:t>的应用正从传统的医院急诊、</w:t>
      </w:r>
      <w:r>
        <w:rPr>
          <w:rFonts w:ascii="Times New Roman" w:hAnsi="Times New Roman" w:cs="Times New Roman"/>
          <w:sz w:val="21"/>
          <w:szCs w:val="21"/>
        </w:rPr>
        <w:t>ICU</w:t>
      </w:r>
      <w:r w:rsidRPr="001E2F30">
        <w:rPr>
          <w:rFonts w:ascii="Times New Roman" w:hAnsi="Times New Roman" w:cs="Times New Roman" w:hint="eastAsia"/>
          <w:sz w:val="21"/>
          <w:szCs w:val="21"/>
        </w:rPr>
        <w:t>向基层医疗快速延伸。基层诊疗作为我国医改长期趋势，受益于国内居民医疗检测需求激增以及国家推行分级诊疗相关利好政策，基层医疗机构在扩充检测设备上空间广阔。自</w:t>
      </w:r>
      <w:r>
        <w:rPr>
          <w:rFonts w:ascii="Times New Roman" w:hAnsi="Times New Roman" w:cs="Times New Roman"/>
          <w:sz w:val="21"/>
          <w:szCs w:val="21"/>
        </w:rPr>
        <w:t>2015</w:t>
      </w:r>
      <w:r w:rsidRPr="001E2F30">
        <w:rPr>
          <w:rFonts w:ascii="Times New Roman" w:hAnsi="Times New Roman" w:cs="Times New Roman" w:hint="eastAsia"/>
          <w:sz w:val="21"/>
          <w:szCs w:val="21"/>
        </w:rPr>
        <w:t>年以来，政府积极推行分级诊疗，明确了基层建设是构建分级诊疗的基础。</w:t>
      </w:r>
      <w:r>
        <w:rPr>
          <w:rFonts w:ascii="Times New Roman" w:hAnsi="Times New Roman" w:cs="Times New Roman"/>
          <w:sz w:val="21"/>
          <w:szCs w:val="21"/>
        </w:rPr>
        <w:t>2025</w:t>
      </w:r>
      <w:r w:rsidRPr="001E2F30">
        <w:rPr>
          <w:rFonts w:ascii="Times New Roman" w:hAnsi="Times New Roman" w:cs="Times New Roman" w:hint="eastAsia"/>
          <w:sz w:val="21"/>
          <w:szCs w:val="21"/>
        </w:rPr>
        <w:t>年</w:t>
      </w:r>
      <w:r>
        <w:rPr>
          <w:rFonts w:ascii="Times New Roman" w:hAnsi="Times New Roman" w:cs="Times New Roman"/>
          <w:sz w:val="21"/>
          <w:szCs w:val="21"/>
        </w:rPr>
        <w:t>3</w:t>
      </w:r>
      <w:r w:rsidRPr="001E2F30">
        <w:rPr>
          <w:rFonts w:ascii="Times New Roman" w:hAnsi="Times New Roman" w:cs="Times New Roman" w:hint="eastAsia"/>
          <w:sz w:val="21"/>
          <w:szCs w:val="21"/>
        </w:rPr>
        <w:t>月，国家卫生健康委发布《乡镇卫生院医用装备配置标准》，于</w:t>
      </w:r>
      <w:r>
        <w:rPr>
          <w:rFonts w:ascii="Times New Roman" w:hAnsi="Times New Roman" w:cs="Times New Roman"/>
          <w:sz w:val="21"/>
          <w:szCs w:val="21"/>
        </w:rPr>
        <w:t>2025</w:t>
      </w:r>
      <w:r w:rsidRPr="001E2F30">
        <w:rPr>
          <w:rFonts w:ascii="Times New Roman" w:hAnsi="Times New Roman" w:cs="Times New Roman" w:hint="eastAsia"/>
          <w:sz w:val="21"/>
          <w:szCs w:val="21"/>
        </w:rPr>
        <w:t>年</w:t>
      </w:r>
      <w:r>
        <w:rPr>
          <w:rFonts w:ascii="Times New Roman" w:hAnsi="Times New Roman" w:cs="Times New Roman"/>
          <w:sz w:val="21"/>
          <w:szCs w:val="21"/>
        </w:rPr>
        <w:t>10</w:t>
      </w:r>
      <w:r w:rsidRPr="001E2F30">
        <w:rPr>
          <w:rFonts w:ascii="Times New Roman" w:hAnsi="Times New Roman" w:cs="Times New Roman" w:hint="eastAsia"/>
          <w:sz w:val="21"/>
          <w:szCs w:val="21"/>
        </w:rPr>
        <w:t>月</w:t>
      </w:r>
      <w:r>
        <w:rPr>
          <w:rFonts w:ascii="Times New Roman" w:hAnsi="Times New Roman" w:cs="Times New Roman"/>
          <w:sz w:val="21"/>
          <w:szCs w:val="21"/>
        </w:rPr>
        <w:t>1</w:t>
      </w:r>
      <w:r w:rsidRPr="001E2F30">
        <w:rPr>
          <w:rFonts w:ascii="Times New Roman" w:hAnsi="Times New Roman" w:cs="Times New Roman" w:hint="eastAsia"/>
          <w:sz w:val="21"/>
          <w:szCs w:val="21"/>
        </w:rPr>
        <w:t>日起正式实施，该标准明确要求乡镇卫生院配置便携血糖及血糖相关参数分析仪器、核酸提取仪、</w:t>
      </w:r>
      <w:r>
        <w:rPr>
          <w:rFonts w:ascii="Times New Roman" w:hAnsi="Times New Roman" w:cs="Times New Roman"/>
          <w:sz w:val="21"/>
          <w:szCs w:val="21"/>
        </w:rPr>
        <w:t>PCR</w:t>
      </w:r>
      <w:r w:rsidRPr="001E2F30">
        <w:rPr>
          <w:rFonts w:ascii="Times New Roman" w:hAnsi="Times New Roman" w:cs="Times New Roman" w:hint="eastAsia"/>
          <w:sz w:val="21"/>
          <w:szCs w:val="21"/>
        </w:rPr>
        <w:t>扩增仪、血气分析仪、免疫分析仪等设备。按此标准，任一品类</w:t>
      </w:r>
      <w:r>
        <w:rPr>
          <w:rFonts w:ascii="Times New Roman" w:hAnsi="Times New Roman" w:cs="Times New Roman"/>
          <w:sz w:val="21"/>
          <w:szCs w:val="21"/>
        </w:rPr>
        <w:t>POCT</w:t>
      </w:r>
      <w:r w:rsidRPr="001E2F30">
        <w:rPr>
          <w:rFonts w:ascii="Times New Roman" w:hAnsi="Times New Roman" w:cs="Times New Roman" w:hint="eastAsia"/>
          <w:sz w:val="21"/>
          <w:szCs w:val="21"/>
        </w:rPr>
        <w:t>设备的潜在需求量可达数万台，叠加后续耗材、维护需求，市场空间巨大。在我国基层医疗机构检测设备少、医师紧缺的现实背景下，</w:t>
      </w:r>
      <w:r>
        <w:rPr>
          <w:rFonts w:ascii="Times New Roman" w:hAnsi="Times New Roman" w:cs="Times New Roman"/>
          <w:sz w:val="21"/>
          <w:szCs w:val="21"/>
        </w:rPr>
        <w:t>POCT</w:t>
      </w:r>
      <w:r w:rsidRPr="001E2F30">
        <w:rPr>
          <w:rFonts w:ascii="Times New Roman" w:hAnsi="Times New Roman" w:cs="Times New Roman" w:hint="eastAsia"/>
          <w:sz w:val="21"/>
          <w:szCs w:val="21"/>
        </w:rPr>
        <w:t>产品快速、轻量、无需依赖大型检测设备和专业检验医师等特点，成为基层医疗机构落实分级诊疗政策的最佳选择，基层医疗、县域医院、社区诊所将成为</w:t>
      </w:r>
      <w:r>
        <w:rPr>
          <w:rFonts w:ascii="Times New Roman" w:hAnsi="Times New Roman" w:cs="Times New Roman"/>
          <w:sz w:val="21"/>
          <w:szCs w:val="21"/>
        </w:rPr>
        <w:t>POCT</w:t>
      </w:r>
      <w:r w:rsidRPr="001E2F30">
        <w:rPr>
          <w:rFonts w:ascii="Times New Roman" w:hAnsi="Times New Roman" w:cs="Times New Roman" w:hint="eastAsia"/>
          <w:sz w:val="21"/>
          <w:szCs w:val="21"/>
        </w:rPr>
        <w:t>行业核心增量。</w:t>
      </w:r>
    </w:p>
    <w:p w14:paraId="57BC077F"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2025</w:t>
      </w:r>
      <w:r w:rsidRPr="001E2F30">
        <w:rPr>
          <w:rFonts w:ascii="Times New Roman" w:hAnsi="Times New Roman" w:cs="Times New Roman" w:hint="eastAsia"/>
          <w:sz w:val="21"/>
          <w:szCs w:val="21"/>
        </w:rPr>
        <w:t>年，</w:t>
      </w:r>
      <w:r>
        <w:rPr>
          <w:rFonts w:ascii="Times New Roman" w:hAnsi="Times New Roman" w:cs="Times New Roman"/>
          <w:sz w:val="21"/>
          <w:szCs w:val="21"/>
        </w:rPr>
        <w:t>POCT</w:t>
      </w:r>
      <w:r w:rsidRPr="001E2F30">
        <w:rPr>
          <w:rFonts w:ascii="Times New Roman" w:hAnsi="Times New Roman" w:cs="Times New Roman" w:hint="eastAsia"/>
          <w:sz w:val="21"/>
          <w:szCs w:val="21"/>
        </w:rPr>
        <w:t>行业处于从快速增长期向高质量发展与智能化转型期过渡的关键阶段，通过将</w:t>
      </w:r>
      <w:r>
        <w:rPr>
          <w:rFonts w:ascii="Times New Roman" w:hAnsi="Times New Roman" w:cs="Times New Roman"/>
          <w:sz w:val="21"/>
          <w:szCs w:val="21"/>
        </w:rPr>
        <w:t>POCT</w:t>
      </w:r>
      <w:r w:rsidRPr="001E2F30">
        <w:rPr>
          <w:rFonts w:ascii="Times New Roman" w:hAnsi="Times New Roman" w:cs="Times New Roman" w:hint="eastAsia"/>
          <w:sz w:val="21"/>
          <w:szCs w:val="21"/>
        </w:rPr>
        <w:t>设备与物联网、数据云端、</w:t>
      </w:r>
      <w:r>
        <w:rPr>
          <w:rFonts w:ascii="Times New Roman" w:hAnsi="Times New Roman" w:cs="Times New Roman"/>
          <w:sz w:val="21"/>
          <w:szCs w:val="21"/>
        </w:rPr>
        <w:t>AI</w:t>
      </w:r>
      <w:r w:rsidRPr="001E2F30">
        <w:rPr>
          <w:rFonts w:ascii="Times New Roman" w:hAnsi="Times New Roman" w:cs="Times New Roman" w:hint="eastAsia"/>
          <w:sz w:val="21"/>
          <w:szCs w:val="21"/>
        </w:rPr>
        <w:t>辅助诊断融合，能够提升诊断精准度与效率，推动从检测到健康管理的升级。</w:t>
      </w:r>
      <w:r>
        <w:rPr>
          <w:rFonts w:ascii="Times New Roman" w:hAnsi="Times New Roman" w:cs="Times New Roman"/>
          <w:sz w:val="21"/>
          <w:szCs w:val="21"/>
        </w:rPr>
        <w:t>POCT</w:t>
      </w:r>
      <w:r w:rsidRPr="001E2F30">
        <w:rPr>
          <w:rFonts w:ascii="Times New Roman" w:hAnsi="Times New Roman" w:cs="Times New Roman" w:hint="eastAsia"/>
          <w:sz w:val="21"/>
          <w:szCs w:val="21"/>
        </w:rPr>
        <w:t>企业在基层市场的商业模式也发生了根本性转变，从单纯的设备供应商升级为“技术赋能</w:t>
      </w:r>
      <w:r>
        <w:rPr>
          <w:rFonts w:ascii="Times New Roman" w:hAnsi="Times New Roman" w:cs="Times New Roman"/>
          <w:sz w:val="21"/>
          <w:szCs w:val="21"/>
        </w:rPr>
        <w:t>+</w:t>
      </w:r>
      <w:r w:rsidRPr="001E2F30">
        <w:rPr>
          <w:rFonts w:ascii="Times New Roman" w:hAnsi="Times New Roman" w:cs="Times New Roman" w:hint="eastAsia"/>
          <w:sz w:val="21"/>
          <w:szCs w:val="21"/>
        </w:rPr>
        <w:t>服务增值</w:t>
      </w:r>
      <w:r>
        <w:rPr>
          <w:rFonts w:ascii="Times New Roman" w:hAnsi="Times New Roman" w:cs="Times New Roman"/>
          <w:sz w:val="21"/>
          <w:szCs w:val="21"/>
        </w:rPr>
        <w:t>+</w:t>
      </w:r>
      <w:r w:rsidRPr="001E2F30">
        <w:rPr>
          <w:rFonts w:ascii="Times New Roman" w:hAnsi="Times New Roman" w:cs="Times New Roman" w:hint="eastAsia"/>
          <w:sz w:val="21"/>
          <w:szCs w:val="21"/>
        </w:rPr>
        <w:t>数据运营”的综合服务商。</w:t>
      </w:r>
    </w:p>
    <w:p w14:paraId="7A750A52"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2</w:t>
      </w:r>
      <w:r>
        <w:rPr>
          <w:rStyle w:val="aa"/>
          <w:rFonts w:ascii="Times New Roman" w:hAnsi="Times New Roman" w:hint="eastAsia"/>
          <w:sz w:val="21"/>
          <w:szCs w:val="21"/>
        </w:rPr>
        <w:t>、血糖监测行业</w:t>
      </w:r>
    </w:p>
    <w:p w14:paraId="15C8FBB6"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血糖监测是</w:t>
      </w:r>
      <w:r>
        <w:rPr>
          <w:rFonts w:ascii="Times New Roman" w:hAnsi="Times New Roman" w:cs="Times New Roman"/>
          <w:sz w:val="21"/>
          <w:szCs w:val="21"/>
        </w:rPr>
        <w:t>POCT</w:t>
      </w:r>
      <w:r w:rsidRPr="001E2F30">
        <w:rPr>
          <w:rFonts w:ascii="Times New Roman" w:hAnsi="Times New Roman" w:cs="Times New Roman" w:hint="eastAsia"/>
          <w:sz w:val="21"/>
          <w:szCs w:val="21"/>
        </w:rPr>
        <w:t>领域的重要细分板块，根据国际糖尿病联盟（</w:t>
      </w:r>
      <w:r>
        <w:rPr>
          <w:rFonts w:ascii="Times New Roman" w:hAnsi="Times New Roman" w:cs="Times New Roman"/>
          <w:sz w:val="21"/>
          <w:szCs w:val="21"/>
        </w:rPr>
        <w:t>IDF</w:t>
      </w:r>
      <w:r w:rsidRPr="001E2F30">
        <w:rPr>
          <w:rFonts w:ascii="Times New Roman" w:hAnsi="Times New Roman" w:cs="Times New Roman" w:hint="eastAsia"/>
          <w:sz w:val="21"/>
          <w:szCs w:val="21"/>
        </w:rPr>
        <w:t>）《全球糖尿病地图</w:t>
      </w:r>
      <w:r>
        <w:rPr>
          <w:rFonts w:ascii="Times New Roman" w:hAnsi="Times New Roman" w:cs="Times New Roman"/>
          <w:sz w:val="21"/>
          <w:szCs w:val="21"/>
        </w:rPr>
        <w:t>(IDF Diabetes Atlas )</w:t>
      </w:r>
      <w:r w:rsidRPr="001E2F30">
        <w:rPr>
          <w:rFonts w:ascii="Times New Roman" w:hAnsi="Times New Roman" w:cs="Times New Roman" w:hint="eastAsia"/>
          <w:sz w:val="21"/>
          <w:szCs w:val="21"/>
        </w:rPr>
        <w:t>（第</w:t>
      </w:r>
      <w:r>
        <w:rPr>
          <w:rFonts w:ascii="Times New Roman" w:hAnsi="Times New Roman" w:cs="Times New Roman"/>
          <w:sz w:val="21"/>
          <w:szCs w:val="21"/>
        </w:rPr>
        <w:t>11</w:t>
      </w:r>
      <w:r w:rsidRPr="001E2F30">
        <w:rPr>
          <w:rFonts w:ascii="Times New Roman" w:hAnsi="Times New Roman" w:cs="Times New Roman" w:hint="eastAsia"/>
          <w:sz w:val="21"/>
          <w:szCs w:val="21"/>
        </w:rPr>
        <w:t>版）》数据显示，</w:t>
      </w:r>
      <w:r>
        <w:rPr>
          <w:rFonts w:ascii="Times New Roman" w:hAnsi="Times New Roman" w:cs="Times New Roman"/>
          <w:sz w:val="21"/>
          <w:szCs w:val="21"/>
        </w:rPr>
        <w:t>2024</w:t>
      </w:r>
      <w:r w:rsidRPr="001E2F30">
        <w:rPr>
          <w:rFonts w:ascii="Times New Roman" w:hAnsi="Times New Roman" w:cs="Times New Roman" w:hint="eastAsia"/>
          <w:sz w:val="21"/>
          <w:szCs w:val="21"/>
        </w:rPr>
        <w:t>年全球成年糖尿病患者（</w:t>
      </w:r>
      <w:r>
        <w:rPr>
          <w:rFonts w:ascii="Times New Roman" w:hAnsi="Times New Roman" w:cs="Times New Roman"/>
          <w:sz w:val="21"/>
          <w:szCs w:val="21"/>
        </w:rPr>
        <w:t>20</w:t>
      </w:r>
      <w:r w:rsidRPr="001E2F30">
        <w:rPr>
          <w:rFonts w:ascii="Times New Roman" w:hAnsi="Times New Roman" w:cs="Times New Roman" w:hint="eastAsia"/>
          <w:sz w:val="21"/>
          <w:szCs w:val="21"/>
        </w:rPr>
        <w:t>岁</w:t>
      </w:r>
      <w:r>
        <w:rPr>
          <w:rFonts w:ascii="Times New Roman" w:hAnsi="Times New Roman" w:cs="Times New Roman"/>
          <w:sz w:val="21"/>
          <w:szCs w:val="21"/>
        </w:rPr>
        <w:t>~79</w:t>
      </w:r>
      <w:r w:rsidRPr="001E2F30">
        <w:rPr>
          <w:rFonts w:ascii="Times New Roman" w:hAnsi="Times New Roman" w:cs="Times New Roman" w:hint="eastAsia"/>
          <w:sz w:val="21"/>
          <w:szCs w:val="21"/>
        </w:rPr>
        <w:t>岁）人数达</w:t>
      </w:r>
      <w:r>
        <w:rPr>
          <w:rFonts w:ascii="Times New Roman" w:hAnsi="Times New Roman" w:cs="Times New Roman"/>
          <w:sz w:val="21"/>
          <w:szCs w:val="21"/>
        </w:rPr>
        <w:t>5.89</w:t>
      </w:r>
      <w:r w:rsidRPr="001E2F30">
        <w:rPr>
          <w:rFonts w:ascii="Times New Roman" w:hAnsi="Times New Roman" w:cs="Times New Roman" w:hint="eastAsia"/>
          <w:sz w:val="21"/>
          <w:szCs w:val="21"/>
        </w:rPr>
        <w:t>亿，占该年龄段总人口数的</w:t>
      </w:r>
      <w:r>
        <w:rPr>
          <w:rFonts w:ascii="Times New Roman" w:hAnsi="Times New Roman" w:cs="Times New Roman"/>
          <w:sz w:val="21"/>
          <w:szCs w:val="21"/>
        </w:rPr>
        <w:t>11.1%</w:t>
      </w:r>
      <w:r w:rsidRPr="001E2F30">
        <w:rPr>
          <w:rFonts w:ascii="Times New Roman" w:hAnsi="Times New Roman" w:cs="Times New Roman" w:hint="eastAsia"/>
          <w:sz w:val="21"/>
          <w:szCs w:val="21"/>
        </w:rPr>
        <w:t>。其中，约</w:t>
      </w:r>
      <w:r>
        <w:rPr>
          <w:rFonts w:ascii="Times New Roman" w:hAnsi="Times New Roman" w:cs="Times New Roman"/>
          <w:sz w:val="21"/>
          <w:szCs w:val="21"/>
        </w:rPr>
        <w:t>2.52</w:t>
      </w:r>
      <w:r w:rsidRPr="001E2F30">
        <w:rPr>
          <w:rFonts w:ascii="Times New Roman" w:hAnsi="Times New Roman" w:cs="Times New Roman" w:hint="eastAsia"/>
          <w:sz w:val="21"/>
          <w:szCs w:val="21"/>
        </w:rPr>
        <w:t>亿人尚未意识到自己患有糖尿病。据</w:t>
      </w:r>
      <w:r>
        <w:rPr>
          <w:rFonts w:ascii="Times New Roman" w:hAnsi="Times New Roman" w:cs="Times New Roman"/>
          <w:sz w:val="21"/>
          <w:szCs w:val="21"/>
        </w:rPr>
        <w:t>IDF</w:t>
      </w:r>
      <w:r w:rsidRPr="001E2F30">
        <w:rPr>
          <w:rFonts w:ascii="Times New Roman" w:hAnsi="Times New Roman" w:cs="Times New Roman" w:hint="eastAsia"/>
          <w:sz w:val="21"/>
          <w:szCs w:val="21"/>
        </w:rPr>
        <w:t>推测，预计到</w:t>
      </w:r>
      <w:r>
        <w:rPr>
          <w:rFonts w:ascii="Times New Roman" w:hAnsi="Times New Roman" w:cs="Times New Roman"/>
          <w:sz w:val="21"/>
          <w:szCs w:val="21"/>
        </w:rPr>
        <w:t>2050</w:t>
      </w:r>
      <w:r w:rsidRPr="001E2F30">
        <w:rPr>
          <w:rFonts w:ascii="Times New Roman" w:hAnsi="Times New Roman" w:cs="Times New Roman" w:hint="eastAsia"/>
          <w:sz w:val="21"/>
          <w:szCs w:val="21"/>
        </w:rPr>
        <w:t>年全球成年糖尿病患者人数将上升至</w:t>
      </w:r>
      <w:r>
        <w:rPr>
          <w:rFonts w:ascii="Times New Roman" w:hAnsi="Times New Roman" w:cs="Times New Roman"/>
          <w:sz w:val="21"/>
          <w:szCs w:val="21"/>
        </w:rPr>
        <w:t>8.53</w:t>
      </w:r>
      <w:r w:rsidRPr="001E2F30">
        <w:rPr>
          <w:rFonts w:ascii="Times New Roman" w:hAnsi="Times New Roman" w:cs="Times New Roman" w:hint="eastAsia"/>
          <w:sz w:val="21"/>
          <w:szCs w:val="21"/>
        </w:rPr>
        <w:t>亿。糖尿病患病率随年龄增长而上升，</w:t>
      </w:r>
      <w:r>
        <w:rPr>
          <w:rFonts w:ascii="Times New Roman" w:hAnsi="Times New Roman" w:cs="Times New Roman"/>
          <w:sz w:val="21"/>
          <w:szCs w:val="21"/>
        </w:rPr>
        <w:t>65</w:t>
      </w:r>
      <w:r w:rsidRPr="001E2F30">
        <w:rPr>
          <w:rFonts w:ascii="Times New Roman" w:hAnsi="Times New Roman" w:cs="Times New Roman" w:hint="eastAsia"/>
          <w:sz w:val="21"/>
          <w:szCs w:val="21"/>
        </w:rPr>
        <w:t>岁以上人群患病率最高。随着全球人口老龄化加剧，老年糖尿病患者数量不断增加，对血糖监测产品的需求也将进一步上升。</w:t>
      </w:r>
      <w:r>
        <w:rPr>
          <w:rFonts w:ascii="Times New Roman" w:hAnsi="Times New Roman" w:cs="Times New Roman"/>
          <w:sz w:val="21"/>
          <w:szCs w:val="21"/>
        </w:rPr>
        <w:t>2024</w:t>
      </w:r>
      <w:r w:rsidRPr="001E2F30">
        <w:rPr>
          <w:rFonts w:ascii="Times New Roman" w:hAnsi="Times New Roman" w:cs="Times New Roman" w:hint="eastAsia"/>
          <w:sz w:val="21"/>
          <w:szCs w:val="21"/>
        </w:rPr>
        <w:t>年</w:t>
      </w:r>
      <w:r>
        <w:rPr>
          <w:rFonts w:ascii="Times New Roman" w:hAnsi="Times New Roman" w:cs="Times New Roman"/>
          <w:sz w:val="21"/>
          <w:szCs w:val="21"/>
        </w:rPr>
        <w:t>20~79</w:t>
      </w:r>
      <w:r w:rsidRPr="001E2F30">
        <w:rPr>
          <w:rFonts w:ascii="Times New Roman" w:hAnsi="Times New Roman" w:cs="Times New Roman" w:hint="eastAsia"/>
          <w:sz w:val="21"/>
          <w:szCs w:val="21"/>
        </w:rPr>
        <w:t>岁糖尿病患者总数最多的国家分别是中国（</w:t>
      </w:r>
      <w:r>
        <w:rPr>
          <w:rFonts w:ascii="Times New Roman" w:hAnsi="Times New Roman" w:cs="Times New Roman"/>
          <w:sz w:val="21"/>
          <w:szCs w:val="21"/>
        </w:rPr>
        <w:t>1.48</w:t>
      </w:r>
      <w:r w:rsidRPr="001E2F30">
        <w:rPr>
          <w:rFonts w:ascii="Times New Roman" w:hAnsi="Times New Roman" w:cs="Times New Roman" w:hint="eastAsia"/>
          <w:sz w:val="21"/>
          <w:szCs w:val="21"/>
        </w:rPr>
        <w:t>亿）、印度（</w:t>
      </w:r>
      <w:r>
        <w:rPr>
          <w:rFonts w:ascii="Times New Roman" w:hAnsi="Times New Roman" w:cs="Times New Roman"/>
          <w:sz w:val="21"/>
          <w:szCs w:val="21"/>
        </w:rPr>
        <w:t>8980</w:t>
      </w:r>
      <w:r w:rsidRPr="001E2F30">
        <w:rPr>
          <w:rFonts w:ascii="Times New Roman" w:hAnsi="Times New Roman" w:cs="Times New Roman" w:hint="eastAsia"/>
          <w:sz w:val="21"/>
          <w:szCs w:val="21"/>
        </w:rPr>
        <w:t>万）、美国（</w:t>
      </w:r>
      <w:r>
        <w:rPr>
          <w:rFonts w:ascii="Times New Roman" w:hAnsi="Times New Roman" w:cs="Times New Roman"/>
          <w:sz w:val="21"/>
          <w:szCs w:val="21"/>
        </w:rPr>
        <w:t>3850</w:t>
      </w:r>
      <w:r w:rsidRPr="001E2F30">
        <w:rPr>
          <w:rFonts w:ascii="Times New Roman" w:hAnsi="Times New Roman" w:cs="Times New Roman" w:hint="eastAsia"/>
          <w:sz w:val="21"/>
          <w:szCs w:val="21"/>
        </w:rPr>
        <w:t>万）。</w:t>
      </w:r>
    </w:p>
    <w:p w14:paraId="6A87B7BA"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我国作为世界糖尿病大国，</w:t>
      </w:r>
      <w:r>
        <w:rPr>
          <w:rFonts w:ascii="Times New Roman" w:hAnsi="Times New Roman" w:cs="Times New Roman"/>
          <w:sz w:val="21"/>
          <w:szCs w:val="21"/>
        </w:rPr>
        <w:t>2024</w:t>
      </w:r>
      <w:r w:rsidRPr="001E2F30">
        <w:rPr>
          <w:rFonts w:ascii="Times New Roman" w:hAnsi="Times New Roman" w:cs="Times New Roman" w:hint="eastAsia"/>
          <w:sz w:val="21"/>
          <w:szCs w:val="21"/>
        </w:rPr>
        <w:t>年成年糖尿病患者人数约为</w:t>
      </w:r>
      <w:r>
        <w:rPr>
          <w:rFonts w:ascii="Times New Roman" w:hAnsi="Times New Roman" w:cs="Times New Roman"/>
          <w:sz w:val="21"/>
          <w:szCs w:val="21"/>
        </w:rPr>
        <w:t>1.48</w:t>
      </w:r>
      <w:r w:rsidRPr="001E2F30">
        <w:rPr>
          <w:rFonts w:ascii="Times New Roman" w:hAnsi="Times New Roman" w:cs="Times New Roman" w:hint="eastAsia"/>
          <w:sz w:val="21"/>
          <w:szCs w:val="21"/>
        </w:rPr>
        <w:t>亿，占全球成人糖尿病患者总数的</w:t>
      </w:r>
      <w:r>
        <w:rPr>
          <w:rFonts w:ascii="Times New Roman" w:hAnsi="Times New Roman" w:cs="Times New Roman"/>
          <w:sz w:val="21"/>
          <w:szCs w:val="21"/>
        </w:rPr>
        <w:t>25%</w:t>
      </w:r>
      <w:r w:rsidRPr="001E2F30">
        <w:rPr>
          <w:rFonts w:ascii="Times New Roman" w:hAnsi="Times New Roman" w:cs="Times New Roman" w:hint="eastAsia"/>
          <w:sz w:val="21"/>
          <w:szCs w:val="21"/>
        </w:rPr>
        <w:t>。与我国糖尿病高患病率现状相比，我国糖尿病患者血糖仪渗透率和血糖监测频率却远低于发达国家及全球平均水平。对此，《“健康中国</w:t>
      </w:r>
      <w:r>
        <w:rPr>
          <w:rFonts w:ascii="Times New Roman" w:hAnsi="Times New Roman" w:cs="Times New Roman"/>
          <w:sz w:val="21"/>
          <w:szCs w:val="21"/>
        </w:rPr>
        <w:t>2030</w:t>
      </w:r>
      <w:r w:rsidRPr="001E2F30">
        <w:rPr>
          <w:rFonts w:ascii="Times New Roman" w:hAnsi="Times New Roman" w:cs="Times New Roman" w:hint="eastAsia"/>
          <w:sz w:val="21"/>
          <w:szCs w:val="21"/>
        </w:rPr>
        <w:t>”规划纲要》将糖尿病防治列为重点工程，《健康中国行动——糖尿病防治行动实施方案（</w:t>
      </w:r>
      <w:r>
        <w:rPr>
          <w:rFonts w:ascii="Times New Roman" w:hAnsi="Times New Roman" w:cs="Times New Roman"/>
          <w:sz w:val="21"/>
          <w:szCs w:val="21"/>
        </w:rPr>
        <w:t>2024-2030</w:t>
      </w:r>
      <w:r w:rsidRPr="001E2F30">
        <w:rPr>
          <w:rFonts w:ascii="Times New Roman" w:hAnsi="Times New Roman" w:cs="Times New Roman" w:hint="eastAsia"/>
          <w:sz w:val="21"/>
          <w:szCs w:val="21"/>
        </w:rPr>
        <w:t>年）》中明确提出了到</w:t>
      </w:r>
      <w:r>
        <w:rPr>
          <w:rFonts w:ascii="Times New Roman" w:hAnsi="Times New Roman" w:cs="Times New Roman"/>
          <w:sz w:val="21"/>
          <w:szCs w:val="21"/>
        </w:rPr>
        <w:t>2030</w:t>
      </w:r>
      <w:r w:rsidRPr="001E2F30">
        <w:rPr>
          <w:rFonts w:ascii="Times New Roman" w:hAnsi="Times New Roman" w:cs="Times New Roman" w:hint="eastAsia"/>
          <w:sz w:val="21"/>
          <w:szCs w:val="21"/>
        </w:rPr>
        <w:t>年，建立上下联动、医防融合的糖尿病防治体系，</w:t>
      </w:r>
      <w:r>
        <w:rPr>
          <w:rFonts w:ascii="Times New Roman" w:hAnsi="Times New Roman" w:cs="Times New Roman"/>
          <w:sz w:val="21"/>
          <w:szCs w:val="21"/>
        </w:rPr>
        <w:t>18</w:t>
      </w:r>
      <w:r w:rsidRPr="001E2F30">
        <w:rPr>
          <w:rFonts w:ascii="Times New Roman" w:hAnsi="Times New Roman" w:cs="Times New Roman" w:hint="eastAsia"/>
          <w:sz w:val="21"/>
          <w:szCs w:val="21"/>
        </w:rPr>
        <w:t>岁及以上居民糖尿病知晓率达到</w:t>
      </w:r>
      <w:r>
        <w:rPr>
          <w:rFonts w:ascii="Times New Roman" w:hAnsi="Times New Roman" w:cs="Times New Roman"/>
          <w:sz w:val="21"/>
          <w:szCs w:val="21"/>
        </w:rPr>
        <w:t>60%</w:t>
      </w:r>
      <w:r w:rsidRPr="001E2F30">
        <w:rPr>
          <w:rFonts w:ascii="Times New Roman" w:hAnsi="Times New Roman" w:cs="Times New Roman" w:hint="eastAsia"/>
          <w:sz w:val="21"/>
          <w:szCs w:val="21"/>
        </w:rPr>
        <w:t>及以上，</w:t>
      </w:r>
      <w:r>
        <w:rPr>
          <w:rFonts w:ascii="Times New Roman" w:hAnsi="Times New Roman" w:cs="Times New Roman"/>
          <w:sz w:val="21"/>
          <w:szCs w:val="21"/>
        </w:rPr>
        <w:t>2</w:t>
      </w:r>
      <w:r w:rsidRPr="001E2F30">
        <w:rPr>
          <w:rFonts w:ascii="Times New Roman" w:hAnsi="Times New Roman" w:cs="Times New Roman" w:hint="eastAsia"/>
          <w:sz w:val="21"/>
          <w:szCs w:val="21"/>
        </w:rPr>
        <w:t>型糖尿病患者基层规范管理服务率达到</w:t>
      </w:r>
      <w:r>
        <w:rPr>
          <w:rFonts w:ascii="Times New Roman" w:hAnsi="Times New Roman" w:cs="Times New Roman"/>
          <w:sz w:val="21"/>
          <w:szCs w:val="21"/>
        </w:rPr>
        <w:t>70%</w:t>
      </w:r>
      <w:r w:rsidRPr="001E2F30">
        <w:rPr>
          <w:rFonts w:ascii="Times New Roman" w:hAnsi="Times New Roman" w:cs="Times New Roman" w:hint="eastAsia"/>
          <w:sz w:val="21"/>
          <w:szCs w:val="21"/>
        </w:rPr>
        <w:t>及以上，治疗率、控制率和并发症筛查率持续提高的目标。</w:t>
      </w:r>
    </w:p>
    <w:p w14:paraId="2D82B679"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《中国血糖监测临床应用指南（</w:t>
      </w:r>
      <w:r>
        <w:rPr>
          <w:rFonts w:ascii="Times New Roman" w:hAnsi="Times New Roman" w:cs="Times New Roman"/>
          <w:sz w:val="21"/>
          <w:szCs w:val="21"/>
        </w:rPr>
        <w:t>2021</w:t>
      </w:r>
      <w:r w:rsidRPr="001E2F30">
        <w:rPr>
          <w:rFonts w:ascii="Times New Roman" w:hAnsi="Times New Roman" w:cs="Times New Roman" w:hint="eastAsia"/>
          <w:sz w:val="21"/>
          <w:szCs w:val="21"/>
        </w:rPr>
        <w:t>年版）》指出，目前临床上常用的血糖监测方法包括用血糖仪进行的毛细血管血糖监测、持续血糖监测（</w:t>
      </w:r>
      <w:r>
        <w:rPr>
          <w:rFonts w:ascii="Times New Roman" w:hAnsi="Times New Roman" w:cs="Times New Roman"/>
          <w:sz w:val="21"/>
          <w:szCs w:val="21"/>
        </w:rPr>
        <w:t>CGM</w:t>
      </w:r>
      <w:r w:rsidRPr="001E2F30">
        <w:rPr>
          <w:rFonts w:ascii="Times New Roman" w:hAnsi="Times New Roman" w:cs="Times New Roman" w:hint="eastAsia"/>
          <w:sz w:val="21"/>
          <w:szCs w:val="21"/>
        </w:rPr>
        <w:t>）、糖化白蛋白（</w:t>
      </w:r>
      <w:r>
        <w:rPr>
          <w:rFonts w:ascii="Times New Roman" w:hAnsi="Times New Roman" w:cs="Times New Roman"/>
          <w:sz w:val="21"/>
          <w:szCs w:val="21"/>
        </w:rPr>
        <w:t>GA</w:t>
      </w:r>
      <w:r w:rsidRPr="001E2F30">
        <w:rPr>
          <w:rFonts w:ascii="Times New Roman" w:hAnsi="Times New Roman" w:cs="Times New Roman" w:hint="eastAsia"/>
          <w:sz w:val="21"/>
          <w:szCs w:val="21"/>
        </w:rPr>
        <w:t>）和糖化血红蛋白（</w:t>
      </w:r>
      <w:r>
        <w:rPr>
          <w:rFonts w:ascii="Times New Roman" w:hAnsi="Times New Roman" w:cs="Times New Roman"/>
          <w:sz w:val="21"/>
          <w:szCs w:val="21"/>
        </w:rPr>
        <w:t>HbA1C</w:t>
      </w:r>
      <w:r w:rsidRPr="001E2F30">
        <w:rPr>
          <w:rFonts w:ascii="Times New Roman" w:hAnsi="Times New Roman" w:cs="Times New Roman" w:hint="eastAsia"/>
          <w:sz w:val="21"/>
          <w:szCs w:val="21"/>
        </w:rPr>
        <w:t>）等。其中，毛细血管血糖检测是目前糖尿病患者日常管理最基础和最常用的方法；</w:t>
      </w:r>
      <w:r>
        <w:rPr>
          <w:rFonts w:ascii="Times New Roman" w:hAnsi="Times New Roman" w:cs="Times New Roman"/>
          <w:sz w:val="21"/>
          <w:szCs w:val="21"/>
        </w:rPr>
        <w:t>CGM</w:t>
      </w:r>
      <w:r w:rsidRPr="001E2F30">
        <w:rPr>
          <w:rFonts w:ascii="Times New Roman" w:hAnsi="Times New Roman" w:cs="Times New Roman" w:hint="eastAsia"/>
          <w:sz w:val="21"/>
          <w:szCs w:val="21"/>
        </w:rPr>
        <w:t>是指通过感应器监测皮下组织间液的葡萄糖浓度而间接反映血糖水平的监测技术，可提供连续、全面、可靠的全天血糖波动数据，其优势在于可以帮助发现隐匿的高血糖和低血糖，适用于</w:t>
      </w:r>
      <w:r>
        <w:rPr>
          <w:rFonts w:ascii="Times New Roman" w:hAnsi="Times New Roman" w:cs="Times New Roman"/>
          <w:sz w:val="21"/>
          <w:szCs w:val="21"/>
        </w:rPr>
        <w:t>T1DM</w:t>
      </w:r>
      <w:r w:rsidRPr="001E2F30">
        <w:rPr>
          <w:rFonts w:ascii="Times New Roman" w:hAnsi="Times New Roman" w:cs="Times New Roman" w:hint="eastAsia"/>
          <w:sz w:val="21"/>
          <w:szCs w:val="21"/>
        </w:rPr>
        <w:t>患者、需要胰岛素强化治疗的</w:t>
      </w:r>
      <w:r>
        <w:rPr>
          <w:rFonts w:ascii="Times New Roman" w:hAnsi="Times New Roman" w:cs="Times New Roman"/>
          <w:sz w:val="21"/>
          <w:szCs w:val="21"/>
        </w:rPr>
        <w:t>T2DM</w:t>
      </w:r>
      <w:r w:rsidRPr="001E2F30">
        <w:rPr>
          <w:rFonts w:ascii="Times New Roman" w:hAnsi="Times New Roman" w:cs="Times New Roman" w:hint="eastAsia"/>
          <w:sz w:val="21"/>
          <w:szCs w:val="21"/>
        </w:rPr>
        <w:t>患者，以及在自我血糖监测指导下使用降糖治疗后仍出现较大血糖波动的</w:t>
      </w:r>
      <w:r>
        <w:rPr>
          <w:rFonts w:ascii="Times New Roman" w:hAnsi="Times New Roman" w:cs="Times New Roman"/>
          <w:sz w:val="21"/>
          <w:szCs w:val="21"/>
        </w:rPr>
        <w:t>T2DM</w:t>
      </w:r>
      <w:r w:rsidRPr="001E2F30">
        <w:rPr>
          <w:rFonts w:ascii="Times New Roman" w:hAnsi="Times New Roman" w:cs="Times New Roman" w:hint="eastAsia"/>
          <w:sz w:val="21"/>
          <w:szCs w:val="21"/>
        </w:rPr>
        <w:t>患者等。</w:t>
      </w:r>
    </w:p>
    <w:p w14:paraId="48416050"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w:t>
      </w:r>
      <w:r>
        <w:rPr>
          <w:rFonts w:ascii="Times New Roman" w:hAnsi="Times New Roman" w:cs="Times New Roman"/>
          <w:sz w:val="21"/>
          <w:szCs w:val="21"/>
        </w:rPr>
        <w:t>2024</w:t>
      </w:r>
      <w:r w:rsidRPr="001E2F30">
        <w:rPr>
          <w:rFonts w:ascii="Times New Roman" w:hAnsi="Times New Roman" w:cs="Times New Roman" w:hint="eastAsia"/>
          <w:sz w:val="21"/>
          <w:szCs w:val="21"/>
        </w:rPr>
        <w:t>年我国卫生健康事业发展统计公报》显示，我国基层医疗卫生机构管理的</w:t>
      </w:r>
      <w:r>
        <w:rPr>
          <w:rFonts w:ascii="Times New Roman" w:hAnsi="Times New Roman" w:cs="Times New Roman"/>
          <w:sz w:val="21"/>
          <w:szCs w:val="21"/>
        </w:rPr>
        <w:t>2</w:t>
      </w:r>
      <w:r w:rsidRPr="001E2F30">
        <w:rPr>
          <w:rFonts w:ascii="Times New Roman" w:hAnsi="Times New Roman" w:cs="Times New Roman" w:hint="eastAsia"/>
          <w:sz w:val="21"/>
          <w:szCs w:val="21"/>
        </w:rPr>
        <w:t>型糖尿病患者已超过</w:t>
      </w:r>
      <w:r>
        <w:rPr>
          <w:rFonts w:ascii="Times New Roman" w:hAnsi="Times New Roman" w:cs="Times New Roman"/>
          <w:sz w:val="21"/>
          <w:szCs w:val="21"/>
        </w:rPr>
        <w:t>4087</w:t>
      </w:r>
      <w:r w:rsidRPr="001E2F30">
        <w:rPr>
          <w:rFonts w:ascii="Times New Roman" w:hAnsi="Times New Roman" w:cs="Times New Roman" w:hint="eastAsia"/>
          <w:sz w:val="21"/>
          <w:szCs w:val="21"/>
        </w:rPr>
        <w:t>万例。全面提升基层的糖尿病综合防治能力与服务同质化水平，已成为当前工作的重中之重。</w:t>
      </w:r>
      <w:r>
        <w:rPr>
          <w:rFonts w:ascii="Times New Roman" w:hAnsi="Times New Roman" w:cs="Times New Roman"/>
          <w:sz w:val="21"/>
          <w:szCs w:val="21"/>
        </w:rPr>
        <w:t>2025</w:t>
      </w:r>
      <w:r w:rsidRPr="001E2F30">
        <w:rPr>
          <w:rFonts w:ascii="Times New Roman" w:hAnsi="Times New Roman" w:cs="Times New Roman" w:hint="eastAsia"/>
          <w:sz w:val="21"/>
          <w:szCs w:val="21"/>
        </w:rPr>
        <w:t>年</w:t>
      </w:r>
      <w:r>
        <w:rPr>
          <w:rFonts w:ascii="Times New Roman" w:hAnsi="Times New Roman" w:cs="Times New Roman"/>
          <w:sz w:val="21"/>
          <w:szCs w:val="21"/>
        </w:rPr>
        <w:t>12</w:t>
      </w:r>
      <w:r w:rsidRPr="001E2F30">
        <w:rPr>
          <w:rFonts w:ascii="Times New Roman" w:hAnsi="Times New Roman" w:cs="Times New Roman" w:hint="eastAsia"/>
          <w:sz w:val="21"/>
          <w:szCs w:val="21"/>
        </w:rPr>
        <w:t>月出台的《国家基层糖尿病防治管理指南（</w:t>
      </w:r>
      <w:r>
        <w:rPr>
          <w:rFonts w:ascii="Times New Roman" w:hAnsi="Times New Roman" w:cs="Times New Roman"/>
          <w:sz w:val="21"/>
          <w:szCs w:val="21"/>
        </w:rPr>
        <w:t>2025</w:t>
      </w:r>
      <w:r w:rsidRPr="001E2F30">
        <w:rPr>
          <w:rFonts w:ascii="Times New Roman" w:hAnsi="Times New Roman" w:cs="Times New Roman" w:hint="eastAsia"/>
          <w:sz w:val="21"/>
          <w:szCs w:val="21"/>
        </w:rPr>
        <w:t>）》中，强化了</w:t>
      </w:r>
      <w:r>
        <w:rPr>
          <w:rFonts w:ascii="Times New Roman" w:hAnsi="Times New Roman" w:cs="Times New Roman"/>
          <w:sz w:val="21"/>
          <w:szCs w:val="21"/>
        </w:rPr>
        <w:t>HbA1C</w:t>
      </w:r>
      <w:r w:rsidRPr="001E2F30">
        <w:rPr>
          <w:rFonts w:ascii="Times New Roman" w:hAnsi="Times New Roman" w:cs="Times New Roman" w:hint="eastAsia"/>
          <w:sz w:val="21"/>
          <w:szCs w:val="21"/>
        </w:rPr>
        <w:t>在糖尿病筛查和全周期血糖管理中的关键作用，将</w:t>
      </w:r>
      <w:r>
        <w:rPr>
          <w:rFonts w:ascii="Times New Roman" w:hAnsi="Times New Roman" w:cs="Times New Roman"/>
          <w:sz w:val="21"/>
          <w:szCs w:val="21"/>
        </w:rPr>
        <w:t>HbA1C</w:t>
      </w:r>
      <w:r w:rsidRPr="001E2F30">
        <w:rPr>
          <w:rFonts w:ascii="Times New Roman" w:hAnsi="Times New Roman" w:cs="Times New Roman" w:hint="eastAsia"/>
          <w:sz w:val="21"/>
          <w:szCs w:val="21"/>
        </w:rPr>
        <w:t>检测仪列入基层医疗卫生机构的必备设备；同时独立增设</w:t>
      </w:r>
      <w:r>
        <w:rPr>
          <w:rFonts w:ascii="Times New Roman" w:hAnsi="Times New Roman" w:cs="Times New Roman"/>
          <w:sz w:val="21"/>
          <w:szCs w:val="21"/>
        </w:rPr>
        <w:t xml:space="preserve"> CGM</w:t>
      </w:r>
      <w:r w:rsidRPr="001E2F30">
        <w:rPr>
          <w:rFonts w:ascii="Times New Roman" w:hAnsi="Times New Roman" w:cs="Times New Roman" w:hint="eastAsia"/>
          <w:sz w:val="21"/>
          <w:szCs w:val="21"/>
        </w:rPr>
        <w:t>小结，明确了其定义、适应证和</w:t>
      </w:r>
      <w:r>
        <w:rPr>
          <w:rFonts w:ascii="Times New Roman" w:hAnsi="Times New Roman" w:cs="Times New Roman"/>
          <w:sz w:val="21"/>
          <w:szCs w:val="21"/>
        </w:rPr>
        <w:t>10</w:t>
      </w:r>
      <w:r w:rsidRPr="001E2F30">
        <w:rPr>
          <w:rFonts w:ascii="Times New Roman" w:hAnsi="Times New Roman" w:cs="Times New Roman" w:hint="eastAsia"/>
          <w:sz w:val="21"/>
          <w:szCs w:val="21"/>
        </w:rPr>
        <w:t>个核心指标，标志着</w:t>
      </w:r>
      <w:r>
        <w:rPr>
          <w:rFonts w:ascii="Times New Roman" w:hAnsi="Times New Roman" w:cs="Times New Roman"/>
          <w:sz w:val="21"/>
          <w:szCs w:val="21"/>
        </w:rPr>
        <w:t>CGM</w:t>
      </w:r>
      <w:r w:rsidRPr="001E2F30">
        <w:rPr>
          <w:rFonts w:ascii="Times New Roman" w:hAnsi="Times New Roman" w:cs="Times New Roman" w:hint="eastAsia"/>
          <w:sz w:val="21"/>
          <w:szCs w:val="21"/>
        </w:rPr>
        <w:t>转变为基层应掌握的标准监测手段之一。</w:t>
      </w:r>
      <w:r>
        <w:rPr>
          <w:rFonts w:ascii="Times New Roman" w:hAnsi="Times New Roman" w:cs="Times New Roman"/>
          <w:sz w:val="21"/>
          <w:szCs w:val="21"/>
        </w:rPr>
        <w:t>2025</w:t>
      </w:r>
      <w:r w:rsidRPr="001E2F30">
        <w:rPr>
          <w:rFonts w:ascii="Times New Roman" w:hAnsi="Times New Roman" w:cs="Times New Roman" w:hint="eastAsia"/>
          <w:sz w:val="21"/>
          <w:szCs w:val="21"/>
        </w:rPr>
        <w:t>年，由上海市医学会糖尿病专科分会、中华医学会《中华全科医师杂志》编辑委员会联合制定的《持续葡萄糖监测基层临床应用专家共识（</w:t>
      </w:r>
      <w:r>
        <w:rPr>
          <w:rFonts w:ascii="Times New Roman" w:hAnsi="Times New Roman" w:cs="Times New Roman"/>
          <w:sz w:val="21"/>
          <w:szCs w:val="21"/>
        </w:rPr>
        <w:t>2025</w:t>
      </w:r>
      <w:r w:rsidRPr="001E2F30">
        <w:rPr>
          <w:rFonts w:ascii="Times New Roman" w:hAnsi="Times New Roman" w:cs="Times New Roman" w:hint="eastAsia"/>
          <w:sz w:val="21"/>
          <w:szCs w:val="21"/>
        </w:rPr>
        <w:t>年）》正式发布，这是中国首部专门面向基层医疗机构的</w:t>
      </w:r>
      <w:r>
        <w:rPr>
          <w:rFonts w:ascii="Times New Roman" w:hAnsi="Times New Roman" w:cs="Times New Roman"/>
          <w:sz w:val="21"/>
          <w:szCs w:val="21"/>
        </w:rPr>
        <w:t>CGM</w:t>
      </w:r>
      <w:r w:rsidRPr="001E2F30">
        <w:rPr>
          <w:rFonts w:ascii="Times New Roman" w:hAnsi="Times New Roman" w:cs="Times New Roman" w:hint="eastAsia"/>
          <w:sz w:val="21"/>
          <w:szCs w:val="21"/>
        </w:rPr>
        <w:t>应用指导文件。</w:t>
      </w:r>
    </w:p>
    <w:p w14:paraId="0A059C95"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随着</w:t>
      </w:r>
      <w:r>
        <w:rPr>
          <w:rFonts w:ascii="Times New Roman" w:hAnsi="Times New Roman" w:cs="Times New Roman"/>
          <w:sz w:val="21"/>
          <w:szCs w:val="21"/>
        </w:rPr>
        <w:t>CGM</w:t>
      </w:r>
      <w:r w:rsidRPr="001E2F30">
        <w:rPr>
          <w:rFonts w:ascii="Times New Roman" w:hAnsi="Times New Roman" w:cs="Times New Roman" w:hint="eastAsia"/>
          <w:sz w:val="21"/>
          <w:szCs w:val="21"/>
        </w:rPr>
        <w:t>技术的不断迭代发展，临床应用也日益广泛，在国内目前已成为传统血糖监测的有效补充，逐渐向基层普及。全球</w:t>
      </w:r>
      <w:r>
        <w:rPr>
          <w:rFonts w:ascii="Times New Roman" w:hAnsi="Times New Roman" w:cs="Times New Roman"/>
          <w:sz w:val="21"/>
          <w:szCs w:val="21"/>
        </w:rPr>
        <w:t>CGM</w:t>
      </w:r>
      <w:r w:rsidRPr="001E2F30">
        <w:rPr>
          <w:rFonts w:ascii="Times New Roman" w:hAnsi="Times New Roman" w:cs="Times New Roman" w:hint="eastAsia"/>
          <w:sz w:val="21"/>
          <w:szCs w:val="21"/>
        </w:rPr>
        <w:t>市场处于快速发展阶段，全球</w:t>
      </w:r>
      <w:r>
        <w:rPr>
          <w:rFonts w:ascii="Times New Roman" w:hAnsi="Times New Roman" w:cs="Times New Roman"/>
          <w:sz w:val="21"/>
          <w:szCs w:val="21"/>
        </w:rPr>
        <w:t>CGM</w:t>
      </w:r>
      <w:r w:rsidRPr="001E2F30">
        <w:rPr>
          <w:rFonts w:ascii="Times New Roman" w:hAnsi="Times New Roman" w:cs="Times New Roman" w:hint="eastAsia"/>
          <w:sz w:val="21"/>
          <w:szCs w:val="21"/>
        </w:rPr>
        <w:t>市场复合增长率约</w:t>
      </w:r>
      <w:r>
        <w:rPr>
          <w:rFonts w:ascii="Times New Roman" w:hAnsi="Times New Roman" w:cs="Times New Roman"/>
          <w:sz w:val="21"/>
          <w:szCs w:val="21"/>
        </w:rPr>
        <w:t>20%</w:t>
      </w:r>
      <w:r w:rsidRPr="001E2F30">
        <w:rPr>
          <w:rFonts w:ascii="Times New Roman" w:hAnsi="Times New Roman" w:cs="Times New Roman" w:hint="eastAsia"/>
          <w:sz w:val="21"/>
          <w:szCs w:val="21"/>
        </w:rPr>
        <w:t>，主要为国外</w:t>
      </w:r>
      <w:r>
        <w:rPr>
          <w:rFonts w:ascii="Times New Roman" w:hAnsi="Times New Roman" w:cs="Times New Roman"/>
          <w:sz w:val="21"/>
          <w:szCs w:val="21"/>
        </w:rPr>
        <w:t>Abbott</w:t>
      </w:r>
      <w:r w:rsidRPr="001E2F30">
        <w:rPr>
          <w:rFonts w:ascii="Times New Roman" w:hAnsi="Times New Roman" w:cs="Times New Roman" w:hint="eastAsia"/>
          <w:sz w:val="21"/>
          <w:szCs w:val="21"/>
        </w:rPr>
        <w:t>（雅培）、</w:t>
      </w:r>
      <w:r>
        <w:rPr>
          <w:rFonts w:ascii="Times New Roman" w:hAnsi="Times New Roman" w:cs="Times New Roman"/>
          <w:sz w:val="21"/>
          <w:szCs w:val="21"/>
        </w:rPr>
        <w:t>Dexcom</w:t>
      </w:r>
      <w:r w:rsidRPr="001E2F30">
        <w:rPr>
          <w:rFonts w:ascii="Times New Roman" w:hAnsi="Times New Roman" w:cs="Times New Roman" w:hint="eastAsia"/>
          <w:sz w:val="21"/>
          <w:szCs w:val="21"/>
        </w:rPr>
        <w:t>（德康）占据主导地位，国内</w:t>
      </w:r>
      <w:r>
        <w:rPr>
          <w:rFonts w:ascii="Times New Roman" w:hAnsi="Times New Roman" w:cs="Times New Roman"/>
          <w:sz w:val="21"/>
          <w:szCs w:val="21"/>
        </w:rPr>
        <w:t>CGM</w:t>
      </w:r>
      <w:r w:rsidRPr="001E2F30">
        <w:rPr>
          <w:rFonts w:ascii="Times New Roman" w:hAnsi="Times New Roman" w:cs="Times New Roman" w:hint="eastAsia"/>
          <w:sz w:val="21"/>
          <w:szCs w:val="21"/>
        </w:rPr>
        <w:t>产品自</w:t>
      </w:r>
      <w:r>
        <w:rPr>
          <w:rFonts w:ascii="Times New Roman" w:hAnsi="Times New Roman" w:cs="Times New Roman"/>
          <w:sz w:val="21"/>
          <w:szCs w:val="21"/>
        </w:rPr>
        <w:t>2021</w:t>
      </w:r>
      <w:r w:rsidRPr="001E2F30">
        <w:rPr>
          <w:rFonts w:ascii="Times New Roman" w:hAnsi="Times New Roman" w:cs="Times New Roman" w:hint="eastAsia"/>
          <w:sz w:val="21"/>
          <w:szCs w:val="21"/>
        </w:rPr>
        <w:t>年起开始显著加速，在国家创新驱动战略的促进下，</w:t>
      </w:r>
      <w:r>
        <w:rPr>
          <w:rFonts w:ascii="Times New Roman" w:hAnsi="Times New Roman" w:cs="Times New Roman"/>
          <w:sz w:val="21"/>
          <w:szCs w:val="21"/>
        </w:rPr>
        <w:t>CGM</w:t>
      </w:r>
      <w:r w:rsidRPr="001E2F30">
        <w:rPr>
          <w:rFonts w:ascii="Times New Roman" w:hAnsi="Times New Roman" w:cs="Times New Roman" w:hint="eastAsia"/>
          <w:sz w:val="21"/>
          <w:szCs w:val="21"/>
        </w:rPr>
        <w:t>产品性能和质量不断提升，性价比优势更加突出，国产化替代步伐加快。已有北京、上海、广东、浙江、江苏、山东等多个省市正式将</w:t>
      </w:r>
      <w:r>
        <w:rPr>
          <w:rFonts w:ascii="Times New Roman" w:hAnsi="Times New Roman" w:cs="Times New Roman"/>
          <w:sz w:val="21"/>
          <w:szCs w:val="21"/>
        </w:rPr>
        <w:t>CGM</w:t>
      </w:r>
      <w:r w:rsidRPr="001E2F30">
        <w:rPr>
          <w:rFonts w:ascii="Times New Roman" w:hAnsi="Times New Roman" w:cs="Times New Roman" w:hint="eastAsia"/>
          <w:sz w:val="21"/>
          <w:szCs w:val="21"/>
        </w:rPr>
        <w:t>纳入门诊特殊病种或慢性病医保报销范畴，随着医保政策的调整，</w:t>
      </w:r>
      <w:r>
        <w:rPr>
          <w:rFonts w:ascii="Times New Roman" w:hAnsi="Times New Roman" w:cs="Times New Roman"/>
          <w:sz w:val="21"/>
          <w:szCs w:val="21"/>
        </w:rPr>
        <w:t>CGM</w:t>
      </w:r>
      <w:r w:rsidRPr="001E2F30">
        <w:rPr>
          <w:rFonts w:ascii="Times New Roman" w:hAnsi="Times New Roman" w:cs="Times New Roman" w:hint="eastAsia"/>
          <w:sz w:val="21"/>
          <w:szCs w:val="21"/>
        </w:rPr>
        <w:t>正在成为糖尿病门诊慢特病保障的标配项目。</w:t>
      </w:r>
    </w:p>
    <w:p w14:paraId="550F2D53"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未来，随着人口老龄化加剧、糖尿病患者人数增加、人民健康管理意识增强以及医疗水平的提升，血糖监测行业的市场规模将持续攀升。</w:t>
      </w:r>
    </w:p>
    <w:p w14:paraId="20FB2D09"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（二）公司所处的行业地位</w:t>
      </w:r>
    </w:p>
    <w:p w14:paraId="22C3C5A0"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21</w:t>
      </w:r>
      <w:r w:rsidRPr="001E2F30">
        <w:rPr>
          <w:rFonts w:ascii="Times New Roman" w:hAnsi="Times New Roman" w:cs="Times New Roman" w:hint="eastAsia"/>
          <w:sz w:val="21"/>
          <w:szCs w:val="21"/>
        </w:rPr>
        <w:t>世纪初，外国厂商凭借先进的技术优势和雄厚的资本实力在血糖监测领域内形成了一定的垄断。公司自</w:t>
      </w:r>
      <w:r>
        <w:rPr>
          <w:rFonts w:ascii="Times New Roman" w:hAnsi="Times New Roman" w:cs="Times New Roman"/>
          <w:sz w:val="21"/>
          <w:szCs w:val="21"/>
        </w:rPr>
        <w:t>2002</w:t>
      </w:r>
      <w:r w:rsidRPr="001E2F30">
        <w:rPr>
          <w:rFonts w:ascii="Times New Roman" w:hAnsi="Times New Roman" w:cs="Times New Roman" w:hint="eastAsia"/>
          <w:sz w:val="21"/>
          <w:szCs w:val="21"/>
        </w:rPr>
        <w:t>年创立以来，紧扣国内糖尿病防治刚需及国产医疗器械崛起趋势，致力于利用生物传感技术研发、生产、销售快速检测慢性疾病产品，从血糖监测起步，经过二十多年的发展已成为国产血糖监测领域领先企业，同时随着公司与海外子公司</w:t>
      </w:r>
      <w:r>
        <w:rPr>
          <w:rFonts w:ascii="Times New Roman" w:hAnsi="Times New Roman" w:cs="Times New Roman"/>
          <w:sz w:val="21"/>
          <w:szCs w:val="21"/>
        </w:rPr>
        <w:t>Trividia</w:t>
      </w:r>
      <w:r w:rsidRPr="001E2F30">
        <w:rPr>
          <w:rFonts w:ascii="Times New Roman" w:hAnsi="Times New Roman" w:cs="Times New Roman" w:hint="eastAsia"/>
          <w:sz w:val="21"/>
          <w:szCs w:val="21"/>
        </w:rPr>
        <w:t>和</w:t>
      </w:r>
      <w:r>
        <w:rPr>
          <w:rFonts w:ascii="Times New Roman" w:hAnsi="Times New Roman" w:cs="Times New Roman"/>
          <w:sz w:val="21"/>
          <w:szCs w:val="21"/>
        </w:rPr>
        <w:t>PTS</w:t>
      </w:r>
      <w:r w:rsidRPr="001E2F30">
        <w:rPr>
          <w:rFonts w:ascii="Times New Roman" w:hAnsi="Times New Roman" w:cs="Times New Roman" w:hint="eastAsia"/>
          <w:sz w:val="21"/>
          <w:szCs w:val="21"/>
        </w:rPr>
        <w:t>的全球协同发展成果突显，成长为全球第四大血糖仪企业，在全球拥有</w:t>
      </w:r>
      <w:r>
        <w:rPr>
          <w:rFonts w:ascii="Times New Roman" w:hAnsi="Times New Roman" w:cs="Times New Roman"/>
          <w:sz w:val="21"/>
          <w:szCs w:val="21"/>
        </w:rPr>
        <w:t>9</w:t>
      </w:r>
      <w:r w:rsidRPr="001E2F30">
        <w:rPr>
          <w:rFonts w:ascii="Times New Roman" w:hAnsi="Times New Roman" w:cs="Times New Roman" w:hint="eastAsia"/>
          <w:sz w:val="21"/>
          <w:szCs w:val="21"/>
        </w:rPr>
        <w:t>大研发与生产基地。公司血糖仪零售市场份额持续稳居</w:t>
      </w:r>
      <w:r>
        <w:rPr>
          <w:rFonts w:ascii="Times New Roman" w:hAnsi="Times New Roman" w:cs="Times New Roman"/>
          <w:sz w:val="21"/>
          <w:szCs w:val="21"/>
        </w:rPr>
        <w:t>50%</w:t>
      </w:r>
      <w:r w:rsidRPr="001E2F30">
        <w:rPr>
          <w:rFonts w:ascii="Times New Roman" w:hAnsi="Times New Roman" w:cs="Times New Roman" w:hint="eastAsia"/>
          <w:sz w:val="21"/>
          <w:szCs w:val="21"/>
        </w:rPr>
        <w:t>以上，截至报告期末，公司血糖仪产品覆盖</w:t>
      </w:r>
      <w:r>
        <w:rPr>
          <w:rFonts w:ascii="Times New Roman" w:hAnsi="Times New Roman" w:cs="Times New Roman"/>
          <w:sz w:val="21"/>
          <w:szCs w:val="21"/>
        </w:rPr>
        <w:t>4,000</w:t>
      </w:r>
      <w:r w:rsidRPr="001E2F30">
        <w:rPr>
          <w:rFonts w:ascii="Times New Roman" w:hAnsi="Times New Roman" w:cs="Times New Roman" w:hint="eastAsia"/>
          <w:sz w:val="21"/>
          <w:szCs w:val="21"/>
        </w:rPr>
        <w:t>家等级医院、超过</w:t>
      </w:r>
      <w:r>
        <w:rPr>
          <w:rFonts w:ascii="Times New Roman" w:hAnsi="Times New Roman" w:cs="Times New Roman"/>
          <w:sz w:val="21"/>
          <w:szCs w:val="21"/>
        </w:rPr>
        <w:t>40</w:t>
      </w:r>
      <w:r w:rsidRPr="001E2F30">
        <w:rPr>
          <w:rFonts w:ascii="Times New Roman" w:hAnsi="Times New Roman" w:cs="Times New Roman" w:hint="eastAsia"/>
          <w:sz w:val="21"/>
          <w:szCs w:val="21"/>
        </w:rPr>
        <w:t>万家药店、</w:t>
      </w:r>
      <w:r>
        <w:rPr>
          <w:rFonts w:ascii="Times New Roman" w:hAnsi="Times New Roman" w:cs="Times New Roman"/>
          <w:sz w:val="21"/>
          <w:szCs w:val="21"/>
        </w:rPr>
        <w:t>1</w:t>
      </w:r>
      <w:r w:rsidRPr="001E2F30">
        <w:rPr>
          <w:rFonts w:ascii="Times New Roman" w:hAnsi="Times New Roman" w:cs="Times New Roman" w:hint="eastAsia"/>
          <w:sz w:val="21"/>
          <w:szCs w:val="21"/>
        </w:rPr>
        <w:t>万多家社区医院及乡镇医院，覆盖</w:t>
      </w:r>
      <w:r>
        <w:rPr>
          <w:rFonts w:ascii="Times New Roman" w:hAnsi="Times New Roman" w:cs="Times New Roman"/>
          <w:sz w:val="21"/>
          <w:szCs w:val="21"/>
        </w:rPr>
        <w:t>20</w:t>
      </w:r>
      <w:r w:rsidRPr="001E2F30">
        <w:rPr>
          <w:rFonts w:ascii="Times New Roman" w:hAnsi="Times New Roman" w:cs="Times New Roman" w:hint="eastAsia"/>
          <w:sz w:val="21"/>
          <w:szCs w:val="21"/>
        </w:rPr>
        <w:t>多家主流电商平台；在全球公司拥有超过</w:t>
      </w:r>
      <w:r>
        <w:rPr>
          <w:rFonts w:ascii="Times New Roman" w:hAnsi="Times New Roman" w:cs="Times New Roman"/>
          <w:sz w:val="21"/>
          <w:szCs w:val="21"/>
        </w:rPr>
        <w:t>2,500</w:t>
      </w:r>
      <w:r w:rsidRPr="001E2F30">
        <w:rPr>
          <w:rFonts w:ascii="Times New Roman" w:hAnsi="Times New Roman" w:cs="Times New Roman" w:hint="eastAsia"/>
          <w:sz w:val="21"/>
          <w:szCs w:val="21"/>
        </w:rPr>
        <w:t>万用户，业务遍布全球</w:t>
      </w:r>
      <w:r>
        <w:rPr>
          <w:rFonts w:ascii="Times New Roman" w:hAnsi="Times New Roman" w:cs="Times New Roman"/>
          <w:sz w:val="21"/>
          <w:szCs w:val="21"/>
        </w:rPr>
        <w:t>187</w:t>
      </w:r>
      <w:r w:rsidRPr="001E2F30">
        <w:rPr>
          <w:rFonts w:ascii="Times New Roman" w:hAnsi="Times New Roman" w:cs="Times New Roman" w:hint="eastAsia"/>
          <w:sz w:val="21"/>
          <w:szCs w:val="21"/>
        </w:rPr>
        <w:t>个国家和地区，公司在全球主要市场均通过相关质量合规审核与产品认证，满足全球不同市场需求。</w:t>
      </w:r>
    </w:p>
    <w:p w14:paraId="6EB9D6FB"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公司作为血糖监测领域领先企业，相继获得国内外权威机构的高度认可和荣誉。荣获“国家企业技术中心”、“国家工程研究中心”、“国家技术创新示范企业”、“国家知识产权优势企业”、“国家科技进步二等奖”、“国家绿色工厂”和“制造业单项冠军企业”等资质。未来，公司将继续践行“因为爱，我们致力于为全球糖尿病及相关慢性疾病的人们提供创新、优质的产品和服务，帮助他们提高生活质量”的企业使命，最终实现“全球领先的糖尿病数字管理专家”的战略愿景。</w:t>
      </w:r>
    </w:p>
    <w:p w14:paraId="16ADE813"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（三）主要法律法规及行业政策</w:t>
      </w:r>
    </w:p>
    <w:p w14:paraId="47B022CC" w14:textId="77777777" w:rsidR="00113A51" w:rsidRPr="001E2F30" w:rsidRDefault="00766EC7" w:rsidP="001E2F30">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E2F30">
        <w:rPr>
          <w:rFonts w:ascii="Times New Roman" w:hAnsi="Times New Roman" w:cs="Times New Roman" w:hint="eastAsia"/>
          <w:sz w:val="21"/>
          <w:szCs w:val="21"/>
        </w:rPr>
        <w:t>近年来国家对慢病防治呈现出基层化、标准化、数智化和一体化的政策趋势，防治重心全面下沉，关口前移，基层管理标准变得更为具体。并陆续出台一系列“健康中国”政策，大力推进健康中国建设，总体来看，国家政策未来将在“监管</w:t>
      </w:r>
      <w:r>
        <w:rPr>
          <w:rFonts w:ascii="Times New Roman" w:hAnsi="Times New Roman" w:cs="Times New Roman"/>
          <w:sz w:val="21"/>
          <w:szCs w:val="21"/>
        </w:rPr>
        <w:t>+</w:t>
      </w:r>
      <w:r w:rsidRPr="001E2F30">
        <w:rPr>
          <w:rFonts w:ascii="Times New Roman" w:hAnsi="Times New Roman" w:cs="Times New Roman" w:hint="eastAsia"/>
          <w:sz w:val="21"/>
          <w:szCs w:val="21"/>
        </w:rPr>
        <w:t>鼓励”两方面助力医疗器械行业的健康发展。</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
        <w:gridCol w:w="2553"/>
        <w:gridCol w:w="992"/>
        <w:gridCol w:w="5952"/>
      </w:tblGrid>
      <w:tr w:rsidR="00113A51" w14:paraId="53220FE1" w14:textId="77777777" w:rsidTr="00B97CD7">
        <w:trPr>
          <w:cantSplit/>
          <w:jc w:val="center"/>
        </w:trPr>
        <w:tc>
          <w:tcPr>
            <w:tcW w:w="283" w:type="dxa"/>
            <w:shd w:val="clear" w:color="auto" w:fill="BFBFBF"/>
            <w:tcMar>
              <w:top w:w="10" w:type="dxa"/>
              <w:left w:w="10" w:type="dxa"/>
              <w:bottom w:w="10" w:type="dxa"/>
              <w:right w:w="10" w:type="dxa"/>
            </w:tcMar>
            <w:vAlign w:val="center"/>
          </w:tcPr>
          <w:p w14:paraId="5F59E3B7"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Style w:val="aa"/>
                <w:rFonts w:ascii="Times New Roman" w:hAnsi="Times New Roman" w:hint="eastAsia"/>
                <w:sz w:val="18"/>
                <w:szCs w:val="18"/>
              </w:rPr>
              <w:t>序号</w:t>
            </w:r>
          </w:p>
        </w:tc>
        <w:tc>
          <w:tcPr>
            <w:tcW w:w="2553" w:type="dxa"/>
            <w:shd w:val="clear" w:color="auto" w:fill="BFBFBF"/>
            <w:tcMar>
              <w:top w:w="10" w:type="dxa"/>
              <w:left w:w="10" w:type="dxa"/>
              <w:bottom w:w="10" w:type="dxa"/>
              <w:right w:w="10" w:type="dxa"/>
            </w:tcMar>
            <w:vAlign w:val="center"/>
          </w:tcPr>
          <w:p w14:paraId="28F0E05A"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Style w:val="aa"/>
                <w:rFonts w:ascii="Times New Roman" w:hAnsi="Times New Roman" w:hint="eastAsia"/>
                <w:sz w:val="18"/>
                <w:szCs w:val="18"/>
              </w:rPr>
              <w:t>法规名称</w:t>
            </w:r>
          </w:p>
        </w:tc>
        <w:tc>
          <w:tcPr>
            <w:tcW w:w="992" w:type="dxa"/>
            <w:shd w:val="clear" w:color="auto" w:fill="BFBFBF"/>
            <w:tcMar>
              <w:top w:w="10" w:type="dxa"/>
              <w:left w:w="10" w:type="dxa"/>
              <w:bottom w:w="10" w:type="dxa"/>
              <w:right w:w="10" w:type="dxa"/>
            </w:tcMar>
            <w:vAlign w:val="center"/>
          </w:tcPr>
          <w:p w14:paraId="36A70C08"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Style w:val="aa"/>
                <w:rFonts w:ascii="Times New Roman" w:hAnsi="Times New Roman" w:hint="eastAsia"/>
                <w:sz w:val="18"/>
                <w:szCs w:val="18"/>
              </w:rPr>
              <w:t>发文日期</w:t>
            </w:r>
          </w:p>
        </w:tc>
        <w:tc>
          <w:tcPr>
            <w:tcW w:w="5953" w:type="dxa"/>
            <w:shd w:val="clear" w:color="auto" w:fill="BFBFBF"/>
            <w:tcMar>
              <w:top w:w="10" w:type="dxa"/>
              <w:left w:w="10" w:type="dxa"/>
              <w:bottom w:w="10" w:type="dxa"/>
              <w:right w:w="10" w:type="dxa"/>
            </w:tcMar>
            <w:vAlign w:val="center"/>
          </w:tcPr>
          <w:p w14:paraId="14A33C9F"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Style w:val="aa"/>
                <w:rFonts w:ascii="Times New Roman" w:hAnsi="Times New Roman" w:hint="eastAsia"/>
                <w:sz w:val="18"/>
                <w:szCs w:val="18"/>
              </w:rPr>
              <w:t>相关内容</w:t>
            </w:r>
          </w:p>
        </w:tc>
      </w:tr>
      <w:tr w:rsidR="00113A51" w14:paraId="61B7ECDC" w14:textId="77777777" w:rsidTr="00B97CD7">
        <w:trPr>
          <w:cantSplit/>
          <w:jc w:val="center"/>
        </w:trPr>
        <w:tc>
          <w:tcPr>
            <w:tcW w:w="283" w:type="dxa"/>
            <w:tcMar>
              <w:top w:w="10" w:type="dxa"/>
              <w:left w:w="10" w:type="dxa"/>
              <w:bottom w:w="10" w:type="dxa"/>
              <w:right w:w="10" w:type="dxa"/>
            </w:tcMar>
            <w:vAlign w:val="center"/>
          </w:tcPr>
          <w:p w14:paraId="749AE75E"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1</w:t>
            </w:r>
          </w:p>
        </w:tc>
        <w:tc>
          <w:tcPr>
            <w:tcW w:w="2553" w:type="dxa"/>
            <w:tcMar>
              <w:top w:w="10" w:type="dxa"/>
              <w:left w:w="10" w:type="dxa"/>
              <w:bottom w:w="10" w:type="dxa"/>
              <w:right w:w="10" w:type="dxa"/>
            </w:tcMar>
            <w:vAlign w:val="center"/>
          </w:tcPr>
          <w:p w14:paraId="44CD0C0B"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《基层慢性病健康管理服务能力建设指引》</w:t>
            </w:r>
          </w:p>
        </w:tc>
        <w:tc>
          <w:tcPr>
            <w:tcW w:w="992" w:type="dxa"/>
            <w:tcMar>
              <w:top w:w="10" w:type="dxa"/>
              <w:left w:w="10" w:type="dxa"/>
              <w:bottom w:w="10" w:type="dxa"/>
              <w:right w:w="10" w:type="dxa"/>
            </w:tcMar>
            <w:vAlign w:val="center"/>
          </w:tcPr>
          <w:p w14:paraId="71E5BB42"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2025/11/20</w:t>
            </w:r>
          </w:p>
        </w:tc>
        <w:tc>
          <w:tcPr>
            <w:tcW w:w="5953" w:type="dxa"/>
            <w:tcMar>
              <w:top w:w="10" w:type="dxa"/>
              <w:left w:w="10" w:type="dxa"/>
              <w:bottom w:w="10" w:type="dxa"/>
              <w:right w:w="10" w:type="dxa"/>
            </w:tcMar>
            <w:vAlign w:val="center"/>
          </w:tcPr>
          <w:p w14:paraId="6D5A67DB"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为指导各地根据需要促进基层慢性病健康管理服务能力建设，优化服务流程，提高服务质量，适应城乡居民慢性病健康管理服务需求，动态血糖监测仪、糖化血红蛋白检测设备被直接纳入推荐设备清单。</w:t>
            </w:r>
          </w:p>
        </w:tc>
      </w:tr>
      <w:tr w:rsidR="00113A51" w14:paraId="2911EB60" w14:textId="77777777" w:rsidTr="00B97CD7">
        <w:trPr>
          <w:cantSplit/>
          <w:jc w:val="center"/>
        </w:trPr>
        <w:tc>
          <w:tcPr>
            <w:tcW w:w="283" w:type="dxa"/>
            <w:tcMar>
              <w:top w:w="10" w:type="dxa"/>
              <w:left w:w="10" w:type="dxa"/>
              <w:bottom w:w="10" w:type="dxa"/>
              <w:right w:w="10" w:type="dxa"/>
            </w:tcMar>
            <w:vAlign w:val="center"/>
          </w:tcPr>
          <w:p w14:paraId="092C2047"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w:t>
            </w:r>
          </w:p>
        </w:tc>
        <w:tc>
          <w:tcPr>
            <w:tcW w:w="2553" w:type="dxa"/>
            <w:tcMar>
              <w:top w:w="10" w:type="dxa"/>
              <w:left w:w="10" w:type="dxa"/>
              <w:bottom w:w="10" w:type="dxa"/>
              <w:right w:w="10" w:type="dxa"/>
            </w:tcMar>
            <w:vAlign w:val="center"/>
          </w:tcPr>
          <w:p w14:paraId="030906E1"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《关于加强基层慢性病健康管理服务的指导意见》</w:t>
            </w:r>
          </w:p>
        </w:tc>
        <w:tc>
          <w:tcPr>
            <w:tcW w:w="992" w:type="dxa"/>
            <w:tcMar>
              <w:top w:w="10" w:type="dxa"/>
              <w:left w:w="10" w:type="dxa"/>
              <w:bottom w:w="10" w:type="dxa"/>
              <w:right w:w="10" w:type="dxa"/>
            </w:tcMar>
            <w:vAlign w:val="center"/>
          </w:tcPr>
          <w:p w14:paraId="6F2A134A"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2025/10/29</w:t>
            </w:r>
          </w:p>
        </w:tc>
        <w:tc>
          <w:tcPr>
            <w:tcW w:w="5953" w:type="dxa"/>
            <w:tcMar>
              <w:top w:w="10" w:type="dxa"/>
              <w:left w:w="10" w:type="dxa"/>
              <w:bottom w:w="10" w:type="dxa"/>
              <w:right w:w="10" w:type="dxa"/>
            </w:tcMar>
            <w:vAlign w:val="center"/>
          </w:tcPr>
          <w:p w14:paraId="454331E9"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到</w:t>
            </w:r>
            <w:r>
              <w:rPr>
                <w:rFonts w:ascii="Times New Roman" w:hAnsi="Times New Roman" w:hint="eastAsia"/>
                <w:sz w:val="18"/>
                <w:szCs w:val="18"/>
              </w:rPr>
              <w:t>2027</w:t>
            </w:r>
            <w:r>
              <w:rPr>
                <w:rFonts w:ascii="Times New Roman" w:hAnsi="Times New Roman" w:hint="eastAsia"/>
                <w:sz w:val="18"/>
                <w:szCs w:val="18"/>
              </w:rPr>
              <w:t>年，开展紧密型医联体建设的县（市、区）基本实现基层慢性病健康管理全流程服务。到</w:t>
            </w:r>
            <w:r>
              <w:rPr>
                <w:rFonts w:ascii="Times New Roman" w:hAnsi="Times New Roman" w:hint="eastAsia"/>
                <w:sz w:val="18"/>
                <w:szCs w:val="18"/>
              </w:rPr>
              <w:t>2030</w:t>
            </w:r>
            <w:r>
              <w:rPr>
                <w:rFonts w:ascii="Times New Roman" w:hAnsi="Times New Roman" w:hint="eastAsia"/>
                <w:sz w:val="18"/>
                <w:szCs w:val="18"/>
              </w:rPr>
              <w:t>年，慢性病系统连续服务模式在基层广泛应用。明确提出乡镇卫生院和社区卫生服务中心可设立“一站式”基层慢性病健康管理中心，便携式血糖仪、可穿戴智能检测设备被明确列为应配备的自助设备。</w:t>
            </w:r>
          </w:p>
        </w:tc>
      </w:tr>
      <w:tr w:rsidR="00113A51" w14:paraId="7F3D261A" w14:textId="77777777" w:rsidTr="00B97CD7">
        <w:trPr>
          <w:cantSplit/>
          <w:jc w:val="center"/>
        </w:trPr>
        <w:tc>
          <w:tcPr>
            <w:tcW w:w="283" w:type="dxa"/>
            <w:tcMar>
              <w:top w:w="10" w:type="dxa"/>
              <w:left w:w="10" w:type="dxa"/>
              <w:bottom w:w="10" w:type="dxa"/>
              <w:right w:w="10" w:type="dxa"/>
            </w:tcMar>
            <w:vAlign w:val="center"/>
          </w:tcPr>
          <w:p w14:paraId="110176BB"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3</w:t>
            </w:r>
          </w:p>
        </w:tc>
        <w:tc>
          <w:tcPr>
            <w:tcW w:w="2553" w:type="dxa"/>
            <w:tcMar>
              <w:top w:w="10" w:type="dxa"/>
              <w:left w:w="10" w:type="dxa"/>
              <w:bottom w:w="10" w:type="dxa"/>
              <w:right w:w="10" w:type="dxa"/>
            </w:tcMar>
            <w:vAlign w:val="center"/>
          </w:tcPr>
          <w:p w14:paraId="5BA14E15"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《中共中央关于制定国民经济和社会发展第十五个五年规划的建议》（“十五五”规划建议）</w:t>
            </w:r>
          </w:p>
        </w:tc>
        <w:tc>
          <w:tcPr>
            <w:tcW w:w="992" w:type="dxa"/>
            <w:tcMar>
              <w:top w:w="10" w:type="dxa"/>
              <w:left w:w="10" w:type="dxa"/>
              <w:bottom w:w="10" w:type="dxa"/>
              <w:right w:w="10" w:type="dxa"/>
            </w:tcMar>
            <w:vAlign w:val="center"/>
          </w:tcPr>
          <w:p w14:paraId="75EE5FDA"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2025/10/28</w:t>
            </w:r>
          </w:p>
        </w:tc>
        <w:tc>
          <w:tcPr>
            <w:tcW w:w="5953" w:type="dxa"/>
            <w:tcMar>
              <w:top w:w="10" w:type="dxa"/>
              <w:left w:w="10" w:type="dxa"/>
              <w:bottom w:w="10" w:type="dxa"/>
              <w:right w:w="10" w:type="dxa"/>
            </w:tcMar>
            <w:vAlign w:val="center"/>
          </w:tcPr>
          <w:p w14:paraId="4D43A13E"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部署“十五五”时期经济社会发展重点任务，其中明确实施医疗卫生强基工程，强化基层医疗服务能力，推动基层医疗机构设备升级；支持医疗器械创新发展，深化分级诊疗，加强基层慢性病共防共管，扩大体外诊断应用场景，助力慢病全周期管理。</w:t>
            </w:r>
          </w:p>
        </w:tc>
      </w:tr>
      <w:tr w:rsidR="00113A51" w14:paraId="1D91431C" w14:textId="77777777" w:rsidTr="00B97CD7">
        <w:trPr>
          <w:cantSplit/>
          <w:jc w:val="center"/>
        </w:trPr>
        <w:tc>
          <w:tcPr>
            <w:tcW w:w="283" w:type="dxa"/>
            <w:tcMar>
              <w:top w:w="10" w:type="dxa"/>
              <w:left w:w="10" w:type="dxa"/>
              <w:bottom w:w="10" w:type="dxa"/>
              <w:right w:w="10" w:type="dxa"/>
            </w:tcMar>
            <w:vAlign w:val="center"/>
          </w:tcPr>
          <w:p w14:paraId="3402F8E6"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44</w:t>
            </w:r>
          </w:p>
        </w:tc>
        <w:tc>
          <w:tcPr>
            <w:tcW w:w="2553" w:type="dxa"/>
            <w:tcMar>
              <w:top w:w="10" w:type="dxa"/>
              <w:left w:w="10" w:type="dxa"/>
              <w:bottom w:w="10" w:type="dxa"/>
              <w:right w:w="10" w:type="dxa"/>
            </w:tcMar>
            <w:vAlign w:val="center"/>
          </w:tcPr>
          <w:p w14:paraId="4D5415D6"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《关于发布优化全生命周期监管支持高端医疗器械创新发展有关举措的公告》</w:t>
            </w:r>
          </w:p>
        </w:tc>
        <w:tc>
          <w:tcPr>
            <w:tcW w:w="992" w:type="dxa"/>
            <w:tcMar>
              <w:top w:w="10" w:type="dxa"/>
              <w:left w:w="10" w:type="dxa"/>
              <w:bottom w:w="10" w:type="dxa"/>
              <w:right w:w="10" w:type="dxa"/>
            </w:tcMar>
            <w:vAlign w:val="center"/>
          </w:tcPr>
          <w:p w14:paraId="61F188EB" w14:textId="27CEE3F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2025/</w:t>
            </w:r>
            <w:r w:rsidR="00BA13AD">
              <w:rPr>
                <w:rFonts w:ascii="Times New Roman" w:hAnsi="Times New Roman" w:cs="Times New Roman"/>
                <w:sz w:val="18"/>
                <w:szCs w:val="18"/>
              </w:rPr>
              <w:t>0</w:t>
            </w:r>
            <w:r>
              <w:rPr>
                <w:rFonts w:ascii="Times New Roman" w:hAnsi="Times New Roman" w:cs="Times New Roman"/>
                <w:sz w:val="18"/>
                <w:szCs w:val="18"/>
              </w:rPr>
              <w:t>6/27</w:t>
            </w:r>
          </w:p>
        </w:tc>
        <w:tc>
          <w:tcPr>
            <w:tcW w:w="5953" w:type="dxa"/>
            <w:tcMar>
              <w:top w:w="10" w:type="dxa"/>
              <w:left w:w="10" w:type="dxa"/>
              <w:bottom w:w="10" w:type="dxa"/>
              <w:right w:w="10" w:type="dxa"/>
            </w:tcMar>
            <w:vAlign w:val="center"/>
          </w:tcPr>
          <w:p w14:paraId="16126BAF"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聚焦高端医疗器械领域，推出十大举措构建全链条支持体系，包括优化特殊审批程序、完善分类命名原则、健全标准体系、明晰注册审查要求，强化上市后监管与质量监测，推进监管科学研究及全球监管协调，支持高端医疗器械创新及企业“出海”。</w:t>
            </w:r>
          </w:p>
        </w:tc>
      </w:tr>
      <w:tr w:rsidR="00113A51" w14:paraId="17089823" w14:textId="77777777" w:rsidTr="00B97CD7">
        <w:trPr>
          <w:cantSplit/>
          <w:jc w:val="center"/>
        </w:trPr>
        <w:tc>
          <w:tcPr>
            <w:tcW w:w="283" w:type="dxa"/>
            <w:tcMar>
              <w:top w:w="10" w:type="dxa"/>
              <w:left w:w="10" w:type="dxa"/>
              <w:bottom w:w="10" w:type="dxa"/>
              <w:right w:w="10" w:type="dxa"/>
            </w:tcMar>
            <w:vAlign w:val="center"/>
          </w:tcPr>
          <w:p w14:paraId="788C5776"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5</w:t>
            </w:r>
          </w:p>
        </w:tc>
        <w:tc>
          <w:tcPr>
            <w:tcW w:w="2553" w:type="dxa"/>
            <w:tcMar>
              <w:top w:w="10" w:type="dxa"/>
              <w:left w:w="10" w:type="dxa"/>
              <w:bottom w:w="10" w:type="dxa"/>
              <w:right w:w="10" w:type="dxa"/>
            </w:tcMar>
            <w:vAlign w:val="center"/>
          </w:tcPr>
          <w:p w14:paraId="3360BC9B"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《关于做好</w:t>
            </w:r>
            <w:r>
              <w:rPr>
                <w:rFonts w:ascii="Times New Roman" w:hAnsi="Times New Roman" w:cs="Times New Roman"/>
                <w:sz w:val="18"/>
                <w:szCs w:val="18"/>
              </w:rPr>
              <w:t>2025</w:t>
            </w:r>
            <w:r>
              <w:rPr>
                <w:rFonts w:ascii="Times New Roman" w:hAnsi="Times New Roman" w:hint="eastAsia"/>
                <w:sz w:val="18"/>
                <w:szCs w:val="18"/>
              </w:rPr>
              <w:t>年基本公共卫生服务工作的通知》</w:t>
            </w:r>
          </w:p>
        </w:tc>
        <w:tc>
          <w:tcPr>
            <w:tcW w:w="992" w:type="dxa"/>
            <w:tcMar>
              <w:top w:w="10" w:type="dxa"/>
              <w:left w:w="10" w:type="dxa"/>
              <w:bottom w:w="10" w:type="dxa"/>
              <w:right w:w="10" w:type="dxa"/>
            </w:tcMar>
            <w:vAlign w:val="center"/>
          </w:tcPr>
          <w:p w14:paraId="6AB30979" w14:textId="56FBB7E3" w:rsidR="00113A51" w:rsidRDefault="00766EC7" w:rsidP="001E2F30">
            <w:pPr>
              <w:pStyle w:val="a9"/>
              <w:spacing w:before="40" w:beforeAutospacing="0" w:after="40" w:afterAutospacing="0" w:line="360" w:lineRule="auto"/>
              <w:jc w:val="center"/>
              <w:rPr>
                <w:rFonts w:ascii="Times New Roman" w:hAnsi="Times New Roman"/>
                <w:sz w:val="21"/>
                <w:szCs w:val="18"/>
              </w:rPr>
            </w:pPr>
            <w:bookmarkStart w:id="16" w:name="OLE_LINK6"/>
            <w:bookmarkEnd w:id="16"/>
            <w:r>
              <w:rPr>
                <w:rFonts w:ascii="Times New Roman" w:hAnsi="Times New Roman" w:cs="Times New Roman"/>
                <w:sz w:val="18"/>
                <w:szCs w:val="18"/>
              </w:rPr>
              <w:t>2025/</w:t>
            </w:r>
            <w:r w:rsidR="00BA13AD">
              <w:rPr>
                <w:rFonts w:ascii="Times New Roman" w:hAnsi="Times New Roman" w:cs="Times New Roman"/>
                <w:sz w:val="18"/>
                <w:szCs w:val="18"/>
              </w:rPr>
              <w:t>0</w:t>
            </w:r>
            <w:r>
              <w:rPr>
                <w:rFonts w:ascii="Times New Roman" w:hAnsi="Times New Roman" w:cs="Times New Roman"/>
                <w:sz w:val="18"/>
                <w:szCs w:val="18"/>
              </w:rPr>
              <w:t>6/26</w:t>
            </w:r>
          </w:p>
        </w:tc>
        <w:tc>
          <w:tcPr>
            <w:tcW w:w="5953" w:type="dxa"/>
            <w:tcMar>
              <w:top w:w="10" w:type="dxa"/>
              <w:left w:w="10" w:type="dxa"/>
              <w:bottom w:w="10" w:type="dxa"/>
              <w:right w:w="10" w:type="dxa"/>
            </w:tcMar>
            <w:vAlign w:val="center"/>
          </w:tcPr>
          <w:p w14:paraId="4F1F218D"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增加基本公共卫生服务经费人均财政补助标准，聚焦“一老一小”和高血压、</w:t>
            </w:r>
            <w:r>
              <w:rPr>
                <w:rFonts w:ascii="Times New Roman" w:hAnsi="Times New Roman" w:hint="eastAsia"/>
                <w:sz w:val="18"/>
                <w:szCs w:val="18"/>
              </w:rPr>
              <w:t>2</w:t>
            </w:r>
            <w:r>
              <w:rPr>
                <w:rFonts w:ascii="Times New Roman" w:hAnsi="Times New Roman" w:hint="eastAsia"/>
                <w:sz w:val="18"/>
                <w:szCs w:val="18"/>
              </w:rPr>
              <w:t>型糖尿病、慢性阻塞性肺疾病等慢性病患者，结合“儿科和精神卫生服务年”“体重管理年”等重点工作，做好基本公共卫生服务相关健康服务。首次将糖化血红蛋白（</w:t>
            </w:r>
            <w:r>
              <w:rPr>
                <w:rFonts w:ascii="Times New Roman" w:hAnsi="Times New Roman" w:hint="eastAsia"/>
                <w:sz w:val="18"/>
                <w:szCs w:val="18"/>
              </w:rPr>
              <w:t>HbA1c</w:t>
            </w:r>
            <w:r>
              <w:rPr>
                <w:rFonts w:ascii="Times New Roman" w:hAnsi="Times New Roman" w:hint="eastAsia"/>
                <w:sz w:val="18"/>
                <w:szCs w:val="18"/>
              </w:rPr>
              <w:t>）检测纳入</w:t>
            </w:r>
            <w:r>
              <w:rPr>
                <w:rFonts w:ascii="Times New Roman" w:hAnsi="Times New Roman" w:hint="eastAsia"/>
                <w:sz w:val="18"/>
                <w:szCs w:val="18"/>
              </w:rPr>
              <w:t>65</w:t>
            </w:r>
            <w:r>
              <w:rPr>
                <w:rFonts w:ascii="Times New Roman" w:hAnsi="Times New Roman" w:hint="eastAsia"/>
                <w:sz w:val="18"/>
                <w:szCs w:val="18"/>
              </w:rPr>
              <w:t>岁以上老年人健康体检必查项目。</w:t>
            </w:r>
          </w:p>
        </w:tc>
      </w:tr>
      <w:tr w:rsidR="00113A51" w14:paraId="50C0EF15" w14:textId="77777777" w:rsidTr="00B97CD7">
        <w:trPr>
          <w:cantSplit/>
          <w:jc w:val="center"/>
        </w:trPr>
        <w:tc>
          <w:tcPr>
            <w:tcW w:w="283" w:type="dxa"/>
            <w:tcMar>
              <w:top w:w="10" w:type="dxa"/>
              <w:left w:w="10" w:type="dxa"/>
              <w:bottom w:w="10" w:type="dxa"/>
              <w:right w:w="10" w:type="dxa"/>
            </w:tcMar>
            <w:vAlign w:val="center"/>
          </w:tcPr>
          <w:p w14:paraId="06AAF4B3"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6</w:t>
            </w:r>
          </w:p>
        </w:tc>
        <w:tc>
          <w:tcPr>
            <w:tcW w:w="2553" w:type="dxa"/>
            <w:tcMar>
              <w:top w:w="10" w:type="dxa"/>
              <w:left w:w="10" w:type="dxa"/>
              <w:bottom w:w="10" w:type="dxa"/>
              <w:right w:w="10" w:type="dxa"/>
            </w:tcMar>
            <w:vAlign w:val="center"/>
          </w:tcPr>
          <w:p w14:paraId="21267881"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《乡镇卫生院医用装备配置标准》</w:t>
            </w:r>
          </w:p>
        </w:tc>
        <w:tc>
          <w:tcPr>
            <w:tcW w:w="992" w:type="dxa"/>
            <w:tcMar>
              <w:top w:w="10" w:type="dxa"/>
              <w:left w:w="10" w:type="dxa"/>
              <w:bottom w:w="10" w:type="dxa"/>
              <w:right w:w="10" w:type="dxa"/>
            </w:tcMar>
            <w:vAlign w:val="center"/>
          </w:tcPr>
          <w:p w14:paraId="30125683" w14:textId="110FC15E"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2025/</w:t>
            </w:r>
            <w:r w:rsidR="00BA13AD">
              <w:rPr>
                <w:rFonts w:ascii="Times New Roman" w:hAnsi="Times New Roman" w:cs="Times New Roman"/>
                <w:sz w:val="18"/>
                <w:szCs w:val="18"/>
              </w:rPr>
              <w:t>0</w:t>
            </w:r>
            <w:r>
              <w:rPr>
                <w:rFonts w:ascii="Times New Roman" w:hAnsi="Times New Roman" w:cs="Times New Roman"/>
                <w:sz w:val="18"/>
                <w:szCs w:val="18"/>
              </w:rPr>
              <w:t>3/29</w:t>
            </w:r>
          </w:p>
        </w:tc>
        <w:tc>
          <w:tcPr>
            <w:tcW w:w="5953" w:type="dxa"/>
            <w:tcMar>
              <w:top w:w="10" w:type="dxa"/>
              <w:left w:w="10" w:type="dxa"/>
              <w:bottom w:w="10" w:type="dxa"/>
              <w:right w:w="10" w:type="dxa"/>
            </w:tcMar>
            <w:vAlign w:val="center"/>
          </w:tcPr>
          <w:p w14:paraId="4BE35DD0"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规定了乡镇卫生院医用装备（不含中医药服务装备）配置的基本原则、分类品目及数量。适用于所有乡镇卫生院配置医用装备，街道卫生院配置医用装备可参照执行。结合乡镇卫生院发展现状，将医用装备分为通用、专用两类。开展基本医疗卫生服务时普遍使用的医用装备为通用医用装备，均为基本品目，包括便携血糖及血糖相关参数分析仪器等</w:t>
            </w:r>
            <w:r>
              <w:rPr>
                <w:rFonts w:ascii="Times New Roman" w:hAnsi="Times New Roman" w:hint="eastAsia"/>
                <w:sz w:val="18"/>
                <w:szCs w:val="18"/>
              </w:rPr>
              <w:t>22</w:t>
            </w:r>
            <w:r>
              <w:rPr>
                <w:rFonts w:ascii="Times New Roman" w:hAnsi="Times New Roman" w:hint="eastAsia"/>
                <w:sz w:val="18"/>
                <w:szCs w:val="18"/>
              </w:rPr>
              <w:t>种。满足科室开展专科医疗服务需求时使用的医用装备称为专用医用装备，包括血糖分析设备等</w:t>
            </w:r>
            <w:r>
              <w:rPr>
                <w:rFonts w:ascii="Times New Roman" w:hAnsi="Times New Roman" w:hint="eastAsia"/>
                <w:sz w:val="18"/>
                <w:szCs w:val="18"/>
              </w:rPr>
              <w:t>115</w:t>
            </w:r>
            <w:r>
              <w:rPr>
                <w:rFonts w:ascii="Times New Roman" w:hAnsi="Times New Roman" w:hint="eastAsia"/>
                <w:sz w:val="18"/>
                <w:szCs w:val="18"/>
              </w:rPr>
              <w:t>种。</w:t>
            </w:r>
          </w:p>
        </w:tc>
      </w:tr>
      <w:tr w:rsidR="00113A51" w14:paraId="419FE7E5" w14:textId="77777777" w:rsidTr="00B97CD7">
        <w:trPr>
          <w:cantSplit/>
          <w:jc w:val="center"/>
        </w:trPr>
        <w:tc>
          <w:tcPr>
            <w:tcW w:w="283" w:type="dxa"/>
            <w:tcMar>
              <w:top w:w="10" w:type="dxa"/>
              <w:left w:w="10" w:type="dxa"/>
              <w:bottom w:w="10" w:type="dxa"/>
              <w:right w:w="10" w:type="dxa"/>
            </w:tcMar>
            <w:vAlign w:val="center"/>
          </w:tcPr>
          <w:p w14:paraId="723DEA44"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7</w:t>
            </w:r>
          </w:p>
        </w:tc>
        <w:tc>
          <w:tcPr>
            <w:tcW w:w="2553" w:type="dxa"/>
            <w:tcMar>
              <w:top w:w="10" w:type="dxa"/>
              <w:left w:w="10" w:type="dxa"/>
              <w:bottom w:w="10" w:type="dxa"/>
              <w:right w:w="10" w:type="dxa"/>
            </w:tcMar>
            <w:vAlign w:val="center"/>
          </w:tcPr>
          <w:p w14:paraId="4C6DCE4F"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国家卫生健康委、民政部、国家医保局、国家中医药局、国家疾控局关于促进医养结合服务高质量发展的指导意见</w:t>
            </w:r>
          </w:p>
        </w:tc>
        <w:tc>
          <w:tcPr>
            <w:tcW w:w="992" w:type="dxa"/>
            <w:tcMar>
              <w:top w:w="10" w:type="dxa"/>
              <w:left w:w="10" w:type="dxa"/>
              <w:bottom w:w="10" w:type="dxa"/>
              <w:right w:w="10" w:type="dxa"/>
            </w:tcMar>
            <w:vAlign w:val="center"/>
          </w:tcPr>
          <w:p w14:paraId="5DD15225"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2024/12/12</w:t>
            </w:r>
          </w:p>
        </w:tc>
        <w:tc>
          <w:tcPr>
            <w:tcW w:w="5953" w:type="dxa"/>
            <w:tcMar>
              <w:top w:w="10" w:type="dxa"/>
              <w:left w:w="10" w:type="dxa"/>
              <w:bottom w:w="10" w:type="dxa"/>
              <w:right w:w="10" w:type="dxa"/>
            </w:tcMar>
            <w:vAlign w:val="center"/>
          </w:tcPr>
          <w:p w14:paraId="0F16D97E"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促进医养结合服务高质量发展，推动实现健康老龄化，不断增强老年人健康养老获得感。支持医养结合机构与有关医疗机构合作，开展远程诊疗、慢性病管理、康复护理指导等服务，鼓励通过互联网医院为老年常见病、慢性病患者复诊，推动优质医疗资源扩容下沉。探索人工智能在健康管理、健康监测、健康照护等方面的应用。</w:t>
            </w:r>
          </w:p>
        </w:tc>
      </w:tr>
      <w:tr w:rsidR="00113A51" w14:paraId="766597A2" w14:textId="77777777" w:rsidTr="00B97CD7">
        <w:trPr>
          <w:cantSplit/>
          <w:jc w:val="center"/>
        </w:trPr>
        <w:tc>
          <w:tcPr>
            <w:tcW w:w="283" w:type="dxa"/>
            <w:tcMar>
              <w:top w:w="10" w:type="dxa"/>
              <w:left w:w="10" w:type="dxa"/>
              <w:bottom w:w="10" w:type="dxa"/>
              <w:right w:w="10" w:type="dxa"/>
            </w:tcMar>
            <w:vAlign w:val="center"/>
          </w:tcPr>
          <w:p w14:paraId="0C4FD3A1"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8</w:t>
            </w:r>
          </w:p>
        </w:tc>
        <w:tc>
          <w:tcPr>
            <w:tcW w:w="2553" w:type="dxa"/>
            <w:tcMar>
              <w:top w:w="10" w:type="dxa"/>
              <w:left w:w="10" w:type="dxa"/>
              <w:bottom w:w="10" w:type="dxa"/>
              <w:right w:w="10" w:type="dxa"/>
            </w:tcMar>
            <w:vAlign w:val="center"/>
          </w:tcPr>
          <w:p w14:paraId="221A06B0"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《关于做好</w:t>
            </w:r>
            <w:r>
              <w:rPr>
                <w:rFonts w:ascii="Times New Roman" w:hAnsi="Times New Roman" w:cs="Times New Roman"/>
                <w:sz w:val="18"/>
                <w:szCs w:val="18"/>
              </w:rPr>
              <w:t>2024</w:t>
            </w:r>
            <w:r>
              <w:rPr>
                <w:rFonts w:ascii="Times New Roman" w:hAnsi="Times New Roman" w:hint="eastAsia"/>
                <w:sz w:val="18"/>
                <w:szCs w:val="18"/>
              </w:rPr>
              <w:t>年基本公共卫生服务工作的通知》</w:t>
            </w:r>
          </w:p>
        </w:tc>
        <w:tc>
          <w:tcPr>
            <w:tcW w:w="992" w:type="dxa"/>
            <w:tcMar>
              <w:top w:w="10" w:type="dxa"/>
              <w:left w:w="10" w:type="dxa"/>
              <w:bottom w:w="10" w:type="dxa"/>
              <w:right w:w="10" w:type="dxa"/>
            </w:tcMar>
            <w:vAlign w:val="center"/>
          </w:tcPr>
          <w:p w14:paraId="69E19936"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2024/09/13</w:t>
            </w:r>
          </w:p>
        </w:tc>
        <w:tc>
          <w:tcPr>
            <w:tcW w:w="5953" w:type="dxa"/>
            <w:tcMar>
              <w:top w:w="10" w:type="dxa"/>
              <w:left w:w="10" w:type="dxa"/>
              <w:bottom w:w="10" w:type="dxa"/>
              <w:right w:w="10" w:type="dxa"/>
            </w:tcMar>
            <w:vAlign w:val="center"/>
          </w:tcPr>
          <w:p w14:paraId="65BF9B2F"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坚持以基层为重点，预防为主，持续推进基本公共卫生服务均等化，增强基本公共卫生服务的均衡性和可及性。明确增加经费继续用于扩大老年人，高血压、</w:t>
            </w:r>
            <w:r>
              <w:rPr>
                <w:rFonts w:ascii="Times New Roman" w:hAnsi="Times New Roman" w:cs="Times New Roman"/>
                <w:sz w:val="18"/>
                <w:szCs w:val="18"/>
              </w:rPr>
              <w:t>2</w:t>
            </w:r>
            <w:r>
              <w:rPr>
                <w:rFonts w:ascii="Times New Roman" w:hAnsi="Times New Roman" w:hint="eastAsia"/>
                <w:sz w:val="18"/>
                <w:szCs w:val="18"/>
              </w:rPr>
              <w:t>型糖尿病等慢性病患者，农村妇女“两癌”检查等受益人群覆盖面。对慢性病患者和老年人提供分类分级健康服务，健康体检中发现血压、血糖异常的，确诊后及时纳入慢性病患者健康服务。</w:t>
            </w:r>
          </w:p>
        </w:tc>
      </w:tr>
      <w:tr w:rsidR="00113A51" w14:paraId="52B23CFC" w14:textId="77777777" w:rsidTr="00B97CD7">
        <w:trPr>
          <w:cantSplit/>
          <w:jc w:val="center"/>
        </w:trPr>
        <w:tc>
          <w:tcPr>
            <w:tcW w:w="283" w:type="dxa"/>
            <w:tcMar>
              <w:top w:w="10" w:type="dxa"/>
              <w:left w:w="10" w:type="dxa"/>
              <w:bottom w:w="10" w:type="dxa"/>
              <w:right w:w="10" w:type="dxa"/>
            </w:tcMar>
            <w:vAlign w:val="center"/>
          </w:tcPr>
          <w:p w14:paraId="4F39C567" w14:textId="77777777" w:rsidR="00113A51" w:rsidRDefault="00766EC7" w:rsidP="001E2F30">
            <w:pPr>
              <w:pStyle w:val="a9"/>
              <w:spacing w:before="40" w:beforeAutospacing="0" w:after="40" w:afterAutospacing="0" w:line="360" w:lineRule="auto"/>
              <w:rPr>
                <w:rFonts w:ascii="Times New Roman" w:hAnsi="Times New Roman"/>
                <w:sz w:val="21"/>
                <w:szCs w:val="18"/>
              </w:rPr>
            </w:pPr>
            <w:r>
              <w:rPr>
                <w:rFonts w:ascii="Times New Roman" w:hAnsi="Times New Roman" w:cs="Times New Roman"/>
                <w:sz w:val="18"/>
                <w:szCs w:val="18"/>
              </w:rPr>
              <w:t>9</w:t>
            </w:r>
          </w:p>
        </w:tc>
        <w:tc>
          <w:tcPr>
            <w:tcW w:w="2553" w:type="dxa"/>
            <w:tcMar>
              <w:top w:w="10" w:type="dxa"/>
              <w:left w:w="10" w:type="dxa"/>
              <w:bottom w:w="10" w:type="dxa"/>
              <w:right w:w="10" w:type="dxa"/>
            </w:tcMar>
            <w:vAlign w:val="center"/>
          </w:tcPr>
          <w:p w14:paraId="46D9342F"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《关于推进健康乡村建设的指导意见》</w:t>
            </w:r>
          </w:p>
        </w:tc>
        <w:tc>
          <w:tcPr>
            <w:tcW w:w="992" w:type="dxa"/>
            <w:tcMar>
              <w:top w:w="10" w:type="dxa"/>
              <w:left w:w="10" w:type="dxa"/>
              <w:bottom w:w="10" w:type="dxa"/>
              <w:right w:w="10" w:type="dxa"/>
            </w:tcMar>
            <w:vAlign w:val="center"/>
          </w:tcPr>
          <w:p w14:paraId="6020846A"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2024/09/03</w:t>
            </w:r>
          </w:p>
        </w:tc>
        <w:tc>
          <w:tcPr>
            <w:tcW w:w="5953" w:type="dxa"/>
            <w:tcMar>
              <w:top w:w="10" w:type="dxa"/>
              <w:left w:w="10" w:type="dxa"/>
              <w:bottom w:w="10" w:type="dxa"/>
              <w:right w:w="10" w:type="dxa"/>
            </w:tcMar>
            <w:vAlign w:val="center"/>
          </w:tcPr>
          <w:p w14:paraId="1004D620"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到</w:t>
            </w:r>
            <w:r>
              <w:rPr>
                <w:rFonts w:ascii="Times New Roman" w:hAnsi="Times New Roman" w:cs="Times New Roman"/>
                <w:sz w:val="18"/>
                <w:szCs w:val="18"/>
              </w:rPr>
              <w:t>2030</w:t>
            </w:r>
            <w:r>
              <w:rPr>
                <w:rFonts w:ascii="Times New Roman" w:hAnsi="Times New Roman" w:hint="eastAsia"/>
                <w:sz w:val="18"/>
                <w:szCs w:val="18"/>
              </w:rPr>
              <w:t>年，乡村健康服务能力大幅提升，居民能够便捷获得优质的医疗卫生服务，个人医疗卫生负担可承受；健康生活方式得到普及，重大疾病危害和主要健康危险因素得到有效控制，居民健康水平持续提升。到</w:t>
            </w:r>
            <w:r>
              <w:rPr>
                <w:rFonts w:ascii="Times New Roman" w:hAnsi="Times New Roman" w:cs="Times New Roman"/>
                <w:sz w:val="18"/>
                <w:szCs w:val="18"/>
              </w:rPr>
              <w:t>2035</w:t>
            </w:r>
            <w:r>
              <w:rPr>
                <w:rFonts w:ascii="Times New Roman" w:hAnsi="Times New Roman" w:hint="eastAsia"/>
                <w:sz w:val="18"/>
                <w:szCs w:val="18"/>
              </w:rPr>
              <w:t>年，建成健康乡村，基本公共卫生服务均等化水平明显提高，城乡卫生健康事业发展差距和居民健康水平差距显著缩小。鼓励乡镇卫生院开展医养结合服务，提升医养结合服务能力。做实做细家庭医生签约服务，全面落实国家基本公共卫生服务，对</w:t>
            </w:r>
            <w:r>
              <w:rPr>
                <w:rFonts w:ascii="Times New Roman" w:hAnsi="Times New Roman" w:cs="Times New Roman"/>
                <w:sz w:val="18"/>
                <w:szCs w:val="18"/>
              </w:rPr>
              <w:t>0—6</w:t>
            </w:r>
            <w:r>
              <w:rPr>
                <w:rFonts w:ascii="Times New Roman" w:hAnsi="Times New Roman" w:hint="eastAsia"/>
                <w:sz w:val="18"/>
                <w:szCs w:val="18"/>
              </w:rPr>
              <w:t>岁儿童、孕产妇、老年人等重点人群，以及原发性高血压、</w:t>
            </w:r>
            <w:r>
              <w:rPr>
                <w:rFonts w:ascii="Times New Roman" w:hAnsi="Times New Roman" w:cs="Times New Roman"/>
                <w:sz w:val="18"/>
                <w:szCs w:val="18"/>
              </w:rPr>
              <w:t>2</w:t>
            </w:r>
            <w:r>
              <w:rPr>
                <w:rFonts w:ascii="Times New Roman" w:hAnsi="Times New Roman" w:hint="eastAsia"/>
                <w:sz w:val="18"/>
                <w:szCs w:val="18"/>
              </w:rPr>
              <w:t>型糖尿病、肺结核、严重精神障碍等慢性病患者开展针对性健康服务。</w:t>
            </w:r>
          </w:p>
        </w:tc>
      </w:tr>
      <w:tr w:rsidR="00113A51" w14:paraId="373BC0E2" w14:textId="77777777" w:rsidTr="00B97CD7">
        <w:trPr>
          <w:cantSplit/>
          <w:jc w:val="center"/>
        </w:trPr>
        <w:tc>
          <w:tcPr>
            <w:tcW w:w="283" w:type="dxa"/>
            <w:tcMar>
              <w:top w:w="10" w:type="dxa"/>
              <w:left w:w="10" w:type="dxa"/>
              <w:bottom w:w="10" w:type="dxa"/>
              <w:right w:w="10" w:type="dxa"/>
            </w:tcMar>
            <w:vAlign w:val="center"/>
          </w:tcPr>
          <w:p w14:paraId="2FB44011"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10</w:t>
            </w:r>
          </w:p>
        </w:tc>
        <w:tc>
          <w:tcPr>
            <w:tcW w:w="2553" w:type="dxa"/>
            <w:tcMar>
              <w:top w:w="10" w:type="dxa"/>
              <w:left w:w="10" w:type="dxa"/>
              <w:bottom w:w="10" w:type="dxa"/>
              <w:right w:w="10" w:type="dxa"/>
            </w:tcMar>
            <w:vAlign w:val="center"/>
          </w:tcPr>
          <w:p w14:paraId="5FD0EC4D"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《重点中心乡镇卫生院建设参考标准》</w:t>
            </w:r>
          </w:p>
        </w:tc>
        <w:tc>
          <w:tcPr>
            <w:tcW w:w="992" w:type="dxa"/>
            <w:tcMar>
              <w:top w:w="10" w:type="dxa"/>
              <w:left w:w="10" w:type="dxa"/>
              <w:bottom w:w="10" w:type="dxa"/>
              <w:right w:w="10" w:type="dxa"/>
            </w:tcMar>
            <w:vAlign w:val="center"/>
          </w:tcPr>
          <w:p w14:paraId="631A5DBA"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2024/07/22</w:t>
            </w:r>
          </w:p>
        </w:tc>
        <w:tc>
          <w:tcPr>
            <w:tcW w:w="5953" w:type="dxa"/>
            <w:tcMar>
              <w:top w:w="10" w:type="dxa"/>
              <w:left w:w="10" w:type="dxa"/>
              <w:bottom w:w="10" w:type="dxa"/>
              <w:right w:w="10" w:type="dxa"/>
            </w:tcMar>
            <w:vAlign w:val="center"/>
          </w:tcPr>
          <w:p w14:paraId="4A1B9BD5"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落实全国范围内选建一批中心乡镇卫生院，重点提升医疗服务能力要求，促进优质医疗资源扩容下沉和区域均衡布局。根据当地疾病谱和有关工作要求，定期开展慢性病、地方病等筛查，加强上通上级医院、下联村卫生室的慢性病、地方病等防治能力，设置有慢性病诊室、体卫融合运动区及慢性病健康管理区、健康教育室，通过出诊、体检、随访等形式，强化疾病机会性筛查。接受上级医院培训指导，建立双向转诊制度。</w:t>
            </w:r>
          </w:p>
        </w:tc>
      </w:tr>
      <w:tr w:rsidR="00113A51" w14:paraId="6C689E58" w14:textId="77777777" w:rsidTr="00B97CD7">
        <w:trPr>
          <w:cantSplit/>
          <w:jc w:val="center"/>
        </w:trPr>
        <w:tc>
          <w:tcPr>
            <w:tcW w:w="283" w:type="dxa"/>
            <w:tcMar>
              <w:top w:w="10" w:type="dxa"/>
              <w:left w:w="10" w:type="dxa"/>
              <w:bottom w:w="10" w:type="dxa"/>
              <w:right w:w="10" w:type="dxa"/>
            </w:tcMar>
            <w:vAlign w:val="center"/>
          </w:tcPr>
          <w:p w14:paraId="77BC2C6E"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11</w:t>
            </w:r>
          </w:p>
        </w:tc>
        <w:tc>
          <w:tcPr>
            <w:tcW w:w="2553" w:type="dxa"/>
            <w:tcMar>
              <w:top w:w="10" w:type="dxa"/>
              <w:left w:w="10" w:type="dxa"/>
              <w:bottom w:w="10" w:type="dxa"/>
              <w:right w:w="10" w:type="dxa"/>
            </w:tcMar>
            <w:vAlign w:val="center"/>
          </w:tcPr>
          <w:p w14:paraId="294D87D8"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《健康中国行动——糖尿病防治行动实施方案（</w:t>
            </w:r>
            <w:r>
              <w:rPr>
                <w:rFonts w:ascii="Times New Roman" w:hAnsi="Times New Roman" w:cs="Times New Roman"/>
                <w:sz w:val="18"/>
                <w:szCs w:val="18"/>
              </w:rPr>
              <w:t>2024-2030</w:t>
            </w:r>
            <w:r>
              <w:rPr>
                <w:rFonts w:ascii="Times New Roman" w:hAnsi="Times New Roman" w:hint="eastAsia"/>
                <w:sz w:val="18"/>
                <w:szCs w:val="18"/>
              </w:rPr>
              <w:t>年）》</w:t>
            </w:r>
          </w:p>
        </w:tc>
        <w:tc>
          <w:tcPr>
            <w:tcW w:w="992" w:type="dxa"/>
            <w:tcMar>
              <w:top w:w="10" w:type="dxa"/>
              <w:left w:w="10" w:type="dxa"/>
              <w:bottom w:w="10" w:type="dxa"/>
              <w:right w:w="10" w:type="dxa"/>
            </w:tcMar>
            <w:vAlign w:val="center"/>
          </w:tcPr>
          <w:p w14:paraId="42AA2722"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2024/07/15</w:t>
            </w:r>
          </w:p>
        </w:tc>
        <w:tc>
          <w:tcPr>
            <w:tcW w:w="5953" w:type="dxa"/>
            <w:tcMar>
              <w:top w:w="10" w:type="dxa"/>
              <w:left w:w="10" w:type="dxa"/>
              <w:bottom w:w="10" w:type="dxa"/>
              <w:right w:w="10" w:type="dxa"/>
            </w:tcMar>
            <w:vAlign w:val="center"/>
          </w:tcPr>
          <w:p w14:paraId="2FB36163"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扎实推进糖尿病防治工作，提升糖尿病防治成效。坚持预防为主，创新医防融合机制，以基层为重点，中西医并重，强化政府、部门、社会、个人责任，推进“以治病为中心”向“以健康为中心”转变，形成有利于糖尿病防治的生活方式、生态环境和社会环境，降低因糖尿病及其并发症导致的死亡和伤残，提高人民群众健康水平，为共建共享健康中国奠定重要基础。到</w:t>
            </w:r>
            <w:r>
              <w:rPr>
                <w:rFonts w:ascii="Times New Roman" w:hAnsi="Times New Roman" w:cs="Times New Roman"/>
                <w:sz w:val="18"/>
                <w:szCs w:val="18"/>
              </w:rPr>
              <w:t>2030</w:t>
            </w:r>
            <w:r>
              <w:rPr>
                <w:rFonts w:ascii="Times New Roman" w:hAnsi="Times New Roman" w:hint="eastAsia"/>
                <w:sz w:val="18"/>
                <w:szCs w:val="18"/>
              </w:rPr>
              <w:t>年，建立上下联动、医防融合的糖尿病防治体系，</w:t>
            </w:r>
            <w:r>
              <w:rPr>
                <w:rFonts w:ascii="Times New Roman" w:hAnsi="Times New Roman" w:cs="Times New Roman"/>
                <w:sz w:val="18"/>
                <w:szCs w:val="18"/>
              </w:rPr>
              <w:t>18</w:t>
            </w:r>
            <w:r>
              <w:rPr>
                <w:rFonts w:ascii="Times New Roman" w:hAnsi="Times New Roman" w:hint="eastAsia"/>
                <w:sz w:val="18"/>
                <w:szCs w:val="18"/>
              </w:rPr>
              <w:t>岁及以上居民糖尿病知晓率达到</w:t>
            </w:r>
            <w:r>
              <w:rPr>
                <w:rFonts w:ascii="Times New Roman" w:hAnsi="Times New Roman" w:cs="Times New Roman"/>
                <w:sz w:val="18"/>
                <w:szCs w:val="18"/>
              </w:rPr>
              <w:t>60%</w:t>
            </w:r>
            <w:r>
              <w:rPr>
                <w:rFonts w:ascii="Times New Roman" w:hAnsi="Times New Roman" w:hint="eastAsia"/>
                <w:sz w:val="18"/>
                <w:szCs w:val="18"/>
              </w:rPr>
              <w:t>及以上，</w:t>
            </w:r>
            <w:r>
              <w:rPr>
                <w:rFonts w:ascii="Times New Roman" w:hAnsi="Times New Roman" w:cs="Times New Roman"/>
                <w:sz w:val="18"/>
                <w:szCs w:val="18"/>
              </w:rPr>
              <w:t>2</w:t>
            </w:r>
            <w:r>
              <w:rPr>
                <w:rFonts w:ascii="Times New Roman" w:hAnsi="Times New Roman" w:hint="eastAsia"/>
                <w:sz w:val="18"/>
                <w:szCs w:val="18"/>
              </w:rPr>
              <w:t>型糖尿病患者基层规范管理服务率达到</w:t>
            </w:r>
            <w:r>
              <w:rPr>
                <w:rFonts w:ascii="Times New Roman" w:hAnsi="Times New Roman" w:cs="Times New Roman"/>
                <w:sz w:val="18"/>
                <w:szCs w:val="18"/>
              </w:rPr>
              <w:t>70%</w:t>
            </w:r>
            <w:r>
              <w:rPr>
                <w:rFonts w:ascii="Times New Roman" w:hAnsi="Times New Roman" w:hint="eastAsia"/>
                <w:sz w:val="18"/>
                <w:szCs w:val="18"/>
              </w:rPr>
              <w:t>及以上，糖尿病治疗率、控制率、并发症筛查率持续提高，糖尿病诊疗规范化、同质化基本实现，防治服务能力持续提升，糖尿病早死率持续下降，糖尿病疾病负担得到有效控制。</w:t>
            </w:r>
          </w:p>
        </w:tc>
      </w:tr>
      <w:tr w:rsidR="00113A51" w14:paraId="318ACF27" w14:textId="77777777" w:rsidTr="00B97CD7">
        <w:trPr>
          <w:cantSplit/>
          <w:jc w:val="center"/>
        </w:trPr>
        <w:tc>
          <w:tcPr>
            <w:tcW w:w="283" w:type="dxa"/>
            <w:tcMar>
              <w:top w:w="10" w:type="dxa"/>
              <w:left w:w="10" w:type="dxa"/>
              <w:bottom w:w="10" w:type="dxa"/>
              <w:right w:w="10" w:type="dxa"/>
            </w:tcMar>
            <w:vAlign w:val="center"/>
          </w:tcPr>
          <w:p w14:paraId="52465586"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12</w:t>
            </w:r>
          </w:p>
        </w:tc>
        <w:tc>
          <w:tcPr>
            <w:tcW w:w="2553" w:type="dxa"/>
            <w:tcMar>
              <w:top w:w="10" w:type="dxa"/>
              <w:left w:w="10" w:type="dxa"/>
              <w:bottom w:w="10" w:type="dxa"/>
              <w:right w:w="10" w:type="dxa"/>
            </w:tcMar>
            <w:vAlign w:val="center"/>
          </w:tcPr>
          <w:p w14:paraId="410D5FBC"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《关于开展全民健康素养提升三年行动（</w:t>
            </w:r>
            <w:r>
              <w:rPr>
                <w:rFonts w:ascii="Times New Roman" w:hAnsi="Times New Roman" w:cs="Times New Roman"/>
                <w:sz w:val="18"/>
                <w:szCs w:val="18"/>
              </w:rPr>
              <w:t>2024-2027</w:t>
            </w:r>
            <w:r>
              <w:rPr>
                <w:rFonts w:ascii="Times New Roman" w:hAnsi="Times New Roman" w:hint="eastAsia"/>
                <w:sz w:val="18"/>
                <w:szCs w:val="18"/>
              </w:rPr>
              <w:t>年）的通知》</w:t>
            </w:r>
          </w:p>
        </w:tc>
        <w:tc>
          <w:tcPr>
            <w:tcW w:w="992" w:type="dxa"/>
            <w:tcMar>
              <w:top w:w="10" w:type="dxa"/>
              <w:left w:w="10" w:type="dxa"/>
              <w:bottom w:w="10" w:type="dxa"/>
              <w:right w:w="10" w:type="dxa"/>
            </w:tcMar>
            <w:vAlign w:val="center"/>
          </w:tcPr>
          <w:p w14:paraId="2CC81B0D"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2024/05/29</w:t>
            </w:r>
          </w:p>
        </w:tc>
        <w:tc>
          <w:tcPr>
            <w:tcW w:w="5953" w:type="dxa"/>
            <w:tcMar>
              <w:top w:w="10" w:type="dxa"/>
              <w:left w:w="10" w:type="dxa"/>
              <w:bottom w:w="10" w:type="dxa"/>
              <w:right w:w="10" w:type="dxa"/>
            </w:tcMar>
            <w:vAlign w:val="center"/>
          </w:tcPr>
          <w:p w14:paraId="0B0B7697"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进一步推动卫生健康工作从“以治病为中心”向“以健康为中心”转变，推动健康教育进社区、进家庭、进学校、进企业、进机关，教育引导居民个人真正成为自己健康的“第一责任人”。</w:t>
            </w:r>
          </w:p>
        </w:tc>
      </w:tr>
      <w:tr w:rsidR="00113A51" w14:paraId="4349B668" w14:textId="77777777" w:rsidTr="00B97CD7">
        <w:trPr>
          <w:cantSplit/>
          <w:jc w:val="center"/>
        </w:trPr>
        <w:tc>
          <w:tcPr>
            <w:tcW w:w="283" w:type="dxa"/>
            <w:tcMar>
              <w:top w:w="10" w:type="dxa"/>
              <w:left w:w="10" w:type="dxa"/>
              <w:bottom w:w="10" w:type="dxa"/>
              <w:right w:w="10" w:type="dxa"/>
            </w:tcMar>
            <w:vAlign w:val="center"/>
          </w:tcPr>
          <w:p w14:paraId="515D85ED"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13</w:t>
            </w:r>
          </w:p>
        </w:tc>
        <w:tc>
          <w:tcPr>
            <w:tcW w:w="2553" w:type="dxa"/>
            <w:tcMar>
              <w:top w:w="10" w:type="dxa"/>
              <w:left w:w="10" w:type="dxa"/>
              <w:bottom w:w="10" w:type="dxa"/>
              <w:right w:w="10" w:type="dxa"/>
            </w:tcMar>
            <w:vAlign w:val="center"/>
          </w:tcPr>
          <w:p w14:paraId="7812C56E"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《乡镇卫生院服务能力评价指南（</w:t>
            </w:r>
            <w:r>
              <w:rPr>
                <w:rFonts w:ascii="Times New Roman" w:hAnsi="Times New Roman" w:cs="Times New Roman"/>
                <w:sz w:val="18"/>
                <w:szCs w:val="18"/>
              </w:rPr>
              <w:t>2023</w:t>
            </w:r>
            <w:r>
              <w:rPr>
                <w:rFonts w:ascii="Times New Roman" w:hAnsi="Times New Roman" w:hint="eastAsia"/>
                <w:sz w:val="18"/>
                <w:szCs w:val="18"/>
              </w:rPr>
              <w:t>版）》</w:t>
            </w:r>
          </w:p>
          <w:p w14:paraId="68B53BF7"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《社区卫生服务中心服务能力评价指南（</w:t>
            </w:r>
            <w:r>
              <w:rPr>
                <w:rFonts w:ascii="Times New Roman" w:hAnsi="Times New Roman" w:cs="Times New Roman"/>
                <w:sz w:val="18"/>
                <w:szCs w:val="18"/>
              </w:rPr>
              <w:t>2023</w:t>
            </w:r>
            <w:r>
              <w:rPr>
                <w:rFonts w:ascii="Times New Roman" w:hAnsi="Times New Roman" w:hint="eastAsia"/>
                <w:sz w:val="18"/>
                <w:szCs w:val="18"/>
              </w:rPr>
              <w:t>版）》</w:t>
            </w:r>
          </w:p>
        </w:tc>
        <w:tc>
          <w:tcPr>
            <w:tcW w:w="992" w:type="dxa"/>
            <w:tcMar>
              <w:top w:w="10" w:type="dxa"/>
              <w:left w:w="10" w:type="dxa"/>
              <w:bottom w:w="10" w:type="dxa"/>
              <w:right w:w="10" w:type="dxa"/>
            </w:tcMar>
            <w:vAlign w:val="center"/>
          </w:tcPr>
          <w:p w14:paraId="044253AB" w14:textId="77777777" w:rsidR="00113A51" w:rsidRDefault="00766EC7" w:rsidP="001E2F30">
            <w:pPr>
              <w:pStyle w:val="a9"/>
              <w:spacing w:before="40" w:beforeAutospacing="0" w:after="40" w:afterAutospacing="0" w:line="360" w:lineRule="auto"/>
              <w:jc w:val="center"/>
              <w:rPr>
                <w:rFonts w:ascii="Times New Roman" w:hAnsi="Times New Roman"/>
                <w:sz w:val="21"/>
                <w:szCs w:val="18"/>
              </w:rPr>
            </w:pPr>
            <w:r>
              <w:rPr>
                <w:rFonts w:ascii="Times New Roman" w:hAnsi="Times New Roman" w:cs="Times New Roman"/>
                <w:sz w:val="18"/>
                <w:szCs w:val="18"/>
              </w:rPr>
              <w:t>2023/12/22</w:t>
            </w:r>
          </w:p>
        </w:tc>
        <w:tc>
          <w:tcPr>
            <w:tcW w:w="5953" w:type="dxa"/>
            <w:tcMar>
              <w:top w:w="10" w:type="dxa"/>
              <w:left w:w="10" w:type="dxa"/>
              <w:bottom w:w="10" w:type="dxa"/>
              <w:right w:w="10" w:type="dxa"/>
            </w:tcMar>
            <w:vAlign w:val="center"/>
          </w:tcPr>
          <w:p w14:paraId="596FFBC1" w14:textId="77777777" w:rsidR="00113A51" w:rsidRDefault="00766EC7" w:rsidP="001E2F30">
            <w:pPr>
              <w:pStyle w:val="a9"/>
              <w:spacing w:before="40" w:beforeAutospacing="0" w:after="40" w:afterAutospacing="0" w:line="360" w:lineRule="auto"/>
              <w:jc w:val="both"/>
              <w:rPr>
                <w:rFonts w:ascii="Times New Roman" w:hAnsi="Times New Roman"/>
                <w:sz w:val="21"/>
                <w:szCs w:val="18"/>
              </w:rPr>
            </w:pPr>
            <w:r>
              <w:rPr>
                <w:rFonts w:ascii="Times New Roman" w:hAnsi="Times New Roman" w:hint="eastAsia"/>
                <w:sz w:val="18"/>
                <w:szCs w:val="18"/>
              </w:rPr>
              <w:t>逐步建立起符合我国基层医疗卫生机构特点的服务能力标准和评价体系。力争使乡镇卫生院和社区卫生服务中心的服务能力达到基本标准，部分服务能力较强的乡镇卫生院和社区卫生服务中心达到推荐标准。</w:t>
            </w:r>
          </w:p>
        </w:tc>
      </w:tr>
    </w:tbl>
    <w:p w14:paraId="441ED01C" w14:textId="77777777" w:rsidR="00113A51" w:rsidRDefault="00766EC7">
      <w:pPr>
        <w:pStyle w:val="2"/>
        <w:spacing w:before="300" w:after="300" w:line="320" w:lineRule="exact"/>
        <w:rPr>
          <w:rFonts w:ascii="宋体" w:eastAsia="宋体" w:hAnsi="宋体" w:cs="宋体"/>
          <w:b/>
          <w:bCs/>
          <w:sz w:val="24"/>
          <w:szCs w:val="24"/>
        </w:rPr>
      </w:pPr>
      <w:bookmarkStart w:id="17" w:name="_Toc988904"/>
      <w:r>
        <w:rPr>
          <w:rFonts w:ascii="宋体" w:eastAsia="宋体" w:hAnsi="宋体" w:cs="宋体"/>
          <w:b/>
          <w:bCs/>
          <w:sz w:val="24"/>
          <w:szCs w:val="24"/>
        </w:rPr>
        <w:t>三、核心竞争力分析</w:t>
      </w:r>
      <w:bookmarkEnd w:id="17"/>
    </w:p>
    <w:p w14:paraId="75D06CC7"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（一）完备的糖尿病及相关慢性疾病检测产品线及高效、优质的服务</w:t>
      </w:r>
    </w:p>
    <w:p w14:paraId="71B1276A"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根据</w:t>
      </w:r>
      <w:r>
        <w:rPr>
          <w:rFonts w:ascii="Times New Roman" w:hAnsi="Times New Roman" w:cs="Times New Roman"/>
          <w:sz w:val="21"/>
          <w:szCs w:val="21"/>
        </w:rPr>
        <w:t>2026</w:t>
      </w:r>
      <w:r>
        <w:rPr>
          <w:rFonts w:ascii="Times New Roman" w:hAnsi="Times New Roman" w:hint="eastAsia"/>
          <w:sz w:val="21"/>
          <w:szCs w:val="21"/>
        </w:rPr>
        <w:t>版《</w:t>
      </w:r>
      <w:r>
        <w:rPr>
          <w:rFonts w:ascii="Times New Roman" w:hAnsi="Times New Roman" w:cs="Times New Roman"/>
          <w:sz w:val="21"/>
          <w:szCs w:val="21"/>
        </w:rPr>
        <w:t>ADA</w:t>
      </w:r>
      <w:r>
        <w:rPr>
          <w:rFonts w:ascii="Times New Roman" w:hAnsi="Times New Roman" w:hint="eastAsia"/>
          <w:sz w:val="21"/>
          <w:szCs w:val="21"/>
        </w:rPr>
        <w:t>糖尿病诊疗标准》（</w:t>
      </w:r>
      <w:r>
        <w:rPr>
          <w:rFonts w:ascii="Times New Roman" w:hAnsi="Times New Roman" w:cs="Times New Roman"/>
          <w:sz w:val="21"/>
          <w:szCs w:val="21"/>
        </w:rPr>
        <w:t>2026 ADA</w:t>
      </w:r>
      <w:r>
        <w:rPr>
          <w:rFonts w:ascii="Times New Roman" w:hAnsi="Times New Roman" w:hint="eastAsia"/>
          <w:sz w:val="21"/>
          <w:szCs w:val="21"/>
        </w:rPr>
        <w:t>指南），持续血糖监测（</w:t>
      </w:r>
      <w:r>
        <w:rPr>
          <w:rFonts w:ascii="Times New Roman" w:hAnsi="Times New Roman" w:cs="Times New Roman"/>
          <w:sz w:val="21"/>
          <w:szCs w:val="21"/>
        </w:rPr>
        <w:t>CGM</w:t>
      </w:r>
      <w:r>
        <w:rPr>
          <w:rFonts w:ascii="Times New Roman" w:hAnsi="Times New Roman" w:hint="eastAsia"/>
          <w:sz w:val="21"/>
          <w:szCs w:val="21"/>
        </w:rPr>
        <w:t>）被放在了重要位置，血糖管理从“点值时代”全面迈向“动态时代”，明确需结合糖化血红蛋白（</w:t>
      </w:r>
      <w:r>
        <w:rPr>
          <w:rFonts w:ascii="Times New Roman" w:hAnsi="Times New Roman" w:cs="Times New Roman"/>
          <w:sz w:val="21"/>
          <w:szCs w:val="21"/>
        </w:rPr>
        <w:t>A1C</w:t>
      </w:r>
      <w:r>
        <w:rPr>
          <w:rFonts w:ascii="Times New Roman" w:hAnsi="Times New Roman" w:hint="eastAsia"/>
          <w:sz w:val="21"/>
          <w:szCs w:val="21"/>
        </w:rPr>
        <w:t>）和</w:t>
      </w:r>
      <w:r>
        <w:rPr>
          <w:rFonts w:ascii="Times New Roman" w:hAnsi="Times New Roman" w:cs="Times New Roman"/>
          <w:sz w:val="21"/>
          <w:szCs w:val="21"/>
        </w:rPr>
        <w:t>/</w:t>
      </w:r>
      <w:r>
        <w:rPr>
          <w:rFonts w:ascii="Times New Roman" w:hAnsi="Times New Roman" w:hint="eastAsia"/>
          <w:sz w:val="21"/>
          <w:szCs w:val="21"/>
        </w:rPr>
        <w:t>或连续血糖监测（</w:t>
      </w:r>
      <w:r>
        <w:rPr>
          <w:rFonts w:ascii="Times New Roman" w:hAnsi="Times New Roman" w:cs="Times New Roman"/>
          <w:sz w:val="21"/>
          <w:szCs w:val="21"/>
        </w:rPr>
        <w:t>CGM</w:t>
      </w:r>
      <w:r>
        <w:rPr>
          <w:rFonts w:ascii="Times New Roman" w:hAnsi="Times New Roman" w:hint="eastAsia"/>
          <w:sz w:val="21"/>
          <w:szCs w:val="21"/>
        </w:rPr>
        <w:t>）指标（如在目标范围时间、高于目标范围时间、低于目标范围时间）评估血糖状况，推行个性化控糖目标及高频次评估机制。同时建议将技术（</w:t>
      </w:r>
      <w:r>
        <w:rPr>
          <w:rFonts w:ascii="Times New Roman" w:hAnsi="Times New Roman" w:cs="Times New Roman"/>
          <w:sz w:val="21"/>
          <w:szCs w:val="21"/>
        </w:rPr>
        <w:t>CGM</w:t>
      </w:r>
      <w:r>
        <w:rPr>
          <w:rFonts w:ascii="Times New Roman" w:hAnsi="Times New Roman" w:hint="eastAsia"/>
          <w:sz w:val="21"/>
          <w:szCs w:val="21"/>
        </w:rPr>
        <w:t>、胰岛素泵和</w:t>
      </w:r>
      <w:r>
        <w:rPr>
          <w:rFonts w:ascii="Times New Roman" w:hAnsi="Times New Roman" w:cs="Times New Roman"/>
          <w:sz w:val="21"/>
          <w:szCs w:val="21"/>
        </w:rPr>
        <w:t>/</w:t>
      </w:r>
      <w:r>
        <w:rPr>
          <w:rFonts w:ascii="Times New Roman" w:hAnsi="Times New Roman" w:hint="eastAsia"/>
          <w:sz w:val="21"/>
          <w:szCs w:val="21"/>
        </w:rPr>
        <w:t>或糖尿病</w:t>
      </w:r>
      <w:r>
        <w:rPr>
          <w:rFonts w:ascii="Times New Roman" w:hAnsi="Times New Roman" w:cs="Times New Roman"/>
          <w:sz w:val="21"/>
          <w:szCs w:val="21"/>
        </w:rPr>
        <w:t>APP</w:t>
      </w:r>
      <w:r>
        <w:rPr>
          <w:rFonts w:ascii="Times New Roman" w:hAnsi="Times New Roman" w:hint="eastAsia"/>
          <w:sz w:val="21"/>
          <w:szCs w:val="21"/>
        </w:rPr>
        <w:t>）与在线或虚拟健康指导相结合，以改善糖尿病患者或糖尿病前期患者的血糖结局。</w:t>
      </w:r>
    </w:p>
    <w:p w14:paraId="6B758E03"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公司作为国内领先的血糖及相关</w:t>
      </w:r>
      <w:r w:rsidRPr="00BA13AD">
        <w:rPr>
          <w:rFonts w:ascii="Times New Roman" w:hAnsi="Times New Roman"/>
          <w:sz w:val="21"/>
          <w:szCs w:val="21"/>
        </w:rPr>
        <w:t>POCT</w:t>
      </w:r>
      <w:r>
        <w:rPr>
          <w:rFonts w:ascii="Times New Roman" w:hAnsi="Times New Roman" w:hint="eastAsia"/>
          <w:sz w:val="21"/>
          <w:szCs w:val="21"/>
        </w:rPr>
        <w:t>检测产品和糖尿病及相关慢性疾病管理服务整体解决方案的供应商，拥有覆盖“点—线—面”的血糖监测和相关慢性疾病检测类注册产品品类，构建了适配行业趋势、覆盖全场景的完备产品线，同时打造了高效优质的全链条服务体系。依托于公司现有电化学技术平台、液相生化技术平台、凝血技术平台、免疫荧光技术平台、胶体金技术平台、化学发光技术平台，以及配套的仪器技术平台和基于互联网大数据的智慧医疗平台，持续推出满足客户需求多功能、多系列的产品，积极拓展</w:t>
      </w:r>
      <w:r w:rsidRPr="00BA13AD">
        <w:rPr>
          <w:rFonts w:ascii="Times New Roman" w:hAnsi="Times New Roman"/>
          <w:sz w:val="21"/>
          <w:szCs w:val="21"/>
        </w:rPr>
        <w:t>iPOCT</w:t>
      </w:r>
      <w:r>
        <w:rPr>
          <w:rFonts w:ascii="Times New Roman" w:hAnsi="Times New Roman" w:hint="eastAsia"/>
          <w:sz w:val="21"/>
          <w:szCs w:val="21"/>
        </w:rPr>
        <w:t>检测业务。目前公司旗下产品线包括</w:t>
      </w:r>
      <w:r w:rsidRPr="00BA13AD">
        <w:rPr>
          <w:rFonts w:ascii="Times New Roman" w:hAnsi="Times New Roman"/>
          <w:sz w:val="21"/>
          <w:szCs w:val="21"/>
        </w:rPr>
        <w:t>PPL</w:t>
      </w:r>
      <w:r>
        <w:rPr>
          <w:rFonts w:ascii="Times New Roman" w:hAnsi="Times New Roman" w:hint="eastAsia"/>
          <w:sz w:val="21"/>
          <w:szCs w:val="21"/>
        </w:rPr>
        <w:t>（</w:t>
      </w:r>
      <w:r w:rsidRPr="00BA13AD">
        <w:rPr>
          <w:rFonts w:ascii="Times New Roman" w:hAnsi="Times New Roman"/>
          <w:sz w:val="21"/>
          <w:szCs w:val="21"/>
        </w:rPr>
        <w:t xml:space="preserve">Personal Palm Lab </w:t>
      </w:r>
      <w:r>
        <w:rPr>
          <w:rFonts w:ascii="Times New Roman" w:hAnsi="Times New Roman" w:hint="eastAsia"/>
          <w:sz w:val="21"/>
          <w:szCs w:val="21"/>
        </w:rPr>
        <w:t>个人掌上实验室），为市场提供连接人与服务的手持式慢病监测产品；</w:t>
      </w:r>
      <w:r w:rsidRPr="00BA13AD">
        <w:rPr>
          <w:rFonts w:ascii="Times New Roman" w:hAnsi="Times New Roman"/>
          <w:sz w:val="21"/>
          <w:szCs w:val="21"/>
        </w:rPr>
        <w:t>PDL</w:t>
      </w:r>
      <w:r>
        <w:rPr>
          <w:rFonts w:ascii="Times New Roman" w:hAnsi="Times New Roman" w:hint="eastAsia"/>
          <w:sz w:val="21"/>
          <w:szCs w:val="21"/>
        </w:rPr>
        <w:t>（</w:t>
      </w:r>
      <w:r w:rsidRPr="00BA13AD">
        <w:rPr>
          <w:rFonts w:ascii="Times New Roman" w:hAnsi="Times New Roman"/>
          <w:sz w:val="21"/>
          <w:szCs w:val="21"/>
        </w:rPr>
        <w:t xml:space="preserve">Precision Desk Lab </w:t>
      </w:r>
      <w:r>
        <w:rPr>
          <w:rFonts w:ascii="Times New Roman" w:hAnsi="Times New Roman" w:hint="eastAsia"/>
          <w:sz w:val="21"/>
          <w:szCs w:val="21"/>
        </w:rPr>
        <w:t>精准桌面实验室），打造整合式、数智化、非专业人员值守的多功能标准化桌面实验室，为基层慢病、常见病精准诊疗赋能；</w:t>
      </w:r>
      <w:r w:rsidRPr="00BA13AD">
        <w:rPr>
          <w:rFonts w:ascii="Times New Roman" w:hAnsi="Times New Roman"/>
          <w:sz w:val="21"/>
          <w:szCs w:val="21"/>
        </w:rPr>
        <w:t>PWS</w:t>
      </w:r>
      <w:r>
        <w:rPr>
          <w:rFonts w:ascii="Times New Roman" w:hAnsi="Times New Roman" w:hint="eastAsia"/>
          <w:sz w:val="21"/>
          <w:szCs w:val="21"/>
        </w:rPr>
        <w:t>（</w:t>
      </w:r>
      <w:r w:rsidRPr="00BA13AD">
        <w:rPr>
          <w:rFonts w:ascii="Times New Roman" w:hAnsi="Times New Roman"/>
          <w:sz w:val="21"/>
          <w:szCs w:val="21"/>
        </w:rPr>
        <w:t xml:space="preserve">Precision Wearable Systems </w:t>
      </w:r>
      <w:r>
        <w:rPr>
          <w:rFonts w:ascii="Times New Roman" w:hAnsi="Times New Roman" w:hint="eastAsia"/>
          <w:sz w:val="21"/>
          <w:szCs w:val="21"/>
        </w:rPr>
        <w:t>精准可穿戴系统），基于领先的生物传感技术与</w:t>
      </w:r>
      <w:r w:rsidRPr="00BA13AD">
        <w:rPr>
          <w:rFonts w:ascii="Times New Roman" w:hAnsi="Times New Roman"/>
          <w:sz w:val="21"/>
          <w:szCs w:val="21"/>
        </w:rPr>
        <w:t>AI</w:t>
      </w:r>
      <w:r>
        <w:rPr>
          <w:rFonts w:ascii="Times New Roman" w:hAnsi="Times New Roman" w:hint="eastAsia"/>
          <w:sz w:val="21"/>
          <w:szCs w:val="21"/>
        </w:rPr>
        <w:t>算法的智能融合，提供健康监测、运动管理及个性化干预方案，实现精准化、动态化的健康管理服务；糖尿病数字管理解决方案</w:t>
      </w:r>
      <w:r w:rsidRPr="00BA13AD">
        <w:rPr>
          <w:rFonts w:ascii="Times New Roman" w:hAnsi="Times New Roman"/>
          <w:sz w:val="21"/>
          <w:szCs w:val="21"/>
        </w:rPr>
        <w:t>DDMS</w:t>
      </w:r>
      <w:r>
        <w:rPr>
          <w:rFonts w:ascii="Times New Roman" w:hAnsi="Times New Roman" w:hint="eastAsia"/>
          <w:sz w:val="21"/>
          <w:szCs w:val="21"/>
        </w:rPr>
        <w:t>（</w:t>
      </w:r>
      <w:r w:rsidRPr="00BA13AD">
        <w:rPr>
          <w:rFonts w:ascii="Times New Roman" w:hAnsi="Times New Roman"/>
          <w:sz w:val="21"/>
          <w:szCs w:val="21"/>
        </w:rPr>
        <w:t>Digital Diabetes Management Solution</w:t>
      </w:r>
      <w:r>
        <w:rPr>
          <w:rFonts w:ascii="Times New Roman" w:hAnsi="Times New Roman" w:hint="eastAsia"/>
          <w:sz w:val="21"/>
          <w:szCs w:val="21"/>
        </w:rPr>
        <w:t>），融合数字技术与健康管理的新型疗法，旨在通过数字化手段全面提升糖尿病的预防、诊断、治疗及监测效果，构建起多维度健康管理产品矩阵与服务生态。产品检测指标涵盖血糖、血脂、糖化血红蛋白、尿酸、尿微量白蛋白、糖化血清白蛋白、炎症、凝血功能、肝功能、肾功能等</w:t>
      </w:r>
      <w:r>
        <w:rPr>
          <w:rFonts w:ascii="Times New Roman" w:hAnsi="Times New Roman" w:hint="eastAsia"/>
          <w:sz w:val="21"/>
          <w:szCs w:val="21"/>
        </w:rPr>
        <w:t>70</w:t>
      </w:r>
      <w:r>
        <w:rPr>
          <w:rFonts w:ascii="Times New Roman" w:hAnsi="Times New Roman" w:hint="eastAsia"/>
          <w:sz w:val="21"/>
          <w:szCs w:val="21"/>
        </w:rPr>
        <w:t>多项指标，可充分满足基层医疗单元、家庭医疗单元的多元化检测需求。报告期内，公司推出并升级优化具备数据传输功能的血糖、血脂、血压检测产品及适用于基层或临床科室的</w:t>
      </w:r>
      <w:r>
        <w:rPr>
          <w:rFonts w:ascii="Times New Roman" w:hAnsi="Times New Roman" w:hint="eastAsia"/>
          <w:sz w:val="21"/>
          <w:szCs w:val="21"/>
        </w:rPr>
        <w:t>iPOCT</w:t>
      </w:r>
      <w:r>
        <w:rPr>
          <w:rFonts w:ascii="Times New Roman" w:hAnsi="Times New Roman" w:hint="eastAsia"/>
          <w:sz w:val="21"/>
          <w:szCs w:val="21"/>
        </w:rPr>
        <w:t>检测产品，构建了整合式、数智化的多功能标准化桌面实验室，做好新产品研发与技术储备，精准适配行业数智化转型趋势。此外，公司通过创新业务，建立以多指标检测及指标解读为核心的支撑平台，拓展居家多指标检测及赋能、药商合作平台、区域慢病一体化等应用场景，为糖尿病及相关慢性疾病防治提供更全面的解决方案。</w:t>
      </w:r>
    </w:p>
    <w:p w14:paraId="69203F75"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公司及海外子公司</w:t>
      </w:r>
      <w:r w:rsidRPr="00BA13AD">
        <w:rPr>
          <w:rFonts w:ascii="Times New Roman" w:hAnsi="Times New Roman"/>
          <w:sz w:val="21"/>
          <w:szCs w:val="21"/>
        </w:rPr>
        <w:t>PTS</w:t>
      </w:r>
      <w:r>
        <w:rPr>
          <w:rFonts w:ascii="Times New Roman" w:hAnsi="Times New Roman" w:hint="eastAsia"/>
          <w:sz w:val="21"/>
          <w:szCs w:val="21"/>
        </w:rPr>
        <w:t>和</w:t>
      </w:r>
      <w:r w:rsidRPr="00BA13AD">
        <w:rPr>
          <w:rFonts w:ascii="Times New Roman" w:hAnsi="Times New Roman"/>
          <w:sz w:val="21"/>
          <w:szCs w:val="21"/>
        </w:rPr>
        <w:t>Trividia</w:t>
      </w:r>
      <w:r>
        <w:rPr>
          <w:rFonts w:ascii="Times New Roman" w:hAnsi="Times New Roman" w:hint="eastAsia"/>
          <w:sz w:val="21"/>
          <w:szCs w:val="21"/>
        </w:rPr>
        <w:t>通过全球经销商体系建立起覆盖全球</w:t>
      </w:r>
      <w:r w:rsidRPr="00BA13AD">
        <w:rPr>
          <w:rFonts w:ascii="Times New Roman" w:hAnsi="Times New Roman"/>
          <w:sz w:val="21"/>
          <w:szCs w:val="21"/>
        </w:rPr>
        <w:t>187</w:t>
      </w:r>
      <w:r>
        <w:rPr>
          <w:rFonts w:ascii="Times New Roman" w:hAnsi="Times New Roman" w:hint="eastAsia"/>
          <w:sz w:val="21"/>
          <w:szCs w:val="21"/>
        </w:rPr>
        <w:t>个国家和地区的销售和服务体系，同时积极引入聚合接待工具、</w:t>
      </w:r>
      <w:r w:rsidRPr="00BA13AD">
        <w:rPr>
          <w:rFonts w:ascii="Times New Roman" w:hAnsi="Times New Roman"/>
          <w:sz w:val="21"/>
          <w:szCs w:val="21"/>
        </w:rPr>
        <w:t>AI</w:t>
      </w:r>
      <w:r>
        <w:rPr>
          <w:rFonts w:ascii="Times New Roman" w:hAnsi="Times New Roman" w:hint="eastAsia"/>
          <w:sz w:val="21"/>
          <w:szCs w:val="21"/>
        </w:rPr>
        <w:t>智能客服、</w:t>
      </w:r>
      <w:r w:rsidRPr="00BA13AD">
        <w:rPr>
          <w:rFonts w:ascii="Times New Roman" w:hAnsi="Times New Roman"/>
          <w:sz w:val="21"/>
          <w:szCs w:val="21"/>
        </w:rPr>
        <w:t>RPA</w:t>
      </w:r>
      <w:r>
        <w:rPr>
          <w:rFonts w:ascii="Times New Roman" w:hAnsi="Times New Roman" w:hint="eastAsia"/>
          <w:sz w:val="21"/>
          <w:szCs w:val="21"/>
        </w:rPr>
        <w:t>自动化工具多种</w:t>
      </w:r>
      <w:r>
        <w:rPr>
          <w:rFonts w:ascii="Times New Roman" w:hAnsi="Times New Roman" w:hint="eastAsia"/>
          <w:sz w:val="21"/>
          <w:szCs w:val="21"/>
        </w:rPr>
        <w:t>AI</w:t>
      </w:r>
      <w:r>
        <w:rPr>
          <w:rFonts w:ascii="Times New Roman" w:hAnsi="Times New Roman" w:hint="eastAsia"/>
          <w:sz w:val="21"/>
          <w:szCs w:val="21"/>
        </w:rPr>
        <w:t>智能化工具，形成按产品线、多平台、</w:t>
      </w:r>
      <w:r w:rsidRPr="00BA13AD">
        <w:rPr>
          <w:rFonts w:ascii="Times New Roman" w:hAnsi="Times New Roman"/>
          <w:sz w:val="21"/>
          <w:szCs w:val="21"/>
        </w:rPr>
        <w:t>AI+</w:t>
      </w:r>
      <w:r>
        <w:rPr>
          <w:rFonts w:ascii="Times New Roman" w:hAnsi="Times New Roman" w:hint="eastAsia"/>
          <w:sz w:val="21"/>
          <w:szCs w:val="21"/>
        </w:rPr>
        <w:t>人工混合接入的多元化工作模式，逐步打通并完善问题上报、流转、处理、闭环管理全流程，建立分级分类的响应和处理机制，为用户提供高效、稳定、长期的全病程精细化服务。依托于公司旗下三诺健康糖尿病门诊、三诺糖尿病逆转中心等机构和平台，公司持续完善服务体系建设，采用个性化“</w:t>
      </w:r>
      <w:r w:rsidRPr="00BA13AD">
        <w:rPr>
          <w:rFonts w:ascii="Times New Roman" w:hAnsi="Times New Roman"/>
          <w:sz w:val="21"/>
          <w:szCs w:val="21"/>
        </w:rPr>
        <w:t>AI+</w:t>
      </w:r>
      <w:r>
        <w:rPr>
          <w:rFonts w:ascii="Times New Roman" w:hAnsi="Times New Roman" w:hint="eastAsia"/>
          <w:sz w:val="21"/>
          <w:szCs w:val="21"/>
        </w:rPr>
        <w:t>六师共管”服务模式，即由专科医师、专科护师、营养师、健康管理师、运动康复师、心理咨询师提供团队一站式服务，为患者提供糖尿病的早期筛查、系统评估、规范治疗、全病程院内外管理、糖尿病知识教育、心理咨询辅导等全方位服务；通过移动应用、在线平台等互联网技术提供部分常见病、慢性病的线上咨询、医生回访与复诊等远程医疗服务，为糖尿病及相关慢性病患者提供全链条一体化闭环管理和全病程便捷式医疗服务。</w:t>
      </w:r>
    </w:p>
    <w:p w14:paraId="31196654"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凭借深耕多年的血糖监测系统，荣获工业和信息化部第九批制造业单项冠军企业称号，这是对公司产品技术、市场占有率、产品质量等全球领先水准的权威认可，进一步强化了核心竞争力，为公司全球化布局与高质量发展提供坚实支撑，推动公司持续拓展国内外市场，提升全球行业影响力。</w:t>
      </w:r>
    </w:p>
    <w:p w14:paraId="31889E20"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（二）健全的质量管理体系和卓越的质量控制能力</w:t>
      </w:r>
    </w:p>
    <w:p w14:paraId="2929208B"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质量合规是企业能够持续成长的基础，公司从创立开始持续推动质量管理体系建设，覆盖研发、采购、生产、销售全流程，在全球主要市场通过质量合规和产品认证，产品满足全球主要市场的行业标准和客户要求。公司质量管理体系符合</w:t>
      </w:r>
      <w:r w:rsidRPr="00BA13AD">
        <w:rPr>
          <w:rFonts w:ascii="Times New Roman" w:hAnsi="Times New Roman"/>
          <w:sz w:val="21"/>
          <w:szCs w:val="21"/>
        </w:rPr>
        <w:t>ISO 9001</w:t>
      </w:r>
      <w:r>
        <w:rPr>
          <w:rFonts w:ascii="Times New Roman" w:hAnsi="Times New Roman" w:hint="eastAsia"/>
          <w:sz w:val="21"/>
          <w:szCs w:val="21"/>
        </w:rPr>
        <w:t>《质量管理体系要求》、</w:t>
      </w:r>
      <w:r w:rsidRPr="00BA13AD">
        <w:rPr>
          <w:rFonts w:ascii="Times New Roman" w:hAnsi="Times New Roman"/>
          <w:sz w:val="21"/>
          <w:szCs w:val="21"/>
        </w:rPr>
        <w:t>ISO13485</w:t>
      </w:r>
      <w:r>
        <w:rPr>
          <w:rFonts w:ascii="Times New Roman" w:hAnsi="Times New Roman" w:hint="eastAsia"/>
          <w:sz w:val="21"/>
          <w:szCs w:val="21"/>
        </w:rPr>
        <w:t>《医疗器械质量管理体系用于法规的要求》、</w:t>
      </w:r>
      <w:r w:rsidRPr="00BA13AD">
        <w:rPr>
          <w:rFonts w:ascii="Times New Roman" w:hAnsi="Times New Roman"/>
          <w:sz w:val="21"/>
          <w:szCs w:val="21"/>
        </w:rPr>
        <w:t>GB/T42061-2022</w:t>
      </w:r>
      <w:r>
        <w:rPr>
          <w:rFonts w:ascii="Times New Roman" w:hAnsi="Times New Roman" w:hint="eastAsia"/>
          <w:sz w:val="21"/>
          <w:szCs w:val="21"/>
        </w:rPr>
        <w:t>《医疗器械质量管理体系用于法规的要求》《医疗器械生产质量管理规范》及其附录、美国《质量管理体系法规》（</w:t>
      </w:r>
      <w:r w:rsidRPr="00BA13AD">
        <w:rPr>
          <w:rFonts w:ascii="Times New Roman" w:hAnsi="Times New Roman"/>
          <w:sz w:val="21"/>
          <w:szCs w:val="21"/>
        </w:rPr>
        <w:t>QMSR 21CFR820</w:t>
      </w:r>
      <w:r>
        <w:rPr>
          <w:rFonts w:ascii="Times New Roman" w:hAnsi="Times New Roman" w:hint="eastAsia"/>
          <w:sz w:val="21"/>
          <w:szCs w:val="21"/>
        </w:rPr>
        <w:t>）、巴西《医疗器械与体外诊断器械的良好生产规范》（</w:t>
      </w:r>
      <w:r w:rsidRPr="00BA13AD">
        <w:rPr>
          <w:rFonts w:ascii="Times New Roman" w:hAnsi="Times New Roman"/>
          <w:sz w:val="21"/>
          <w:szCs w:val="21"/>
        </w:rPr>
        <w:t>RDC665/2022</w:t>
      </w:r>
      <w:r>
        <w:rPr>
          <w:rFonts w:ascii="Times New Roman" w:hAnsi="Times New Roman" w:hint="eastAsia"/>
          <w:sz w:val="21"/>
          <w:szCs w:val="21"/>
        </w:rPr>
        <w:t>）、韩国《医疗器械法案》、加拿大《加拿大医疗器械法规》（</w:t>
      </w:r>
      <w:r w:rsidRPr="00BA13AD">
        <w:rPr>
          <w:rFonts w:ascii="Times New Roman" w:hAnsi="Times New Roman"/>
          <w:sz w:val="21"/>
          <w:szCs w:val="21"/>
        </w:rPr>
        <w:t>CMDRSOR/98-2822022</w:t>
      </w:r>
      <w:r>
        <w:rPr>
          <w:rFonts w:ascii="Times New Roman" w:hAnsi="Times New Roman" w:hint="eastAsia"/>
          <w:sz w:val="21"/>
          <w:szCs w:val="21"/>
        </w:rPr>
        <w:t>）、澳大利亚《澳大利亚医疗器械法规》（</w:t>
      </w:r>
      <w:r w:rsidRPr="00BA13AD">
        <w:rPr>
          <w:rFonts w:ascii="Times New Roman" w:hAnsi="Times New Roman"/>
          <w:sz w:val="21"/>
          <w:szCs w:val="21"/>
        </w:rPr>
        <w:t>TherapeuticGoods(MedicalDevices)Regulations2002</w:t>
      </w:r>
      <w:r>
        <w:rPr>
          <w:rFonts w:ascii="Times New Roman" w:hAnsi="Times New Roman" w:hint="eastAsia"/>
          <w:sz w:val="21"/>
          <w:szCs w:val="21"/>
        </w:rPr>
        <w:t>）、日本《医疗器械及体外诊断用医药品制造管理及质量管理标准》</w:t>
      </w:r>
      <w:r w:rsidRPr="00BA13AD">
        <w:rPr>
          <w:rFonts w:ascii="Times New Roman" w:hAnsi="Times New Roman"/>
          <w:sz w:val="21"/>
          <w:szCs w:val="21"/>
        </w:rPr>
        <w:t>(</w:t>
      </w:r>
      <w:r>
        <w:rPr>
          <w:rFonts w:ascii="Times New Roman" w:hAnsi="Times New Roman" w:hint="eastAsia"/>
          <w:sz w:val="21"/>
          <w:szCs w:val="21"/>
        </w:rPr>
        <w:t>日本厚生劳动省令</w:t>
      </w:r>
      <w:r w:rsidRPr="00BA13AD">
        <w:rPr>
          <w:rFonts w:ascii="Times New Roman" w:hAnsi="Times New Roman"/>
          <w:sz w:val="21"/>
          <w:szCs w:val="21"/>
        </w:rPr>
        <w:t xml:space="preserve"> 169</w:t>
      </w:r>
      <w:r>
        <w:rPr>
          <w:rFonts w:ascii="Times New Roman" w:hAnsi="Times New Roman" w:hint="eastAsia"/>
          <w:sz w:val="21"/>
          <w:szCs w:val="21"/>
        </w:rPr>
        <w:t>号</w:t>
      </w:r>
      <w:r w:rsidRPr="00BA13AD">
        <w:rPr>
          <w:rFonts w:ascii="Times New Roman" w:hAnsi="Times New Roman"/>
          <w:sz w:val="21"/>
          <w:szCs w:val="21"/>
        </w:rPr>
        <w:t>)</w:t>
      </w:r>
      <w:r>
        <w:rPr>
          <w:rFonts w:ascii="Times New Roman" w:hAnsi="Times New Roman" w:hint="eastAsia"/>
          <w:sz w:val="21"/>
          <w:szCs w:val="21"/>
        </w:rPr>
        <w:t>等质量管理体系相关法规和标准的要求，以及欧盟相关指令</w:t>
      </w:r>
      <w:r w:rsidRPr="00BA13AD">
        <w:rPr>
          <w:rFonts w:ascii="Times New Roman" w:hAnsi="Times New Roman"/>
          <w:sz w:val="21"/>
          <w:szCs w:val="21"/>
        </w:rPr>
        <w:t>/</w:t>
      </w:r>
      <w:r>
        <w:rPr>
          <w:rFonts w:ascii="Times New Roman" w:hAnsi="Times New Roman" w:hint="eastAsia"/>
          <w:sz w:val="21"/>
          <w:szCs w:val="21"/>
        </w:rPr>
        <w:t>法规（</w:t>
      </w:r>
      <w:r w:rsidRPr="00BA13AD">
        <w:rPr>
          <w:rFonts w:ascii="Times New Roman" w:hAnsi="Times New Roman"/>
          <w:sz w:val="21"/>
          <w:szCs w:val="21"/>
        </w:rPr>
        <w:t>MDD/IVDD/MDR/IVDR</w:t>
      </w:r>
      <w:r>
        <w:rPr>
          <w:rFonts w:ascii="Times New Roman" w:hAnsi="Times New Roman" w:hint="eastAsia"/>
          <w:sz w:val="21"/>
          <w:szCs w:val="21"/>
        </w:rPr>
        <w:t>）的要求，并获得了</w:t>
      </w:r>
      <w:r w:rsidRPr="00BA13AD">
        <w:rPr>
          <w:rFonts w:ascii="Times New Roman" w:hAnsi="Times New Roman"/>
          <w:sz w:val="21"/>
          <w:szCs w:val="21"/>
        </w:rPr>
        <w:t>ISO13485:2016</w:t>
      </w:r>
      <w:r>
        <w:rPr>
          <w:rFonts w:ascii="Times New Roman" w:hAnsi="Times New Roman" w:hint="eastAsia"/>
          <w:sz w:val="21"/>
          <w:szCs w:val="21"/>
        </w:rPr>
        <w:t>、</w:t>
      </w:r>
      <w:r w:rsidRPr="00BA13AD">
        <w:rPr>
          <w:rFonts w:ascii="Times New Roman" w:hAnsi="Times New Roman"/>
          <w:sz w:val="21"/>
          <w:szCs w:val="21"/>
        </w:rPr>
        <w:t>ISO 9001:2015</w:t>
      </w:r>
      <w:r>
        <w:rPr>
          <w:rFonts w:ascii="Times New Roman" w:hAnsi="Times New Roman" w:hint="eastAsia"/>
          <w:sz w:val="21"/>
          <w:szCs w:val="21"/>
        </w:rPr>
        <w:t>、巴西</w:t>
      </w:r>
      <w:r w:rsidRPr="00BA13AD">
        <w:rPr>
          <w:rFonts w:ascii="Times New Roman" w:hAnsi="Times New Roman"/>
          <w:sz w:val="21"/>
          <w:szCs w:val="21"/>
        </w:rPr>
        <w:t>BGMP</w:t>
      </w:r>
      <w:r>
        <w:rPr>
          <w:rFonts w:ascii="Times New Roman" w:hAnsi="Times New Roman" w:hint="eastAsia"/>
          <w:sz w:val="21"/>
          <w:szCs w:val="21"/>
        </w:rPr>
        <w:t>、韩国</w:t>
      </w:r>
      <w:r w:rsidRPr="00BA13AD">
        <w:rPr>
          <w:rFonts w:ascii="Times New Roman" w:hAnsi="Times New Roman"/>
          <w:sz w:val="21"/>
          <w:szCs w:val="21"/>
        </w:rPr>
        <w:t>GMP</w:t>
      </w:r>
      <w:r>
        <w:rPr>
          <w:rFonts w:ascii="Times New Roman" w:hAnsi="Times New Roman" w:hint="eastAsia"/>
          <w:sz w:val="21"/>
          <w:szCs w:val="21"/>
        </w:rPr>
        <w:t>、欧盟</w:t>
      </w:r>
      <w:r w:rsidRPr="00BA13AD">
        <w:rPr>
          <w:rFonts w:ascii="Times New Roman" w:hAnsi="Times New Roman"/>
          <w:sz w:val="21"/>
          <w:szCs w:val="21"/>
        </w:rPr>
        <w:t>CE IVDR</w:t>
      </w:r>
      <w:r>
        <w:rPr>
          <w:rFonts w:ascii="Times New Roman" w:hAnsi="Times New Roman" w:hint="eastAsia"/>
          <w:sz w:val="21"/>
          <w:szCs w:val="21"/>
        </w:rPr>
        <w:t>、</w:t>
      </w:r>
      <w:r w:rsidRPr="00BA13AD">
        <w:rPr>
          <w:rFonts w:ascii="Times New Roman" w:hAnsi="Times New Roman"/>
          <w:sz w:val="21"/>
          <w:szCs w:val="21"/>
        </w:rPr>
        <w:t>MDR</w:t>
      </w:r>
      <w:r>
        <w:rPr>
          <w:rFonts w:ascii="Times New Roman" w:hAnsi="Times New Roman" w:hint="eastAsia"/>
          <w:sz w:val="21"/>
          <w:szCs w:val="21"/>
        </w:rPr>
        <w:t>、美国</w:t>
      </w:r>
      <w:r w:rsidRPr="00BA13AD">
        <w:rPr>
          <w:rFonts w:ascii="Times New Roman" w:hAnsi="Times New Roman"/>
          <w:sz w:val="21"/>
          <w:szCs w:val="21"/>
        </w:rPr>
        <w:t>FDA</w:t>
      </w:r>
      <w:r>
        <w:rPr>
          <w:rFonts w:ascii="Times New Roman" w:hAnsi="Times New Roman" w:hint="eastAsia"/>
          <w:sz w:val="21"/>
          <w:szCs w:val="21"/>
        </w:rPr>
        <w:t>、医疗器械单一审核方案（</w:t>
      </w:r>
      <w:r w:rsidRPr="00BA13AD">
        <w:rPr>
          <w:rFonts w:ascii="Times New Roman" w:hAnsi="Times New Roman"/>
          <w:sz w:val="21"/>
          <w:szCs w:val="21"/>
        </w:rPr>
        <w:t>MDSAP</w:t>
      </w:r>
      <w:r>
        <w:rPr>
          <w:rFonts w:ascii="Times New Roman" w:hAnsi="Times New Roman" w:hint="eastAsia"/>
          <w:sz w:val="21"/>
          <w:szCs w:val="21"/>
        </w:rPr>
        <w:t>认证，同时符合澳大利亚、巴西、加拿大、美国、日本医疗器械监管部门对医疗器械质量管理体系的要求）等相关体系证书，形成了研发、采购、生产、质控、客服、质保等部门紧密衔接的质量管理体系，并保持其有效运转和不断完善。</w:t>
      </w:r>
    </w:p>
    <w:p w14:paraId="78840706"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产品质量的稳定与否同用户的身体健康密切相关，公司视产品质量为企业发展的生命线，高度重视产品生产工艺的创新、改进和对产品质量的把控，精益求精，以确保卓越的产品质量和高效的质量管理流程。公司建立健全各项质量管理制度，累计制定了超</w:t>
      </w:r>
      <w:r w:rsidRPr="00BA13AD">
        <w:rPr>
          <w:rFonts w:ascii="Times New Roman" w:hAnsi="Times New Roman"/>
          <w:sz w:val="21"/>
          <w:szCs w:val="21"/>
        </w:rPr>
        <w:t>3,600</w:t>
      </w:r>
      <w:r>
        <w:rPr>
          <w:rFonts w:ascii="Times New Roman" w:hAnsi="Times New Roman" w:hint="eastAsia"/>
          <w:sz w:val="21"/>
          <w:szCs w:val="21"/>
        </w:rPr>
        <w:t>份的质量管理规范，涵盖产品研发、物料采购、生产制造、供应链管理、成品检验以及产品上市后的各个阶段，实施全员和产品全生命周期的全流程监控和管理，确保原材料采购、生产制造到成品上市全过程质量达标。公司通过有效运用</w:t>
      </w:r>
      <w:r w:rsidRPr="00BA13AD">
        <w:rPr>
          <w:rFonts w:ascii="Times New Roman" w:hAnsi="Times New Roman"/>
          <w:sz w:val="21"/>
          <w:szCs w:val="21"/>
        </w:rPr>
        <w:t>CAPA</w:t>
      </w:r>
      <w:r>
        <w:rPr>
          <w:rFonts w:ascii="Times New Roman" w:hAnsi="Times New Roman" w:hint="eastAsia"/>
          <w:sz w:val="21"/>
          <w:szCs w:val="21"/>
        </w:rPr>
        <w:t>（纠正和预防措施）、</w:t>
      </w:r>
      <w:r w:rsidRPr="00BA13AD">
        <w:rPr>
          <w:rFonts w:ascii="Times New Roman" w:hAnsi="Times New Roman"/>
          <w:sz w:val="21"/>
          <w:szCs w:val="21"/>
        </w:rPr>
        <w:t>6 Sigma</w:t>
      </w:r>
      <w:r>
        <w:rPr>
          <w:rFonts w:ascii="Times New Roman" w:hAnsi="Times New Roman" w:hint="eastAsia"/>
          <w:sz w:val="21"/>
          <w:szCs w:val="21"/>
        </w:rPr>
        <w:t>（六西格玛）、</w:t>
      </w:r>
      <w:r w:rsidRPr="00BA13AD">
        <w:rPr>
          <w:rFonts w:ascii="Times New Roman" w:hAnsi="Times New Roman"/>
          <w:sz w:val="21"/>
          <w:szCs w:val="21"/>
        </w:rPr>
        <w:t>FMEA</w:t>
      </w:r>
      <w:r>
        <w:rPr>
          <w:rFonts w:ascii="Times New Roman" w:hAnsi="Times New Roman" w:hint="eastAsia"/>
          <w:sz w:val="21"/>
          <w:szCs w:val="21"/>
        </w:rPr>
        <w:t>（失效模式与影响分析）、</w:t>
      </w:r>
      <w:r w:rsidRPr="00BA13AD">
        <w:rPr>
          <w:rFonts w:ascii="Times New Roman" w:hAnsi="Times New Roman"/>
          <w:sz w:val="21"/>
          <w:szCs w:val="21"/>
        </w:rPr>
        <w:t>TQM</w:t>
      </w:r>
      <w:r>
        <w:rPr>
          <w:rFonts w:ascii="Times New Roman" w:hAnsi="Times New Roman" w:hint="eastAsia"/>
          <w:sz w:val="21"/>
          <w:szCs w:val="21"/>
        </w:rPr>
        <w:t>（全面质量管理）、</w:t>
      </w:r>
      <w:r w:rsidRPr="00BA13AD">
        <w:rPr>
          <w:rFonts w:ascii="Times New Roman" w:hAnsi="Times New Roman"/>
          <w:sz w:val="21"/>
          <w:szCs w:val="21"/>
        </w:rPr>
        <w:t>QCC</w:t>
      </w:r>
      <w:r>
        <w:rPr>
          <w:rFonts w:ascii="Times New Roman" w:hAnsi="Times New Roman" w:hint="eastAsia"/>
          <w:sz w:val="21"/>
          <w:szCs w:val="21"/>
        </w:rPr>
        <w:t>（品管圈）等质量管理工具和方法，系统收集、分析和应用质量管理数据，将各模块业务流程进行电子化管理，通过数据集成、系统集成、设备集成，全面实现质量管理模式数字化，实时监控并持续优化质量管理流程和管理质量。公司通过执行严格的质量标准，实施严格的质量控制措施，从根本上保证产品质量的安全性。公司凭借“实施数字化转型助推医疗器械质量创新的实践经验”，作为唯一的医疗器械制造商入选</w:t>
      </w:r>
      <w:r w:rsidRPr="00BA13AD">
        <w:rPr>
          <w:rFonts w:ascii="Times New Roman" w:hAnsi="Times New Roman"/>
          <w:sz w:val="21"/>
          <w:szCs w:val="21"/>
        </w:rPr>
        <w:t>2023</w:t>
      </w:r>
      <w:r>
        <w:rPr>
          <w:rFonts w:ascii="Times New Roman" w:hAnsi="Times New Roman" w:hint="eastAsia"/>
          <w:sz w:val="21"/>
          <w:szCs w:val="21"/>
        </w:rPr>
        <w:t>年度“湖南省制造业质量标杆”名单。</w:t>
      </w:r>
    </w:p>
    <w:p w14:paraId="5DD42F2D"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（三）较强的品牌力与全球客户资源</w:t>
      </w:r>
    </w:p>
    <w:p w14:paraId="1C0CCC48"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医疗器械关乎民生健康安全，终端采购、医疗机构及个人用户高度看重品牌口碑与长期临床可靠性，是新进入者短期内难以逾越的障碍。早期外资品牌凭借先发技术优势占据了国内大部分的市场份额，近年来，优秀国产品牌产品性能稳定，逐步得到市场认可，市场份额持续扩大，形成了一定的品牌优势，而新进入者和市场份额较低者难以通过实际产品销售规模和运行纪录证明产品的稳定性和可靠性，从而面临较高的品牌壁垒。</w:t>
      </w:r>
    </w:p>
    <w:p w14:paraId="6AE88998"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深耕慢病检测赛道二十余年，筑牢本土龙头品牌底盘，同步搭建全域全球化渠道与稳固客户资源，形成不可替代的差异化核心壁垒。公司产品以其“简单、准确、可负担”的特点获得广大消费者和医护人员的认可，在中国超</w:t>
      </w:r>
      <w:r w:rsidRPr="00BA13AD">
        <w:rPr>
          <w:rFonts w:ascii="Times New Roman" w:hAnsi="Times New Roman"/>
          <w:sz w:val="21"/>
          <w:szCs w:val="21"/>
        </w:rPr>
        <w:t>50%</w:t>
      </w:r>
      <w:r>
        <w:rPr>
          <w:rFonts w:ascii="Times New Roman" w:hAnsi="Times New Roman" w:hint="eastAsia"/>
          <w:sz w:val="21"/>
          <w:szCs w:val="21"/>
        </w:rPr>
        <w:t>的糖尿病自我监测人群使用三诺产品，公司产品在糖尿病患者人群中拥有较高的品牌影响力和稳定的客户资源。通过学术共建、医患科普落地线下慢病宣教、线上“三诺讲糖”等专栏运营的全域品牌活动，积淀了扎实的品牌口碑与深厚的市场影响力。在国内，公司持续稳居血糖仪零售市场第一，血糖仪产品覆盖超</w:t>
      </w:r>
      <w:r w:rsidRPr="00BA13AD">
        <w:rPr>
          <w:rFonts w:ascii="Times New Roman" w:hAnsi="Times New Roman"/>
          <w:sz w:val="21"/>
          <w:szCs w:val="21"/>
        </w:rPr>
        <w:t>4,000</w:t>
      </w:r>
      <w:r>
        <w:rPr>
          <w:rFonts w:ascii="Times New Roman" w:hAnsi="Times New Roman" w:hint="eastAsia"/>
          <w:sz w:val="21"/>
          <w:szCs w:val="21"/>
        </w:rPr>
        <w:t>家等级医院、超过</w:t>
      </w:r>
      <w:r w:rsidRPr="00BA13AD">
        <w:rPr>
          <w:rFonts w:ascii="Times New Roman" w:hAnsi="Times New Roman"/>
          <w:sz w:val="21"/>
          <w:szCs w:val="21"/>
        </w:rPr>
        <w:t>40</w:t>
      </w:r>
      <w:r>
        <w:rPr>
          <w:rFonts w:ascii="Times New Roman" w:hAnsi="Times New Roman" w:hint="eastAsia"/>
          <w:sz w:val="21"/>
          <w:szCs w:val="21"/>
        </w:rPr>
        <w:t>万家药店、</w:t>
      </w:r>
      <w:r w:rsidRPr="00BA13AD">
        <w:rPr>
          <w:rFonts w:ascii="Times New Roman" w:hAnsi="Times New Roman"/>
          <w:sz w:val="21"/>
          <w:szCs w:val="21"/>
        </w:rPr>
        <w:t>1</w:t>
      </w:r>
      <w:r>
        <w:rPr>
          <w:rFonts w:ascii="Times New Roman" w:hAnsi="Times New Roman" w:hint="eastAsia"/>
          <w:sz w:val="21"/>
          <w:szCs w:val="21"/>
        </w:rPr>
        <w:t>万多家社区医院及乡镇医院，覆盖</w:t>
      </w:r>
      <w:r w:rsidRPr="00BA13AD">
        <w:rPr>
          <w:rFonts w:ascii="Times New Roman" w:hAnsi="Times New Roman"/>
          <w:sz w:val="21"/>
          <w:szCs w:val="21"/>
        </w:rPr>
        <w:t>20</w:t>
      </w:r>
      <w:r>
        <w:rPr>
          <w:rFonts w:ascii="Times New Roman" w:hAnsi="Times New Roman" w:hint="eastAsia"/>
          <w:sz w:val="21"/>
          <w:szCs w:val="21"/>
        </w:rPr>
        <w:t>多家主流电商平台，打通院内诊疗、线下、线上全消费场景；在海外，公司进行全球化布局，业务遍布</w:t>
      </w:r>
      <w:r w:rsidRPr="00BA13AD">
        <w:rPr>
          <w:rFonts w:ascii="Times New Roman" w:hAnsi="Times New Roman"/>
          <w:sz w:val="21"/>
          <w:szCs w:val="21"/>
        </w:rPr>
        <w:t>187</w:t>
      </w:r>
      <w:r>
        <w:rPr>
          <w:rFonts w:ascii="Times New Roman" w:hAnsi="Times New Roman" w:hint="eastAsia"/>
          <w:sz w:val="21"/>
          <w:szCs w:val="21"/>
        </w:rPr>
        <w:t>个国家和地区，海外子公司</w:t>
      </w:r>
      <w:r w:rsidRPr="00BA13AD">
        <w:rPr>
          <w:rFonts w:ascii="Times New Roman" w:hAnsi="Times New Roman"/>
          <w:sz w:val="21"/>
          <w:szCs w:val="21"/>
        </w:rPr>
        <w:t>Trividia</w:t>
      </w:r>
      <w:r>
        <w:rPr>
          <w:rFonts w:ascii="Times New Roman" w:hAnsi="Times New Roman" w:hint="eastAsia"/>
          <w:sz w:val="21"/>
          <w:szCs w:val="21"/>
        </w:rPr>
        <w:t>和</w:t>
      </w:r>
      <w:r w:rsidRPr="00BA13AD">
        <w:rPr>
          <w:rFonts w:ascii="Times New Roman" w:hAnsi="Times New Roman"/>
          <w:sz w:val="21"/>
          <w:szCs w:val="21"/>
        </w:rPr>
        <w:t>PTS</w:t>
      </w:r>
      <w:r>
        <w:rPr>
          <w:rFonts w:ascii="Times New Roman" w:hAnsi="Times New Roman" w:hint="eastAsia"/>
          <w:sz w:val="21"/>
          <w:szCs w:val="21"/>
        </w:rPr>
        <w:t>的产品覆盖了包含</w:t>
      </w:r>
      <w:r w:rsidRPr="00BA13AD">
        <w:rPr>
          <w:rFonts w:ascii="Times New Roman" w:hAnsi="Times New Roman"/>
          <w:sz w:val="21"/>
          <w:szCs w:val="21"/>
        </w:rPr>
        <w:t>Walgreens</w:t>
      </w:r>
      <w:r>
        <w:rPr>
          <w:rFonts w:ascii="Times New Roman" w:hAnsi="Times New Roman" w:hint="eastAsia"/>
          <w:sz w:val="21"/>
          <w:szCs w:val="21"/>
        </w:rPr>
        <w:t>、</w:t>
      </w:r>
      <w:r w:rsidRPr="00BA13AD">
        <w:rPr>
          <w:rFonts w:ascii="Times New Roman" w:hAnsi="Times New Roman"/>
          <w:sz w:val="21"/>
          <w:szCs w:val="21"/>
        </w:rPr>
        <w:t>CVS</w:t>
      </w:r>
      <w:r>
        <w:rPr>
          <w:rFonts w:ascii="Times New Roman" w:hAnsi="Times New Roman" w:hint="eastAsia"/>
          <w:sz w:val="21"/>
          <w:szCs w:val="21"/>
        </w:rPr>
        <w:t>等</w:t>
      </w:r>
      <w:r w:rsidRPr="00BA13AD">
        <w:rPr>
          <w:rFonts w:ascii="Times New Roman" w:hAnsi="Times New Roman"/>
          <w:sz w:val="21"/>
          <w:szCs w:val="21"/>
        </w:rPr>
        <w:t>5.5</w:t>
      </w:r>
      <w:r>
        <w:rPr>
          <w:rFonts w:ascii="Times New Roman" w:hAnsi="Times New Roman" w:hint="eastAsia"/>
          <w:sz w:val="21"/>
          <w:szCs w:val="21"/>
        </w:rPr>
        <w:t>万家主要零售药店，并与独立药店、在线商店、邮购供应商和经销商建立了长期稳定的合作关系。公司先后获“湖南省质量服务百强品牌”、“</w:t>
      </w:r>
      <w:r w:rsidRPr="00BA13AD">
        <w:rPr>
          <w:rFonts w:ascii="Times New Roman" w:hAnsi="Times New Roman"/>
          <w:sz w:val="21"/>
          <w:szCs w:val="21"/>
        </w:rPr>
        <w:t>2021-2022</w:t>
      </w:r>
      <w:r>
        <w:rPr>
          <w:rFonts w:ascii="Times New Roman" w:hAnsi="Times New Roman" w:hint="eastAsia"/>
          <w:sz w:val="21"/>
          <w:szCs w:val="21"/>
        </w:rPr>
        <w:t>年度医药零售市场畅销品牌（西鼎奖）”、“</w:t>
      </w:r>
      <w:r w:rsidRPr="00BA13AD">
        <w:rPr>
          <w:rFonts w:ascii="Times New Roman" w:hAnsi="Times New Roman"/>
          <w:sz w:val="21"/>
          <w:szCs w:val="21"/>
        </w:rPr>
        <w:t>2025</w:t>
      </w:r>
      <w:r>
        <w:rPr>
          <w:rFonts w:ascii="Times New Roman" w:hAnsi="Times New Roman" w:hint="eastAsia"/>
          <w:sz w:val="21"/>
          <w:szCs w:val="21"/>
        </w:rPr>
        <w:t>健康中国品牌榜（西普金奖）”等殊荣。“三诺”商标被评为“中国驰名商标”，是国内唯一一家血糖仪生产企业获此认定。</w:t>
      </w:r>
    </w:p>
    <w:p w14:paraId="350245FD"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bookmarkStart w:id="18" w:name="_Hlk130323782"/>
      <w:bookmarkEnd w:id="18"/>
      <w:r>
        <w:rPr>
          <w:rStyle w:val="aa"/>
          <w:rFonts w:ascii="Times New Roman" w:hAnsi="Times New Roman" w:hint="eastAsia"/>
          <w:sz w:val="21"/>
          <w:szCs w:val="21"/>
        </w:rPr>
        <w:t>（四）持续的研发创新能力</w:t>
      </w:r>
    </w:p>
    <w:p w14:paraId="29D8BAD4"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bookmarkStart w:id="19" w:name="_Hlk130325081"/>
      <w:bookmarkEnd w:id="19"/>
      <w:r>
        <w:rPr>
          <w:rFonts w:ascii="Times New Roman" w:hAnsi="Times New Roman" w:hint="eastAsia"/>
          <w:sz w:val="21"/>
          <w:szCs w:val="21"/>
        </w:rPr>
        <w:t>公司坚信持续的研发创新能力和优质的人才储备是推动公司高质量、持续发展的坚实基础。自成立以来，公司始终将科研创新视为第一生产力，注重研发体系的建设和完善，重视对产品研发的投入和自身研发综合实力的提升，经过二十多年的技术沉淀，构建了涵盖应用研发、技术和平台研发的全流程体系，组建了多学科融合、结构合理、高效运行的研发团队，具备良好的持续创新能力。公司与中南大学、湖南农业大学、香港大学、湘雅附二医院等数十家一线医疗、化学和生物科研机构建立开放性合作，深化产学研融合，助力前瞻技术落地与成果转化。报告期内，公司持续加大研发投入和人才储备，研发费用共计</w:t>
      </w:r>
      <w:r w:rsidRPr="00BA13AD">
        <w:rPr>
          <w:rFonts w:ascii="Times New Roman" w:hAnsi="Times New Roman"/>
          <w:sz w:val="21"/>
          <w:szCs w:val="21"/>
        </w:rPr>
        <w:t>27,463.11</w:t>
      </w:r>
      <w:r>
        <w:rPr>
          <w:rFonts w:ascii="Times New Roman" w:hAnsi="Times New Roman" w:hint="eastAsia"/>
          <w:sz w:val="21"/>
          <w:szCs w:val="21"/>
        </w:rPr>
        <w:t>万元，占公司总营收的</w:t>
      </w:r>
      <w:r w:rsidRPr="00BA13AD">
        <w:rPr>
          <w:rFonts w:ascii="Times New Roman" w:hAnsi="Times New Roman"/>
          <w:sz w:val="21"/>
          <w:szCs w:val="21"/>
        </w:rPr>
        <w:t>5.89%</w:t>
      </w:r>
      <w:r>
        <w:rPr>
          <w:rFonts w:ascii="Times New Roman" w:hAnsi="Times New Roman" w:hint="eastAsia"/>
          <w:sz w:val="21"/>
          <w:szCs w:val="21"/>
        </w:rPr>
        <w:t>；截至报告期末，研发人员共</w:t>
      </w:r>
      <w:r w:rsidRPr="00BA13AD">
        <w:rPr>
          <w:rFonts w:ascii="Times New Roman" w:hAnsi="Times New Roman"/>
          <w:sz w:val="21"/>
          <w:szCs w:val="21"/>
        </w:rPr>
        <w:t>879</w:t>
      </w:r>
      <w:r>
        <w:rPr>
          <w:rFonts w:ascii="Times New Roman" w:hAnsi="Times New Roman" w:hint="eastAsia"/>
          <w:sz w:val="21"/>
          <w:szCs w:val="21"/>
        </w:rPr>
        <w:t>人，占公司总人员的</w:t>
      </w:r>
      <w:r w:rsidRPr="00BA13AD">
        <w:rPr>
          <w:rFonts w:ascii="Times New Roman" w:hAnsi="Times New Roman"/>
          <w:sz w:val="21"/>
          <w:szCs w:val="21"/>
        </w:rPr>
        <w:t>17.54%</w:t>
      </w:r>
      <w:r>
        <w:rPr>
          <w:rFonts w:ascii="Times New Roman" w:hAnsi="Times New Roman" w:hint="eastAsia"/>
          <w:sz w:val="21"/>
          <w:szCs w:val="21"/>
        </w:rPr>
        <w:t>。公司在全球拥有</w:t>
      </w:r>
      <w:r w:rsidRPr="00BA13AD">
        <w:rPr>
          <w:rFonts w:ascii="Times New Roman" w:hAnsi="Times New Roman"/>
          <w:sz w:val="21"/>
          <w:szCs w:val="21"/>
        </w:rPr>
        <w:t>9</w:t>
      </w:r>
      <w:r>
        <w:rPr>
          <w:rFonts w:ascii="Times New Roman" w:hAnsi="Times New Roman" w:hint="eastAsia"/>
          <w:sz w:val="21"/>
          <w:szCs w:val="21"/>
        </w:rPr>
        <w:t>大研发与生产基地，有效地保障了产品升级和新产品的开发储备力度。</w:t>
      </w:r>
    </w:p>
    <w:p w14:paraId="3DEFB63D"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公司紧跟全球医疗智能化转型趋势，聚焦生物传感技术的创新，利用</w:t>
      </w:r>
      <w:r w:rsidRPr="00BA13AD">
        <w:rPr>
          <w:rFonts w:ascii="Times New Roman" w:hAnsi="Times New Roman"/>
          <w:sz w:val="21"/>
          <w:szCs w:val="21"/>
        </w:rPr>
        <w:t>AI</w:t>
      </w:r>
      <w:r>
        <w:rPr>
          <w:rFonts w:ascii="Times New Roman" w:hAnsi="Times New Roman" w:hint="eastAsia"/>
          <w:sz w:val="21"/>
          <w:szCs w:val="21"/>
        </w:rPr>
        <w:t>技术开始成熟的趋势，探索“生物传感</w:t>
      </w:r>
      <w:r>
        <w:rPr>
          <w:rFonts w:ascii="Times New Roman" w:hAnsi="Times New Roman" w:hint="eastAsia"/>
          <w:sz w:val="21"/>
          <w:szCs w:val="21"/>
        </w:rPr>
        <w:t>+</w:t>
      </w:r>
      <w:r>
        <w:rPr>
          <w:rFonts w:ascii="Times New Roman" w:hAnsi="Times New Roman" w:hint="eastAsia"/>
          <w:sz w:val="21"/>
          <w:szCs w:val="21"/>
        </w:rPr>
        <w:t>人工智能</w:t>
      </w:r>
      <w:r>
        <w:rPr>
          <w:rFonts w:ascii="Times New Roman" w:hAnsi="Times New Roman" w:hint="eastAsia"/>
          <w:sz w:val="21"/>
          <w:szCs w:val="21"/>
        </w:rPr>
        <w:t>+</w:t>
      </w:r>
      <w:r>
        <w:rPr>
          <w:rFonts w:ascii="Times New Roman" w:hAnsi="Times New Roman" w:hint="eastAsia"/>
          <w:sz w:val="21"/>
          <w:szCs w:val="21"/>
        </w:rPr>
        <w:t>医疗”新模式，实现“感知</w:t>
      </w:r>
      <w:r>
        <w:rPr>
          <w:rFonts w:ascii="Times New Roman" w:hAnsi="Times New Roman" w:hint="eastAsia"/>
          <w:sz w:val="21"/>
          <w:szCs w:val="21"/>
        </w:rPr>
        <w:t>+</w:t>
      </w:r>
      <w:r>
        <w:rPr>
          <w:rFonts w:ascii="Times New Roman" w:hAnsi="Times New Roman" w:hint="eastAsia"/>
          <w:sz w:val="21"/>
          <w:szCs w:val="21"/>
        </w:rPr>
        <w:t>评估</w:t>
      </w:r>
      <w:r>
        <w:rPr>
          <w:rFonts w:ascii="Times New Roman" w:hAnsi="Times New Roman" w:hint="eastAsia"/>
          <w:sz w:val="21"/>
          <w:szCs w:val="21"/>
        </w:rPr>
        <w:t>+</w:t>
      </w:r>
      <w:r>
        <w:rPr>
          <w:rFonts w:ascii="Times New Roman" w:hAnsi="Times New Roman" w:hint="eastAsia"/>
          <w:sz w:val="21"/>
          <w:szCs w:val="21"/>
        </w:rPr>
        <w:t>干预”的糖尿病智慧管理闭环。公司成立了业务线的产品规划组，聚焦产品规划升级以及前瞻技术研究，并同步推进组织能力建设与跨中心、跨国项目的落地实施。以高技术含量、多指标检测体系的新产品研发为重点方向，打造具备数据传输功能的慢病监测产品、适用于基层或临床科室的</w:t>
      </w:r>
      <w:r w:rsidRPr="00BA13AD">
        <w:rPr>
          <w:rFonts w:ascii="Times New Roman" w:hAnsi="Times New Roman"/>
          <w:sz w:val="21"/>
          <w:szCs w:val="21"/>
        </w:rPr>
        <w:t>iPOCT</w:t>
      </w:r>
      <w:r>
        <w:rPr>
          <w:rFonts w:ascii="Times New Roman" w:hAnsi="Times New Roman" w:hint="eastAsia"/>
          <w:sz w:val="21"/>
          <w:szCs w:val="21"/>
        </w:rPr>
        <w:t>检测产品，推动院内外一体化糖尿病管理系统升级。目前，公司已经构建起基于个人掌上实验室（</w:t>
      </w:r>
      <w:r w:rsidRPr="00BA13AD">
        <w:rPr>
          <w:rFonts w:ascii="Times New Roman" w:hAnsi="Times New Roman"/>
          <w:sz w:val="21"/>
          <w:szCs w:val="21"/>
        </w:rPr>
        <w:t>PPL</w:t>
      </w:r>
      <w:r>
        <w:rPr>
          <w:rFonts w:ascii="Times New Roman" w:hAnsi="Times New Roman" w:hint="eastAsia"/>
          <w:sz w:val="21"/>
          <w:szCs w:val="21"/>
        </w:rPr>
        <w:t>）、精准桌面实验室（</w:t>
      </w:r>
      <w:r w:rsidRPr="00BA13AD">
        <w:rPr>
          <w:rFonts w:ascii="Times New Roman" w:hAnsi="Times New Roman"/>
          <w:sz w:val="21"/>
          <w:szCs w:val="21"/>
        </w:rPr>
        <w:t>PDL</w:t>
      </w:r>
      <w:r>
        <w:rPr>
          <w:rFonts w:ascii="Times New Roman" w:hAnsi="Times New Roman" w:hint="eastAsia"/>
          <w:sz w:val="21"/>
          <w:szCs w:val="21"/>
        </w:rPr>
        <w:t>）和精准可穿戴系统（</w:t>
      </w:r>
      <w:r w:rsidRPr="00BA13AD">
        <w:rPr>
          <w:rFonts w:ascii="Times New Roman" w:hAnsi="Times New Roman"/>
          <w:sz w:val="21"/>
          <w:szCs w:val="21"/>
        </w:rPr>
        <w:t>PWS</w:t>
      </w:r>
      <w:r>
        <w:rPr>
          <w:rFonts w:ascii="Times New Roman" w:hAnsi="Times New Roman" w:hint="eastAsia"/>
          <w:sz w:val="21"/>
          <w:szCs w:val="21"/>
        </w:rPr>
        <w:t>）的研发产品线，有效支撑产品迭代与业务拓展，适配行业发展趋势，为糖尿病等疾病防治提供更多创新性、系统性的智慧医疗解决方案。</w:t>
      </w:r>
    </w:p>
    <w:p w14:paraId="31FD8FE8"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bookmarkStart w:id="20" w:name="_Hlk130896676"/>
      <w:bookmarkEnd w:id="20"/>
      <w:r>
        <w:rPr>
          <w:rFonts w:ascii="Times New Roman" w:hAnsi="Times New Roman" w:hint="eastAsia"/>
          <w:sz w:val="21"/>
          <w:szCs w:val="21"/>
        </w:rPr>
        <w:t>经过多年的研发技术成果积累，公司在知识产权创造、运用、管理和保护方面达到了行业领先水平，被国家知识产权局认定为“国家知识产权优势企业”，同时也被国家工信部、药监局认定为人工智能医疗器械创新任务揭榜单位，共建个体化诊疗技术国家工程研究中心、芙蓉实验室。截至报告期末，上市公司拥有中国授权专利</w:t>
      </w:r>
      <w:r w:rsidRPr="00BA13AD">
        <w:rPr>
          <w:rFonts w:ascii="Times New Roman" w:hAnsi="Times New Roman"/>
          <w:sz w:val="21"/>
          <w:szCs w:val="21"/>
        </w:rPr>
        <w:t>324</w:t>
      </w:r>
      <w:r>
        <w:rPr>
          <w:rFonts w:ascii="Times New Roman" w:hAnsi="Times New Roman" w:hint="eastAsia"/>
          <w:sz w:val="21"/>
          <w:szCs w:val="21"/>
        </w:rPr>
        <w:t>项和软件著作权</w:t>
      </w:r>
      <w:r w:rsidRPr="00BA13AD">
        <w:rPr>
          <w:rFonts w:ascii="Times New Roman" w:hAnsi="Times New Roman"/>
          <w:sz w:val="21"/>
          <w:szCs w:val="21"/>
        </w:rPr>
        <w:t>166</w:t>
      </w:r>
      <w:r>
        <w:rPr>
          <w:rFonts w:ascii="Times New Roman" w:hAnsi="Times New Roman" w:hint="eastAsia"/>
          <w:sz w:val="21"/>
          <w:szCs w:val="21"/>
        </w:rPr>
        <w:t>项，其中发明专利</w:t>
      </w:r>
      <w:r w:rsidRPr="00BA13AD">
        <w:rPr>
          <w:rFonts w:ascii="Times New Roman" w:hAnsi="Times New Roman"/>
          <w:sz w:val="21"/>
          <w:szCs w:val="21"/>
        </w:rPr>
        <w:t>106</w:t>
      </w:r>
      <w:r>
        <w:rPr>
          <w:rFonts w:ascii="Times New Roman" w:hAnsi="Times New Roman" w:hint="eastAsia"/>
          <w:sz w:val="21"/>
          <w:szCs w:val="21"/>
        </w:rPr>
        <w:t>项，实用新型专利</w:t>
      </w:r>
      <w:r w:rsidRPr="00BA13AD">
        <w:rPr>
          <w:rFonts w:ascii="Times New Roman" w:hAnsi="Times New Roman"/>
          <w:sz w:val="21"/>
          <w:szCs w:val="21"/>
        </w:rPr>
        <w:t>164</w:t>
      </w:r>
      <w:r>
        <w:rPr>
          <w:rFonts w:ascii="Times New Roman" w:hAnsi="Times New Roman" w:hint="eastAsia"/>
          <w:sz w:val="21"/>
          <w:szCs w:val="21"/>
        </w:rPr>
        <w:t>项，外观设计专利</w:t>
      </w:r>
      <w:r w:rsidRPr="00BA13AD">
        <w:rPr>
          <w:rFonts w:ascii="Times New Roman" w:hAnsi="Times New Roman"/>
          <w:sz w:val="21"/>
          <w:szCs w:val="21"/>
        </w:rPr>
        <w:t>54</w:t>
      </w:r>
      <w:r>
        <w:rPr>
          <w:rFonts w:ascii="Times New Roman" w:hAnsi="Times New Roman" w:hint="eastAsia"/>
          <w:sz w:val="21"/>
          <w:szCs w:val="21"/>
        </w:rPr>
        <w:t>项，拥有海外专利</w:t>
      </w:r>
      <w:r w:rsidRPr="00BA13AD">
        <w:rPr>
          <w:rFonts w:ascii="Times New Roman" w:hAnsi="Times New Roman"/>
          <w:sz w:val="21"/>
          <w:szCs w:val="21"/>
        </w:rPr>
        <w:t>20</w:t>
      </w:r>
      <w:r>
        <w:rPr>
          <w:rFonts w:ascii="Times New Roman" w:hAnsi="Times New Roman" w:hint="eastAsia"/>
          <w:sz w:val="21"/>
          <w:szCs w:val="21"/>
        </w:rPr>
        <w:t>项和海外外观设计专利</w:t>
      </w:r>
      <w:r w:rsidRPr="00BA13AD">
        <w:rPr>
          <w:rFonts w:ascii="Times New Roman" w:hAnsi="Times New Roman"/>
          <w:sz w:val="21"/>
          <w:szCs w:val="21"/>
        </w:rPr>
        <w:t>15</w:t>
      </w:r>
      <w:r>
        <w:rPr>
          <w:rFonts w:ascii="Times New Roman" w:hAnsi="Times New Roman" w:hint="eastAsia"/>
          <w:sz w:val="21"/>
          <w:szCs w:val="21"/>
        </w:rPr>
        <w:t>项；公司全资子公司</w:t>
      </w:r>
      <w:r w:rsidRPr="00BA13AD">
        <w:rPr>
          <w:rFonts w:ascii="Times New Roman" w:hAnsi="Times New Roman"/>
          <w:sz w:val="21"/>
          <w:szCs w:val="21"/>
        </w:rPr>
        <w:t>PTS</w:t>
      </w:r>
      <w:r>
        <w:rPr>
          <w:rFonts w:ascii="Times New Roman" w:hAnsi="Times New Roman" w:hint="eastAsia"/>
          <w:sz w:val="21"/>
          <w:szCs w:val="21"/>
        </w:rPr>
        <w:t>拥有授权专利</w:t>
      </w:r>
      <w:r w:rsidRPr="00BA13AD">
        <w:rPr>
          <w:rFonts w:ascii="Times New Roman" w:hAnsi="Times New Roman"/>
          <w:sz w:val="21"/>
          <w:szCs w:val="21"/>
        </w:rPr>
        <w:t>60</w:t>
      </w:r>
      <w:r>
        <w:rPr>
          <w:rFonts w:ascii="Times New Roman" w:hAnsi="Times New Roman" w:hint="eastAsia"/>
          <w:sz w:val="21"/>
          <w:szCs w:val="21"/>
        </w:rPr>
        <w:t>项，其中中国专利</w:t>
      </w:r>
      <w:r w:rsidRPr="00BA13AD">
        <w:rPr>
          <w:rFonts w:ascii="Times New Roman" w:hAnsi="Times New Roman"/>
          <w:sz w:val="21"/>
          <w:szCs w:val="21"/>
        </w:rPr>
        <w:t>10</w:t>
      </w:r>
      <w:r>
        <w:rPr>
          <w:rFonts w:ascii="Times New Roman" w:hAnsi="Times New Roman" w:hint="eastAsia"/>
          <w:sz w:val="21"/>
          <w:szCs w:val="21"/>
        </w:rPr>
        <w:t>项，美国专利</w:t>
      </w:r>
      <w:r w:rsidRPr="00BA13AD">
        <w:rPr>
          <w:rFonts w:ascii="Times New Roman" w:hAnsi="Times New Roman"/>
          <w:sz w:val="21"/>
          <w:szCs w:val="21"/>
        </w:rPr>
        <w:t>25</w:t>
      </w:r>
      <w:r>
        <w:rPr>
          <w:rFonts w:ascii="Times New Roman" w:hAnsi="Times New Roman" w:hint="eastAsia"/>
          <w:sz w:val="21"/>
          <w:szCs w:val="21"/>
        </w:rPr>
        <w:t>项，其他国家和地区</w:t>
      </w:r>
      <w:r w:rsidRPr="00BA13AD">
        <w:rPr>
          <w:rFonts w:ascii="Times New Roman" w:hAnsi="Times New Roman"/>
          <w:sz w:val="21"/>
          <w:szCs w:val="21"/>
        </w:rPr>
        <w:t>25</w:t>
      </w:r>
      <w:r>
        <w:rPr>
          <w:rFonts w:ascii="Times New Roman" w:hAnsi="Times New Roman" w:hint="eastAsia"/>
          <w:sz w:val="21"/>
          <w:szCs w:val="21"/>
        </w:rPr>
        <w:t>项；公司控股子公司</w:t>
      </w:r>
      <w:r w:rsidRPr="00BA13AD">
        <w:rPr>
          <w:rFonts w:ascii="Times New Roman" w:hAnsi="Times New Roman"/>
          <w:sz w:val="21"/>
          <w:szCs w:val="21"/>
        </w:rPr>
        <w:t>Trividia</w:t>
      </w:r>
      <w:r>
        <w:rPr>
          <w:rFonts w:ascii="Times New Roman" w:hAnsi="Times New Roman" w:hint="eastAsia"/>
          <w:sz w:val="21"/>
          <w:szCs w:val="21"/>
        </w:rPr>
        <w:t>拥有授权专利</w:t>
      </w:r>
      <w:r w:rsidRPr="00BA13AD">
        <w:rPr>
          <w:rFonts w:ascii="Times New Roman" w:hAnsi="Times New Roman"/>
          <w:sz w:val="21"/>
          <w:szCs w:val="21"/>
        </w:rPr>
        <w:t>267</w:t>
      </w:r>
      <w:r>
        <w:rPr>
          <w:rFonts w:ascii="Times New Roman" w:hAnsi="Times New Roman" w:hint="eastAsia"/>
          <w:sz w:val="21"/>
          <w:szCs w:val="21"/>
        </w:rPr>
        <w:t>项，其中中国专利</w:t>
      </w:r>
      <w:r w:rsidRPr="00BA13AD">
        <w:rPr>
          <w:rFonts w:ascii="Times New Roman" w:hAnsi="Times New Roman"/>
          <w:sz w:val="21"/>
          <w:szCs w:val="21"/>
        </w:rPr>
        <w:t>5</w:t>
      </w:r>
      <w:r>
        <w:rPr>
          <w:rFonts w:ascii="Times New Roman" w:hAnsi="Times New Roman" w:hint="eastAsia"/>
          <w:sz w:val="21"/>
          <w:szCs w:val="21"/>
        </w:rPr>
        <w:t>项，美国专利</w:t>
      </w:r>
      <w:r w:rsidRPr="00BA13AD">
        <w:rPr>
          <w:rFonts w:ascii="Times New Roman" w:hAnsi="Times New Roman"/>
          <w:sz w:val="21"/>
          <w:szCs w:val="21"/>
        </w:rPr>
        <w:t>46</w:t>
      </w:r>
      <w:r>
        <w:rPr>
          <w:rFonts w:ascii="Times New Roman" w:hAnsi="Times New Roman" w:hint="eastAsia"/>
          <w:sz w:val="21"/>
          <w:szCs w:val="21"/>
        </w:rPr>
        <w:t>项，其他国家和地区</w:t>
      </w:r>
      <w:r w:rsidRPr="00BA13AD">
        <w:rPr>
          <w:rFonts w:ascii="Times New Roman" w:hAnsi="Times New Roman"/>
          <w:sz w:val="21"/>
          <w:szCs w:val="21"/>
        </w:rPr>
        <w:t>216</w:t>
      </w:r>
      <w:r>
        <w:rPr>
          <w:rFonts w:ascii="Times New Roman" w:hAnsi="Times New Roman" w:hint="eastAsia"/>
          <w:sz w:val="21"/>
          <w:szCs w:val="21"/>
        </w:rPr>
        <w:t>项；其余子公司拥有中国授权专利</w:t>
      </w:r>
      <w:r w:rsidRPr="00BA13AD">
        <w:rPr>
          <w:rFonts w:ascii="Times New Roman" w:hAnsi="Times New Roman"/>
          <w:sz w:val="21"/>
          <w:szCs w:val="21"/>
        </w:rPr>
        <w:t>38</w:t>
      </w:r>
      <w:r>
        <w:rPr>
          <w:rFonts w:ascii="Times New Roman" w:hAnsi="Times New Roman" w:hint="eastAsia"/>
          <w:sz w:val="21"/>
          <w:szCs w:val="21"/>
        </w:rPr>
        <w:t>项和软件著作权</w:t>
      </w:r>
      <w:r w:rsidRPr="00BA13AD">
        <w:rPr>
          <w:rFonts w:ascii="Times New Roman" w:hAnsi="Times New Roman"/>
          <w:sz w:val="21"/>
          <w:szCs w:val="21"/>
        </w:rPr>
        <w:t>30</w:t>
      </w:r>
      <w:r>
        <w:rPr>
          <w:rFonts w:ascii="Times New Roman" w:hAnsi="Times New Roman" w:hint="eastAsia"/>
          <w:sz w:val="21"/>
          <w:szCs w:val="21"/>
        </w:rPr>
        <w:t>项，其中发明专利</w:t>
      </w:r>
      <w:r w:rsidRPr="00BA13AD">
        <w:rPr>
          <w:rFonts w:ascii="Times New Roman" w:hAnsi="Times New Roman"/>
          <w:sz w:val="21"/>
          <w:szCs w:val="21"/>
        </w:rPr>
        <w:t>2</w:t>
      </w:r>
      <w:r>
        <w:rPr>
          <w:rFonts w:ascii="Times New Roman" w:hAnsi="Times New Roman" w:hint="eastAsia"/>
          <w:sz w:val="21"/>
          <w:szCs w:val="21"/>
        </w:rPr>
        <w:t>项，实用新型专利</w:t>
      </w:r>
      <w:r w:rsidRPr="00BA13AD">
        <w:rPr>
          <w:rFonts w:ascii="Times New Roman" w:hAnsi="Times New Roman"/>
          <w:sz w:val="21"/>
          <w:szCs w:val="21"/>
        </w:rPr>
        <w:t>28</w:t>
      </w:r>
      <w:r>
        <w:rPr>
          <w:rFonts w:ascii="Times New Roman" w:hAnsi="Times New Roman" w:hint="eastAsia"/>
          <w:sz w:val="21"/>
          <w:szCs w:val="21"/>
        </w:rPr>
        <w:t>项，外观设计专利</w:t>
      </w:r>
      <w:r w:rsidRPr="00BA13AD">
        <w:rPr>
          <w:rFonts w:ascii="Times New Roman" w:hAnsi="Times New Roman"/>
          <w:sz w:val="21"/>
          <w:szCs w:val="21"/>
        </w:rPr>
        <w:t>8</w:t>
      </w:r>
      <w:r>
        <w:rPr>
          <w:rFonts w:ascii="Times New Roman" w:hAnsi="Times New Roman" w:hint="eastAsia"/>
          <w:sz w:val="21"/>
          <w:szCs w:val="21"/>
        </w:rPr>
        <w:t>项。公司已在血糖监测等核心领域形成了较为全面的专利体系。</w:t>
      </w:r>
    </w:p>
    <w:p w14:paraId="5A22B99D"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（五）完善的智能制造与绿色生产体系</w:t>
      </w:r>
    </w:p>
    <w:p w14:paraId="60DF8523" w14:textId="77777777" w:rsidR="00113A51" w:rsidRPr="00BA13AD"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公司推动智能制造与绿色生产深度融合，从自动化、信息化、智能技术以及数智化转型等多方面全面推动智能制造建设。在提高产品质量、推动技术创新、实现节能环保的基础上搭建以</w:t>
      </w:r>
      <w:r w:rsidRPr="00BA13AD">
        <w:rPr>
          <w:rFonts w:ascii="Times New Roman" w:hAnsi="Times New Roman"/>
          <w:sz w:val="21"/>
          <w:szCs w:val="21"/>
        </w:rPr>
        <w:t>ERP</w:t>
      </w:r>
      <w:r>
        <w:rPr>
          <w:rFonts w:ascii="Times New Roman" w:hAnsi="Times New Roman" w:hint="eastAsia"/>
          <w:sz w:val="21"/>
          <w:szCs w:val="21"/>
        </w:rPr>
        <w:t>、</w:t>
      </w:r>
      <w:r w:rsidRPr="00BA13AD">
        <w:rPr>
          <w:rFonts w:ascii="Times New Roman" w:hAnsi="Times New Roman"/>
          <w:sz w:val="21"/>
          <w:szCs w:val="21"/>
        </w:rPr>
        <w:t>MES</w:t>
      </w:r>
      <w:r>
        <w:rPr>
          <w:rFonts w:ascii="Times New Roman" w:hAnsi="Times New Roman" w:hint="eastAsia"/>
          <w:sz w:val="21"/>
          <w:szCs w:val="21"/>
        </w:rPr>
        <w:t>、</w:t>
      </w:r>
      <w:r w:rsidRPr="00BA13AD">
        <w:rPr>
          <w:rFonts w:ascii="Times New Roman" w:hAnsi="Times New Roman"/>
          <w:sz w:val="21"/>
          <w:szCs w:val="21"/>
        </w:rPr>
        <w:t>APS</w:t>
      </w:r>
      <w:r>
        <w:rPr>
          <w:rFonts w:ascii="Times New Roman" w:hAnsi="Times New Roman" w:hint="eastAsia"/>
          <w:sz w:val="21"/>
          <w:szCs w:val="21"/>
        </w:rPr>
        <w:t>为核心的集研、产、供、销、质一体化协同的智能集成应用平台。借鉴公司海外子公司</w:t>
      </w:r>
      <w:r w:rsidRPr="00BA13AD">
        <w:rPr>
          <w:rFonts w:ascii="Times New Roman" w:hAnsi="Times New Roman"/>
          <w:sz w:val="21"/>
          <w:szCs w:val="21"/>
        </w:rPr>
        <w:t>PTS</w:t>
      </w:r>
      <w:r>
        <w:rPr>
          <w:rFonts w:ascii="Times New Roman" w:hAnsi="Times New Roman" w:hint="eastAsia"/>
          <w:sz w:val="21"/>
          <w:szCs w:val="21"/>
        </w:rPr>
        <w:t>和</w:t>
      </w:r>
      <w:r w:rsidRPr="00BA13AD">
        <w:rPr>
          <w:rFonts w:ascii="Times New Roman" w:hAnsi="Times New Roman"/>
          <w:sz w:val="21"/>
          <w:szCs w:val="21"/>
        </w:rPr>
        <w:t>Trividia</w:t>
      </w:r>
      <w:r>
        <w:rPr>
          <w:rFonts w:ascii="Times New Roman" w:hAnsi="Times New Roman" w:hint="eastAsia"/>
          <w:sz w:val="21"/>
          <w:szCs w:val="21"/>
        </w:rPr>
        <w:t>自动化生产经验，推动国内工厂大规模自动化生产，制定体系改进计划，建立产品追溯系统，提升整体生产制造能力和智能化管理水平。公司全球拥有</w:t>
      </w:r>
      <w:r w:rsidRPr="00BA13AD">
        <w:rPr>
          <w:rFonts w:ascii="Times New Roman" w:hAnsi="Times New Roman"/>
          <w:sz w:val="21"/>
          <w:szCs w:val="21"/>
        </w:rPr>
        <w:t>9</w:t>
      </w:r>
      <w:r>
        <w:rPr>
          <w:rFonts w:ascii="Times New Roman" w:hAnsi="Times New Roman" w:hint="eastAsia"/>
          <w:sz w:val="21"/>
          <w:szCs w:val="21"/>
        </w:rPr>
        <w:t>大研发与生产基地，以打造数字化工厂为核心，运用</w:t>
      </w:r>
      <w:r w:rsidRPr="00BA13AD">
        <w:rPr>
          <w:rFonts w:ascii="Times New Roman" w:hAnsi="Times New Roman"/>
          <w:sz w:val="21"/>
          <w:szCs w:val="21"/>
        </w:rPr>
        <w:t>IOT</w:t>
      </w:r>
      <w:r>
        <w:rPr>
          <w:rFonts w:ascii="Times New Roman" w:hAnsi="Times New Roman" w:hint="eastAsia"/>
          <w:sz w:val="21"/>
          <w:szCs w:val="21"/>
        </w:rPr>
        <w:t>、</w:t>
      </w:r>
      <w:r w:rsidRPr="00BA13AD">
        <w:rPr>
          <w:rFonts w:ascii="Times New Roman" w:hAnsi="Times New Roman"/>
          <w:sz w:val="21"/>
          <w:szCs w:val="21"/>
        </w:rPr>
        <w:t>BI</w:t>
      </w:r>
      <w:r>
        <w:rPr>
          <w:rFonts w:ascii="Times New Roman" w:hAnsi="Times New Roman" w:hint="eastAsia"/>
          <w:sz w:val="21"/>
          <w:szCs w:val="21"/>
        </w:rPr>
        <w:t>、</w:t>
      </w:r>
      <w:r w:rsidRPr="00BA13AD">
        <w:rPr>
          <w:rFonts w:ascii="Times New Roman" w:hAnsi="Times New Roman"/>
          <w:sz w:val="21"/>
          <w:szCs w:val="21"/>
        </w:rPr>
        <w:t>AI</w:t>
      </w:r>
      <w:r>
        <w:rPr>
          <w:rFonts w:ascii="Times New Roman" w:hAnsi="Times New Roman" w:hint="eastAsia"/>
          <w:sz w:val="21"/>
          <w:szCs w:val="21"/>
        </w:rPr>
        <w:t>等手段，打造适应三诺业务持续发展的生产数智化运营模式。通过全流程信息化系统建设，对各项指标进行可视化、预警和预控管理，实现了数据在线化、实时化管理。在智慧物流方面，公司建立了大型立体仓库，通过</w:t>
      </w:r>
      <w:r w:rsidRPr="00BA13AD">
        <w:rPr>
          <w:rFonts w:ascii="Times New Roman" w:hAnsi="Times New Roman"/>
          <w:sz w:val="21"/>
          <w:szCs w:val="21"/>
        </w:rPr>
        <w:t>AGV</w:t>
      </w:r>
      <w:r>
        <w:rPr>
          <w:rFonts w:ascii="Times New Roman" w:hAnsi="Times New Roman" w:hint="eastAsia"/>
          <w:sz w:val="21"/>
          <w:szCs w:val="21"/>
        </w:rPr>
        <w:t>小车集成</w:t>
      </w:r>
      <w:r w:rsidRPr="00BA13AD">
        <w:rPr>
          <w:rFonts w:ascii="Times New Roman" w:hAnsi="Times New Roman"/>
          <w:sz w:val="21"/>
          <w:szCs w:val="21"/>
        </w:rPr>
        <w:t>WMS</w:t>
      </w:r>
      <w:r>
        <w:rPr>
          <w:rFonts w:ascii="Times New Roman" w:hAnsi="Times New Roman" w:hint="eastAsia"/>
          <w:sz w:val="21"/>
          <w:szCs w:val="21"/>
        </w:rPr>
        <w:t>，</w:t>
      </w:r>
      <w:r w:rsidRPr="00BA13AD">
        <w:rPr>
          <w:rFonts w:ascii="Times New Roman" w:hAnsi="Times New Roman"/>
          <w:sz w:val="21"/>
          <w:szCs w:val="21"/>
        </w:rPr>
        <w:t>WCS</w:t>
      </w:r>
      <w:r>
        <w:rPr>
          <w:rFonts w:ascii="Times New Roman" w:hAnsi="Times New Roman" w:hint="eastAsia"/>
          <w:sz w:val="21"/>
          <w:szCs w:val="21"/>
        </w:rPr>
        <w:t>软件实现自动物流输送，从半成品立体仓库到自动生产线再到成品仓库，实现无缝对接提升物料和成品配送能力，有效提升产品出入库及运输的效率。绿色生产方面，公司将可持续发展理念贯穿全流程，通过智能制造升级、绿色生产工艺优化以及智慧物流体系的搭建，系统推进公司生产制造全流程的低碳化转型。公司成功入选国家工业和信息化部办公厅</w:t>
      </w:r>
      <w:r w:rsidRPr="00BA13AD">
        <w:rPr>
          <w:rFonts w:ascii="Times New Roman" w:hAnsi="Times New Roman"/>
          <w:sz w:val="21"/>
          <w:szCs w:val="21"/>
        </w:rPr>
        <w:t>2023</w:t>
      </w:r>
      <w:r>
        <w:rPr>
          <w:rFonts w:ascii="Times New Roman" w:hAnsi="Times New Roman" w:hint="eastAsia"/>
          <w:sz w:val="21"/>
          <w:szCs w:val="21"/>
        </w:rPr>
        <w:t>年度绿色制造名单，荣获“国家绿色工厂”荣誉称号，在环保、节能、减排等方面受到认可。报告期内，公司二代</w:t>
      </w:r>
      <w:r w:rsidRPr="00BA13AD">
        <w:rPr>
          <w:rFonts w:ascii="Times New Roman" w:hAnsi="Times New Roman"/>
          <w:sz w:val="21"/>
          <w:szCs w:val="21"/>
        </w:rPr>
        <w:t>CGM</w:t>
      </w:r>
      <w:r>
        <w:rPr>
          <w:rFonts w:ascii="Times New Roman" w:hAnsi="Times New Roman" w:hint="eastAsia"/>
          <w:sz w:val="21"/>
          <w:szCs w:val="21"/>
        </w:rPr>
        <w:t>产品将可持续发展理念系统融入产品设计、生产与使用全流程，并凭借其突出的绿色设计与可持续实践，荣获第十届价值共创（</w:t>
      </w:r>
      <w:r w:rsidRPr="00BA13AD">
        <w:rPr>
          <w:rFonts w:ascii="Times New Roman" w:hAnsi="Times New Roman"/>
          <w:sz w:val="21"/>
          <w:szCs w:val="21"/>
        </w:rPr>
        <w:t>ESG</w:t>
      </w:r>
      <w:r>
        <w:rPr>
          <w:rFonts w:ascii="Times New Roman" w:hAnsi="Times New Roman" w:hint="eastAsia"/>
          <w:sz w:val="21"/>
          <w:szCs w:val="21"/>
        </w:rPr>
        <w:t>）年度趋势论坛“可持续产品创新奖”。</w:t>
      </w:r>
    </w:p>
    <w:p w14:paraId="08A11EC5" w14:textId="77777777" w:rsidR="00113A51" w:rsidRDefault="00766EC7">
      <w:pPr>
        <w:pStyle w:val="2"/>
        <w:spacing w:before="300" w:after="300" w:line="320" w:lineRule="exact"/>
        <w:rPr>
          <w:rFonts w:ascii="Times New Roman" w:eastAsia="宋体" w:hAnsi="Times New Roman" w:cs="宋体"/>
          <w:b/>
          <w:bCs/>
          <w:sz w:val="24"/>
          <w:szCs w:val="24"/>
        </w:rPr>
      </w:pPr>
      <w:bookmarkStart w:id="21" w:name="_Toc988905"/>
      <w:r>
        <w:rPr>
          <w:rFonts w:ascii="Times New Roman" w:eastAsia="宋体" w:hAnsi="Times New Roman" w:cs="宋体"/>
          <w:b/>
          <w:bCs/>
          <w:sz w:val="24"/>
          <w:szCs w:val="24"/>
        </w:rPr>
        <w:t>四、主营业务分析</w:t>
      </w:r>
      <w:bookmarkEnd w:id="21"/>
    </w:p>
    <w:p w14:paraId="503804F5" w14:textId="77777777" w:rsidR="00113A51" w:rsidRDefault="00766EC7">
      <w:pPr>
        <w:pStyle w:val="3"/>
        <w:spacing w:line="280" w:lineRule="exact"/>
        <w:jc w:val="left"/>
        <w:rPr>
          <w:rFonts w:ascii="Times New Roman" w:hAnsi="Times New Roman" w:cs="宋体"/>
          <w:b/>
          <w:bCs/>
        </w:rPr>
      </w:pPr>
      <w:bookmarkStart w:id="22" w:name="_Toc988906"/>
      <w:r>
        <w:rPr>
          <w:rFonts w:ascii="Times New Roman" w:hAnsi="Times New Roman" w:cs="宋体"/>
          <w:b/>
          <w:bCs/>
        </w:rPr>
        <w:t>1</w:t>
      </w:r>
      <w:r>
        <w:rPr>
          <w:rFonts w:ascii="Times New Roman" w:hAnsi="Times New Roman" w:cs="宋体"/>
          <w:b/>
          <w:bCs/>
        </w:rPr>
        <w:t>、概述</w:t>
      </w:r>
      <w:bookmarkEnd w:id="22"/>
    </w:p>
    <w:p w14:paraId="7338F30A"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sidRPr="00BA13AD">
        <w:rPr>
          <w:rFonts w:ascii="Times New Roman" w:hAnsi="Times New Roman"/>
          <w:sz w:val="21"/>
          <w:szCs w:val="21"/>
        </w:rPr>
        <w:t>2025</w:t>
      </w:r>
      <w:r>
        <w:rPr>
          <w:rFonts w:ascii="Times New Roman" w:hAnsi="Times New Roman" w:hint="eastAsia"/>
          <w:sz w:val="21"/>
          <w:szCs w:val="21"/>
        </w:rPr>
        <w:t>年度，面对宏观经济环境复杂多变、医药行业改革持续深化、市场竞争日趋激烈等多重挑战，公司深入贯彻董事会战略部署，围绕“</w:t>
      </w:r>
      <w:r w:rsidRPr="00BA13AD">
        <w:rPr>
          <w:rFonts w:ascii="Times New Roman" w:hAnsi="Times New Roman"/>
          <w:sz w:val="21"/>
          <w:szCs w:val="21"/>
        </w:rPr>
        <w:t>One Sinocare</w:t>
      </w:r>
      <w:r>
        <w:rPr>
          <w:rFonts w:ascii="Times New Roman" w:hAnsi="Times New Roman" w:hint="eastAsia"/>
          <w:sz w:val="21"/>
          <w:szCs w:val="21"/>
        </w:rPr>
        <w:t>同一个三诺”的文化理念，以“简化、</w:t>
      </w:r>
      <w:r w:rsidRPr="00BA13AD">
        <w:rPr>
          <w:rFonts w:ascii="Times New Roman" w:hAnsi="Times New Roman"/>
          <w:sz w:val="21"/>
          <w:szCs w:val="21"/>
        </w:rPr>
        <w:t>AI</w:t>
      </w:r>
      <w:r>
        <w:rPr>
          <w:rFonts w:ascii="Times New Roman" w:hAnsi="Times New Roman" w:hint="eastAsia"/>
          <w:sz w:val="21"/>
          <w:szCs w:val="21"/>
        </w:rPr>
        <w:t>、交付”为行动支点，持续聚焦以血糖监测产品为核心的慢性病快速检测主营业务，推动公司整体高效运营，同时推动公司全球主要市场本土化，助力公司把握新机遇，拓宽业务发展空间，推动业务发展与责任战略的协同落实。</w:t>
      </w:r>
    </w:p>
    <w:p w14:paraId="5095AA47" w14:textId="643AB568"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报告期内，公司实现营业收入</w:t>
      </w:r>
      <w:r w:rsidRPr="00BA13AD">
        <w:rPr>
          <w:rFonts w:ascii="Times New Roman" w:hAnsi="Times New Roman"/>
          <w:sz w:val="21"/>
          <w:szCs w:val="21"/>
        </w:rPr>
        <w:t>465,933.59</w:t>
      </w:r>
      <w:r>
        <w:rPr>
          <w:rFonts w:ascii="Times New Roman" w:hAnsi="Times New Roman" w:hint="eastAsia"/>
          <w:sz w:val="21"/>
          <w:szCs w:val="21"/>
        </w:rPr>
        <w:t>万元，较上年同期增长</w:t>
      </w:r>
      <w:r w:rsidRPr="00BA13AD">
        <w:rPr>
          <w:rFonts w:ascii="Times New Roman" w:hAnsi="Times New Roman"/>
          <w:sz w:val="21"/>
          <w:szCs w:val="21"/>
        </w:rPr>
        <w:t>4.87%</w:t>
      </w:r>
      <w:r>
        <w:rPr>
          <w:rFonts w:ascii="Times New Roman" w:hAnsi="Times New Roman" w:hint="eastAsia"/>
          <w:sz w:val="21"/>
          <w:szCs w:val="21"/>
        </w:rPr>
        <w:t>；实现归属于上市公司股东的净利润</w:t>
      </w:r>
      <w:r w:rsidRPr="00BA13AD">
        <w:rPr>
          <w:rFonts w:ascii="Times New Roman" w:hAnsi="Times New Roman"/>
          <w:sz w:val="21"/>
          <w:szCs w:val="21"/>
        </w:rPr>
        <w:t>9,</w:t>
      </w:r>
      <w:r w:rsidR="00A93FDC">
        <w:rPr>
          <w:rFonts w:ascii="Times New Roman" w:hAnsi="Times New Roman"/>
          <w:sz w:val="21"/>
          <w:szCs w:val="21"/>
        </w:rPr>
        <w:t>264</w:t>
      </w:r>
      <w:r w:rsidRPr="00BA13AD">
        <w:rPr>
          <w:rFonts w:ascii="Times New Roman" w:hAnsi="Times New Roman"/>
          <w:sz w:val="21"/>
          <w:szCs w:val="21"/>
        </w:rPr>
        <w:t>.</w:t>
      </w:r>
      <w:r w:rsidR="00A93FDC">
        <w:rPr>
          <w:rFonts w:ascii="Times New Roman" w:hAnsi="Times New Roman"/>
          <w:sz w:val="21"/>
          <w:szCs w:val="21"/>
        </w:rPr>
        <w:t>89</w:t>
      </w:r>
      <w:r>
        <w:rPr>
          <w:rFonts w:ascii="Times New Roman" w:hAnsi="Times New Roman" w:hint="eastAsia"/>
          <w:sz w:val="21"/>
          <w:szCs w:val="21"/>
        </w:rPr>
        <w:t>万元，较上年同期下降</w:t>
      </w:r>
      <w:r w:rsidR="00A93FDC">
        <w:rPr>
          <w:rFonts w:ascii="Times New Roman" w:hAnsi="Times New Roman"/>
          <w:sz w:val="21"/>
          <w:szCs w:val="21"/>
        </w:rPr>
        <w:t>71.61</w:t>
      </w:r>
      <w:r w:rsidRPr="00BA13AD">
        <w:rPr>
          <w:rFonts w:ascii="Times New Roman" w:hAnsi="Times New Roman"/>
          <w:sz w:val="21"/>
          <w:szCs w:val="21"/>
        </w:rPr>
        <w:t>%</w:t>
      </w:r>
      <w:r>
        <w:rPr>
          <w:rFonts w:ascii="Times New Roman" w:hAnsi="Times New Roman" w:hint="eastAsia"/>
          <w:sz w:val="21"/>
          <w:szCs w:val="21"/>
        </w:rPr>
        <w:t>。</w:t>
      </w:r>
      <w:r w:rsidRPr="00BA13AD">
        <w:rPr>
          <w:rFonts w:ascii="Times New Roman" w:hAnsi="Times New Roman"/>
          <w:sz w:val="21"/>
          <w:szCs w:val="21"/>
        </w:rPr>
        <w:t>2025</w:t>
      </w:r>
      <w:r>
        <w:rPr>
          <w:rFonts w:ascii="Times New Roman" w:hAnsi="Times New Roman" w:hint="eastAsia"/>
          <w:sz w:val="21"/>
          <w:szCs w:val="21"/>
        </w:rPr>
        <w:t>年度公司归属于上市公司股东的净利润下降的主要原因为：（</w:t>
      </w:r>
      <w:r w:rsidRPr="00BA13AD">
        <w:rPr>
          <w:rFonts w:ascii="Times New Roman" w:hAnsi="Times New Roman"/>
          <w:sz w:val="21"/>
          <w:szCs w:val="21"/>
        </w:rPr>
        <w:t>1</w:t>
      </w:r>
      <w:r>
        <w:rPr>
          <w:rFonts w:ascii="Times New Roman" w:hAnsi="Times New Roman" w:hint="eastAsia"/>
          <w:sz w:val="21"/>
          <w:szCs w:val="21"/>
        </w:rPr>
        <w:t>）</w:t>
      </w:r>
      <w:r w:rsidR="00890321" w:rsidRPr="00890321">
        <w:rPr>
          <w:rFonts w:ascii="Times New Roman" w:hAnsi="Times New Roman" w:hint="eastAsia"/>
          <w:sz w:val="21"/>
          <w:szCs w:val="21"/>
        </w:rPr>
        <w:t>在产品结构需调整及外部环境不确定性等因素影响下，公司对</w:t>
      </w:r>
      <w:r w:rsidR="00890321" w:rsidRPr="00890321">
        <w:rPr>
          <w:rFonts w:ascii="Times New Roman" w:hAnsi="Times New Roman"/>
          <w:sz w:val="21"/>
          <w:szCs w:val="21"/>
        </w:rPr>
        <w:t>PTS</w:t>
      </w:r>
      <w:r w:rsidR="00890321" w:rsidRPr="00890321">
        <w:rPr>
          <w:rFonts w:ascii="Times New Roman" w:hAnsi="Times New Roman"/>
          <w:sz w:val="21"/>
          <w:szCs w:val="21"/>
        </w:rPr>
        <w:t>未来经营预期进行了审慎评估，并对对收购形成的商誉计提减值损失</w:t>
      </w:r>
      <w:r w:rsidR="00890321" w:rsidRPr="00890321">
        <w:rPr>
          <w:rFonts w:ascii="Times New Roman" w:hAnsi="Times New Roman"/>
          <w:sz w:val="21"/>
          <w:szCs w:val="21"/>
        </w:rPr>
        <w:t>14,455.64</w:t>
      </w:r>
      <w:r w:rsidR="00890321" w:rsidRPr="00890321">
        <w:rPr>
          <w:rFonts w:ascii="Times New Roman" w:hAnsi="Times New Roman"/>
          <w:sz w:val="21"/>
          <w:szCs w:val="21"/>
        </w:rPr>
        <w:t>万元，</w:t>
      </w:r>
      <w:r>
        <w:rPr>
          <w:rFonts w:ascii="Times New Roman" w:hAnsi="Times New Roman" w:hint="eastAsia"/>
          <w:sz w:val="21"/>
          <w:szCs w:val="21"/>
        </w:rPr>
        <w:t>对归属于上市公司股东的净利润影响为</w:t>
      </w:r>
      <w:r w:rsidRPr="00BA13AD">
        <w:rPr>
          <w:rFonts w:ascii="Times New Roman" w:hAnsi="Times New Roman"/>
          <w:sz w:val="21"/>
          <w:szCs w:val="21"/>
        </w:rPr>
        <w:t>14,455.64</w:t>
      </w:r>
      <w:r>
        <w:rPr>
          <w:rFonts w:ascii="Times New Roman" w:hAnsi="Times New Roman" w:hint="eastAsia"/>
          <w:sz w:val="21"/>
          <w:szCs w:val="21"/>
        </w:rPr>
        <w:t>万元；（</w:t>
      </w:r>
      <w:r w:rsidRPr="00BA13AD">
        <w:rPr>
          <w:rFonts w:ascii="Times New Roman" w:hAnsi="Times New Roman"/>
          <w:sz w:val="21"/>
          <w:szCs w:val="21"/>
        </w:rPr>
        <w:t>2</w:t>
      </w:r>
      <w:r>
        <w:rPr>
          <w:rFonts w:ascii="Times New Roman" w:hAnsi="Times New Roman" w:hint="eastAsia"/>
          <w:sz w:val="21"/>
          <w:szCs w:val="21"/>
        </w:rPr>
        <w:t>）子公司</w:t>
      </w:r>
      <w:r w:rsidRPr="00BA13AD">
        <w:rPr>
          <w:rFonts w:ascii="Times New Roman" w:hAnsi="Times New Roman"/>
          <w:sz w:val="21"/>
          <w:szCs w:val="21"/>
        </w:rPr>
        <w:t>Trividia</w:t>
      </w:r>
      <w:r>
        <w:rPr>
          <w:rFonts w:ascii="Times New Roman" w:hAnsi="Times New Roman" w:hint="eastAsia"/>
          <w:sz w:val="21"/>
          <w:szCs w:val="21"/>
        </w:rPr>
        <w:t>与</w:t>
      </w:r>
      <w:r w:rsidRPr="00BA13AD">
        <w:rPr>
          <w:rFonts w:ascii="Times New Roman" w:hAnsi="Times New Roman"/>
          <w:sz w:val="21"/>
          <w:szCs w:val="21"/>
        </w:rPr>
        <w:t>Roche Diabetes Care, Inc.</w:t>
      </w:r>
      <w:r>
        <w:rPr>
          <w:rFonts w:ascii="Times New Roman" w:hAnsi="Times New Roman" w:hint="eastAsia"/>
          <w:sz w:val="21"/>
          <w:szCs w:val="21"/>
        </w:rPr>
        <w:t>（以下简称罗氏）达成和解，并就</w:t>
      </w:r>
      <w:r w:rsidRPr="00BA13AD">
        <w:rPr>
          <w:rFonts w:ascii="Times New Roman" w:hAnsi="Times New Roman"/>
          <w:sz w:val="21"/>
          <w:szCs w:val="21"/>
        </w:rPr>
        <w:t>BGM</w:t>
      </w:r>
      <w:r>
        <w:rPr>
          <w:rFonts w:ascii="Times New Roman" w:hAnsi="Times New Roman" w:hint="eastAsia"/>
          <w:sz w:val="21"/>
          <w:szCs w:val="21"/>
        </w:rPr>
        <w:t>产品与罗氏签订了交叉专利许可和解协议，根据协议</w:t>
      </w:r>
      <w:r w:rsidRPr="00BA13AD">
        <w:rPr>
          <w:rFonts w:ascii="Times New Roman" w:hAnsi="Times New Roman"/>
          <w:sz w:val="21"/>
          <w:szCs w:val="21"/>
        </w:rPr>
        <w:t>Trividia</w:t>
      </w:r>
      <w:r>
        <w:rPr>
          <w:rFonts w:ascii="Times New Roman" w:hAnsi="Times New Roman" w:hint="eastAsia"/>
          <w:sz w:val="21"/>
          <w:szCs w:val="21"/>
        </w:rPr>
        <w:t>向罗氏净额支付交叉专利许可费用</w:t>
      </w:r>
      <w:r w:rsidRPr="00BA13AD">
        <w:rPr>
          <w:rFonts w:ascii="Times New Roman" w:hAnsi="Times New Roman"/>
          <w:sz w:val="21"/>
          <w:szCs w:val="21"/>
        </w:rPr>
        <w:t>1,900</w:t>
      </w:r>
      <w:r>
        <w:rPr>
          <w:rFonts w:ascii="Times New Roman" w:hAnsi="Times New Roman" w:hint="eastAsia"/>
          <w:sz w:val="21"/>
          <w:szCs w:val="21"/>
        </w:rPr>
        <w:t>万美元，对归属于上市公司股东的净利润影响为</w:t>
      </w:r>
      <w:r w:rsidRPr="00BA13AD">
        <w:rPr>
          <w:rFonts w:ascii="Times New Roman" w:hAnsi="Times New Roman"/>
          <w:sz w:val="21"/>
          <w:szCs w:val="21"/>
        </w:rPr>
        <w:t>7,</w:t>
      </w:r>
      <w:r w:rsidR="00CD5F95" w:rsidRPr="00BA13AD">
        <w:rPr>
          <w:rFonts w:ascii="Times New Roman" w:hAnsi="Times New Roman"/>
          <w:sz w:val="21"/>
          <w:szCs w:val="21"/>
        </w:rPr>
        <w:t>4</w:t>
      </w:r>
      <w:r w:rsidR="00CD5F95">
        <w:rPr>
          <w:rFonts w:ascii="Times New Roman" w:hAnsi="Times New Roman"/>
          <w:sz w:val="21"/>
          <w:szCs w:val="21"/>
        </w:rPr>
        <w:t>63</w:t>
      </w:r>
      <w:r w:rsidRPr="00BA13AD">
        <w:rPr>
          <w:rFonts w:ascii="Times New Roman" w:hAnsi="Times New Roman"/>
          <w:sz w:val="21"/>
          <w:szCs w:val="21"/>
        </w:rPr>
        <w:t>.</w:t>
      </w:r>
      <w:r w:rsidR="00CD5F95">
        <w:rPr>
          <w:rFonts w:ascii="Times New Roman" w:hAnsi="Times New Roman"/>
          <w:sz w:val="21"/>
          <w:szCs w:val="21"/>
        </w:rPr>
        <w:t>07</w:t>
      </w:r>
      <w:r>
        <w:rPr>
          <w:rFonts w:ascii="Times New Roman" w:hAnsi="Times New Roman" w:hint="eastAsia"/>
          <w:sz w:val="21"/>
          <w:szCs w:val="21"/>
        </w:rPr>
        <w:t>万元；（</w:t>
      </w:r>
      <w:r w:rsidRPr="00BA13AD">
        <w:rPr>
          <w:rFonts w:ascii="Times New Roman" w:hAnsi="Times New Roman"/>
          <w:sz w:val="21"/>
          <w:szCs w:val="21"/>
        </w:rPr>
        <w:t>3</w:t>
      </w:r>
      <w:r>
        <w:rPr>
          <w:rFonts w:ascii="Times New Roman" w:hAnsi="Times New Roman" w:hint="eastAsia"/>
          <w:sz w:val="21"/>
          <w:szCs w:val="21"/>
        </w:rPr>
        <w:t>）报告期内，子公司</w:t>
      </w:r>
      <w:r w:rsidRPr="00BA13AD">
        <w:rPr>
          <w:rFonts w:ascii="Times New Roman" w:hAnsi="Times New Roman"/>
          <w:sz w:val="21"/>
          <w:szCs w:val="21"/>
        </w:rPr>
        <w:t>Trividia</w:t>
      </w:r>
      <w:r>
        <w:rPr>
          <w:rFonts w:ascii="Times New Roman" w:hAnsi="Times New Roman" w:hint="eastAsia"/>
          <w:sz w:val="21"/>
          <w:szCs w:val="21"/>
        </w:rPr>
        <w:t>旗下</w:t>
      </w:r>
      <w:r w:rsidRPr="00BA13AD">
        <w:rPr>
          <w:rFonts w:ascii="Times New Roman" w:hAnsi="Times New Roman"/>
          <w:sz w:val="21"/>
          <w:szCs w:val="21"/>
        </w:rPr>
        <w:t>TRUE METRIX</w:t>
      </w:r>
      <w:r>
        <w:rPr>
          <w:rFonts w:ascii="Times New Roman" w:hAnsi="Times New Roman" w:hint="eastAsia"/>
          <w:sz w:val="21"/>
          <w:szCs w:val="21"/>
        </w:rPr>
        <w:t>系列血糖仪因使用说明书问题，预提成本</w:t>
      </w:r>
      <w:r w:rsidRPr="00BA13AD">
        <w:rPr>
          <w:rFonts w:ascii="Times New Roman" w:hAnsi="Times New Roman"/>
          <w:sz w:val="21"/>
          <w:szCs w:val="21"/>
        </w:rPr>
        <w:t>968.11</w:t>
      </w:r>
      <w:r>
        <w:rPr>
          <w:rFonts w:ascii="Times New Roman" w:hAnsi="Times New Roman" w:hint="eastAsia"/>
          <w:sz w:val="21"/>
          <w:szCs w:val="21"/>
        </w:rPr>
        <w:t>万美元（折合人民币</w:t>
      </w:r>
      <w:r w:rsidRPr="00BA13AD">
        <w:rPr>
          <w:rFonts w:ascii="Times New Roman" w:hAnsi="Times New Roman"/>
          <w:sz w:val="21"/>
          <w:szCs w:val="21"/>
        </w:rPr>
        <w:t>6,804.62</w:t>
      </w:r>
      <w:r>
        <w:rPr>
          <w:rFonts w:ascii="Times New Roman" w:hAnsi="Times New Roman" w:hint="eastAsia"/>
          <w:sz w:val="21"/>
          <w:szCs w:val="21"/>
        </w:rPr>
        <w:t>万元），对归属于上市公司股东的净利润影响为</w:t>
      </w:r>
      <w:r w:rsidRPr="00BA13AD">
        <w:rPr>
          <w:rFonts w:ascii="Times New Roman" w:hAnsi="Times New Roman"/>
          <w:sz w:val="21"/>
          <w:szCs w:val="21"/>
        </w:rPr>
        <w:t>3,</w:t>
      </w:r>
      <w:r w:rsidR="00CD5F95" w:rsidRPr="00BA13AD">
        <w:rPr>
          <w:rFonts w:ascii="Times New Roman" w:hAnsi="Times New Roman"/>
          <w:sz w:val="21"/>
          <w:szCs w:val="21"/>
        </w:rPr>
        <w:t>74</w:t>
      </w:r>
      <w:r w:rsidR="00CD5F95">
        <w:rPr>
          <w:rFonts w:ascii="Times New Roman" w:hAnsi="Times New Roman"/>
          <w:sz w:val="21"/>
          <w:szCs w:val="21"/>
        </w:rPr>
        <w:t>2</w:t>
      </w:r>
      <w:r w:rsidRPr="00BA13AD">
        <w:rPr>
          <w:rFonts w:ascii="Times New Roman" w:hAnsi="Times New Roman"/>
          <w:sz w:val="21"/>
          <w:szCs w:val="21"/>
        </w:rPr>
        <w:t>.</w:t>
      </w:r>
      <w:r w:rsidR="00CD5F95">
        <w:rPr>
          <w:rFonts w:ascii="Times New Roman" w:hAnsi="Times New Roman"/>
          <w:sz w:val="21"/>
          <w:szCs w:val="21"/>
        </w:rPr>
        <w:t>54</w:t>
      </w:r>
      <w:r>
        <w:rPr>
          <w:rFonts w:ascii="Times New Roman" w:hAnsi="Times New Roman" w:hint="eastAsia"/>
          <w:sz w:val="21"/>
          <w:szCs w:val="21"/>
        </w:rPr>
        <w:t>万元。</w:t>
      </w:r>
    </w:p>
    <w:p w14:paraId="3182E0A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报告期内，公司围绕年度目标开展的重点工作如下：</w:t>
      </w:r>
    </w:p>
    <w:p w14:paraId="74FF703D"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1</w:t>
      </w:r>
      <w:r>
        <w:rPr>
          <w:rStyle w:val="aa"/>
          <w:rFonts w:ascii="Times New Roman" w:hAnsi="Times New Roman" w:hint="eastAsia"/>
          <w:sz w:val="21"/>
          <w:szCs w:val="21"/>
        </w:rPr>
        <w:t>、植根中国，走向世界</w:t>
      </w:r>
    </w:p>
    <w:p w14:paraId="21FDAADC"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1</w:t>
      </w:r>
      <w:r>
        <w:rPr>
          <w:rFonts w:ascii="Times New Roman" w:hAnsi="Times New Roman" w:hint="eastAsia"/>
          <w:sz w:val="21"/>
          <w:szCs w:val="21"/>
        </w:rPr>
        <w:t>）零售市场</w:t>
      </w:r>
    </w:p>
    <w:p w14:paraId="4300734B"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公司以全渠道融合为核心策略，制定差异化传播方案，充分结合各大平台的媒介特性及核心用户特征提供个性化内容传播，实现线上线下资源高效协同。线上业务，公司已覆盖超</w:t>
      </w:r>
      <w:r w:rsidRPr="00BA13AD">
        <w:rPr>
          <w:rFonts w:ascii="Times New Roman" w:hAnsi="Times New Roman"/>
          <w:sz w:val="21"/>
          <w:szCs w:val="21"/>
        </w:rPr>
        <w:t>20</w:t>
      </w:r>
      <w:r>
        <w:rPr>
          <w:rFonts w:ascii="Times New Roman" w:hAnsi="Times New Roman" w:hint="eastAsia"/>
          <w:sz w:val="21"/>
          <w:szCs w:val="21"/>
        </w:rPr>
        <w:t>家主流电商平台，通过直播等形式扩大血糖类目优势；线下联动超</w:t>
      </w:r>
      <w:r w:rsidRPr="00BA13AD">
        <w:rPr>
          <w:rFonts w:ascii="Times New Roman" w:hAnsi="Times New Roman"/>
          <w:sz w:val="21"/>
          <w:szCs w:val="21"/>
        </w:rPr>
        <w:t>4,5000</w:t>
      </w:r>
      <w:r>
        <w:rPr>
          <w:rFonts w:ascii="Times New Roman" w:hAnsi="Times New Roman" w:hint="eastAsia"/>
          <w:sz w:val="21"/>
          <w:szCs w:val="21"/>
        </w:rPr>
        <w:t>家经销商、</w:t>
      </w:r>
      <w:r w:rsidRPr="00BA13AD">
        <w:rPr>
          <w:rFonts w:ascii="Times New Roman" w:hAnsi="Times New Roman"/>
          <w:sz w:val="21"/>
          <w:szCs w:val="21"/>
        </w:rPr>
        <w:t>600</w:t>
      </w:r>
      <w:r>
        <w:rPr>
          <w:rFonts w:ascii="Times New Roman" w:hAnsi="Times New Roman" w:hint="eastAsia"/>
          <w:sz w:val="21"/>
          <w:szCs w:val="21"/>
        </w:rPr>
        <w:t>余家连锁药房，在全国范围内携手</w:t>
      </w:r>
      <w:r w:rsidRPr="00BA13AD">
        <w:rPr>
          <w:rFonts w:ascii="Times New Roman" w:hAnsi="Times New Roman"/>
          <w:sz w:val="21"/>
          <w:szCs w:val="21"/>
        </w:rPr>
        <w:t>351</w:t>
      </w:r>
      <w:r>
        <w:rPr>
          <w:rFonts w:ascii="Times New Roman" w:hAnsi="Times New Roman" w:hint="eastAsia"/>
          <w:sz w:val="21"/>
          <w:szCs w:val="21"/>
        </w:rPr>
        <w:t>家品牌连锁药店设立慢病咨询体验区。报告期内，公司持续打造“三诺讲糖”用户教育</w:t>
      </w:r>
      <w:r w:rsidRPr="00BA13AD">
        <w:rPr>
          <w:rFonts w:ascii="Times New Roman" w:hAnsi="Times New Roman"/>
          <w:sz w:val="21"/>
          <w:szCs w:val="21"/>
        </w:rPr>
        <w:t>IP</w:t>
      </w:r>
      <w:r>
        <w:rPr>
          <w:rFonts w:ascii="Times New Roman" w:hAnsi="Times New Roman" w:hint="eastAsia"/>
          <w:sz w:val="21"/>
          <w:szCs w:val="21"/>
        </w:rPr>
        <w:t>，通过糖尿病专科门诊、慢病管理门店、线上直播、小程序、社群等多渠道，以生动、易懂的视频和图文内容，发布涵盖糖尿病、尿酸、高血压、高血脂等慢性疾病的学术科普内容，包括医学指南共识的解读、医学研究前沿的分享以及相关产品的医学角度推广等，目前“三诺讲糖”</w:t>
      </w:r>
      <w:r w:rsidRPr="00BA13AD">
        <w:rPr>
          <w:rFonts w:ascii="Times New Roman" w:hAnsi="Times New Roman"/>
          <w:sz w:val="21"/>
          <w:szCs w:val="21"/>
        </w:rPr>
        <w:t>IP</w:t>
      </w:r>
      <w:r>
        <w:rPr>
          <w:rFonts w:ascii="Times New Roman" w:hAnsi="Times New Roman" w:hint="eastAsia"/>
          <w:sz w:val="21"/>
          <w:szCs w:val="21"/>
        </w:rPr>
        <w:t>全网粉丝超</w:t>
      </w:r>
      <w:r w:rsidRPr="00BA13AD">
        <w:rPr>
          <w:rFonts w:ascii="Times New Roman" w:hAnsi="Times New Roman"/>
          <w:sz w:val="21"/>
          <w:szCs w:val="21"/>
        </w:rPr>
        <w:t>130</w:t>
      </w:r>
      <w:r>
        <w:rPr>
          <w:rFonts w:ascii="Times New Roman" w:hAnsi="Times New Roman" w:hint="eastAsia"/>
          <w:sz w:val="21"/>
          <w:szCs w:val="21"/>
        </w:rPr>
        <w:t>万，为用户带来多元化、全方位的健康教育体验。公司聚焦国民健康需求，重点围绕血糖、尿酸知识普及、用户发现、患者教育、患者关怀等方向，组织形式多样的线上线下活动。三诺健康糖尿病门诊全年开展义诊</w:t>
      </w:r>
      <w:r w:rsidRPr="00BA13AD">
        <w:rPr>
          <w:rFonts w:ascii="Times New Roman" w:hAnsi="Times New Roman"/>
          <w:sz w:val="21"/>
          <w:szCs w:val="21"/>
        </w:rPr>
        <w:t>40</w:t>
      </w:r>
      <w:r>
        <w:rPr>
          <w:rFonts w:ascii="Times New Roman" w:hAnsi="Times New Roman" w:hint="eastAsia"/>
          <w:sz w:val="21"/>
          <w:szCs w:val="21"/>
        </w:rPr>
        <w:t>余场、科普活动</w:t>
      </w:r>
      <w:r w:rsidRPr="00BA13AD">
        <w:rPr>
          <w:rFonts w:ascii="Times New Roman" w:hAnsi="Times New Roman"/>
          <w:sz w:val="21"/>
          <w:szCs w:val="21"/>
        </w:rPr>
        <w:t>20</w:t>
      </w:r>
      <w:r>
        <w:rPr>
          <w:rFonts w:ascii="Times New Roman" w:hAnsi="Times New Roman" w:hint="eastAsia"/>
          <w:sz w:val="21"/>
          <w:szCs w:val="21"/>
        </w:rPr>
        <w:t>余场，联动零售终端开展近</w:t>
      </w:r>
      <w:r w:rsidRPr="00BA13AD">
        <w:rPr>
          <w:rFonts w:ascii="Times New Roman" w:hAnsi="Times New Roman"/>
          <w:sz w:val="21"/>
          <w:szCs w:val="21"/>
        </w:rPr>
        <w:t>2,000</w:t>
      </w:r>
      <w:r>
        <w:rPr>
          <w:rFonts w:ascii="Times New Roman" w:hAnsi="Times New Roman" w:hint="eastAsia"/>
          <w:sz w:val="21"/>
          <w:szCs w:val="21"/>
        </w:rPr>
        <w:t>场患教活动。“</w:t>
      </w:r>
      <w:r w:rsidRPr="00BA13AD">
        <w:rPr>
          <w:rFonts w:ascii="Times New Roman" w:hAnsi="Times New Roman"/>
          <w:sz w:val="21"/>
          <w:szCs w:val="21"/>
        </w:rPr>
        <w:t>420</w:t>
      </w:r>
      <w:r>
        <w:rPr>
          <w:rFonts w:ascii="Times New Roman" w:hAnsi="Times New Roman" w:hint="eastAsia"/>
          <w:sz w:val="21"/>
          <w:szCs w:val="21"/>
        </w:rPr>
        <w:t>痛风日”活动期间，公司联合医药行业头部资源，深入药房、社区、医院、企业园区等精准人群场景，开展</w:t>
      </w:r>
      <w:r w:rsidRPr="00BA13AD">
        <w:rPr>
          <w:rFonts w:ascii="Times New Roman" w:hAnsi="Times New Roman"/>
          <w:sz w:val="21"/>
          <w:szCs w:val="21"/>
        </w:rPr>
        <w:t>239</w:t>
      </w:r>
      <w:r>
        <w:rPr>
          <w:rFonts w:ascii="Times New Roman" w:hAnsi="Times New Roman" w:hint="eastAsia"/>
          <w:sz w:val="21"/>
          <w:szCs w:val="21"/>
        </w:rPr>
        <w:t>场“血糖</w:t>
      </w:r>
      <w:r w:rsidRPr="00BA13AD">
        <w:rPr>
          <w:rFonts w:ascii="Times New Roman" w:hAnsi="Times New Roman"/>
          <w:sz w:val="21"/>
          <w:szCs w:val="21"/>
        </w:rPr>
        <w:t>+</w:t>
      </w:r>
      <w:r>
        <w:rPr>
          <w:rFonts w:ascii="Times New Roman" w:hAnsi="Times New Roman" w:hint="eastAsia"/>
          <w:sz w:val="21"/>
          <w:szCs w:val="21"/>
        </w:rPr>
        <w:t>血压</w:t>
      </w:r>
      <w:r w:rsidRPr="00BA13AD">
        <w:rPr>
          <w:rFonts w:ascii="Times New Roman" w:hAnsi="Times New Roman"/>
          <w:sz w:val="21"/>
          <w:szCs w:val="21"/>
        </w:rPr>
        <w:t>+</w:t>
      </w:r>
      <w:r>
        <w:rPr>
          <w:rFonts w:ascii="Times New Roman" w:hAnsi="Times New Roman" w:hint="eastAsia"/>
          <w:sz w:val="21"/>
          <w:szCs w:val="21"/>
        </w:rPr>
        <w:t>尿酸”公益检测，专家问诊和驻场药师一对一解读报告，定制饮食运动方案，同步线上开展主题科普直播并特邀专家在线答疑，以“公益免测</w:t>
      </w:r>
      <w:r w:rsidRPr="00BA13AD">
        <w:rPr>
          <w:rFonts w:ascii="Times New Roman" w:hAnsi="Times New Roman"/>
          <w:sz w:val="21"/>
          <w:szCs w:val="21"/>
        </w:rPr>
        <w:t>+</w:t>
      </w:r>
      <w:r>
        <w:rPr>
          <w:rFonts w:ascii="Times New Roman" w:hAnsi="Times New Roman" w:hint="eastAsia"/>
          <w:sz w:val="21"/>
          <w:szCs w:val="21"/>
        </w:rPr>
        <w:t>专家科普</w:t>
      </w:r>
      <w:r w:rsidRPr="00BA13AD">
        <w:rPr>
          <w:rFonts w:ascii="Times New Roman" w:hAnsi="Times New Roman"/>
          <w:sz w:val="21"/>
          <w:szCs w:val="21"/>
        </w:rPr>
        <w:t>+</w:t>
      </w:r>
      <w:r>
        <w:rPr>
          <w:rFonts w:ascii="Times New Roman" w:hAnsi="Times New Roman" w:hint="eastAsia"/>
          <w:sz w:val="21"/>
          <w:szCs w:val="21"/>
        </w:rPr>
        <w:t>线上直播”的创新模式实现健康服务下沉，全面构建“检测</w:t>
      </w:r>
      <w:r w:rsidRPr="00BA13AD">
        <w:rPr>
          <w:rFonts w:ascii="Times New Roman" w:hAnsi="Times New Roman"/>
          <w:sz w:val="21"/>
          <w:szCs w:val="21"/>
        </w:rPr>
        <w:t>+</w:t>
      </w:r>
      <w:r>
        <w:rPr>
          <w:rFonts w:ascii="Times New Roman" w:hAnsi="Times New Roman" w:hint="eastAsia"/>
          <w:sz w:val="21"/>
          <w:szCs w:val="21"/>
        </w:rPr>
        <w:t>干预</w:t>
      </w:r>
      <w:r w:rsidRPr="00BA13AD">
        <w:rPr>
          <w:rFonts w:ascii="Times New Roman" w:hAnsi="Times New Roman"/>
          <w:sz w:val="21"/>
          <w:szCs w:val="21"/>
        </w:rPr>
        <w:t>+</w:t>
      </w:r>
      <w:r>
        <w:rPr>
          <w:rFonts w:ascii="Times New Roman" w:hAnsi="Times New Roman" w:hint="eastAsia"/>
          <w:sz w:val="21"/>
          <w:szCs w:val="21"/>
        </w:rPr>
        <w:t>管理”慢病一体化防控网络。</w:t>
      </w:r>
    </w:p>
    <w:p w14:paraId="2FDAD3DF"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2</w:t>
      </w:r>
      <w:r>
        <w:rPr>
          <w:rFonts w:ascii="Times New Roman" w:hAnsi="Times New Roman" w:hint="eastAsia"/>
          <w:sz w:val="21"/>
          <w:szCs w:val="21"/>
        </w:rPr>
        <w:t>）临床市场</w:t>
      </w:r>
    </w:p>
    <w:p w14:paraId="5EB81344"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针对多地血糖试纸等耗材集中带量采购政策，公司一方面依托高效生产体系，保障中选产品稳定供应，满足集采后医院需求增长；另一方面依托与医院的深度合作，深入了解集采政策对医院采购、成本控制及临床偏好的影响，为产品研发和服务优化提供依据。</w:t>
      </w:r>
    </w:p>
    <w:p w14:paraId="374C6A6D"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截至报告期末，公司产品合作</w:t>
      </w:r>
      <w:r w:rsidRPr="00BA13AD">
        <w:rPr>
          <w:rFonts w:ascii="Times New Roman" w:hAnsi="Times New Roman"/>
          <w:sz w:val="21"/>
          <w:szCs w:val="21"/>
        </w:rPr>
        <w:t>4,000</w:t>
      </w:r>
      <w:r>
        <w:rPr>
          <w:rFonts w:ascii="Times New Roman" w:hAnsi="Times New Roman" w:hint="eastAsia"/>
          <w:sz w:val="21"/>
          <w:szCs w:val="21"/>
        </w:rPr>
        <w:t>家等级医院，为</w:t>
      </w:r>
      <w:r w:rsidRPr="00BA13AD">
        <w:rPr>
          <w:rFonts w:ascii="Times New Roman" w:hAnsi="Times New Roman"/>
          <w:sz w:val="21"/>
          <w:szCs w:val="21"/>
        </w:rPr>
        <w:t>1,900</w:t>
      </w:r>
      <w:r>
        <w:rPr>
          <w:rFonts w:ascii="Times New Roman" w:hAnsi="Times New Roman" w:hint="eastAsia"/>
          <w:sz w:val="21"/>
          <w:szCs w:val="21"/>
        </w:rPr>
        <w:t>多家等级医院提供糖尿病管理主动会诊系统（糖尿病管理系统软件）。该系统通过数智化手段赋能医务人员，提升血糖测试效率、减轻工作负担，具备危急值提示、多场景覆盖等功能，推动医疗服务模式从“被动治疗”向“主动健康管理”转型。报告期内，公司发起市场走访活动，收集一线用户反馈，拓展与各级医疗机构的合作，推进医联体发展，搭建区域医联体慢病健康管理平台，建立县、乡、村三级“上下协同、分级管理”的医联体慢病健康管理模式，以提高区域慢性病综合防治水平。同时借助信息化技术实现各医疗机构之间、医院与居家场景下的互联互通，打造院内外一体化慢性病的整体解决方案。</w:t>
      </w:r>
    </w:p>
    <w:p w14:paraId="159D14B9"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3</w:t>
      </w:r>
      <w:r>
        <w:rPr>
          <w:rFonts w:ascii="Times New Roman" w:hAnsi="Times New Roman" w:hint="eastAsia"/>
          <w:sz w:val="21"/>
          <w:szCs w:val="21"/>
        </w:rPr>
        <w:t>）基层医疗</w:t>
      </w:r>
    </w:p>
    <w:p w14:paraId="35EAF3E9"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随着我国分级诊疗制度的逐渐完善，公司不断向基层医疗机构拓展</w:t>
      </w:r>
      <w:r w:rsidRPr="00BA13AD">
        <w:rPr>
          <w:rFonts w:ascii="Times New Roman" w:hAnsi="Times New Roman"/>
          <w:sz w:val="21"/>
          <w:szCs w:val="21"/>
        </w:rPr>
        <w:t>iPOCT</w:t>
      </w:r>
      <w:r>
        <w:rPr>
          <w:rFonts w:ascii="Times New Roman" w:hAnsi="Times New Roman" w:hint="eastAsia"/>
          <w:sz w:val="21"/>
          <w:szCs w:val="21"/>
        </w:rPr>
        <w:t>业务，通过业务创新、技术赋能与渠道拓展，构建了覆盖广泛、服务多元的基层医疗服务体系。公司“分钟诊所”产品以其“微量采血、快速出结果”的特点，帮助医护人员即时完成血糖、血脂、尿酸等十余项慢病核心指标筛查，有效帮助基层提高疾病诊断效率和服务能力，同时通过深度融入人工智能技术，实现检测前的风险初筛、检测结果的智能解读，并可基于个体数据生成个性化的饮食运动建议，智能随访提醒及慢病问答服务，产品已进入全国</w:t>
      </w:r>
      <w:r w:rsidRPr="00BA13AD">
        <w:rPr>
          <w:rFonts w:ascii="Times New Roman" w:hAnsi="Times New Roman"/>
          <w:sz w:val="21"/>
          <w:szCs w:val="21"/>
        </w:rPr>
        <w:t>2,200</w:t>
      </w:r>
      <w:r>
        <w:rPr>
          <w:rFonts w:ascii="Times New Roman" w:hAnsi="Times New Roman" w:hint="eastAsia"/>
          <w:sz w:val="21"/>
          <w:szCs w:val="21"/>
        </w:rPr>
        <w:t>多个基层医疗点。公司</w:t>
      </w:r>
      <w:r w:rsidRPr="00BA13AD">
        <w:rPr>
          <w:rFonts w:ascii="Times New Roman" w:hAnsi="Times New Roman"/>
          <w:sz w:val="21"/>
          <w:szCs w:val="21"/>
        </w:rPr>
        <w:t>iCARE</w:t>
      </w:r>
      <w:r>
        <w:rPr>
          <w:rFonts w:ascii="Times New Roman" w:hAnsi="Times New Roman" w:hint="eastAsia"/>
          <w:sz w:val="21"/>
          <w:szCs w:val="21"/>
        </w:rPr>
        <w:t>系列产品，集成血常规、生化、糖化、凝血等八大平台，实现数智化精准诊疗，全面覆盖基层常见病慢性病的检测需求，提升基层医疗机构诊疗能力。为加速渗透基层市场，公司着力布局县市级代理商渠道，以实现对基层终端网点的快速覆盖。服务保障方面，创新采用先进的医疗</w:t>
      </w:r>
      <w:r w:rsidRPr="00BA13AD">
        <w:rPr>
          <w:rFonts w:ascii="Times New Roman" w:hAnsi="Times New Roman"/>
          <w:sz w:val="21"/>
          <w:szCs w:val="21"/>
        </w:rPr>
        <w:t>5G</w:t>
      </w:r>
      <w:r>
        <w:rPr>
          <w:rFonts w:ascii="Times New Roman" w:hAnsi="Times New Roman" w:hint="eastAsia"/>
          <w:sz w:val="21"/>
          <w:szCs w:val="21"/>
        </w:rPr>
        <w:t>技术和成熟的互联网远程质控手段，快速响应基层医疗机构技术支持和售后服务需求。在基层糖尿病数字化管理上持续发力，将先进的诊疗技术与</w:t>
      </w:r>
      <w:r w:rsidRPr="00BA13AD">
        <w:rPr>
          <w:rFonts w:ascii="Times New Roman" w:hAnsi="Times New Roman"/>
          <w:sz w:val="21"/>
          <w:szCs w:val="21"/>
        </w:rPr>
        <w:t>5G</w:t>
      </w:r>
      <w:r>
        <w:rPr>
          <w:rFonts w:ascii="Times New Roman" w:hAnsi="Times New Roman" w:hint="eastAsia"/>
          <w:sz w:val="21"/>
          <w:szCs w:val="21"/>
        </w:rPr>
        <w:t>技术、互联网、物联网、大数据等前沿技术相结合，着力在县、乡、村层级推行以“精准质控、精细管理、精益护理”为核心的“三精行动”，以实现“全人群覆盖、全病程管理、全因素分析”的糖尿病标准化防控。</w:t>
      </w:r>
    </w:p>
    <w:p w14:paraId="7A61EC45"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4</w:t>
      </w:r>
      <w:r>
        <w:rPr>
          <w:rFonts w:ascii="Times New Roman" w:hAnsi="Times New Roman" w:hint="eastAsia"/>
          <w:sz w:val="21"/>
          <w:szCs w:val="21"/>
        </w:rPr>
        <w:t>）国际市场</w:t>
      </w:r>
    </w:p>
    <w:p w14:paraId="78C8ADD0"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公司围绕全球化战略，以“</w:t>
      </w:r>
      <w:r w:rsidRPr="00BA13AD">
        <w:rPr>
          <w:rFonts w:ascii="Times New Roman" w:hAnsi="Times New Roman"/>
          <w:sz w:val="21"/>
          <w:szCs w:val="21"/>
        </w:rPr>
        <w:t xml:space="preserve">One Sinocare </w:t>
      </w:r>
      <w:r>
        <w:rPr>
          <w:rFonts w:ascii="Times New Roman" w:hAnsi="Times New Roman" w:hint="eastAsia"/>
          <w:sz w:val="21"/>
          <w:szCs w:val="21"/>
        </w:rPr>
        <w:t>同一个三诺”为共识，通过差异化协同、区域深耕与渠道创新，构建了多维度的国际市场业务体系。公司开拓全球新兴市场、深化精耕模式，陆续在越南、菲律宾、印度尼西亚、印度和泰国成立分子公司，组建本地化团队，推进重点国家本地化运营战略，为当地医护人员和糖尿病患者提供精准、稳定、高性价比的检测类产品以及高效的售前售后服务。报告期内，公司积极参与第二届亚洲糖尿病管理创新疗法大会（</w:t>
      </w:r>
      <w:r w:rsidRPr="00BA13AD">
        <w:rPr>
          <w:rFonts w:ascii="Times New Roman" w:hAnsi="Times New Roman"/>
          <w:sz w:val="21"/>
          <w:szCs w:val="21"/>
        </w:rPr>
        <w:t>ATTD-ASIA 2025</w:t>
      </w:r>
      <w:r>
        <w:rPr>
          <w:rFonts w:ascii="Times New Roman" w:hAnsi="Times New Roman" w:hint="eastAsia"/>
          <w:sz w:val="21"/>
          <w:szCs w:val="21"/>
        </w:rPr>
        <w:t>）、第</w:t>
      </w:r>
      <w:r w:rsidRPr="00BA13AD">
        <w:rPr>
          <w:rFonts w:ascii="Times New Roman" w:hAnsi="Times New Roman"/>
          <w:sz w:val="21"/>
          <w:szCs w:val="21"/>
        </w:rPr>
        <w:t>57</w:t>
      </w:r>
      <w:r>
        <w:rPr>
          <w:rFonts w:ascii="Times New Roman" w:hAnsi="Times New Roman" w:hint="eastAsia"/>
          <w:sz w:val="21"/>
          <w:szCs w:val="21"/>
        </w:rPr>
        <w:t>届世界医疗论坛国际展览会（</w:t>
      </w:r>
      <w:r w:rsidRPr="00BA13AD">
        <w:rPr>
          <w:rFonts w:ascii="Times New Roman" w:hAnsi="Times New Roman"/>
          <w:sz w:val="21"/>
          <w:szCs w:val="21"/>
        </w:rPr>
        <w:t>MEDICA 2025</w:t>
      </w:r>
      <w:r>
        <w:rPr>
          <w:rFonts w:ascii="Times New Roman" w:hAnsi="Times New Roman" w:hint="eastAsia"/>
          <w:sz w:val="21"/>
          <w:szCs w:val="21"/>
        </w:rPr>
        <w:t>）、第</w:t>
      </w:r>
      <w:r w:rsidRPr="00BA13AD">
        <w:rPr>
          <w:rFonts w:ascii="Times New Roman" w:hAnsi="Times New Roman"/>
          <w:sz w:val="21"/>
          <w:szCs w:val="21"/>
        </w:rPr>
        <w:t>61</w:t>
      </w:r>
      <w:r>
        <w:rPr>
          <w:rFonts w:ascii="Times New Roman" w:hAnsi="Times New Roman" w:hint="eastAsia"/>
          <w:sz w:val="21"/>
          <w:szCs w:val="21"/>
        </w:rPr>
        <w:t>届欧洲糖尿病研究协会年会（</w:t>
      </w:r>
      <w:r w:rsidRPr="00BA13AD">
        <w:rPr>
          <w:rFonts w:ascii="Times New Roman" w:hAnsi="Times New Roman"/>
          <w:sz w:val="21"/>
          <w:szCs w:val="21"/>
        </w:rPr>
        <w:t>2025 EASD</w:t>
      </w:r>
      <w:r>
        <w:rPr>
          <w:rFonts w:ascii="Times New Roman" w:hAnsi="Times New Roman" w:hint="eastAsia"/>
          <w:sz w:val="21"/>
          <w:szCs w:val="21"/>
        </w:rPr>
        <w:t>）、</w:t>
      </w:r>
      <w:r w:rsidRPr="00BA13AD">
        <w:rPr>
          <w:rFonts w:ascii="Times New Roman" w:hAnsi="Times New Roman"/>
          <w:sz w:val="21"/>
          <w:szCs w:val="21"/>
        </w:rPr>
        <w:t>2025</w:t>
      </w:r>
      <w:r>
        <w:rPr>
          <w:rFonts w:ascii="Times New Roman" w:hAnsi="Times New Roman" w:hint="eastAsia"/>
          <w:sz w:val="21"/>
          <w:szCs w:val="21"/>
        </w:rPr>
        <w:t>年第</w:t>
      </w:r>
      <w:r w:rsidRPr="00BA13AD">
        <w:rPr>
          <w:rFonts w:ascii="Times New Roman" w:hAnsi="Times New Roman"/>
          <w:sz w:val="21"/>
          <w:szCs w:val="21"/>
        </w:rPr>
        <w:t>50</w:t>
      </w:r>
      <w:r>
        <w:rPr>
          <w:rFonts w:ascii="Times New Roman" w:hAnsi="Times New Roman" w:hint="eastAsia"/>
          <w:sz w:val="21"/>
          <w:szCs w:val="21"/>
        </w:rPr>
        <w:t>届阿拉伯国际医疗设备展（</w:t>
      </w:r>
      <w:r w:rsidRPr="00BA13AD">
        <w:rPr>
          <w:rFonts w:ascii="Times New Roman" w:hAnsi="Times New Roman"/>
          <w:sz w:val="21"/>
          <w:szCs w:val="21"/>
        </w:rPr>
        <w:t>Arab Health</w:t>
      </w:r>
      <w:r>
        <w:rPr>
          <w:rFonts w:ascii="Times New Roman" w:hAnsi="Times New Roman" w:hint="eastAsia"/>
          <w:sz w:val="21"/>
          <w:szCs w:val="21"/>
        </w:rPr>
        <w:t>）、迪拜国际实验室设备展（</w:t>
      </w:r>
      <w:r w:rsidRPr="00BA13AD">
        <w:rPr>
          <w:rFonts w:ascii="Times New Roman" w:hAnsi="Times New Roman"/>
          <w:sz w:val="21"/>
          <w:szCs w:val="21"/>
        </w:rPr>
        <w:t>Medlab Middle East</w:t>
      </w:r>
      <w:r>
        <w:rPr>
          <w:rFonts w:ascii="Times New Roman" w:hAnsi="Times New Roman" w:hint="eastAsia"/>
          <w:sz w:val="21"/>
          <w:szCs w:val="21"/>
        </w:rPr>
        <w:t>）等国际展会，借助这些平台展示公司的产品与实力，有效提升了公司的品牌国际影响力。跨境电商方面，公司已拥有德语、法语、西班牙语等欧洲小语种独立自建网站，同时在</w:t>
      </w:r>
      <w:r w:rsidRPr="00BA13AD">
        <w:rPr>
          <w:rFonts w:ascii="Times New Roman" w:hAnsi="Times New Roman"/>
          <w:sz w:val="21"/>
          <w:szCs w:val="21"/>
        </w:rPr>
        <w:t>eBay</w:t>
      </w:r>
      <w:r>
        <w:rPr>
          <w:rFonts w:ascii="Times New Roman" w:hAnsi="Times New Roman" w:hint="eastAsia"/>
          <w:sz w:val="21"/>
          <w:szCs w:val="21"/>
        </w:rPr>
        <w:t>、</w:t>
      </w:r>
      <w:r w:rsidRPr="00BA13AD">
        <w:rPr>
          <w:rFonts w:ascii="Times New Roman" w:hAnsi="Times New Roman"/>
          <w:sz w:val="21"/>
          <w:szCs w:val="21"/>
        </w:rPr>
        <w:t>Amazon</w:t>
      </w:r>
      <w:r>
        <w:rPr>
          <w:rFonts w:ascii="Times New Roman" w:hAnsi="Times New Roman" w:hint="eastAsia"/>
          <w:sz w:val="21"/>
          <w:szCs w:val="21"/>
        </w:rPr>
        <w:t>、</w:t>
      </w:r>
      <w:r w:rsidRPr="00BA13AD">
        <w:rPr>
          <w:rFonts w:ascii="Times New Roman" w:hAnsi="Times New Roman"/>
          <w:sz w:val="21"/>
          <w:szCs w:val="21"/>
        </w:rPr>
        <w:t>AliExpress</w:t>
      </w:r>
      <w:r>
        <w:rPr>
          <w:rFonts w:ascii="Times New Roman" w:hAnsi="Times New Roman" w:hint="eastAsia"/>
          <w:sz w:val="21"/>
          <w:szCs w:val="21"/>
        </w:rPr>
        <w:t>、</w:t>
      </w:r>
      <w:r w:rsidRPr="00BA13AD">
        <w:rPr>
          <w:rFonts w:ascii="Times New Roman" w:hAnsi="Times New Roman"/>
          <w:sz w:val="21"/>
          <w:szCs w:val="21"/>
        </w:rPr>
        <w:t>Shopee</w:t>
      </w:r>
      <w:r>
        <w:rPr>
          <w:rFonts w:ascii="Times New Roman" w:hAnsi="Times New Roman" w:hint="eastAsia"/>
          <w:sz w:val="21"/>
          <w:szCs w:val="21"/>
        </w:rPr>
        <w:t>、</w:t>
      </w:r>
      <w:r w:rsidRPr="00BA13AD">
        <w:rPr>
          <w:rFonts w:ascii="Times New Roman" w:hAnsi="Times New Roman"/>
          <w:sz w:val="21"/>
          <w:szCs w:val="21"/>
        </w:rPr>
        <w:t>Lazada</w:t>
      </w:r>
      <w:r>
        <w:rPr>
          <w:rFonts w:ascii="Times New Roman" w:hAnsi="Times New Roman" w:hint="eastAsia"/>
          <w:sz w:val="21"/>
          <w:szCs w:val="21"/>
        </w:rPr>
        <w:t>、</w:t>
      </w:r>
      <w:r w:rsidRPr="00BA13AD">
        <w:rPr>
          <w:rFonts w:ascii="Times New Roman" w:hAnsi="Times New Roman"/>
          <w:sz w:val="21"/>
          <w:szCs w:val="21"/>
        </w:rPr>
        <w:t>Cdiscount</w:t>
      </w:r>
      <w:r>
        <w:rPr>
          <w:rFonts w:ascii="Times New Roman" w:hAnsi="Times New Roman" w:hint="eastAsia"/>
          <w:sz w:val="21"/>
          <w:szCs w:val="21"/>
        </w:rPr>
        <w:t>、</w:t>
      </w:r>
      <w:r w:rsidRPr="00BA13AD">
        <w:rPr>
          <w:rFonts w:ascii="Times New Roman" w:hAnsi="Times New Roman"/>
          <w:sz w:val="21"/>
          <w:szCs w:val="21"/>
        </w:rPr>
        <w:t>Jumia</w:t>
      </w:r>
      <w:r>
        <w:rPr>
          <w:rFonts w:ascii="Times New Roman" w:hAnsi="Times New Roman" w:hint="eastAsia"/>
          <w:sz w:val="21"/>
          <w:szCs w:val="21"/>
        </w:rPr>
        <w:t>、</w:t>
      </w:r>
      <w:r w:rsidRPr="00BA13AD">
        <w:rPr>
          <w:rFonts w:ascii="Times New Roman" w:hAnsi="Times New Roman"/>
          <w:sz w:val="21"/>
          <w:szCs w:val="21"/>
        </w:rPr>
        <w:t>Joom</w:t>
      </w:r>
      <w:r>
        <w:rPr>
          <w:rFonts w:ascii="Times New Roman" w:hAnsi="Times New Roman" w:hint="eastAsia"/>
          <w:sz w:val="21"/>
          <w:szCs w:val="21"/>
        </w:rPr>
        <w:t>等第三方国际平台开设有店铺，业务覆盖德国、法国、意大利、西班牙、葡萄牙、英国、俄罗斯、日本、加拿大、美国等</w:t>
      </w:r>
      <w:r w:rsidRPr="00BA13AD">
        <w:rPr>
          <w:rFonts w:ascii="Times New Roman" w:hAnsi="Times New Roman"/>
          <w:sz w:val="21"/>
          <w:szCs w:val="21"/>
        </w:rPr>
        <w:t>187</w:t>
      </w:r>
      <w:r>
        <w:rPr>
          <w:rFonts w:ascii="Times New Roman" w:hAnsi="Times New Roman" w:hint="eastAsia"/>
          <w:sz w:val="21"/>
          <w:szCs w:val="21"/>
        </w:rPr>
        <w:t>个国家和地区，在欧洲、北美、东南亚等</w:t>
      </w:r>
      <w:r w:rsidRPr="00BA13AD">
        <w:rPr>
          <w:rFonts w:ascii="Times New Roman" w:hAnsi="Times New Roman"/>
          <w:sz w:val="21"/>
          <w:szCs w:val="21"/>
        </w:rPr>
        <w:t>18</w:t>
      </w:r>
      <w:r>
        <w:rPr>
          <w:rFonts w:ascii="Times New Roman" w:hAnsi="Times New Roman" w:hint="eastAsia"/>
          <w:sz w:val="21"/>
          <w:szCs w:val="21"/>
        </w:rPr>
        <w:t>个国家拥有了合作海外仓，实现了物流本地化。公司产品品类涵盖糖尿病以及其他慢性病相关系列等产品，在南亚、中东、非洲等地区持续深耕，在欧洲，东南亚等线上商城占有头部的市场份额，并且被选为亚马逊明星企业、</w:t>
      </w:r>
      <w:r w:rsidRPr="00BA13AD">
        <w:rPr>
          <w:rFonts w:ascii="Times New Roman" w:hAnsi="Times New Roman"/>
          <w:sz w:val="21"/>
          <w:szCs w:val="21"/>
        </w:rPr>
        <w:t>ebayKA</w:t>
      </w:r>
      <w:r>
        <w:rPr>
          <w:rFonts w:ascii="Times New Roman" w:hAnsi="Times New Roman" w:hint="eastAsia"/>
          <w:sz w:val="21"/>
          <w:szCs w:val="21"/>
        </w:rPr>
        <w:t>客户，在</w:t>
      </w:r>
      <w:r w:rsidRPr="00BA13AD">
        <w:rPr>
          <w:rFonts w:ascii="Times New Roman" w:hAnsi="Times New Roman"/>
          <w:sz w:val="21"/>
          <w:szCs w:val="21"/>
        </w:rPr>
        <w:t>Lazada</w:t>
      </w:r>
      <w:r>
        <w:rPr>
          <w:rFonts w:ascii="Times New Roman" w:hAnsi="Times New Roman" w:hint="eastAsia"/>
          <w:sz w:val="21"/>
          <w:szCs w:val="21"/>
        </w:rPr>
        <w:t>被选为品牌出海项目血糖类目品牌，更好地打造了体验式多元化购物平台，有效提升客户服务体验，强化全球市场竞争力。通过整合子公司资源，公司初步建立了线上和线下协同、跨境和本地电商协同的销售体系，在业务发展的同时加强子公司的合法合规性，为市场的进一步规范化管理打下良好基础，维护公司品牌的声誉和可持续发展。</w:t>
      </w:r>
    </w:p>
    <w:p w14:paraId="452F3553"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美国子公司</w:t>
      </w:r>
      <w:r w:rsidRPr="00BA13AD">
        <w:rPr>
          <w:rFonts w:ascii="Times New Roman" w:hAnsi="Times New Roman"/>
          <w:sz w:val="21"/>
          <w:szCs w:val="21"/>
        </w:rPr>
        <w:t>PTS</w:t>
      </w:r>
      <w:r>
        <w:rPr>
          <w:rFonts w:ascii="Times New Roman" w:hAnsi="Times New Roman" w:hint="eastAsia"/>
          <w:sz w:val="21"/>
          <w:szCs w:val="21"/>
        </w:rPr>
        <w:t>和</w:t>
      </w:r>
      <w:r w:rsidRPr="00BA13AD">
        <w:rPr>
          <w:rFonts w:ascii="Times New Roman" w:hAnsi="Times New Roman"/>
          <w:sz w:val="21"/>
          <w:szCs w:val="21"/>
        </w:rPr>
        <w:t>Trividia</w:t>
      </w:r>
      <w:r>
        <w:rPr>
          <w:rFonts w:ascii="Times New Roman" w:hAnsi="Times New Roman" w:hint="eastAsia"/>
          <w:sz w:val="21"/>
          <w:szCs w:val="21"/>
        </w:rPr>
        <w:t>立足本土，积极探索和开拓欧美市场，同时通过投标等方式继续拓展其在墨西哥、南非等地的业务。公司根据国际市场发展趋势和公司市场战略，深化了公司和美国子公司海外销售的协同工作，通过整合双方的优势销售渠道和资源，在各自的成熟市场共同推广</w:t>
      </w:r>
      <w:r w:rsidRPr="00BA13AD">
        <w:rPr>
          <w:rFonts w:ascii="Times New Roman" w:hAnsi="Times New Roman"/>
          <w:sz w:val="21"/>
          <w:szCs w:val="21"/>
        </w:rPr>
        <w:t>SINOCARE</w:t>
      </w:r>
      <w:r>
        <w:rPr>
          <w:rFonts w:ascii="Times New Roman" w:hAnsi="Times New Roman" w:hint="eastAsia"/>
          <w:sz w:val="21"/>
          <w:szCs w:val="21"/>
        </w:rPr>
        <w:t>、</w:t>
      </w:r>
      <w:r w:rsidRPr="00BA13AD">
        <w:rPr>
          <w:rFonts w:ascii="Times New Roman" w:hAnsi="Times New Roman"/>
          <w:sz w:val="21"/>
          <w:szCs w:val="21"/>
        </w:rPr>
        <w:t>PTS</w:t>
      </w:r>
      <w:r>
        <w:rPr>
          <w:rFonts w:ascii="Times New Roman" w:hAnsi="Times New Roman" w:hint="eastAsia"/>
          <w:sz w:val="21"/>
          <w:szCs w:val="21"/>
        </w:rPr>
        <w:t>和</w:t>
      </w:r>
      <w:r w:rsidRPr="00BA13AD">
        <w:rPr>
          <w:rFonts w:ascii="Times New Roman" w:hAnsi="Times New Roman"/>
          <w:sz w:val="21"/>
          <w:szCs w:val="21"/>
        </w:rPr>
        <w:t>TRIVIDIA</w:t>
      </w:r>
      <w:r>
        <w:rPr>
          <w:rFonts w:ascii="Times New Roman" w:hAnsi="Times New Roman" w:hint="eastAsia"/>
          <w:sz w:val="21"/>
          <w:szCs w:val="21"/>
        </w:rPr>
        <w:t>产品线，积极发展全球伙伴关系，深度推进国际合作，与国际伙伴建立长期稳定的战略合作关系。</w:t>
      </w:r>
    </w:p>
    <w:p w14:paraId="365D48EC"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5</w:t>
      </w:r>
      <w:r>
        <w:rPr>
          <w:rFonts w:ascii="Times New Roman" w:hAnsi="Times New Roman" w:hint="eastAsia"/>
          <w:sz w:val="21"/>
          <w:szCs w:val="21"/>
        </w:rPr>
        <w:t>）智慧健康方面</w:t>
      </w:r>
    </w:p>
    <w:p w14:paraId="755D2746"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报告期内，公司持续深化数智化转型，致力于打造“</w:t>
      </w:r>
      <w:r w:rsidRPr="00BA13AD">
        <w:rPr>
          <w:rFonts w:ascii="Times New Roman" w:hAnsi="Times New Roman"/>
          <w:sz w:val="21"/>
          <w:szCs w:val="21"/>
        </w:rPr>
        <w:t>Biosensor</w:t>
      </w:r>
      <w:r>
        <w:rPr>
          <w:rFonts w:ascii="Times New Roman" w:hAnsi="Times New Roman" w:hint="eastAsia"/>
          <w:sz w:val="21"/>
          <w:szCs w:val="21"/>
        </w:rPr>
        <w:t>生物传感</w:t>
      </w:r>
      <w:r w:rsidRPr="00BA13AD">
        <w:rPr>
          <w:rFonts w:ascii="Times New Roman" w:hAnsi="Times New Roman"/>
          <w:sz w:val="21"/>
          <w:szCs w:val="21"/>
        </w:rPr>
        <w:t>+S.oT</w:t>
      </w:r>
      <w:r>
        <w:rPr>
          <w:rFonts w:ascii="Times New Roman" w:hAnsi="Times New Roman" w:hint="eastAsia"/>
          <w:sz w:val="21"/>
          <w:szCs w:val="21"/>
        </w:rPr>
        <w:t>物联网</w:t>
      </w:r>
      <w:r w:rsidRPr="00BA13AD">
        <w:rPr>
          <w:rFonts w:ascii="Times New Roman" w:hAnsi="Times New Roman"/>
          <w:sz w:val="21"/>
          <w:szCs w:val="21"/>
        </w:rPr>
        <w:t>+</w:t>
      </w:r>
      <w:r>
        <w:rPr>
          <w:rFonts w:ascii="Times New Roman" w:hAnsi="Times New Roman" w:hint="eastAsia"/>
          <w:sz w:val="21"/>
          <w:szCs w:val="21"/>
        </w:rPr>
        <w:t>智慧医疗</w:t>
      </w:r>
      <w:r w:rsidRPr="00BA13AD">
        <w:rPr>
          <w:rFonts w:ascii="Times New Roman" w:hAnsi="Times New Roman"/>
          <w:sz w:val="21"/>
          <w:szCs w:val="21"/>
        </w:rPr>
        <w:t>+</w:t>
      </w:r>
      <w:r>
        <w:rPr>
          <w:rFonts w:ascii="Times New Roman" w:hAnsi="Times New Roman" w:hint="eastAsia"/>
          <w:sz w:val="21"/>
          <w:szCs w:val="21"/>
        </w:rPr>
        <w:t>健康生活方式引导”的糖尿病及相关慢病数字管理模式，为慢性疾病的防治提供更多创新性、系统性的智慧医疗解决方案。基于三诺物联网云平台（</w:t>
      </w:r>
      <w:r w:rsidRPr="00BA13AD">
        <w:rPr>
          <w:rFonts w:ascii="Times New Roman" w:hAnsi="Times New Roman"/>
          <w:sz w:val="21"/>
          <w:szCs w:val="21"/>
        </w:rPr>
        <w:t>S.IOT</w:t>
      </w:r>
      <w:r>
        <w:rPr>
          <w:rFonts w:ascii="Times New Roman" w:hAnsi="Times New Roman" w:hint="eastAsia"/>
          <w:sz w:val="21"/>
          <w:szCs w:val="21"/>
        </w:rPr>
        <w:t>）平台通过定义标准化软硬件通信协议、标准化的传输模式，标准化的设备物模型、实现了标准连接</w:t>
      </w:r>
      <w:r w:rsidRPr="00BA13AD">
        <w:rPr>
          <w:rFonts w:ascii="Times New Roman" w:hAnsi="Times New Roman"/>
          <w:sz w:val="21"/>
          <w:szCs w:val="21"/>
        </w:rPr>
        <w:t>SDK</w:t>
      </w:r>
      <w:r>
        <w:rPr>
          <w:rFonts w:ascii="Times New Roman" w:hAnsi="Times New Roman" w:hint="eastAsia"/>
          <w:sz w:val="21"/>
          <w:szCs w:val="21"/>
        </w:rPr>
        <w:t>对新老产品的兼容，大幅提升各慢病管理系统平台的集成效率与便捷性。</w:t>
      </w:r>
    </w:p>
    <w:p w14:paraId="168EB8C0"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在智能产品与</w:t>
      </w:r>
      <w:r w:rsidRPr="00BA13AD">
        <w:rPr>
          <w:rFonts w:ascii="Times New Roman" w:hAnsi="Times New Roman"/>
          <w:sz w:val="21"/>
          <w:szCs w:val="21"/>
        </w:rPr>
        <w:t>AI</w:t>
      </w:r>
      <w:r>
        <w:rPr>
          <w:rFonts w:ascii="Times New Roman" w:hAnsi="Times New Roman" w:hint="eastAsia"/>
          <w:sz w:val="21"/>
          <w:szCs w:val="21"/>
        </w:rPr>
        <w:t>应用方面，公司持续丰富智慧健康产品矩阵、深化</w:t>
      </w:r>
      <w:r w:rsidRPr="00BA13AD">
        <w:rPr>
          <w:rFonts w:ascii="Times New Roman" w:hAnsi="Times New Roman"/>
          <w:sz w:val="21"/>
          <w:szCs w:val="21"/>
        </w:rPr>
        <w:t>AI</w:t>
      </w:r>
      <w:r>
        <w:rPr>
          <w:rFonts w:ascii="Times New Roman" w:hAnsi="Times New Roman" w:hint="eastAsia"/>
          <w:sz w:val="21"/>
          <w:szCs w:val="21"/>
        </w:rPr>
        <w:t>技术融合应用：基于</w:t>
      </w:r>
      <w:r w:rsidRPr="00BA13AD">
        <w:rPr>
          <w:rFonts w:ascii="Times New Roman" w:hAnsi="Times New Roman"/>
          <w:sz w:val="21"/>
          <w:szCs w:val="21"/>
        </w:rPr>
        <w:t>CGM</w:t>
      </w:r>
      <w:r>
        <w:rPr>
          <w:rFonts w:ascii="Times New Roman" w:hAnsi="Times New Roman" w:hint="eastAsia"/>
          <w:sz w:val="21"/>
          <w:szCs w:val="21"/>
        </w:rPr>
        <w:t>产品上线了多语言的海外版</w:t>
      </w:r>
      <w:r w:rsidRPr="00BA13AD">
        <w:rPr>
          <w:rFonts w:ascii="Times New Roman" w:hAnsi="Times New Roman"/>
          <w:sz w:val="21"/>
          <w:szCs w:val="21"/>
        </w:rPr>
        <w:t>APP</w:t>
      </w:r>
      <w:r>
        <w:rPr>
          <w:rFonts w:ascii="Times New Roman" w:hAnsi="Times New Roman" w:hint="eastAsia"/>
          <w:sz w:val="21"/>
          <w:szCs w:val="21"/>
        </w:rPr>
        <w:t>，全新升级爱看健康</w:t>
      </w:r>
      <w:r w:rsidRPr="00BA13AD">
        <w:rPr>
          <w:rFonts w:ascii="Times New Roman" w:hAnsi="Times New Roman"/>
          <w:sz w:val="21"/>
          <w:szCs w:val="21"/>
        </w:rPr>
        <w:t>APP 2.0</w:t>
      </w:r>
      <w:r>
        <w:rPr>
          <w:rFonts w:ascii="Times New Roman" w:hAnsi="Times New Roman" w:hint="eastAsia"/>
          <w:sz w:val="21"/>
          <w:szCs w:val="21"/>
        </w:rPr>
        <w:t>版本；推出</w:t>
      </w:r>
      <w:r w:rsidRPr="00BA13AD">
        <w:rPr>
          <w:rFonts w:ascii="Times New Roman" w:hAnsi="Times New Roman"/>
          <w:sz w:val="21"/>
          <w:szCs w:val="21"/>
        </w:rPr>
        <w:t>24</w:t>
      </w:r>
      <w:r>
        <w:rPr>
          <w:rFonts w:ascii="Times New Roman" w:hAnsi="Times New Roman" w:hint="eastAsia"/>
          <w:sz w:val="21"/>
          <w:szCs w:val="21"/>
        </w:rPr>
        <w:t>小时</w:t>
      </w:r>
      <w:r w:rsidRPr="00BA13AD">
        <w:rPr>
          <w:rFonts w:ascii="Times New Roman" w:hAnsi="Times New Roman"/>
          <w:sz w:val="21"/>
          <w:szCs w:val="21"/>
        </w:rPr>
        <w:t>AI</w:t>
      </w:r>
      <w:r>
        <w:rPr>
          <w:rFonts w:ascii="Times New Roman" w:hAnsi="Times New Roman" w:hint="eastAsia"/>
          <w:sz w:val="21"/>
          <w:szCs w:val="21"/>
        </w:rPr>
        <w:t>健康管家“小诺智能体”，整合记录、分析、咨询、服务于一体，构建覆盖健康管理全场景的智能服务体系；通过</w:t>
      </w:r>
      <w:r w:rsidRPr="00BA13AD">
        <w:rPr>
          <w:rFonts w:ascii="Times New Roman" w:hAnsi="Times New Roman"/>
          <w:sz w:val="21"/>
          <w:szCs w:val="21"/>
        </w:rPr>
        <w:t>AI</w:t>
      </w:r>
      <w:r>
        <w:rPr>
          <w:rFonts w:ascii="Times New Roman" w:hAnsi="Times New Roman" w:hint="eastAsia"/>
          <w:sz w:val="21"/>
          <w:szCs w:val="21"/>
        </w:rPr>
        <w:t>模型，首创打通华为运动健康平台的用户行为数据（如睡眠、饮食、运动）与血糖指标进行多维度关联分析；首批接入蚂蚁</w:t>
      </w:r>
      <w:r w:rsidRPr="00BA13AD">
        <w:rPr>
          <w:rFonts w:ascii="Times New Roman" w:hAnsi="Times New Roman"/>
          <w:sz w:val="21"/>
          <w:szCs w:val="21"/>
        </w:rPr>
        <w:t>AQ</w:t>
      </w:r>
      <w:r>
        <w:rPr>
          <w:rFonts w:ascii="Times New Roman" w:hAnsi="Times New Roman" w:hint="eastAsia"/>
          <w:sz w:val="21"/>
          <w:szCs w:val="21"/>
        </w:rPr>
        <w:t>，加速构建</w:t>
      </w:r>
      <w:r w:rsidRPr="00BA13AD">
        <w:rPr>
          <w:rFonts w:ascii="Times New Roman" w:hAnsi="Times New Roman"/>
          <w:sz w:val="21"/>
          <w:szCs w:val="21"/>
        </w:rPr>
        <w:t>AI</w:t>
      </w:r>
      <w:r>
        <w:rPr>
          <w:rFonts w:ascii="Times New Roman" w:hAnsi="Times New Roman" w:hint="eastAsia"/>
          <w:sz w:val="21"/>
          <w:szCs w:val="21"/>
        </w:rPr>
        <w:t>医疗生态，推动硬件终端与健康内容深度融合。此外，公司实现糖尿病专科智能体的落地应用，基于大数据和患者社会特征与生理数据，精准分析、优化治疗和管理方案，深度参与风险评估、动态追踪、疗效优化等环节，推动糖尿病管理向精准化、高效化、个性化演进，赋能医务人员聚焦临床核心工作，实现院内到居家的全链条服务覆盖。</w:t>
      </w:r>
    </w:p>
    <w:p w14:paraId="3B5CA2A6"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公司三诺健康糖尿病门诊、三诺糖尿病逆转中心以患者为中心，以健康大数据为基础，通过“互联网</w:t>
      </w:r>
      <w:r w:rsidRPr="00BA13AD">
        <w:rPr>
          <w:rFonts w:ascii="Times New Roman" w:hAnsi="Times New Roman"/>
          <w:sz w:val="21"/>
          <w:szCs w:val="21"/>
        </w:rPr>
        <w:t>+</w:t>
      </w:r>
      <w:r>
        <w:rPr>
          <w:rFonts w:ascii="Times New Roman" w:hAnsi="Times New Roman" w:hint="eastAsia"/>
          <w:sz w:val="21"/>
          <w:szCs w:val="21"/>
        </w:rPr>
        <w:t>”的方式持续为糖尿病慢病患者提供在线问诊、在线开方、送药上门等全面诊疗服务，努力实现线上线下一体化、院内院外一体化的糖尿病慢病服务管理体系，驱动糖尿病慢病全病程的“硬件</w:t>
      </w:r>
      <w:r w:rsidRPr="00BA13AD">
        <w:rPr>
          <w:rFonts w:ascii="Times New Roman" w:hAnsi="Times New Roman"/>
          <w:sz w:val="21"/>
          <w:szCs w:val="21"/>
        </w:rPr>
        <w:t>+</w:t>
      </w:r>
      <w:r>
        <w:rPr>
          <w:rFonts w:ascii="Times New Roman" w:hAnsi="Times New Roman" w:hint="eastAsia"/>
          <w:sz w:val="21"/>
          <w:szCs w:val="21"/>
        </w:rPr>
        <w:t>服务</w:t>
      </w:r>
      <w:r w:rsidRPr="00BA13AD">
        <w:rPr>
          <w:rFonts w:ascii="Times New Roman" w:hAnsi="Times New Roman"/>
          <w:sz w:val="21"/>
          <w:szCs w:val="21"/>
        </w:rPr>
        <w:t>+</w:t>
      </w:r>
      <w:r>
        <w:rPr>
          <w:rFonts w:ascii="Times New Roman" w:hAnsi="Times New Roman" w:hint="eastAsia"/>
          <w:sz w:val="21"/>
          <w:szCs w:val="21"/>
        </w:rPr>
        <w:t>医疗”的商业模式，为客户提供专业、全面、智能的慢病管理解决方案。报告期内，公司自主研发的“</w:t>
      </w:r>
      <w:r w:rsidRPr="00BA13AD">
        <w:rPr>
          <w:rFonts w:ascii="Times New Roman" w:hAnsi="Times New Roman"/>
          <w:sz w:val="21"/>
          <w:szCs w:val="21"/>
        </w:rPr>
        <w:t>CGM</w:t>
      </w:r>
      <w:r>
        <w:rPr>
          <w:rFonts w:ascii="Times New Roman" w:hAnsi="Times New Roman" w:hint="eastAsia"/>
          <w:sz w:val="21"/>
          <w:szCs w:val="21"/>
        </w:rPr>
        <w:t>赋能减重，数字化驱动健康管理升级”解决方案，获评</w:t>
      </w:r>
      <w:r w:rsidRPr="00BA13AD">
        <w:rPr>
          <w:rFonts w:ascii="Times New Roman" w:hAnsi="Times New Roman"/>
          <w:sz w:val="21"/>
          <w:szCs w:val="21"/>
        </w:rPr>
        <w:t>2025</w:t>
      </w:r>
      <w:r>
        <w:rPr>
          <w:rFonts w:ascii="Times New Roman" w:hAnsi="Times New Roman" w:hint="eastAsia"/>
          <w:sz w:val="21"/>
          <w:szCs w:val="21"/>
        </w:rPr>
        <w:t>数字疗法大会“</w:t>
      </w:r>
      <w:r w:rsidRPr="00BA13AD">
        <w:rPr>
          <w:rFonts w:ascii="Times New Roman" w:hAnsi="Times New Roman"/>
          <w:sz w:val="21"/>
          <w:szCs w:val="21"/>
        </w:rPr>
        <w:t>2025</w:t>
      </w:r>
      <w:r>
        <w:rPr>
          <w:rFonts w:ascii="Times New Roman" w:hAnsi="Times New Roman" w:hint="eastAsia"/>
          <w:sz w:val="21"/>
          <w:szCs w:val="21"/>
        </w:rPr>
        <w:t>年度数字健康创新应用案例”，入选《中国数字化示范应用全景地图》，彰显公司在智慧健康领域的创新实力。</w:t>
      </w:r>
    </w:p>
    <w:p w14:paraId="4726E514"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Style w:val="aa"/>
          <w:rFonts w:ascii="Times New Roman" w:hAnsi="Times New Roman" w:cs="Times New Roman"/>
          <w:sz w:val="21"/>
          <w:szCs w:val="21"/>
        </w:rPr>
        <w:t>2</w:t>
      </w:r>
      <w:r>
        <w:rPr>
          <w:rStyle w:val="aa"/>
          <w:rFonts w:ascii="Times New Roman" w:hAnsi="Times New Roman" w:hint="eastAsia"/>
          <w:sz w:val="21"/>
          <w:szCs w:val="21"/>
        </w:rPr>
        <w:t>、坚持研发创新驱动，构建公司核心竞争力</w:t>
      </w:r>
    </w:p>
    <w:p w14:paraId="01B5E12C"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作为“国家知识产权优势企业”、国家工信部、药监局人工智能医疗器械创新任务揭榜单位，公司坚持科技创新引领高质量发展，重视对产品的研发投入和自身研发综合实力的提升，持续推进技术创新的成果转化。截至报告期末，公司研发人员共</w:t>
      </w:r>
      <w:r w:rsidRPr="00BA13AD">
        <w:rPr>
          <w:rFonts w:ascii="Times New Roman" w:hAnsi="Times New Roman"/>
          <w:sz w:val="21"/>
          <w:szCs w:val="21"/>
        </w:rPr>
        <w:t>879</w:t>
      </w:r>
      <w:r>
        <w:rPr>
          <w:rFonts w:ascii="Times New Roman" w:hAnsi="Times New Roman" w:hint="eastAsia"/>
          <w:sz w:val="21"/>
          <w:szCs w:val="21"/>
        </w:rPr>
        <w:t>人，占公司总人员的</w:t>
      </w:r>
      <w:r w:rsidRPr="00BA13AD">
        <w:rPr>
          <w:rFonts w:ascii="Times New Roman" w:hAnsi="Times New Roman"/>
          <w:sz w:val="21"/>
          <w:szCs w:val="21"/>
        </w:rPr>
        <w:t>17.54%</w:t>
      </w:r>
      <w:r>
        <w:rPr>
          <w:rFonts w:ascii="Times New Roman" w:hAnsi="Times New Roman" w:hint="eastAsia"/>
          <w:sz w:val="21"/>
          <w:szCs w:val="21"/>
        </w:rPr>
        <w:t>，报告期内合计投入研发费用</w:t>
      </w:r>
      <w:r w:rsidRPr="00BA13AD">
        <w:rPr>
          <w:rFonts w:ascii="Times New Roman" w:hAnsi="Times New Roman"/>
          <w:sz w:val="21"/>
          <w:szCs w:val="21"/>
        </w:rPr>
        <w:t>27,463.11</w:t>
      </w:r>
      <w:r>
        <w:rPr>
          <w:rFonts w:ascii="Times New Roman" w:hAnsi="Times New Roman" w:hint="eastAsia"/>
          <w:sz w:val="21"/>
          <w:szCs w:val="21"/>
        </w:rPr>
        <w:t>万元，占公司总营收的</w:t>
      </w:r>
      <w:r w:rsidRPr="00BA13AD">
        <w:rPr>
          <w:rFonts w:ascii="Times New Roman" w:hAnsi="Times New Roman"/>
          <w:sz w:val="21"/>
          <w:szCs w:val="21"/>
        </w:rPr>
        <w:t>5.89%</w:t>
      </w:r>
      <w:r>
        <w:rPr>
          <w:rFonts w:ascii="Times New Roman" w:hAnsi="Times New Roman" w:hint="eastAsia"/>
          <w:sz w:val="21"/>
          <w:szCs w:val="21"/>
        </w:rPr>
        <w:t>，为公司自主研发创新提供了人才储备和资金保证，保障了公司各项研发与创新工作按计划顺利开展。</w:t>
      </w:r>
    </w:p>
    <w:p w14:paraId="6F3FB641"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1</w:t>
      </w:r>
      <w:r>
        <w:rPr>
          <w:rFonts w:ascii="Times New Roman" w:hAnsi="Times New Roman" w:hint="eastAsia"/>
          <w:sz w:val="21"/>
          <w:szCs w:val="21"/>
        </w:rPr>
        <w:t>）持续葡萄糖监测领域持续突破</w:t>
      </w:r>
    </w:p>
    <w:p w14:paraId="6B1A5AB2"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w:t>
      </w:r>
      <w:r w:rsidRPr="00BA13AD">
        <w:rPr>
          <w:rFonts w:ascii="Times New Roman" w:hAnsi="Times New Roman"/>
          <w:sz w:val="21"/>
          <w:szCs w:val="21"/>
        </w:rPr>
        <w:t>CGM</w:t>
      </w:r>
      <w:r>
        <w:rPr>
          <w:rFonts w:ascii="Times New Roman" w:hAnsi="Times New Roman" w:hint="eastAsia"/>
          <w:sz w:val="21"/>
          <w:szCs w:val="21"/>
        </w:rPr>
        <w:t>产品注册范围进一步扩大，新增泰国、印度尼西亚、坦桑尼亚、巴西、尼泊尔、白俄罗斯、乌拉圭、越南等多个国家获批注册证；公司持续葡萄糖监测系统二代产品获得欧盟</w:t>
      </w:r>
      <w:r w:rsidRPr="00BA13AD">
        <w:rPr>
          <w:rFonts w:ascii="Times New Roman" w:hAnsi="Times New Roman"/>
          <w:sz w:val="21"/>
          <w:szCs w:val="21"/>
        </w:rPr>
        <w:t>Medical Devices Regulation(EU)2017/745</w:t>
      </w:r>
      <w:r>
        <w:rPr>
          <w:rFonts w:ascii="Times New Roman" w:hAnsi="Times New Roman" w:hint="eastAsia"/>
          <w:sz w:val="21"/>
          <w:szCs w:val="21"/>
        </w:rPr>
        <w:t>（简称“</w:t>
      </w:r>
      <w:r w:rsidRPr="00BA13AD">
        <w:rPr>
          <w:rFonts w:ascii="Times New Roman" w:hAnsi="Times New Roman"/>
          <w:sz w:val="21"/>
          <w:szCs w:val="21"/>
        </w:rPr>
        <w:t>MDR</w:t>
      </w:r>
      <w:r>
        <w:rPr>
          <w:rFonts w:ascii="Times New Roman" w:hAnsi="Times New Roman" w:hint="eastAsia"/>
          <w:sz w:val="21"/>
          <w:szCs w:val="21"/>
        </w:rPr>
        <w:t>”）认证，并进一步扩大了公司两代</w:t>
      </w:r>
      <w:r w:rsidRPr="00BA13AD">
        <w:rPr>
          <w:rFonts w:ascii="Times New Roman" w:hAnsi="Times New Roman"/>
          <w:sz w:val="21"/>
          <w:szCs w:val="21"/>
        </w:rPr>
        <w:t>CGM</w:t>
      </w:r>
      <w:r>
        <w:rPr>
          <w:rFonts w:ascii="Times New Roman" w:hAnsi="Times New Roman" w:hint="eastAsia"/>
          <w:sz w:val="21"/>
          <w:szCs w:val="21"/>
        </w:rPr>
        <w:t>产品的适用场景：</w:t>
      </w:r>
      <w:r w:rsidRPr="00BA13AD">
        <w:rPr>
          <w:rFonts w:ascii="Times New Roman" w:hAnsi="Times New Roman"/>
          <w:sz w:val="21"/>
          <w:szCs w:val="21"/>
        </w:rPr>
        <w:t>1</w:t>
      </w:r>
      <w:r>
        <w:rPr>
          <w:rFonts w:ascii="Times New Roman" w:hAnsi="Times New Roman" w:hint="eastAsia"/>
          <w:sz w:val="21"/>
          <w:szCs w:val="21"/>
        </w:rPr>
        <w:t>）在所有适用年龄（</w:t>
      </w:r>
      <w:r w:rsidRPr="00BA13AD">
        <w:rPr>
          <w:rFonts w:ascii="Times New Roman" w:hAnsi="Times New Roman"/>
          <w:sz w:val="21"/>
          <w:szCs w:val="21"/>
        </w:rPr>
        <w:t>2</w:t>
      </w:r>
      <w:r>
        <w:rPr>
          <w:rFonts w:ascii="Times New Roman" w:hAnsi="Times New Roman" w:hint="eastAsia"/>
          <w:sz w:val="21"/>
          <w:szCs w:val="21"/>
        </w:rPr>
        <w:t>岁及以上）人群佩戴部位为腹部的基础上，将</w:t>
      </w:r>
      <w:r w:rsidRPr="00BA13AD">
        <w:rPr>
          <w:rFonts w:ascii="Times New Roman" w:hAnsi="Times New Roman"/>
          <w:sz w:val="21"/>
          <w:szCs w:val="21"/>
        </w:rPr>
        <w:t>13</w:t>
      </w:r>
      <w:r>
        <w:rPr>
          <w:rFonts w:ascii="Times New Roman" w:hAnsi="Times New Roman" w:hint="eastAsia"/>
          <w:sz w:val="21"/>
          <w:szCs w:val="21"/>
        </w:rPr>
        <w:t>岁及以上人群的佩戴部位扩展为上臂或腹部，以满足不同用户的佩戴习惯；</w:t>
      </w:r>
      <w:r w:rsidRPr="00BA13AD">
        <w:rPr>
          <w:rFonts w:ascii="Times New Roman" w:hAnsi="Times New Roman"/>
          <w:sz w:val="21"/>
          <w:szCs w:val="21"/>
        </w:rPr>
        <w:t>2</w:t>
      </w:r>
      <w:r>
        <w:rPr>
          <w:rFonts w:ascii="Times New Roman" w:hAnsi="Times New Roman" w:hint="eastAsia"/>
          <w:sz w:val="21"/>
          <w:szCs w:val="21"/>
        </w:rPr>
        <w:t>）除</w:t>
      </w:r>
      <w:r w:rsidRPr="00BA13AD">
        <w:rPr>
          <w:rFonts w:ascii="Times New Roman" w:hAnsi="Times New Roman"/>
          <w:sz w:val="21"/>
          <w:szCs w:val="21"/>
        </w:rPr>
        <w:t>iCan CGM App</w:t>
      </w:r>
      <w:r>
        <w:rPr>
          <w:rFonts w:ascii="Times New Roman" w:hAnsi="Times New Roman" w:hint="eastAsia"/>
          <w:sz w:val="21"/>
          <w:szCs w:val="21"/>
        </w:rPr>
        <w:t>外，用户可选择</w:t>
      </w:r>
      <w:r w:rsidRPr="00BA13AD">
        <w:rPr>
          <w:rFonts w:ascii="Times New Roman" w:hAnsi="Times New Roman"/>
          <w:sz w:val="21"/>
          <w:szCs w:val="21"/>
        </w:rPr>
        <w:t>iCan View Glucose Data Reader</w:t>
      </w:r>
      <w:r>
        <w:rPr>
          <w:rFonts w:ascii="Times New Roman" w:hAnsi="Times New Roman" w:hint="eastAsia"/>
          <w:sz w:val="21"/>
          <w:szCs w:val="21"/>
        </w:rPr>
        <w:t>作为第二个主要的显示设备，该功能可以更好的满足欧洲医保对</w:t>
      </w:r>
      <w:r w:rsidRPr="00BA13AD">
        <w:rPr>
          <w:rFonts w:ascii="Times New Roman" w:hAnsi="Times New Roman"/>
          <w:sz w:val="21"/>
          <w:szCs w:val="21"/>
        </w:rPr>
        <w:t>CGM</w:t>
      </w:r>
      <w:r>
        <w:rPr>
          <w:rFonts w:ascii="Times New Roman" w:hAnsi="Times New Roman" w:hint="eastAsia"/>
          <w:sz w:val="21"/>
          <w:szCs w:val="21"/>
        </w:rPr>
        <w:t>产品的需求；</w:t>
      </w:r>
      <w:r w:rsidRPr="00BA13AD">
        <w:rPr>
          <w:rFonts w:ascii="Times New Roman" w:hAnsi="Times New Roman"/>
          <w:sz w:val="21"/>
          <w:szCs w:val="21"/>
        </w:rPr>
        <w:t>3</w:t>
      </w:r>
      <w:r>
        <w:rPr>
          <w:rFonts w:ascii="Times New Roman" w:hAnsi="Times New Roman" w:hint="eastAsia"/>
          <w:sz w:val="21"/>
          <w:szCs w:val="21"/>
        </w:rPr>
        <w:t>）公司开发的适配两代产品的加固贴均已获批，用户可选择是否使用加固贴，以满足不同场景的需求。上述获批和扩展，对公司在海外市场特别是认可欧盟</w:t>
      </w:r>
      <w:r w:rsidRPr="00BA13AD">
        <w:rPr>
          <w:rFonts w:ascii="Times New Roman" w:hAnsi="Times New Roman"/>
          <w:sz w:val="21"/>
          <w:szCs w:val="21"/>
        </w:rPr>
        <w:t>MDR</w:t>
      </w:r>
      <w:r>
        <w:rPr>
          <w:rFonts w:ascii="Times New Roman" w:hAnsi="Times New Roman" w:hint="eastAsia"/>
          <w:sz w:val="21"/>
          <w:szCs w:val="21"/>
        </w:rPr>
        <w:t>认证国家的医保市场业务拓展起到积极促进作用，进一步增强了公司持续葡萄糖监测类产品的综合竞争力和海外市场拓展能力。</w:t>
      </w:r>
    </w:p>
    <w:p w14:paraId="7637B8FB"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截至报告期末，公司</w:t>
      </w:r>
      <w:r w:rsidRPr="00BA13AD">
        <w:rPr>
          <w:rFonts w:ascii="Times New Roman" w:hAnsi="Times New Roman"/>
          <w:sz w:val="21"/>
          <w:szCs w:val="21"/>
        </w:rPr>
        <w:t>CGM</w:t>
      </w:r>
      <w:r>
        <w:rPr>
          <w:rFonts w:ascii="Times New Roman" w:hAnsi="Times New Roman" w:hint="eastAsia"/>
          <w:sz w:val="21"/>
          <w:szCs w:val="21"/>
        </w:rPr>
        <w:t>产品“三诺爱看”持续葡萄糖监测系统已在中国、印尼、欧盟</w:t>
      </w:r>
      <w:r w:rsidRPr="00BA13AD">
        <w:rPr>
          <w:rFonts w:ascii="Times New Roman" w:hAnsi="Times New Roman"/>
          <w:sz w:val="21"/>
          <w:szCs w:val="21"/>
        </w:rPr>
        <w:t>MDR</w:t>
      </w:r>
      <w:r>
        <w:rPr>
          <w:rFonts w:ascii="Times New Roman" w:hAnsi="Times New Roman" w:hint="eastAsia"/>
          <w:sz w:val="21"/>
          <w:szCs w:val="21"/>
        </w:rPr>
        <w:t>、英国、泰国、马来西亚、菲律宾、印度、孟加拉国等</w:t>
      </w:r>
      <w:r w:rsidRPr="00BA13AD">
        <w:rPr>
          <w:rFonts w:ascii="Times New Roman" w:hAnsi="Times New Roman"/>
          <w:sz w:val="21"/>
          <w:szCs w:val="21"/>
        </w:rPr>
        <w:t>50</w:t>
      </w:r>
      <w:r>
        <w:rPr>
          <w:rFonts w:ascii="Times New Roman" w:hAnsi="Times New Roman" w:hint="eastAsia"/>
          <w:sz w:val="21"/>
          <w:szCs w:val="21"/>
        </w:rPr>
        <w:t>多个国家和地区获批注册证，在中国、土耳其、英国、沙特阿拉伯、巴基斯坦、泰国、印度等超</w:t>
      </w:r>
      <w:r w:rsidRPr="00BA13AD">
        <w:rPr>
          <w:rFonts w:ascii="Times New Roman" w:hAnsi="Times New Roman"/>
          <w:sz w:val="21"/>
          <w:szCs w:val="21"/>
        </w:rPr>
        <w:t>90</w:t>
      </w:r>
      <w:r>
        <w:rPr>
          <w:rFonts w:ascii="Times New Roman" w:hAnsi="Times New Roman" w:hint="eastAsia"/>
          <w:sz w:val="21"/>
          <w:szCs w:val="21"/>
        </w:rPr>
        <w:t>个国家上市销售。标志着公司</w:t>
      </w:r>
      <w:r w:rsidRPr="00BA13AD">
        <w:rPr>
          <w:rFonts w:ascii="Times New Roman" w:hAnsi="Times New Roman"/>
          <w:sz w:val="21"/>
          <w:szCs w:val="21"/>
        </w:rPr>
        <w:t>CGM</w:t>
      </w:r>
      <w:r>
        <w:rPr>
          <w:rFonts w:ascii="Times New Roman" w:hAnsi="Times New Roman" w:hint="eastAsia"/>
          <w:sz w:val="21"/>
          <w:szCs w:val="21"/>
        </w:rPr>
        <w:t>产品在安全性与有效性方面已达到国际领先水准，更彰显了三诺在持续葡萄糖监测领域的研发实力与合规能力，为产品进一步拓展全球市场奠定了坚实基础。</w:t>
      </w:r>
    </w:p>
    <w:p w14:paraId="63B7EDE5"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2</w:t>
      </w:r>
      <w:r>
        <w:rPr>
          <w:rFonts w:ascii="Times New Roman" w:hAnsi="Times New Roman" w:hint="eastAsia"/>
          <w:sz w:val="21"/>
          <w:szCs w:val="21"/>
        </w:rPr>
        <w:t>）实现研发成果转化落地</w:t>
      </w:r>
    </w:p>
    <w:p w14:paraId="53ECD37E"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接连推出创新优品，助力优化产品结构和产业布局。依托于公司现有电化学技术平台、液相生化技术平台、凝血技术平台、免疫荧光技术平台、胶体金技术平台、化学发光技术平台，以及配套的仪器技术平台和基于互联网大数据的智慧医疗平台，公司持续创新不断推出满足客户需求的创新优品，积极拓展</w:t>
      </w:r>
      <w:r w:rsidRPr="00BA13AD">
        <w:rPr>
          <w:rFonts w:ascii="Times New Roman" w:hAnsi="Times New Roman"/>
          <w:sz w:val="21"/>
          <w:szCs w:val="21"/>
        </w:rPr>
        <w:t>iPOCT</w:t>
      </w:r>
      <w:r>
        <w:rPr>
          <w:rFonts w:ascii="Times New Roman" w:hAnsi="Times New Roman" w:hint="eastAsia"/>
          <w:sz w:val="21"/>
          <w:szCs w:val="21"/>
        </w:rPr>
        <w:t>检测业务。报告期内，公司陆续推出了优准</w:t>
      </w:r>
      <w:r w:rsidRPr="00BA13AD">
        <w:rPr>
          <w:rFonts w:ascii="Times New Roman" w:hAnsi="Times New Roman"/>
          <w:sz w:val="21"/>
          <w:szCs w:val="21"/>
        </w:rPr>
        <w:t>SC801/SC801 Air</w:t>
      </w:r>
      <w:r>
        <w:rPr>
          <w:rFonts w:ascii="Times New Roman" w:hAnsi="Times New Roman" w:hint="eastAsia"/>
          <w:sz w:val="21"/>
          <w:szCs w:val="21"/>
        </w:rPr>
        <w:t>血糖仪、掌优</w:t>
      </w:r>
      <w:r w:rsidRPr="00BA13AD">
        <w:rPr>
          <w:rFonts w:ascii="Times New Roman" w:hAnsi="Times New Roman"/>
          <w:sz w:val="21"/>
          <w:szCs w:val="21"/>
        </w:rPr>
        <w:t>M101/M101 Air</w:t>
      </w:r>
      <w:r>
        <w:rPr>
          <w:rFonts w:ascii="Times New Roman" w:hAnsi="Times New Roman" w:hint="eastAsia"/>
          <w:sz w:val="21"/>
          <w:szCs w:val="21"/>
        </w:rPr>
        <w:t>血糖尿酸血脂仪、</w:t>
      </w:r>
      <w:r w:rsidRPr="00BA13AD">
        <w:rPr>
          <w:rFonts w:ascii="Times New Roman" w:hAnsi="Times New Roman"/>
          <w:sz w:val="21"/>
          <w:szCs w:val="21"/>
        </w:rPr>
        <w:t>iCARE 3000</w:t>
      </w:r>
      <w:r>
        <w:rPr>
          <w:rFonts w:ascii="Times New Roman" w:hAnsi="Times New Roman" w:hint="eastAsia"/>
          <w:sz w:val="21"/>
          <w:szCs w:val="21"/>
        </w:rPr>
        <w:t>血细胞检测设备等新产品，同时迭代推出了三诺动态血糖仪二代产品（升级为一体式结构设计，更小直径和厚度，提高用户使用的便捷性和佩戴的舒适性）、</w:t>
      </w:r>
      <w:r w:rsidRPr="00BA13AD">
        <w:rPr>
          <w:rFonts w:ascii="Times New Roman" w:hAnsi="Times New Roman"/>
          <w:sz w:val="21"/>
          <w:szCs w:val="21"/>
        </w:rPr>
        <w:t>EA-19 Pro</w:t>
      </w:r>
      <w:r>
        <w:rPr>
          <w:rFonts w:ascii="Times New Roman" w:hAnsi="Times New Roman" w:hint="eastAsia"/>
          <w:sz w:val="21"/>
          <w:szCs w:val="21"/>
        </w:rPr>
        <w:t>尿酸血糖仪等升级产品，有效拓宽了产品应用领域和适用人群，优化了公司产品结构和产业布局，未来除了现有产品的升级迭代，还会有更多贴合用户家庭健康需求的多指标监测、慢病管理的产品上市。</w:t>
      </w:r>
    </w:p>
    <w:p w14:paraId="52596A1C"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w:t>
      </w:r>
      <w:r w:rsidRPr="00BA13AD">
        <w:rPr>
          <w:rFonts w:ascii="Times New Roman" w:hAnsi="Times New Roman"/>
          <w:sz w:val="21"/>
          <w:szCs w:val="21"/>
        </w:rPr>
        <w:t>3</w:t>
      </w:r>
      <w:r>
        <w:rPr>
          <w:rFonts w:ascii="Times New Roman" w:hAnsi="Times New Roman" w:hint="eastAsia"/>
          <w:sz w:val="21"/>
          <w:szCs w:val="21"/>
        </w:rPr>
        <w:t>）加强企业知识产权保护和布局，形成全面有效的专利体系和医疗器械注册管理，保护自身创新成果。</w:t>
      </w:r>
    </w:p>
    <w:p w14:paraId="45786774" w14:textId="6B3AE123"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sidRPr="00BA13AD">
        <w:rPr>
          <w:rFonts w:ascii="Times New Roman" w:hAnsi="Times New Roman"/>
          <w:sz w:val="21"/>
          <w:szCs w:val="21"/>
        </w:rPr>
        <w:t>2025</w:t>
      </w:r>
      <w:r>
        <w:rPr>
          <w:rFonts w:ascii="Times New Roman" w:hAnsi="Times New Roman" w:hint="eastAsia"/>
          <w:sz w:val="21"/>
          <w:szCs w:val="21"/>
        </w:rPr>
        <w:t>年度，上市公司共申请中国专利</w:t>
      </w:r>
      <w:r w:rsidRPr="00BA13AD">
        <w:rPr>
          <w:rFonts w:ascii="Times New Roman" w:hAnsi="Times New Roman"/>
          <w:sz w:val="21"/>
          <w:szCs w:val="21"/>
        </w:rPr>
        <w:t>58</w:t>
      </w:r>
      <w:r>
        <w:rPr>
          <w:rFonts w:ascii="Times New Roman" w:hAnsi="Times New Roman" w:hint="eastAsia"/>
          <w:sz w:val="21"/>
          <w:szCs w:val="21"/>
        </w:rPr>
        <w:t>项和软件著作权</w:t>
      </w:r>
      <w:r w:rsidRPr="00BA13AD">
        <w:rPr>
          <w:rFonts w:ascii="Times New Roman" w:hAnsi="Times New Roman"/>
          <w:sz w:val="21"/>
          <w:szCs w:val="21"/>
        </w:rPr>
        <w:t>26</w:t>
      </w:r>
      <w:r>
        <w:rPr>
          <w:rFonts w:ascii="Times New Roman" w:hAnsi="Times New Roman" w:hint="eastAsia"/>
          <w:sz w:val="21"/>
          <w:szCs w:val="21"/>
        </w:rPr>
        <w:t>项，其中发明专利</w:t>
      </w:r>
      <w:r w:rsidRPr="00BA13AD">
        <w:rPr>
          <w:rFonts w:ascii="Times New Roman" w:hAnsi="Times New Roman"/>
          <w:sz w:val="21"/>
          <w:szCs w:val="21"/>
        </w:rPr>
        <w:t>34</w:t>
      </w:r>
      <w:r>
        <w:rPr>
          <w:rFonts w:ascii="Times New Roman" w:hAnsi="Times New Roman" w:hint="eastAsia"/>
          <w:sz w:val="21"/>
          <w:szCs w:val="21"/>
        </w:rPr>
        <w:t>项，实用新型专利</w:t>
      </w:r>
      <w:r w:rsidRPr="00BA13AD">
        <w:rPr>
          <w:rFonts w:ascii="Times New Roman" w:hAnsi="Times New Roman"/>
          <w:sz w:val="21"/>
          <w:szCs w:val="21"/>
        </w:rPr>
        <w:t>17</w:t>
      </w:r>
      <w:r>
        <w:rPr>
          <w:rFonts w:ascii="Times New Roman" w:hAnsi="Times New Roman" w:hint="eastAsia"/>
          <w:sz w:val="21"/>
          <w:szCs w:val="21"/>
        </w:rPr>
        <w:t>项、外观设计专利</w:t>
      </w:r>
      <w:r w:rsidRPr="00BA13AD">
        <w:rPr>
          <w:rFonts w:ascii="Times New Roman" w:hAnsi="Times New Roman"/>
          <w:sz w:val="21"/>
          <w:szCs w:val="21"/>
        </w:rPr>
        <w:t>7</w:t>
      </w:r>
      <w:r>
        <w:rPr>
          <w:rFonts w:ascii="Times New Roman" w:hAnsi="Times New Roman" w:hint="eastAsia"/>
          <w:sz w:val="21"/>
          <w:szCs w:val="21"/>
        </w:rPr>
        <w:t>项，共申请海外专利</w:t>
      </w:r>
      <w:r w:rsidRPr="00BA13AD">
        <w:rPr>
          <w:rFonts w:ascii="Times New Roman" w:hAnsi="Times New Roman"/>
          <w:sz w:val="21"/>
          <w:szCs w:val="21"/>
        </w:rPr>
        <w:t>14</w:t>
      </w:r>
      <w:r>
        <w:rPr>
          <w:rFonts w:ascii="Times New Roman" w:hAnsi="Times New Roman" w:hint="eastAsia"/>
          <w:sz w:val="21"/>
          <w:szCs w:val="21"/>
        </w:rPr>
        <w:t>项、海外外观设计专利</w:t>
      </w:r>
      <w:r w:rsidRPr="00BA13AD">
        <w:rPr>
          <w:rFonts w:ascii="Times New Roman" w:hAnsi="Times New Roman"/>
          <w:sz w:val="21"/>
          <w:szCs w:val="21"/>
        </w:rPr>
        <w:t>1</w:t>
      </w:r>
      <w:r>
        <w:rPr>
          <w:rFonts w:ascii="Times New Roman" w:hAnsi="Times New Roman" w:hint="eastAsia"/>
          <w:sz w:val="21"/>
          <w:szCs w:val="21"/>
        </w:rPr>
        <w:t>项，新获专利授权</w:t>
      </w:r>
      <w:r w:rsidRPr="00BA13AD">
        <w:rPr>
          <w:rFonts w:ascii="Times New Roman" w:hAnsi="Times New Roman"/>
          <w:sz w:val="21"/>
          <w:szCs w:val="21"/>
        </w:rPr>
        <w:t>49</w:t>
      </w:r>
      <w:r>
        <w:rPr>
          <w:rFonts w:ascii="Times New Roman" w:hAnsi="Times New Roman" w:hint="eastAsia"/>
          <w:sz w:val="21"/>
          <w:szCs w:val="21"/>
        </w:rPr>
        <w:t>项；公司全资子公司</w:t>
      </w:r>
      <w:r w:rsidRPr="00BA13AD">
        <w:rPr>
          <w:rFonts w:ascii="Times New Roman" w:hAnsi="Times New Roman"/>
          <w:sz w:val="21"/>
          <w:szCs w:val="21"/>
        </w:rPr>
        <w:t>PTS</w:t>
      </w:r>
      <w:r>
        <w:rPr>
          <w:rFonts w:ascii="Times New Roman" w:hAnsi="Times New Roman" w:hint="eastAsia"/>
          <w:sz w:val="21"/>
          <w:szCs w:val="21"/>
        </w:rPr>
        <w:t>新获授权专利</w:t>
      </w:r>
      <w:r w:rsidRPr="00BA13AD">
        <w:rPr>
          <w:rFonts w:ascii="Times New Roman" w:hAnsi="Times New Roman"/>
          <w:sz w:val="21"/>
          <w:szCs w:val="21"/>
        </w:rPr>
        <w:t>3</w:t>
      </w:r>
      <w:r>
        <w:rPr>
          <w:rFonts w:ascii="Times New Roman" w:hAnsi="Times New Roman" w:hint="eastAsia"/>
          <w:sz w:val="21"/>
          <w:szCs w:val="21"/>
        </w:rPr>
        <w:t>项，其中中国专利</w:t>
      </w:r>
      <w:r w:rsidRPr="00BA13AD">
        <w:rPr>
          <w:rFonts w:ascii="Times New Roman" w:hAnsi="Times New Roman"/>
          <w:sz w:val="21"/>
          <w:szCs w:val="21"/>
        </w:rPr>
        <w:t>1</w:t>
      </w:r>
      <w:r>
        <w:rPr>
          <w:rFonts w:ascii="Times New Roman" w:hAnsi="Times New Roman" w:hint="eastAsia"/>
          <w:sz w:val="21"/>
          <w:szCs w:val="21"/>
        </w:rPr>
        <w:t>项，美国专利</w:t>
      </w:r>
      <w:r w:rsidRPr="00BA13AD">
        <w:rPr>
          <w:rFonts w:ascii="Times New Roman" w:hAnsi="Times New Roman"/>
          <w:sz w:val="21"/>
          <w:szCs w:val="21"/>
        </w:rPr>
        <w:t>1</w:t>
      </w:r>
      <w:r>
        <w:rPr>
          <w:rFonts w:ascii="Times New Roman" w:hAnsi="Times New Roman" w:hint="eastAsia"/>
          <w:sz w:val="21"/>
          <w:szCs w:val="21"/>
        </w:rPr>
        <w:t>项，其他国家和地区</w:t>
      </w:r>
      <w:r w:rsidRPr="00BA13AD">
        <w:rPr>
          <w:rFonts w:ascii="Times New Roman" w:hAnsi="Times New Roman"/>
          <w:sz w:val="21"/>
          <w:szCs w:val="21"/>
        </w:rPr>
        <w:t>1</w:t>
      </w:r>
      <w:r>
        <w:rPr>
          <w:rFonts w:ascii="Times New Roman" w:hAnsi="Times New Roman" w:hint="eastAsia"/>
          <w:sz w:val="21"/>
          <w:szCs w:val="21"/>
        </w:rPr>
        <w:t>项；其余子公司共申请中国专利</w:t>
      </w:r>
      <w:r w:rsidRPr="00BA13AD">
        <w:rPr>
          <w:rFonts w:ascii="Times New Roman" w:hAnsi="Times New Roman"/>
          <w:sz w:val="21"/>
          <w:szCs w:val="21"/>
        </w:rPr>
        <w:t>5</w:t>
      </w:r>
      <w:r>
        <w:rPr>
          <w:rFonts w:ascii="Times New Roman" w:hAnsi="Times New Roman" w:hint="eastAsia"/>
          <w:sz w:val="21"/>
          <w:szCs w:val="21"/>
        </w:rPr>
        <w:t>项和软件著作权</w:t>
      </w:r>
      <w:r w:rsidRPr="00BA13AD">
        <w:rPr>
          <w:rFonts w:ascii="Times New Roman" w:hAnsi="Times New Roman"/>
          <w:sz w:val="21"/>
          <w:szCs w:val="21"/>
        </w:rPr>
        <w:t>1</w:t>
      </w:r>
      <w:r>
        <w:rPr>
          <w:rFonts w:ascii="Times New Roman" w:hAnsi="Times New Roman" w:hint="eastAsia"/>
          <w:sz w:val="21"/>
          <w:szCs w:val="21"/>
        </w:rPr>
        <w:t>项，其中发明专利</w:t>
      </w:r>
      <w:r w:rsidRPr="00BA13AD">
        <w:rPr>
          <w:rFonts w:ascii="Times New Roman" w:hAnsi="Times New Roman"/>
          <w:sz w:val="21"/>
          <w:szCs w:val="21"/>
        </w:rPr>
        <w:t>2</w:t>
      </w:r>
      <w:r>
        <w:rPr>
          <w:rFonts w:ascii="Times New Roman" w:hAnsi="Times New Roman" w:hint="eastAsia"/>
          <w:sz w:val="21"/>
          <w:szCs w:val="21"/>
        </w:rPr>
        <w:t>项，实用新型专利</w:t>
      </w:r>
      <w:r w:rsidRPr="00BA13AD">
        <w:rPr>
          <w:rFonts w:ascii="Times New Roman" w:hAnsi="Times New Roman"/>
          <w:sz w:val="21"/>
          <w:szCs w:val="21"/>
        </w:rPr>
        <w:t>3</w:t>
      </w:r>
      <w:r>
        <w:rPr>
          <w:rFonts w:ascii="Times New Roman" w:hAnsi="Times New Roman" w:hint="eastAsia"/>
          <w:sz w:val="21"/>
          <w:szCs w:val="21"/>
        </w:rPr>
        <w:t>项，新获专利授权</w:t>
      </w:r>
      <w:r w:rsidRPr="00BA13AD">
        <w:rPr>
          <w:rFonts w:ascii="Times New Roman" w:hAnsi="Times New Roman"/>
          <w:sz w:val="21"/>
          <w:szCs w:val="21"/>
        </w:rPr>
        <w:t>1</w:t>
      </w:r>
      <w:r>
        <w:rPr>
          <w:rFonts w:ascii="Times New Roman" w:hAnsi="Times New Roman" w:hint="eastAsia"/>
          <w:sz w:val="21"/>
          <w:szCs w:val="21"/>
        </w:rPr>
        <w:t>项。报告期内，上市公司新增</w:t>
      </w:r>
      <w:r w:rsidRPr="00BA13AD">
        <w:rPr>
          <w:rFonts w:ascii="Times New Roman" w:hAnsi="Times New Roman"/>
          <w:sz w:val="21"/>
          <w:szCs w:val="21"/>
        </w:rPr>
        <w:t>7</w:t>
      </w:r>
      <w:r>
        <w:rPr>
          <w:rFonts w:ascii="Times New Roman" w:hAnsi="Times New Roman" w:hint="eastAsia"/>
          <w:sz w:val="21"/>
          <w:szCs w:val="21"/>
        </w:rPr>
        <w:t>项国内医疗器械注册证，新增</w:t>
      </w:r>
      <w:r w:rsidRPr="00BA13AD">
        <w:rPr>
          <w:rFonts w:ascii="Times New Roman" w:hAnsi="Times New Roman"/>
          <w:sz w:val="21"/>
          <w:szCs w:val="21"/>
        </w:rPr>
        <w:t>3</w:t>
      </w:r>
      <w:r>
        <w:rPr>
          <w:rFonts w:ascii="Times New Roman" w:hAnsi="Times New Roman" w:hint="eastAsia"/>
          <w:sz w:val="21"/>
          <w:szCs w:val="21"/>
        </w:rPr>
        <w:t>项</w:t>
      </w:r>
      <w:r w:rsidRPr="00BA13AD">
        <w:rPr>
          <w:rFonts w:ascii="Times New Roman" w:hAnsi="Times New Roman"/>
          <w:sz w:val="21"/>
          <w:szCs w:val="21"/>
        </w:rPr>
        <w:t>CE</w:t>
      </w:r>
      <w:r>
        <w:rPr>
          <w:rFonts w:ascii="Times New Roman" w:hAnsi="Times New Roman" w:hint="eastAsia"/>
          <w:sz w:val="21"/>
          <w:szCs w:val="21"/>
        </w:rPr>
        <w:t>认证证书（对应包含</w:t>
      </w:r>
      <w:r w:rsidRPr="00BA13AD">
        <w:rPr>
          <w:rFonts w:ascii="Times New Roman" w:hAnsi="Times New Roman"/>
          <w:sz w:val="21"/>
          <w:szCs w:val="21"/>
        </w:rPr>
        <w:t>7</w:t>
      </w:r>
      <w:r>
        <w:rPr>
          <w:rFonts w:ascii="Times New Roman" w:hAnsi="Times New Roman" w:hint="eastAsia"/>
          <w:sz w:val="21"/>
          <w:szCs w:val="21"/>
        </w:rPr>
        <w:t>款产品）和</w:t>
      </w:r>
      <w:r w:rsidRPr="00BA13AD">
        <w:rPr>
          <w:rFonts w:ascii="Times New Roman" w:hAnsi="Times New Roman"/>
          <w:sz w:val="21"/>
          <w:szCs w:val="21"/>
        </w:rPr>
        <w:t>2</w:t>
      </w:r>
      <w:r>
        <w:rPr>
          <w:rFonts w:ascii="Times New Roman" w:hAnsi="Times New Roman" w:hint="eastAsia"/>
          <w:sz w:val="21"/>
          <w:szCs w:val="21"/>
        </w:rPr>
        <w:t>项自我宣称（包含对应</w:t>
      </w:r>
      <w:r w:rsidRPr="00BA13AD">
        <w:rPr>
          <w:rFonts w:ascii="Times New Roman" w:hAnsi="Times New Roman"/>
          <w:sz w:val="21"/>
          <w:szCs w:val="21"/>
        </w:rPr>
        <w:t>2</w:t>
      </w:r>
      <w:r>
        <w:rPr>
          <w:rFonts w:ascii="Times New Roman" w:hAnsi="Times New Roman" w:hint="eastAsia"/>
          <w:sz w:val="21"/>
          <w:szCs w:val="21"/>
        </w:rPr>
        <w:t>款产品），当前处于注册阶段的产品</w:t>
      </w:r>
      <w:r w:rsidRPr="00BA13AD">
        <w:rPr>
          <w:rFonts w:ascii="Times New Roman" w:hAnsi="Times New Roman"/>
          <w:sz w:val="21"/>
          <w:szCs w:val="21"/>
        </w:rPr>
        <w:t>11</w:t>
      </w:r>
      <w:r>
        <w:rPr>
          <w:rFonts w:ascii="Times New Roman" w:hAnsi="Times New Roman" w:hint="eastAsia"/>
          <w:sz w:val="21"/>
          <w:szCs w:val="21"/>
        </w:rPr>
        <w:t>项</w:t>
      </w:r>
      <w:r w:rsidRPr="00BA13AD">
        <w:rPr>
          <w:rFonts w:ascii="Times New Roman" w:hAnsi="Times New Roman" w:hint="eastAsia"/>
          <w:sz w:val="21"/>
          <w:szCs w:val="21"/>
        </w:rPr>
        <w:t>，其中正在申请的国内医疗器械产品注册证</w:t>
      </w:r>
      <w:r w:rsidRPr="00BA13AD">
        <w:rPr>
          <w:rFonts w:ascii="Times New Roman" w:hAnsi="Times New Roman"/>
          <w:sz w:val="21"/>
          <w:szCs w:val="21"/>
        </w:rPr>
        <w:t>6</w:t>
      </w:r>
      <w:r w:rsidRPr="00BA13AD">
        <w:rPr>
          <w:rFonts w:ascii="Times New Roman" w:hAnsi="Times New Roman" w:hint="eastAsia"/>
          <w:sz w:val="21"/>
          <w:szCs w:val="21"/>
        </w:rPr>
        <w:t>项，正在申请的</w:t>
      </w:r>
      <w:r w:rsidRPr="00BA13AD">
        <w:rPr>
          <w:rFonts w:ascii="Times New Roman" w:hAnsi="Times New Roman"/>
          <w:sz w:val="21"/>
          <w:szCs w:val="21"/>
        </w:rPr>
        <w:t>CE</w:t>
      </w:r>
      <w:r w:rsidRPr="00BA13AD">
        <w:rPr>
          <w:rFonts w:ascii="Times New Roman" w:hAnsi="Times New Roman" w:hint="eastAsia"/>
          <w:sz w:val="21"/>
          <w:szCs w:val="21"/>
        </w:rPr>
        <w:t>产品注册证</w:t>
      </w:r>
      <w:r w:rsidRPr="00BA13AD">
        <w:rPr>
          <w:rFonts w:ascii="Times New Roman" w:hAnsi="Times New Roman"/>
          <w:sz w:val="21"/>
          <w:szCs w:val="21"/>
        </w:rPr>
        <w:t>5</w:t>
      </w:r>
      <w:r w:rsidRPr="00BA13AD">
        <w:rPr>
          <w:rFonts w:ascii="Times New Roman" w:hAnsi="Times New Roman" w:hint="eastAsia"/>
          <w:sz w:val="21"/>
          <w:szCs w:val="21"/>
        </w:rPr>
        <w:t>项</w:t>
      </w:r>
      <w:r>
        <w:rPr>
          <w:rFonts w:ascii="Times New Roman" w:hAnsi="Times New Roman" w:hint="eastAsia"/>
          <w:sz w:val="21"/>
          <w:szCs w:val="21"/>
        </w:rPr>
        <w:t>；公司控股子公司</w:t>
      </w:r>
      <w:r w:rsidRPr="00BA13AD">
        <w:rPr>
          <w:rFonts w:ascii="Times New Roman" w:hAnsi="Times New Roman"/>
          <w:sz w:val="21"/>
          <w:szCs w:val="21"/>
        </w:rPr>
        <w:t>Trividia</w:t>
      </w:r>
      <w:r>
        <w:rPr>
          <w:rFonts w:ascii="Times New Roman" w:hAnsi="Times New Roman" w:hint="eastAsia"/>
          <w:sz w:val="21"/>
          <w:szCs w:val="21"/>
        </w:rPr>
        <w:t>正在申请</w:t>
      </w:r>
      <w:r w:rsidRPr="00BA13AD">
        <w:rPr>
          <w:rFonts w:ascii="Times New Roman" w:hAnsi="Times New Roman"/>
          <w:sz w:val="21"/>
          <w:szCs w:val="21"/>
        </w:rPr>
        <w:t>2</w:t>
      </w:r>
      <w:r>
        <w:rPr>
          <w:rFonts w:ascii="Times New Roman" w:hAnsi="Times New Roman" w:hint="eastAsia"/>
          <w:sz w:val="21"/>
          <w:szCs w:val="21"/>
        </w:rPr>
        <w:t>项</w:t>
      </w:r>
      <w:r w:rsidRPr="00BA13AD">
        <w:rPr>
          <w:rFonts w:ascii="Times New Roman" w:hAnsi="Times New Roman"/>
          <w:sz w:val="21"/>
          <w:szCs w:val="21"/>
        </w:rPr>
        <w:t>CE</w:t>
      </w:r>
      <w:r>
        <w:rPr>
          <w:rFonts w:ascii="Times New Roman" w:hAnsi="Times New Roman" w:hint="eastAsia"/>
          <w:sz w:val="21"/>
          <w:szCs w:val="21"/>
        </w:rPr>
        <w:t>认证。</w:t>
      </w:r>
    </w:p>
    <w:p w14:paraId="7179315E"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截至报告期末，上市公司拥有中国授权专利</w:t>
      </w:r>
      <w:r w:rsidRPr="00BA13AD">
        <w:rPr>
          <w:rFonts w:ascii="Times New Roman" w:hAnsi="Times New Roman"/>
          <w:sz w:val="21"/>
          <w:szCs w:val="21"/>
        </w:rPr>
        <w:t>324</w:t>
      </w:r>
      <w:r>
        <w:rPr>
          <w:rFonts w:ascii="Times New Roman" w:hAnsi="Times New Roman" w:hint="eastAsia"/>
          <w:sz w:val="21"/>
          <w:szCs w:val="21"/>
        </w:rPr>
        <w:t>项和软件著作权</w:t>
      </w:r>
      <w:r w:rsidRPr="00BA13AD">
        <w:rPr>
          <w:rFonts w:ascii="Times New Roman" w:hAnsi="Times New Roman"/>
          <w:sz w:val="21"/>
          <w:szCs w:val="21"/>
        </w:rPr>
        <w:t>166</w:t>
      </w:r>
      <w:r>
        <w:rPr>
          <w:rFonts w:ascii="Times New Roman" w:hAnsi="Times New Roman" w:hint="eastAsia"/>
          <w:sz w:val="21"/>
          <w:szCs w:val="21"/>
        </w:rPr>
        <w:t>项，其中发明专利</w:t>
      </w:r>
      <w:r w:rsidRPr="00BA13AD">
        <w:rPr>
          <w:rFonts w:ascii="Times New Roman" w:hAnsi="Times New Roman"/>
          <w:sz w:val="21"/>
          <w:szCs w:val="21"/>
        </w:rPr>
        <w:t>106</w:t>
      </w:r>
      <w:r>
        <w:rPr>
          <w:rFonts w:ascii="Times New Roman" w:hAnsi="Times New Roman" w:hint="eastAsia"/>
          <w:sz w:val="21"/>
          <w:szCs w:val="21"/>
        </w:rPr>
        <w:t>项，实用新型专利</w:t>
      </w:r>
      <w:r w:rsidRPr="00BA13AD">
        <w:rPr>
          <w:rFonts w:ascii="Times New Roman" w:hAnsi="Times New Roman"/>
          <w:sz w:val="21"/>
          <w:szCs w:val="21"/>
        </w:rPr>
        <w:t>164</w:t>
      </w:r>
      <w:r>
        <w:rPr>
          <w:rFonts w:ascii="Times New Roman" w:hAnsi="Times New Roman" w:hint="eastAsia"/>
          <w:sz w:val="21"/>
          <w:szCs w:val="21"/>
        </w:rPr>
        <w:t>项，外观设计专利</w:t>
      </w:r>
      <w:r w:rsidRPr="00BA13AD">
        <w:rPr>
          <w:rFonts w:ascii="Times New Roman" w:hAnsi="Times New Roman"/>
          <w:sz w:val="21"/>
          <w:szCs w:val="21"/>
        </w:rPr>
        <w:t>54</w:t>
      </w:r>
      <w:r>
        <w:rPr>
          <w:rFonts w:ascii="Times New Roman" w:hAnsi="Times New Roman" w:hint="eastAsia"/>
          <w:sz w:val="21"/>
          <w:szCs w:val="21"/>
        </w:rPr>
        <w:t>项，拥有海外专利</w:t>
      </w:r>
      <w:r w:rsidRPr="00BA13AD">
        <w:rPr>
          <w:rFonts w:ascii="Times New Roman" w:hAnsi="Times New Roman"/>
          <w:sz w:val="21"/>
          <w:szCs w:val="21"/>
        </w:rPr>
        <w:t>20</w:t>
      </w:r>
      <w:r>
        <w:rPr>
          <w:rFonts w:ascii="Times New Roman" w:hAnsi="Times New Roman" w:hint="eastAsia"/>
          <w:sz w:val="21"/>
          <w:szCs w:val="21"/>
        </w:rPr>
        <w:t>项和海外外观设计专利</w:t>
      </w:r>
      <w:r w:rsidRPr="00BA13AD">
        <w:rPr>
          <w:rFonts w:ascii="Times New Roman" w:hAnsi="Times New Roman"/>
          <w:sz w:val="21"/>
          <w:szCs w:val="21"/>
        </w:rPr>
        <w:t>15</w:t>
      </w:r>
      <w:r>
        <w:rPr>
          <w:rFonts w:ascii="Times New Roman" w:hAnsi="Times New Roman" w:hint="eastAsia"/>
          <w:sz w:val="21"/>
          <w:szCs w:val="21"/>
        </w:rPr>
        <w:t>项；公司全资子公司</w:t>
      </w:r>
      <w:r w:rsidRPr="00BA13AD">
        <w:rPr>
          <w:rFonts w:ascii="Times New Roman" w:hAnsi="Times New Roman"/>
          <w:sz w:val="21"/>
          <w:szCs w:val="21"/>
        </w:rPr>
        <w:t>PTS</w:t>
      </w:r>
      <w:r>
        <w:rPr>
          <w:rFonts w:ascii="Times New Roman" w:hAnsi="Times New Roman" w:hint="eastAsia"/>
          <w:sz w:val="21"/>
          <w:szCs w:val="21"/>
        </w:rPr>
        <w:t>拥有授权专利</w:t>
      </w:r>
      <w:r w:rsidRPr="00BA13AD">
        <w:rPr>
          <w:rFonts w:ascii="Times New Roman" w:hAnsi="Times New Roman"/>
          <w:sz w:val="21"/>
          <w:szCs w:val="21"/>
        </w:rPr>
        <w:t>60</w:t>
      </w:r>
      <w:r>
        <w:rPr>
          <w:rFonts w:ascii="Times New Roman" w:hAnsi="Times New Roman" w:hint="eastAsia"/>
          <w:sz w:val="21"/>
          <w:szCs w:val="21"/>
        </w:rPr>
        <w:t>项，其中中国专利</w:t>
      </w:r>
      <w:r w:rsidRPr="00BA13AD">
        <w:rPr>
          <w:rFonts w:ascii="Times New Roman" w:hAnsi="Times New Roman"/>
          <w:sz w:val="21"/>
          <w:szCs w:val="21"/>
        </w:rPr>
        <w:t>10</w:t>
      </w:r>
      <w:r>
        <w:rPr>
          <w:rFonts w:ascii="Times New Roman" w:hAnsi="Times New Roman" w:hint="eastAsia"/>
          <w:sz w:val="21"/>
          <w:szCs w:val="21"/>
        </w:rPr>
        <w:t>项，美国专利</w:t>
      </w:r>
      <w:r w:rsidRPr="00BA13AD">
        <w:rPr>
          <w:rFonts w:ascii="Times New Roman" w:hAnsi="Times New Roman"/>
          <w:sz w:val="21"/>
          <w:szCs w:val="21"/>
        </w:rPr>
        <w:t>25</w:t>
      </w:r>
      <w:r>
        <w:rPr>
          <w:rFonts w:ascii="Times New Roman" w:hAnsi="Times New Roman" w:hint="eastAsia"/>
          <w:sz w:val="21"/>
          <w:szCs w:val="21"/>
        </w:rPr>
        <w:t>项，其他国家和地区</w:t>
      </w:r>
      <w:r w:rsidRPr="00BA13AD">
        <w:rPr>
          <w:rFonts w:ascii="Times New Roman" w:hAnsi="Times New Roman"/>
          <w:sz w:val="21"/>
          <w:szCs w:val="21"/>
        </w:rPr>
        <w:t>25</w:t>
      </w:r>
      <w:r>
        <w:rPr>
          <w:rFonts w:ascii="Times New Roman" w:hAnsi="Times New Roman" w:hint="eastAsia"/>
          <w:sz w:val="21"/>
          <w:szCs w:val="21"/>
        </w:rPr>
        <w:t>项；公司控股子公司</w:t>
      </w:r>
      <w:r w:rsidRPr="00BA13AD">
        <w:rPr>
          <w:rFonts w:ascii="Times New Roman" w:hAnsi="Times New Roman"/>
          <w:sz w:val="21"/>
          <w:szCs w:val="21"/>
        </w:rPr>
        <w:t>Trividia</w:t>
      </w:r>
      <w:r>
        <w:rPr>
          <w:rFonts w:ascii="Times New Roman" w:hAnsi="Times New Roman" w:hint="eastAsia"/>
          <w:sz w:val="21"/>
          <w:szCs w:val="21"/>
        </w:rPr>
        <w:t>拥有授权专利</w:t>
      </w:r>
      <w:r w:rsidRPr="00BA13AD">
        <w:rPr>
          <w:rFonts w:ascii="Times New Roman" w:hAnsi="Times New Roman"/>
          <w:sz w:val="21"/>
          <w:szCs w:val="21"/>
        </w:rPr>
        <w:t>267</w:t>
      </w:r>
      <w:r>
        <w:rPr>
          <w:rFonts w:ascii="Times New Roman" w:hAnsi="Times New Roman" w:hint="eastAsia"/>
          <w:sz w:val="21"/>
          <w:szCs w:val="21"/>
        </w:rPr>
        <w:t>项，其中中国专利</w:t>
      </w:r>
      <w:r w:rsidRPr="00BA13AD">
        <w:rPr>
          <w:rFonts w:ascii="Times New Roman" w:hAnsi="Times New Roman"/>
          <w:sz w:val="21"/>
          <w:szCs w:val="21"/>
        </w:rPr>
        <w:t>5</w:t>
      </w:r>
      <w:r>
        <w:rPr>
          <w:rFonts w:ascii="Times New Roman" w:hAnsi="Times New Roman" w:hint="eastAsia"/>
          <w:sz w:val="21"/>
          <w:szCs w:val="21"/>
        </w:rPr>
        <w:t>项，美国专利</w:t>
      </w:r>
      <w:r w:rsidRPr="00BA13AD">
        <w:rPr>
          <w:rFonts w:ascii="Times New Roman" w:hAnsi="Times New Roman"/>
          <w:sz w:val="21"/>
          <w:szCs w:val="21"/>
        </w:rPr>
        <w:t>46</w:t>
      </w:r>
      <w:r>
        <w:rPr>
          <w:rFonts w:ascii="Times New Roman" w:hAnsi="Times New Roman" w:hint="eastAsia"/>
          <w:sz w:val="21"/>
          <w:szCs w:val="21"/>
        </w:rPr>
        <w:t>项，其他国家和地区</w:t>
      </w:r>
      <w:r w:rsidRPr="00BA13AD">
        <w:rPr>
          <w:rFonts w:ascii="Times New Roman" w:hAnsi="Times New Roman"/>
          <w:sz w:val="21"/>
          <w:szCs w:val="21"/>
        </w:rPr>
        <w:t>216</w:t>
      </w:r>
      <w:r>
        <w:rPr>
          <w:rFonts w:ascii="Times New Roman" w:hAnsi="Times New Roman" w:hint="eastAsia"/>
          <w:sz w:val="21"/>
          <w:szCs w:val="21"/>
        </w:rPr>
        <w:t>项；其余子公司拥有中国授权专利</w:t>
      </w:r>
      <w:r w:rsidRPr="00BA13AD">
        <w:rPr>
          <w:rFonts w:ascii="Times New Roman" w:hAnsi="Times New Roman"/>
          <w:sz w:val="21"/>
          <w:szCs w:val="21"/>
        </w:rPr>
        <w:t>38</w:t>
      </w:r>
      <w:r>
        <w:rPr>
          <w:rFonts w:ascii="Times New Roman" w:hAnsi="Times New Roman" w:hint="eastAsia"/>
          <w:sz w:val="21"/>
          <w:szCs w:val="21"/>
        </w:rPr>
        <w:t>项和软件著作权</w:t>
      </w:r>
      <w:r w:rsidRPr="00BA13AD">
        <w:rPr>
          <w:rFonts w:ascii="Times New Roman" w:hAnsi="Times New Roman"/>
          <w:sz w:val="21"/>
          <w:szCs w:val="21"/>
        </w:rPr>
        <w:t>30</w:t>
      </w:r>
      <w:r>
        <w:rPr>
          <w:rFonts w:ascii="Times New Roman" w:hAnsi="Times New Roman" w:hint="eastAsia"/>
          <w:sz w:val="21"/>
          <w:szCs w:val="21"/>
        </w:rPr>
        <w:t>项，其中发明专利</w:t>
      </w:r>
      <w:r w:rsidRPr="00BA13AD">
        <w:rPr>
          <w:rFonts w:ascii="Times New Roman" w:hAnsi="Times New Roman"/>
          <w:sz w:val="21"/>
          <w:szCs w:val="21"/>
        </w:rPr>
        <w:t>2</w:t>
      </w:r>
      <w:r>
        <w:rPr>
          <w:rFonts w:ascii="Times New Roman" w:hAnsi="Times New Roman" w:hint="eastAsia"/>
          <w:sz w:val="21"/>
          <w:szCs w:val="21"/>
        </w:rPr>
        <w:t>项，实用新型专利</w:t>
      </w:r>
      <w:r w:rsidRPr="00BA13AD">
        <w:rPr>
          <w:rFonts w:ascii="Times New Roman" w:hAnsi="Times New Roman"/>
          <w:sz w:val="21"/>
          <w:szCs w:val="21"/>
        </w:rPr>
        <w:t>28</w:t>
      </w:r>
      <w:r>
        <w:rPr>
          <w:rFonts w:ascii="Times New Roman" w:hAnsi="Times New Roman" w:hint="eastAsia"/>
          <w:sz w:val="21"/>
          <w:szCs w:val="21"/>
        </w:rPr>
        <w:t>项，外观设计专利</w:t>
      </w:r>
      <w:r w:rsidRPr="00BA13AD">
        <w:rPr>
          <w:rFonts w:ascii="Times New Roman" w:hAnsi="Times New Roman"/>
          <w:sz w:val="21"/>
          <w:szCs w:val="21"/>
        </w:rPr>
        <w:t>8</w:t>
      </w:r>
      <w:r>
        <w:rPr>
          <w:rFonts w:ascii="Times New Roman" w:hAnsi="Times New Roman" w:hint="eastAsia"/>
          <w:sz w:val="21"/>
          <w:szCs w:val="21"/>
        </w:rPr>
        <w:t>项。上市公司共持有</w:t>
      </w:r>
      <w:r w:rsidRPr="00BA13AD">
        <w:rPr>
          <w:rFonts w:ascii="Times New Roman" w:hAnsi="Times New Roman"/>
          <w:sz w:val="21"/>
          <w:szCs w:val="21"/>
        </w:rPr>
        <w:t>164</w:t>
      </w:r>
      <w:r>
        <w:rPr>
          <w:rFonts w:ascii="Times New Roman" w:hAnsi="Times New Roman" w:hint="eastAsia"/>
          <w:sz w:val="21"/>
          <w:szCs w:val="21"/>
        </w:rPr>
        <w:t>项有效国内医疗器械注册证，</w:t>
      </w:r>
      <w:r w:rsidRPr="00BA13AD">
        <w:rPr>
          <w:rFonts w:ascii="Times New Roman" w:hAnsi="Times New Roman"/>
          <w:sz w:val="21"/>
          <w:szCs w:val="21"/>
        </w:rPr>
        <w:t>3</w:t>
      </w:r>
      <w:r>
        <w:rPr>
          <w:rFonts w:ascii="Times New Roman" w:hAnsi="Times New Roman" w:hint="eastAsia"/>
          <w:sz w:val="21"/>
          <w:szCs w:val="21"/>
        </w:rPr>
        <w:t>项有效国内医疗器械备案凭证，</w:t>
      </w:r>
      <w:r w:rsidRPr="00BA13AD">
        <w:rPr>
          <w:rFonts w:ascii="Times New Roman" w:hAnsi="Times New Roman"/>
          <w:sz w:val="21"/>
          <w:szCs w:val="21"/>
        </w:rPr>
        <w:t>2</w:t>
      </w:r>
      <w:r>
        <w:rPr>
          <w:rFonts w:ascii="Times New Roman" w:hAnsi="Times New Roman" w:hint="eastAsia"/>
          <w:sz w:val="21"/>
          <w:szCs w:val="21"/>
        </w:rPr>
        <w:t>项有效的美国</w:t>
      </w:r>
      <w:r w:rsidRPr="00BA13AD">
        <w:rPr>
          <w:rFonts w:ascii="Times New Roman" w:hAnsi="Times New Roman"/>
          <w:sz w:val="21"/>
          <w:szCs w:val="21"/>
        </w:rPr>
        <w:t>FDA</w:t>
      </w:r>
      <w:r>
        <w:rPr>
          <w:rFonts w:ascii="Times New Roman" w:hAnsi="Times New Roman" w:hint="eastAsia"/>
          <w:sz w:val="21"/>
          <w:szCs w:val="21"/>
        </w:rPr>
        <w:t>注册证（对应包含</w:t>
      </w:r>
      <w:r w:rsidRPr="00BA13AD">
        <w:rPr>
          <w:rFonts w:ascii="Times New Roman" w:hAnsi="Times New Roman"/>
          <w:sz w:val="21"/>
          <w:szCs w:val="21"/>
        </w:rPr>
        <w:t>3</w:t>
      </w:r>
      <w:r>
        <w:rPr>
          <w:rFonts w:ascii="Times New Roman" w:hAnsi="Times New Roman" w:hint="eastAsia"/>
          <w:sz w:val="21"/>
          <w:szCs w:val="21"/>
        </w:rPr>
        <w:t>款产品），</w:t>
      </w:r>
      <w:r w:rsidRPr="00BA13AD">
        <w:rPr>
          <w:rFonts w:ascii="Times New Roman" w:hAnsi="Times New Roman"/>
          <w:sz w:val="21"/>
          <w:szCs w:val="21"/>
        </w:rPr>
        <w:t>11</w:t>
      </w:r>
      <w:r>
        <w:rPr>
          <w:rFonts w:ascii="Times New Roman" w:hAnsi="Times New Roman" w:hint="eastAsia"/>
          <w:sz w:val="21"/>
          <w:szCs w:val="21"/>
        </w:rPr>
        <w:t>项有效的</w:t>
      </w:r>
      <w:r w:rsidRPr="00BA13AD">
        <w:rPr>
          <w:rFonts w:ascii="Times New Roman" w:hAnsi="Times New Roman"/>
          <w:sz w:val="21"/>
          <w:szCs w:val="21"/>
        </w:rPr>
        <w:t>CE</w:t>
      </w:r>
      <w:r>
        <w:rPr>
          <w:rFonts w:ascii="Times New Roman" w:hAnsi="Times New Roman" w:hint="eastAsia"/>
          <w:sz w:val="21"/>
          <w:szCs w:val="21"/>
        </w:rPr>
        <w:t>认证证书（对应包含</w:t>
      </w:r>
      <w:r w:rsidRPr="00BA13AD">
        <w:rPr>
          <w:rFonts w:ascii="Times New Roman" w:hAnsi="Times New Roman"/>
          <w:sz w:val="21"/>
          <w:szCs w:val="21"/>
        </w:rPr>
        <w:t>47</w:t>
      </w:r>
      <w:r>
        <w:rPr>
          <w:rFonts w:ascii="Times New Roman" w:hAnsi="Times New Roman" w:hint="eastAsia"/>
          <w:sz w:val="21"/>
          <w:szCs w:val="21"/>
        </w:rPr>
        <w:t>款产品），</w:t>
      </w:r>
      <w:r w:rsidRPr="00BA13AD">
        <w:rPr>
          <w:rFonts w:ascii="Times New Roman" w:hAnsi="Times New Roman"/>
          <w:sz w:val="21"/>
          <w:szCs w:val="21"/>
        </w:rPr>
        <w:t>24</w:t>
      </w:r>
      <w:r>
        <w:rPr>
          <w:rFonts w:ascii="Times New Roman" w:hAnsi="Times New Roman" w:hint="eastAsia"/>
          <w:sz w:val="21"/>
          <w:szCs w:val="21"/>
        </w:rPr>
        <w:t>项有效的产品</w:t>
      </w:r>
      <w:r w:rsidRPr="00BA13AD">
        <w:rPr>
          <w:rFonts w:ascii="Times New Roman" w:hAnsi="Times New Roman"/>
          <w:sz w:val="21"/>
          <w:szCs w:val="21"/>
        </w:rPr>
        <w:t>CE</w:t>
      </w:r>
      <w:r>
        <w:rPr>
          <w:rFonts w:ascii="Times New Roman" w:hAnsi="Times New Roman" w:hint="eastAsia"/>
          <w:sz w:val="21"/>
          <w:szCs w:val="21"/>
        </w:rPr>
        <w:t>自我宣称（对应包含</w:t>
      </w:r>
      <w:r w:rsidRPr="00BA13AD">
        <w:rPr>
          <w:rFonts w:ascii="Times New Roman" w:hAnsi="Times New Roman"/>
          <w:sz w:val="21"/>
          <w:szCs w:val="21"/>
        </w:rPr>
        <w:t>79</w:t>
      </w:r>
      <w:r>
        <w:rPr>
          <w:rFonts w:ascii="Times New Roman" w:hAnsi="Times New Roman" w:hint="eastAsia"/>
          <w:sz w:val="21"/>
          <w:szCs w:val="21"/>
        </w:rPr>
        <w:t>款产品）；公司全资子公司</w:t>
      </w:r>
      <w:r w:rsidRPr="00BA13AD">
        <w:rPr>
          <w:rFonts w:ascii="Times New Roman" w:hAnsi="Times New Roman"/>
          <w:sz w:val="21"/>
          <w:szCs w:val="21"/>
        </w:rPr>
        <w:t>PTS</w:t>
      </w:r>
      <w:r>
        <w:rPr>
          <w:rFonts w:ascii="Times New Roman" w:hAnsi="Times New Roman" w:hint="eastAsia"/>
          <w:sz w:val="21"/>
          <w:szCs w:val="21"/>
        </w:rPr>
        <w:t>共持有</w:t>
      </w:r>
      <w:r w:rsidRPr="00BA13AD">
        <w:rPr>
          <w:rFonts w:ascii="Times New Roman" w:hAnsi="Times New Roman"/>
          <w:sz w:val="21"/>
          <w:szCs w:val="21"/>
        </w:rPr>
        <w:t>21</w:t>
      </w:r>
      <w:r>
        <w:rPr>
          <w:rFonts w:ascii="Times New Roman" w:hAnsi="Times New Roman" w:hint="eastAsia"/>
          <w:sz w:val="21"/>
          <w:szCs w:val="21"/>
        </w:rPr>
        <w:t>项有效的美国</w:t>
      </w:r>
      <w:r w:rsidRPr="00BA13AD">
        <w:rPr>
          <w:rFonts w:ascii="Times New Roman" w:hAnsi="Times New Roman"/>
          <w:sz w:val="21"/>
          <w:szCs w:val="21"/>
        </w:rPr>
        <w:t>FDA</w:t>
      </w:r>
      <w:r>
        <w:rPr>
          <w:rFonts w:ascii="Times New Roman" w:hAnsi="Times New Roman" w:hint="eastAsia"/>
          <w:sz w:val="21"/>
          <w:szCs w:val="21"/>
        </w:rPr>
        <w:t>注册证和</w:t>
      </w:r>
      <w:r w:rsidRPr="00BA13AD">
        <w:rPr>
          <w:rFonts w:ascii="Times New Roman" w:hAnsi="Times New Roman"/>
          <w:sz w:val="21"/>
          <w:szCs w:val="21"/>
        </w:rPr>
        <w:t>11</w:t>
      </w:r>
      <w:r>
        <w:rPr>
          <w:rFonts w:ascii="Times New Roman" w:hAnsi="Times New Roman" w:hint="eastAsia"/>
          <w:sz w:val="21"/>
          <w:szCs w:val="21"/>
        </w:rPr>
        <w:t>项有效的</w:t>
      </w:r>
      <w:r w:rsidRPr="00BA13AD">
        <w:rPr>
          <w:rFonts w:ascii="Times New Roman" w:hAnsi="Times New Roman"/>
          <w:sz w:val="21"/>
          <w:szCs w:val="21"/>
        </w:rPr>
        <w:t>CE</w:t>
      </w:r>
      <w:r>
        <w:rPr>
          <w:rFonts w:ascii="Times New Roman" w:hAnsi="Times New Roman" w:hint="eastAsia"/>
          <w:sz w:val="21"/>
          <w:szCs w:val="21"/>
        </w:rPr>
        <w:t>认证证书，已取得</w:t>
      </w:r>
      <w:r w:rsidRPr="00BA13AD">
        <w:rPr>
          <w:rFonts w:ascii="Times New Roman" w:hAnsi="Times New Roman"/>
          <w:sz w:val="21"/>
          <w:szCs w:val="21"/>
        </w:rPr>
        <w:t>7</w:t>
      </w:r>
      <w:r>
        <w:rPr>
          <w:rFonts w:ascii="Times New Roman" w:hAnsi="Times New Roman" w:hint="eastAsia"/>
          <w:sz w:val="21"/>
          <w:szCs w:val="21"/>
        </w:rPr>
        <w:t>项有效的国内医疗器械进口注册证，</w:t>
      </w:r>
      <w:r w:rsidRPr="00BA13AD">
        <w:rPr>
          <w:rFonts w:ascii="Times New Roman" w:hAnsi="Times New Roman"/>
          <w:sz w:val="21"/>
          <w:szCs w:val="21"/>
        </w:rPr>
        <w:t>1</w:t>
      </w:r>
      <w:r>
        <w:rPr>
          <w:rFonts w:ascii="Times New Roman" w:hAnsi="Times New Roman" w:hint="eastAsia"/>
          <w:sz w:val="21"/>
          <w:szCs w:val="21"/>
        </w:rPr>
        <w:t>项有效的医疗器械进口备案凭证；公司控股子公司</w:t>
      </w:r>
      <w:r w:rsidRPr="00BA13AD">
        <w:rPr>
          <w:rFonts w:ascii="Times New Roman" w:hAnsi="Times New Roman"/>
          <w:sz w:val="21"/>
          <w:szCs w:val="21"/>
        </w:rPr>
        <w:t>Trividia</w:t>
      </w:r>
      <w:r>
        <w:rPr>
          <w:rFonts w:ascii="Times New Roman" w:hAnsi="Times New Roman" w:hint="eastAsia"/>
          <w:sz w:val="21"/>
          <w:szCs w:val="21"/>
        </w:rPr>
        <w:t>共持有</w:t>
      </w:r>
      <w:r w:rsidRPr="00BA13AD">
        <w:rPr>
          <w:rFonts w:ascii="Times New Roman" w:hAnsi="Times New Roman"/>
          <w:sz w:val="21"/>
          <w:szCs w:val="21"/>
        </w:rPr>
        <w:t>5</w:t>
      </w:r>
      <w:r>
        <w:rPr>
          <w:rFonts w:ascii="Times New Roman" w:hAnsi="Times New Roman" w:hint="eastAsia"/>
          <w:sz w:val="21"/>
          <w:szCs w:val="21"/>
        </w:rPr>
        <w:t>项有效的美国</w:t>
      </w:r>
      <w:r w:rsidRPr="00BA13AD">
        <w:rPr>
          <w:rFonts w:ascii="Times New Roman" w:hAnsi="Times New Roman"/>
          <w:sz w:val="21"/>
          <w:szCs w:val="21"/>
        </w:rPr>
        <w:t>FDA</w:t>
      </w:r>
      <w:r>
        <w:rPr>
          <w:rFonts w:ascii="Times New Roman" w:hAnsi="Times New Roman" w:hint="eastAsia"/>
          <w:sz w:val="21"/>
          <w:szCs w:val="21"/>
        </w:rPr>
        <w:t>注册证和</w:t>
      </w:r>
      <w:r w:rsidRPr="00BA13AD">
        <w:rPr>
          <w:rFonts w:ascii="Times New Roman" w:hAnsi="Times New Roman"/>
          <w:sz w:val="21"/>
          <w:szCs w:val="21"/>
        </w:rPr>
        <w:t>4</w:t>
      </w:r>
      <w:r>
        <w:rPr>
          <w:rFonts w:ascii="Times New Roman" w:hAnsi="Times New Roman" w:hint="eastAsia"/>
          <w:sz w:val="21"/>
          <w:szCs w:val="21"/>
        </w:rPr>
        <w:t>项有效的</w:t>
      </w:r>
      <w:r w:rsidRPr="00BA13AD">
        <w:rPr>
          <w:rFonts w:ascii="Times New Roman" w:hAnsi="Times New Roman"/>
          <w:sz w:val="21"/>
          <w:szCs w:val="21"/>
        </w:rPr>
        <w:t>CE</w:t>
      </w:r>
      <w:r>
        <w:rPr>
          <w:rFonts w:ascii="Times New Roman" w:hAnsi="Times New Roman" w:hint="eastAsia"/>
          <w:sz w:val="21"/>
          <w:szCs w:val="21"/>
        </w:rPr>
        <w:t>认证证书，已取得</w:t>
      </w:r>
      <w:r w:rsidRPr="00BA13AD">
        <w:rPr>
          <w:rFonts w:ascii="Times New Roman" w:hAnsi="Times New Roman"/>
          <w:sz w:val="21"/>
          <w:szCs w:val="21"/>
        </w:rPr>
        <w:t>2</w:t>
      </w:r>
      <w:r>
        <w:rPr>
          <w:rFonts w:ascii="Times New Roman" w:hAnsi="Times New Roman" w:hint="eastAsia"/>
          <w:sz w:val="21"/>
          <w:szCs w:val="21"/>
        </w:rPr>
        <w:t>项有效的国内医疗器械进口注册证。公司已形成了较为全面的知识产权体系和有效的医疗器械注册布局，有效提升了公司自主创新能力和核心竞争力。</w:t>
      </w:r>
    </w:p>
    <w:p w14:paraId="13F651D9"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Style w:val="aa"/>
          <w:rFonts w:ascii="Times New Roman" w:hAnsi="Times New Roman" w:cs="Times New Roman"/>
          <w:sz w:val="21"/>
          <w:szCs w:val="21"/>
        </w:rPr>
        <w:t>3</w:t>
      </w:r>
      <w:r>
        <w:rPr>
          <w:rStyle w:val="aa"/>
          <w:rFonts w:ascii="Times New Roman" w:hAnsi="Times New Roman" w:hint="eastAsia"/>
          <w:sz w:val="21"/>
          <w:szCs w:val="21"/>
        </w:rPr>
        <w:t>、强化质量控制与伦理合规，严控产品质量</w:t>
      </w:r>
    </w:p>
    <w:p w14:paraId="6BF7B9A7"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报告期内，公司高度重视产品质量管控与科研伦理合规建设，持续完善管理体系、强化全员质量意识，恪守伦理规范，为公司经营发展及研发创新提供坚实保障。</w:t>
      </w:r>
    </w:p>
    <w:p w14:paraId="6F5FFF6E"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公司持续优化质量管理体系，成功导入质量管理</w:t>
      </w:r>
      <w:r w:rsidRPr="00BA13AD">
        <w:rPr>
          <w:rFonts w:ascii="Times New Roman" w:hAnsi="Times New Roman"/>
          <w:sz w:val="21"/>
          <w:szCs w:val="21"/>
        </w:rPr>
        <w:t>QMS</w:t>
      </w:r>
      <w:r>
        <w:rPr>
          <w:rFonts w:ascii="Times New Roman" w:hAnsi="Times New Roman" w:hint="eastAsia"/>
          <w:sz w:val="21"/>
          <w:szCs w:val="21"/>
        </w:rPr>
        <w:t>系统，有效规范和指导公司内部的质量管理活动，实现统一调查、统一管理数据，以确保质量的一致性、可追溯性和持续改进；深入培育并全面落实质量文化，举办质量年会、质量月会、质量知识竞赛等活动，积极开展质量控制和产品安全相关培训，截至报告期末，公司参与质量培训人员累计超</w:t>
      </w:r>
      <w:r w:rsidRPr="00BA13AD">
        <w:rPr>
          <w:rFonts w:ascii="Times New Roman" w:hAnsi="Times New Roman"/>
          <w:sz w:val="21"/>
          <w:szCs w:val="21"/>
        </w:rPr>
        <w:t>16</w:t>
      </w:r>
      <w:r>
        <w:rPr>
          <w:rFonts w:ascii="Times New Roman" w:hAnsi="Times New Roman" w:hint="eastAsia"/>
          <w:sz w:val="21"/>
          <w:szCs w:val="21"/>
        </w:rPr>
        <w:t>万人次，有效培养和提升了员工专业素养和质量意识。公司已获得</w:t>
      </w:r>
      <w:r w:rsidRPr="00BA13AD">
        <w:rPr>
          <w:rFonts w:ascii="Times New Roman" w:hAnsi="Times New Roman"/>
          <w:sz w:val="21"/>
          <w:szCs w:val="21"/>
        </w:rPr>
        <w:t>ISO 9001</w:t>
      </w:r>
      <w:r>
        <w:rPr>
          <w:rFonts w:ascii="Times New Roman" w:hAnsi="Times New Roman" w:hint="eastAsia"/>
          <w:sz w:val="21"/>
          <w:szCs w:val="21"/>
        </w:rPr>
        <w:t>、</w:t>
      </w:r>
      <w:r w:rsidRPr="00BA13AD">
        <w:rPr>
          <w:rFonts w:ascii="Times New Roman" w:hAnsi="Times New Roman"/>
          <w:sz w:val="21"/>
          <w:szCs w:val="21"/>
        </w:rPr>
        <w:t>ISO 13485</w:t>
      </w:r>
      <w:r>
        <w:rPr>
          <w:rFonts w:ascii="Times New Roman" w:hAnsi="Times New Roman" w:hint="eastAsia"/>
          <w:sz w:val="21"/>
          <w:szCs w:val="21"/>
        </w:rPr>
        <w:t>、</w:t>
      </w:r>
      <w:r w:rsidRPr="00BA13AD">
        <w:rPr>
          <w:rFonts w:ascii="Times New Roman" w:hAnsi="Times New Roman"/>
          <w:sz w:val="21"/>
          <w:szCs w:val="21"/>
        </w:rPr>
        <w:t>MDSAP</w:t>
      </w:r>
      <w:r>
        <w:rPr>
          <w:rFonts w:ascii="Times New Roman" w:hAnsi="Times New Roman" w:hint="eastAsia"/>
          <w:sz w:val="21"/>
          <w:szCs w:val="21"/>
        </w:rPr>
        <w:t>、</w:t>
      </w:r>
      <w:r w:rsidRPr="00BA13AD">
        <w:rPr>
          <w:rFonts w:ascii="Times New Roman" w:hAnsi="Times New Roman"/>
          <w:sz w:val="21"/>
          <w:szCs w:val="21"/>
        </w:rPr>
        <w:t>IVDR</w:t>
      </w:r>
      <w:r>
        <w:rPr>
          <w:rFonts w:ascii="Times New Roman" w:hAnsi="Times New Roman" w:hint="eastAsia"/>
          <w:sz w:val="21"/>
          <w:szCs w:val="21"/>
        </w:rPr>
        <w:t>、</w:t>
      </w:r>
      <w:r w:rsidRPr="00BA13AD">
        <w:rPr>
          <w:rFonts w:ascii="Times New Roman" w:hAnsi="Times New Roman"/>
          <w:sz w:val="21"/>
          <w:szCs w:val="21"/>
        </w:rPr>
        <w:t>MDR</w:t>
      </w:r>
      <w:r>
        <w:rPr>
          <w:rFonts w:ascii="Times New Roman" w:hAnsi="Times New Roman" w:hint="eastAsia"/>
          <w:sz w:val="21"/>
          <w:szCs w:val="21"/>
        </w:rPr>
        <w:t>等质量管理体系第三方认证，全方位确保产品的持续安全和有效。</w:t>
      </w:r>
    </w:p>
    <w:p w14:paraId="7DE75DF8"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在糖尿病及相关慢性疾病检测领域的科研探索中，公司恪守科技伦理规范，严格遵守《涉及人的生物医学研究伦理审查规范》《医疗器械临床试验质量管理规范》等相关规定，确保研究过程科学、规范、且符合伦理要求，同时对生物样本的采集管理、样本储存管理、样本使用管理、样本处理等方面进行细致规范，坚守科技创新的道德与责任底线，致力于为用户提供精准、可靠、便捷的医疗检测产品和服务。报告期内，上海伦理委员会专家团队针对公司科研项目展开年度巡查与审核工作，从研究参与者的招募筛选、知情同意，到血样的规范采集、安全储存、合规使用及数据保护等关键环节进行了全流程的审核和指导，高度认可公司研发创新产品和技术实力，为公司在科研方面伦理性及科学性方向上树立了更清晰的目标。</w:t>
      </w:r>
    </w:p>
    <w:p w14:paraId="015F0502"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Style w:val="aa"/>
          <w:rFonts w:ascii="Times New Roman" w:hAnsi="Times New Roman" w:cs="Times New Roman"/>
          <w:sz w:val="21"/>
          <w:szCs w:val="21"/>
        </w:rPr>
        <w:t>4</w:t>
      </w:r>
      <w:r>
        <w:rPr>
          <w:rStyle w:val="aa"/>
          <w:rFonts w:ascii="Times New Roman" w:hAnsi="Times New Roman" w:hint="eastAsia"/>
          <w:sz w:val="21"/>
          <w:szCs w:val="21"/>
        </w:rPr>
        <w:t>、完善信息安全与合规，夯实数据安全防护能力</w:t>
      </w:r>
    </w:p>
    <w:p w14:paraId="7D65E245"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数据安全是企业合规管理、业务可持续发展的重要保障部分，公司重视用户信息安全与隐私保护，依据《中华人民共和国数据安全法》《中华人民共和国个人信息保护法》《中华人民共和国网络安全法》等相关法律法规的要求，围绕着业务数据、经营数据以及个人数据的在机密性、可用性、完整性的安全防护及数据主体的权利合规性，基于</w:t>
      </w:r>
      <w:r w:rsidRPr="00BA13AD">
        <w:rPr>
          <w:rFonts w:ascii="Times New Roman" w:hAnsi="Times New Roman"/>
          <w:sz w:val="21"/>
          <w:szCs w:val="21"/>
        </w:rPr>
        <w:t>ISO27001</w:t>
      </w:r>
      <w:r>
        <w:rPr>
          <w:rFonts w:ascii="Times New Roman" w:hAnsi="Times New Roman" w:hint="eastAsia"/>
          <w:sz w:val="21"/>
          <w:szCs w:val="21"/>
        </w:rPr>
        <w:t>标准及全球安全法规，系统化地建立了信息管理体系（</w:t>
      </w:r>
      <w:r w:rsidRPr="00BA13AD">
        <w:rPr>
          <w:rFonts w:ascii="Times New Roman" w:hAnsi="Times New Roman"/>
          <w:sz w:val="21"/>
          <w:szCs w:val="21"/>
        </w:rPr>
        <w:t>ISMS</w:t>
      </w:r>
      <w:r>
        <w:rPr>
          <w:rFonts w:ascii="Times New Roman" w:hAnsi="Times New Roman" w:hint="eastAsia"/>
          <w:sz w:val="21"/>
          <w:szCs w:val="21"/>
        </w:rPr>
        <w:t>），并继续完善个人数据隐私保护体系（</w:t>
      </w:r>
      <w:r w:rsidRPr="00BA13AD">
        <w:rPr>
          <w:rFonts w:ascii="Times New Roman" w:hAnsi="Times New Roman"/>
          <w:sz w:val="21"/>
          <w:szCs w:val="21"/>
        </w:rPr>
        <w:t>PIMS</w:t>
      </w:r>
      <w:r>
        <w:rPr>
          <w:rFonts w:ascii="Times New Roman" w:hAnsi="Times New Roman" w:hint="eastAsia"/>
          <w:sz w:val="21"/>
          <w:szCs w:val="21"/>
        </w:rPr>
        <w:t>），以便夯实公司在合规、管理、意识、物理、技术防御等层面的安全水平。通过覆盖数据、网络、终端、身份相关的数据分类分级管理和涉密策略的实施，上网行为管理系统、邮件安全网关、终端防病毒、防火墙、数据防泄漏等工具的部署，以及不同群体意识教育培训、系统网络的漏洞扫描</w:t>
      </w:r>
      <w:r w:rsidRPr="00BA13AD">
        <w:rPr>
          <w:rFonts w:ascii="Times New Roman" w:hAnsi="Times New Roman"/>
          <w:sz w:val="21"/>
          <w:szCs w:val="21"/>
        </w:rPr>
        <w:t>/</w:t>
      </w:r>
      <w:r>
        <w:rPr>
          <w:rFonts w:ascii="Times New Roman" w:hAnsi="Times New Roman" w:hint="eastAsia"/>
          <w:sz w:val="21"/>
          <w:szCs w:val="21"/>
        </w:rPr>
        <w:t>渗透测试及内外网暴露面的探测修复，以尽最大程度降低网络安全与数据安全风险，维护公司的商业秘密与核心</w:t>
      </w:r>
      <w:r w:rsidRPr="00BA13AD">
        <w:rPr>
          <w:rFonts w:ascii="Times New Roman" w:hAnsi="Times New Roman"/>
          <w:sz w:val="21"/>
          <w:szCs w:val="21"/>
        </w:rPr>
        <w:t>IT/OT</w:t>
      </w:r>
      <w:r>
        <w:rPr>
          <w:rFonts w:ascii="Times New Roman" w:hAnsi="Times New Roman" w:hint="eastAsia"/>
          <w:sz w:val="21"/>
          <w:szCs w:val="21"/>
        </w:rPr>
        <w:t>系统安全。同时，公司与外部机构开展了安全能力评估与认证合作，多个系统获得了长沙市公安局网络安全等级保护三级认证（一般企业系统的最高级测评），成功通过了国际权威认证机构通标标准技术服务有限公司（</w:t>
      </w:r>
      <w:r w:rsidRPr="00BA13AD">
        <w:rPr>
          <w:rFonts w:ascii="Times New Roman" w:hAnsi="Times New Roman"/>
          <w:sz w:val="21"/>
          <w:szCs w:val="21"/>
        </w:rPr>
        <w:t>SGS</w:t>
      </w:r>
      <w:r>
        <w:rPr>
          <w:rFonts w:ascii="Times New Roman" w:hAnsi="Times New Roman" w:hint="eastAsia"/>
          <w:sz w:val="21"/>
          <w:szCs w:val="21"/>
        </w:rPr>
        <w:t>）的严格审核，获得了</w:t>
      </w:r>
      <w:r w:rsidRPr="00BA13AD">
        <w:rPr>
          <w:rFonts w:ascii="Times New Roman" w:hAnsi="Times New Roman"/>
          <w:sz w:val="21"/>
          <w:szCs w:val="21"/>
        </w:rPr>
        <w:t>ISO/IEC 27001:2022</w:t>
      </w:r>
      <w:r>
        <w:rPr>
          <w:rFonts w:ascii="Times New Roman" w:hAnsi="Times New Roman" w:hint="eastAsia"/>
          <w:sz w:val="21"/>
          <w:szCs w:val="21"/>
        </w:rPr>
        <w:t>信息安全管理体系认证，标志着公司在业务数据安全、个人数据隐私保护等核心数据资产的安全管理初步达到了国家标准与国际水平。</w:t>
      </w:r>
    </w:p>
    <w:p w14:paraId="0DA11150"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未发生数据安全事件，也未发生客户隐私泄露事件。公司高层和安全部门将持续投入对信息安全管理体系、个人数据隐私保护体系的提升，不断加固安全纵深防御和响应能力，确保企业核心资产和客户个人数据安全风险可控。</w:t>
      </w:r>
    </w:p>
    <w:p w14:paraId="0290C3F5"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Style w:val="aa"/>
          <w:rFonts w:ascii="Times New Roman" w:hAnsi="Times New Roman" w:cs="Times New Roman"/>
          <w:sz w:val="21"/>
          <w:szCs w:val="21"/>
        </w:rPr>
        <w:t>5</w:t>
      </w:r>
      <w:r>
        <w:rPr>
          <w:rStyle w:val="aa"/>
          <w:rFonts w:ascii="Times New Roman" w:hAnsi="Times New Roman" w:hint="eastAsia"/>
          <w:sz w:val="21"/>
          <w:szCs w:val="21"/>
        </w:rPr>
        <w:t>、推进精益化管理，促进协同增效</w:t>
      </w:r>
    </w:p>
    <w:p w14:paraId="76AE5346"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持续推进精益化管理，围绕效率提升、流程优化和协同能力建设，不断夯实组织运营基础，促进公司整体管理效能和全球协同水平持续提升，为“专业化、数智化、全球化”能力建设提供有力支撑。</w:t>
      </w:r>
    </w:p>
    <w:p w14:paraId="2ED88E3F" w14:textId="77777777" w:rsidR="00113A51"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在内部管理优化方面，公司持续升级</w:t>
      </w:r>
      <w:r w:rsidRPr="00BA13AD">
        <w:rPr>
          <w:rFonts w:ascii="Times New Roman" w:hAnsi="Times New Roman"/>
          <w:sz w:val="21"/>
          <w:szCs w:val="21"/>
        </w:rPr>
        <w:t>SNBS</w:t>
      </w:r>
      <w:r>
        <w:rPr>
          <w:rFonts w:ascii="Times New Roman" w:hAnsi="Times New Roman" w:hint="eastAsia"/>
          <w:sz w:val="21"/>
          <w:szCs w:val="21"/>
        </w:rPr>
        <w:t>（三诺经营管理系统）平台，从精益理论、精益工具和精益方法等多个维度出发，赋能团队和员工，通过人员培训、流程优化、体系搭建和职能改善，推动线上线下一体化能力建设，持续增强组织协同能力和运营效率。</w:t>
      </w:r>
    </w:p>
    <w:p w14:paraId="545E348A" w14:textId="77777777" w:rsidR="00113A51" w:rsidRPr="00BA13AD"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在全球协同机制建设方面，公司稳步推进全球供应链协同，建立了供应商分级备份机制和采购项目与金额的实时监控及动态需求响应机制，在保障服务供应的连续性和稳定性的同时，强化服务交付过程管控，进一步提升全球供应商管理协同水平。公司通过专人对接、需求评审、技术外派等机制，持续梳理产品优化、界面功能升级等重点需求，推进国际注册支持和国际注册通用资料库标准化建设，完善问题追踪与反馈机制，建设并健全产品经验库，推动跨区域经验沉淀和共享复用。此外，公司通过制造协同委员会为海外业务提供支持，构建技术交流通道，完善自动化开发流程体系，为建立更加标准化、可复制的协同机制奠定坚实基础。</w:t>
      </w:r>
    </w:p>
    <w:p w14:paraId="6549F5A7" w14:textId="77777777" w:rsidR="00113A51" w:rsidRDefault="00766EC7">
      <w:pPr>
        <w:pStyle w:val="3"/>
        <w:spacing w:line="280" w:lineRule="exact"/>
        <w:jc w:val="left"/>
        <w:rPr>
          <w:rFonts w:ascii="Times New Roman" w:hAnsi="Times New Roman" w:cs="宋体"/>
          <w:b/>
          <w:bCs/>
        </w:rPr>
      </w:pPr>
      <w:bookmarkStart w:id="23" w:name="_Toc988907"/>
      <w:r>
        <w:rPr>
          <w:rFonts w:ascii="Times New Roman" w:hAnsi="Times New Roman" w:cs="宋体"/>
          <w:b/>
          <w:bCs/>
        </w:rPr>
        <w:t>2</w:t>
      </w:r>
      <w:r>
        <w:rPr>
          <w:rFonts w:ascii="Times New Roman" w:hAnsi="Times New Roman" w:cs="宋体"/>
          <w:b/>
          <w:bCs/>
        </w:rPr>
        <w:t>、收入与成本</w:t>
      </w:r>
      <w:bookmarkEnd w:id="23"/>
    </w:p>
    <w:p w14:paraId="67663E81" w14:textId="77777777" w:rsidR="00113A51" w:rsidRDefault="00766EC7">
      <w:pPr>
        <w:keepNext/>
        <w:keepLines/>
        <w:spacing w:before="300" w:after="300" w:line="280" w:lineRule="exact"/>
        <w:outlineLvl w:val="3"/>
        <w:rPr>
          <w:rFonts w:ascii="Times New Roman" w:eastAsia="宋体" w:hAnsi="Times New Roman" w:cs="宋体"/>
          <w:b/>
          <w:bCs/>
          <w:szCs w:val="21"/>
        </w:rPr>
      </w:pPr>
      <w:bookmarkStart w:id="24" w:name="_Toc988908"/>
      <w:r>
        <w:rPr>
          <w:rFonts w:ascii="Times New Roman" w:eastAsia="宋体" w:hAnsi="Times New Roman" w:cs="宋体"/>
          <w:b/>
          <w:bCs/>
          <w:szCs w:val="21"/>
        </w:rPr>
        <w:t>（</w:t>
      </w:r>
      <w:r>
        <w:rPr>
          <w:rFonts w:ascii="Times New Roman" w:eastAsia="宋体" w:hAnsi="Times New Roman" w:cs="宋体"/>
          <w:b/>
          <w:bCs/>
          <w:szCs w:val="21"/>
        </w:rPr>
        <w:t>1</w:t>
      </w:r>
      <w:r>
        <w:rPr>
          <w:rFonts w:ascii="Times New Roman" w:eastAsia="宋体" w:hAnsi="Times New Roman" w:cs="宋体"/>
          <w:b/>
          <w:bCs/>
          <w:szCs w:val="21"/>
        </w:rPr>
        <w:t>）</w:t>
      </w:r>
      <w:r>
        <w:rPr>
          <w:rFonts w:ascii="Times New Roman" w:eastAsia="宋体" w:hAnsi="Times New Roman" w:cs="宋体"/>
          <w:b/>
          <w:bCs/>
          <w:szCs w:val="21"/>
        </w:rPr>
        <w:t xml:space="preserve"> </w:t>
      </w:r>
      <w:r>
        <w:rPr>
          <w:rFonts w:ascii="Times New Roman" w:eastAsia="宋体" w:hAnsi="Times New Roman" w:cs="宋体"/>
          <w:b/>
          <w:bCs/>
          <w:szCs w:val="21"/>
        </w:rPr>
        <w:t>营业收入构成</w:t>
      </w:r>
      <w:bookmarkEnd w:id="24"/>
    </w:p>
    <w:p w14:paraId="49D406CF"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营业收入整体情况</w:t>
      </w:r>
    </w:p>
    <w:p w14:paraId="3E7C4246" w14:textId="77777777" w:rsidR="00113A51" w:rsidRDefault="00766EC7">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587" w:type="dxa"/>
        <w:tblInd w:w="108" w:type="dxa"/>
        <w:tblLayout w:type="fixed"/>
        <w:tblCellMar>
          <w:left w:w="57" w:type="dxa"/>
          <w:right w:w="57" w:type="dxa"/>
        </w:tblCellMar>
        <w:tblLook w:val="04A0" w:firstRow="1" w:lastRow="0" w:firstColumn="1" w:lastColumn="0" w:noHBand="0" w:noVBand="1"/>
      </w:tblPr>
      <w:tblGrid>
        <w:gridCol w:w="2557"/>
        <w:gridCol w:w="1559"/>
        <w:gridCol w:w="1531"/>
        <w:gridCol w:w="1516"/>
        <w:gridCol w:w="43"/>
        <w:gridCol w:w="1488"/>
        <w:gridCol w:w="43"/>
        <w:gridCol w:w="850"/>
      </w:tblGrid>
      <w:tr w:rsidR="00C57E60" w14:paraId="4098DD68" w14:textId="77777777" w:rsidTr="00BA13AD">
        <w:trPr>
          <w:trHeight w:val="195"/>
        </w:trPr>
        <w:tc>
          <w:tcPr>
            <w:tcW w:w="255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01AF40E" w14:textId="77777777" w:rsidR="00113A51" w:rsidRDefault="00113A51">
            <w:pPr>
              <w:spacing w:line="360" w:lineRule="auto"/>
              <w:rPr>
                <w:rFonts w:ascii="Times New Roman" w:eastAsia="宋体" w:hAnsi="Times New Roman"/>
                <w:szCs w:val="18"/>
              </w:rPr>
            </w:pPr>
          </w:p>
        </w:tc>
        <w:tc>
          <w:tcPr>
            <w:tcW w:w="309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872C2C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309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CE5361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850" w:type="dxa"/>
            <w:tcBorders>
              <w:top w:val="single" w:sz="2" w:space="0" w:color="auto"/>
              <w:left w:val="single" w:sz="2" w:space="0" w:color="auto"/>
              <w:right w:val="single" w:sz="2" w:space="0" w:color="auto"/>
            </w:tcBorders>
            <w:shd w:val="clear" w:color="auto" w:fill="D3D3D3"/>
            <w:vAlign w:val="center"/>
          </w:tcPr>
          <w:p w14:paraId="7312279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同比增减</w:t>
            </w:r>
          </w:p>
        </w:tc>
      </w:tr>
      <w:tr w:rsidR="00C57E60" w14:paraId="254684BC" w14:textId="77777777" w:rsidTr="00BA13AD">
        <w:trPr>
          <w:trHeight w:val="240"/>
        </w:trPr>
        <w:tc>
          <w:tcPr>
            <w:tcW w:w="255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D26306" w14:textId="77777777" w:rsidR="00113A51" w:rsidRDefault="00113A51">
            <w:pPr>
              <w:spacing w:line="360" w:lineRule="auto"/>
              <w:rPr>
                <w:rFonts w:ascii="Times New Roman" w:eastAsia="宋体" w:hAnsi="Times New Roman"/>
                <w:szCs w:val="18"/>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95D7B4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1531" w:type="dxa"/>
            <w:tcBorders>
              <w:top w:val="single" w:sz="2" w:space="0" w:color="auto"/>
              <w:left w:val="single" w:sz="2" w:space="0" w:color="auto"/>
              <w:bottom w:val="single" w:sz="2" w:space="0" w:color="auto"/>
              <w:right w:val="single" w:sz="2" w:space="0" w:color="auto"/>
            </w:tcBorders>
            <w:shd w:val="clear" w:color="auto" w:fill="D3D3D3"/>
            <w:vAlign w:val="center"/>
          </w:tcPr>
          <w:p w14:paraId="5D1237A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占营业收入比重</w:t>
            </w:r>
          </w:p>
        </w:tc>
        <w:tc>
          <w:tcPr>
            <w:tcW w:w="155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009302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153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B21BBA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占营业收入比重</w:t>
            </w:r>
          </w:p>
        </w:tc>
        <w:tc>
          <w:tcPr>
            <w:tcW w:w="850" w:type="dxa"/>
            <w:tcBorders>
              <w:left w:val="single" w:sz="2" w:space="0" w:color="auto"/>
              <w:right w:val="single" w:sz="2" w:space="0" w:color="auto"/>
            </w:tcBorders>
            <w:shd w:val="clear" w:color="auto" w:fill="D3D3D3"/>
            <w:vAlign w:val="center"/>
          </w:tcPr>
          <w:p w14:paraId="68FA7136" w14:textId="77777777" w:rsidR="00113A51" w:rsidRDefault="00113A51">
            <w:pPr>
              <w:spacing w:line="360" w:lineRule="auto"/>
              <w:rPr>
                <w:rFonts w:ascii="Times New Roman" w:eastAsia="宋体" w:hAnsi="Times New Roman"/>
                <w:szCs w:val="18"/>
              </w:rPr>
            </w:pPr>
          </w:p>
        </w:tc>
      </w:tr>
      <w:tr w:rsidR="00C57E60" w14:paraId="5CA3E56F"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shd w:val="clear" w:color="auto" w:fill="D3D3D3"/>
            <w:vAlign w:val="center"/>
          </w:tcPr>
          <w:p w14:paraId="1C8B399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营业收入合计</w:t>
            </w:r>
          </w:p>
        </w:tc>
        <w:tc>
          <w:tcPr>
            <w:tcW w:w="1559" w:type="dxa"/>
            <w:tcBorders>
              <w:top w:val="single" w:sz="2" w:space="0" w:color="auto"/>
              <w:left w:val="single" w:sz="2" w:space="0" w:color="auto"/>
              <w:bottom w:val="single" w:sz="2" w:space="0" w:color="auto"/>
              <w:right w:val="single" w:sz="2" w:space="0" w:color="auto"/>
            </w:tcBorders>
            <w:vAlign w:val="center"/>
          </w:tcPr>
          <w:p w14:paraId="2E1D9C2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4,659,335,913.50</w:t>
            </w:r>
          </w:p>
        </w:tc>
        <w:tc>
          <w:tcPr>
            <w:tcW w:w="1531" w:type="dxa"/>
            <w:tcBorders>
              <w:top w:val="single" w:sz="2" w:space="0" w:color="auto"/>
              <w:left w:val="single" w:sz="2" w:space="0" w:color="auto"/>
              <w:bottom w:val="single" w:sz="2" w:space="0" w:color="auto"/>
              <w:right w:val="single" w:sz="2" w:space="0" w:color="auto"/>
            </w:tcBorders>
            <w:shd w:val="clear" w:color="auto" w:fill="D3D3D3"/>
            <w:vAlign w:val="center"/>
          </w:tcPr>
          <w:p w14:paraId="62A37120" w14:textId="77777777" w:rsidR="00113A51" w:rsidRDefault="00766EC7">
            <w:pPr>
              <w:spacing w:before="40" w:after="40" w:line="360" w:lineRule="auto"/>
              <w:jc w:val="right"/>
              <w:rPr>
                <w:rFonts w:ascii="Times New Roman" w:eastAsia="宋体" w:hAnsi="Times New Roman" w:cs="宋体"/>
                <w:sz w:val="18"/>
                <w:szCs w:val="18"/>
                <w:shd w:val="clear" w:color="auto" w:fill="D3D3D3"/>
              </w:rPr>
            </w:pPr>
            <w:r>
              <w:rPr>
                <w:rFonts w:ascii="Times New Roman" w:eastAsia="宋体" w:hAnsi="Times New Roman" w:cs="宋体"/>
                <w:sz w:val="18"/>
                <w:szCs w:val="18"/>
                <w:shd w:val="clear" w:color="auto" w:fill="D3D3D3"/>
              </w:rPr>
              <w:t>100%</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68B5D0A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4,443,123,570.61</w:t>
            </w:r>
          </w:p>
        </w:tc>
        <w:tc>
          <w:tcPr>
            <w:tcW w:w="153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5299C2F" w14:textId="77777777" w:rsidR="00113A51" w:rsidRDefault="00766EC7">
            <w:pPr>
              <w:spacing w:before="40" w:after="40" w:line="360" w:lineRule="auto"/>
              <w:jc w:val="right"/>
              <w:rPr>
                <w:rFonts w:ascii="Times New Roman" w:eastAsia="宋体" w:hAnsi="Times New Roman" w:cs="宋体"/>
                <w:sz w:val="18"/>
                <w:szCs w:val="18"/>
                <w:shd w:val="clear" w:color="auto" w:fill="D3D3D3"/>
              </w:rPr>
            </w:pPr>
            <w:r>
              <w:rPr>
                <w:rFonts w:ascii="Times New Roman" w:eastAsia="宋体" w:hAnsi="Times New Roman" w:cs="宋体"/>
                <w:sz w:val="18"/>
                <w:szCs w:val="18"/>
                <w:shd w:val="clear" w:color="auto" w:fill="D3D3D3"/>
              </w:rPr>
              <w:t>100%</w:t>
            </w:r>
          </w:p>
        </w:tc>
        <w:tc>
          <w:tcPr>
            <w:tcW w:w="850" w:type="dxa"/>
            <w:tcBorders>
              <w:top w:val="single" w:sz="2" w:space="0" w:color="auto"/>
              <w:left w:val="single" w:sz="2" w:space="0" w:color="auto"/>
              <w:bottom w:val="single" w:sz="2" w:space="0" w:color="auto"/>
              <w:right w:val="single" w:sz="2" w:space="0" w:color="auto"/>
            </w:tcBorders>
            <w:vAlign w:val="center"/>
          </w:tcPr>
          <w:p w14:paraId="7D644AC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4.87%</w:t>
            </w:r>
          </w:p>
        </w:tc>
      </w:tr>
      <w:tr w:rsidR="00C57E60" w14:paraId="6D838F55" w14:textId="77777777" w:rsidTr="00BA13AD">
        <w:trPr>
          <w:trHeight w:val="240"/>
        </w:trPr>
        <w:tc>
          <w:tcPr>
            <w:tcW w:w="9587"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4DF722F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分行业</w:t>
            </w:r>
          </w:p>
        </w:tc>
      </w:tr>
      <w:tr w:rsidR="00C57E60" w14:paraId="108467C4"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0DF8ACE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医疗器械行业</w:t>
            </w:r>
          </w:p>
        </w:tc>
        <w:tc>
          <w:tcPr>
            <w:tcW w:w="1559" w:type="dxa"/>
            <w:tcBorders>
              <w:top w:val="single" w:sz="2" w:space="0" w:color="auto"/>
              <w:left w:val="single" w:sz="2" w:space="0" w:color="auto"/>
              <w:bottom w:val="single" w:sz="2" w:space="0" w:color="auto"/>
              <w:right w:val="single" w:sz="2" w:space="0" w:color="auto"/>
            </w:tcBorders>
            <w:vAlign w:val="center"/>
          </w:tcPr>
          <w:p w14:paraId="0211400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4,650,846,735.83</w:t>
            </w:r>
          </w:p>
        </w:tc>
        <w:tc>
          <w:tcPr>
            <w:tcW w:w="1531" w:type="dxa"/>
            <w:tcBorders>
              <w:top w:val="single" w:sz="2" w:space="0" w:color="auto"/>
              <w:left w:val="single" w:sz="2" w:space="0" w:color="auto"/>
              <w:bottom w:val="single" w:sz="2" w:space="0" w:color="auto"/>
              <w:right w:val="single" w:sz="2" w:space="0" w:color="auto"/>
            </w:tcBorders>
            <w:vAlign w:val="center"/>
          </w:tcPr>
          <w:p w14:paraId="321AA65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99.82%</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541EE83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4,423,182,653.98</w:t>
            </w:r>
          </w:p>
        </w:tc>
        <w:tc>
          <w:tcPr>
            <w:tcW w:w="1488" w:type="dxa"/>
            <w:tcBorders>
              <w:top w:val="single" w:sz="2" w:space="0" w:color="auto"/>
              <w:left w:val="single" w:sz="2" w:space="0" w:color="auto"/>
              <w:bottom w:val="single" w:sz="2" w:space="0" w:color="auto"/>
              <w:right w:val="single" w:sz="2" w:space="0" w:color="auto"/>
            </w:tcBorders>
            <w:vAlign w:val="center"/>
          </w:tcPr>
          <w:p w14:paraId="7456E7A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99.55%</w:t>
            </w:r>
          </w:p>
        </w:tc>
        <w:tc>
          <w:tcPr>
            <w:tcW w:w="893" w:type="dxa"/>
            <w:gridSpan w:val="2"/>
            <w:tcBorders>
              <w:top w:val="single" w:sz="2" w:space="0" w:color="auto"/>
              <w:left w:val="single" w:sz="2" w:space="0" w:color="auto"/>
              <w:bottom w:val="single" w:sz="2" w:space="0" w:color="auto"/>
              <w:right w:val="single" w:sz="2" w:space="0" w:color="auto"/>
            </w:tcBorders>
            <w:vAlign w:val="center"/>
          </w:tcPr>
          <w:p w14:paraId="3C0779D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5.15%</w:t>
            </w:r>
          </w:p>
        </w:tc>
      </w:tr>
      <w:tr w:rsidR="00C57E60" w14:paraId="48D650FD"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0F814BE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其他行业</w:t>
            </w:r>
          </w:p>
        </w:tc>
        <w:tc>
          <w:tcPr>
            <w:tcW w:w="1559" w:type="dxa"/>
            <w:tcBorders>
              <w:top w:val="single" w:sz="2" w:space="0" w:color="auto"/>
              <w:left w:val="single" w:sz="2" w:space="0" w:color="auto"/>
              <w:bottom w:val="single" w:sz="2" w:space="0" w:color="auto"/>
              <w:right w:val="single" w:sz="2" w:space="0" w:color="auto"/>
            </w:tcBorders>
            <w:vAlign w:val="center"/>
          </w:tcPr>
          <w:p w14:paraId="3EE6864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8,489,177.67</w:t>
            </w:r>
          </w:p>
        </w:tc>
        <w:tc>
          <w:tcPr>
            <w:tcW w:w="1531" w:type="dxa"/>
            <w:tcBorders>
              <w:top w:val="single" w:sz="2" w:space="0" w:color="auto"/>
              <w:left w:val="single" w:sz="2" w:space="0" w:color="auto"/>
              <w:bottom w:val="single" w:sz="2" w:space="0" w:color="auto"/>
              <w:right w:val="single" w:sz="2" w:space="0" w:color="auto"/>
            </w:tcBorders>
            <w:vAlign w:val="center"/>
          </w:tcPr>
          <w:p w14:paraId="0D881B4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0.18%</w:t>
            </w:r>
          </w:p>
        </w:tc>
        <w:tc>
          <w:tcPr>
            <w:tcW w:w="1559" w:type="dxa"/>
            <w:gridSpan w:val="2"/>
            <w:tcBorders>
              <w:top w:val="single" w:sz="2" w:space="0" w:color="auto"/>
              <w:left w:val="single" w:sz="2" w:space="0" w:color="auto"/>
              <w:bottom w:val="single" w:sz="2" w:space="0" w:color="auto"/>
              <w:right w:val="single" w:sz="2" w:space="0" w:color="auto"/>
            </w:tcBorders>
            <w:vAlign w:val="center"/>
          </w:tcPr>
          <w:p w14:paraId="077814C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19,940,916.63</w:t>
            </w:r>
          </w:p>
        </w:tc>
        <w:tc>
          <w:tcPr>
            <w:tcW w:w="1488" w:type="dxa"/>
            <w:tcBorders>
              <w:top w:val="single" w:sz="2" w:space="0" w:color="auto"/>
              <w:left w:val="single" w:sz="2" w:space="0" w:color="auto"/>
              <w:bottom w:val="single" w:sz="2" w:space="0" w:color="auto"/>
              <w:right w:val="single" w:sz="2" w:space="0" w:color="auto"/>
            </w:tcBorders>
            <w:vAlign w:val="center"/>
          </w:tcPr>
          <w:p w14:paraId="39999E0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0.45%</w:t>
            </w:r>
          </w:p>
        </w:tc>
        <w:tc>
          <w:tcPr>
            <w:tcW w:w="893" w:type="dxa"/>
            <w:gridSpan w:val="2"/>
            <w:tcBorders>
              <w:top w:val="single" w:sz="2" w:space="0" w:color="auto"/>
              <w:left w:val="single" w:sz="2" w:space="0" w:color="auto"/>
              <w:bottom w:val="single" w:sz="2" w:space="0" w:color="auto"/>
              <w:right w:val="single" w:sz="2" w:space="0" w:color="auto"/>
            </w:tcBorders>
            <w:vAlign w:val="center"/>
          </w:tcPr>
          <w:p w14:paraId="4E2741D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-57.43%</w:t>
            </w:r>
          </w:p>
        </w:tc>
      </w:tr>
      <w:tr w:rsidR="00C57E60" w14:paraId="1C631B22" w14:textId="77777777" w:rsidTr="00BA13AD">
        <w:trPr>
          <w:trHeight w:val="240"/>
        </w:trPr>
        <w:tc>
          <w:tcPr>
            <w:tcW w:w="9587"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18917B4F"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分产品</w:t>
            </w:r>
          </w:p>
        </w:tc>
      </w:tr>
      <w:tr w:rsidR="00C57E60" w14:paraId="3352D156"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567CCA0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1559" w:type="dxa"/>
            <w:tcBorders>
              <w:top w:val="single" w:sz="2" w:space="0" w:color="auto"/>
              <w:left w:val="single" w:sz="2" w:space="0" w:color="auto"/>
              <w:bottom w:val="single" w:sz="2" w:space="0" w:color="auto"/>
              <w:right w:val="single" w:sz="2" w:space="0" w:color="auto"/>
            </w:tcBorders>
            <w:vAlign w:val="center"/>
          </w:tcPr>
          <w:p w14:paraId="5D821855" w14:textId="51277E48" w:rsidR="00113A51" w:rsidRDefault="001B017D">
            <w:pPr>
              <w:spacing w:line="360" w:lineRule="auto"/>
              <w:jc w:val="right"/>
              <w:rPr>
                <w:rFonts w:ascii="Times New Roman" w:eastAsia="宋体" w:hAnsi="Times New Roman" w:cs="宋体"/>
                <w:sz w:val="18"/>
                <w:szCs w:val="18"/>
              </w:rPr>
            </w:pPr>
            <w:r w:rsidRPr="001B017D">
              <w:rPr>
                <w:rFonts w:ascii="Times New Roman" w:eastAsia="宋体" w:hAnsi="Times New Roman" w:cs="宋体"/>
                <w:sz w:val="18"/>
                <w:szCs w:val="18"/>
              </w:rPr>
              <w:t>3,469,631,232.56</w:t>
            </w:r>
          </w:p>
        </w:tc>
        <w:tc>
          <w:tcPr>
            <w:tcW w:w="1531" w:type="dxa"/>
            <w:tcBorders>
              <w:top w:val="single" w:sz="2" w:space="0" w:color="auto"/>
              <w:left w:val="single" w:sz="2" w:space="0" w:color="auto"/>
              <w:bottom w:val="single" w:sz="2" w:space="0" w:color="auto"/>
              <w:right w:val="single" w:sz="2" w:space="0" w:color="auto"/>
            </w:tcBorders>
            <w:vAlign w:val="center"/>
          </w:tcPr>
          <w:p w14:paraId="46A4478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74.47%</w:t>
            </w:r>
          </w:p>
        </w:tc>
        <w:tc>
          <w:tcPr>
            <w:tcW w:w="1516" w:type="dxa"/>
            <w:tcBorders>
              <w:top w:val="single" w:sz="2" w:space="0" w:color="auto"/>
              <w:left w:val="single" w:sz="2" w:space="0" w:color="auto"/>
              <w:bottom w:val="single" w:sz="2" w:space="0" w:color="auto"/>
              <w:right w:val="single" w:sz="2" w:space="0" w:color="auto"/>
            </w:tcBorders>
            <w:vAlign w:val="center"/>
          </w:tcPr>
          <w:p w14:paraId="0AED586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3,320,520,810.30</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3A2E8B7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74.73%</w:t>
            </w:r>
          </w:p>
        </w:tc>
        <w:tc>
          <w:tcPr>
            <w:tcW w:w="850" w:type="dxa"/>
            <w:tcBorders>
              <w:top w:val="single" w:sz="2" w:space="0" w:color="auto"/>
              <w:left w:val="single" w:sz="2" w:space="0" w:color="auto"/>
              <w:bottom w:val="single" w:sz="2" w:space="0" w:color="auto"/>
              <w:right w:val="single" w:sz="2" w:space="0" w:color="auto"/>
            </w:tcBorders>
            <w:vAlign w:val="center"/>
          </w:tcPr>
          <w:p w14:paraId="44EA531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4.49%</w:t>
            </w:r>
          </w:p>
        </w:tc>
      </w:tr>
      <w:tr w:rsidR="00C57E60" w14:paraId="24DBF887"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7F59C02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糖尿病营养、护理等辅助产品</w:t>
            </w:r>
          </w:p>
        </w:tc>
        <w:tc>
          <w:tcPr>
            <w:tcW w:w="1559" w:type="dxa"/>
            <w:tcBorders>
              <w:top w:val="single" w:sz="2" w:space="0" w:color="auto"/>
              <w:left w:val="single" w:sz="2" w:space="0" w:color="auto"/>
              <w:bottom w:val="single" w:sz="2" w:space="0" w:color="auto"/>
              <w:right w:val="single" w:sz="2" w:space="0" w:color="auto"/>
            </w:tcBorders>
            <w:vAlign w:val="center"/>
          </w:tcPr>
          <w:p w14:paraId="0BC0465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297,099,559.70</w:t>
            </w:r>
          </w:p>
        </w:tc>
        <w:tc>
          <w:tcPr>
            <w:tcW w:w="1531" w:type="dxa"/>
            <w:tcBorders>
              <w:top w:val="single" w:sz="2" w:space="0" w:color="auto"/>
              <w:left w:val="single" w:sz="2" w:space="0" w:color="auto"/>
              <w:bottom w:val="single" w:sz="2" w:space="0" w:color="auto"/>
              <w:right w:val="single" w:sz="2" w:space="0" w:color="auto"/>
            </w:tcBorders>
            <w:vAlign w:val="center"/>
          </w:tcPr>
          <w:p w14:paraId="44A9829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6.38%</w:t>
            </w:r>
          </w:p>
        </w:tc>
        <w:tc>
          <w:tcPr>
            <w:tcW w:w="1516" w:type="dxa"/>
            <w:tcBorders>
              <w:top w:val="single" w:sz="2" w:space="0" w:color="auto"/>
              <w:left w:val="single" w:sz="2" w:space="0" w:color="auto"/>
              <w:bottom w:val="single" w:sz="2" w:space="0" w:color="auto"/>
              <w:right w:val="single" w:sz="2" w:space="0" w:color="auto"/>
            </w:tcBorders>
            <w:vAlign w:val="center"/>
          </w:tcPr>
          <w:p w14:paraId="512E9F3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262,075,685.85</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1529A44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5.90%</w:t>
            </w:r>
          </w:p>
        </w:tc>
        <w:tc>
          <w:tcPr>
            <w:tcW w:w="850" w:type="dxa"/>
            <w:tcBorders>
              <w:top w:val="single" w:sz="2" w:space="0" w:color="auto"/>
              <w:left w:val="single" w:sz="2" w:space="0" w:color="auto"/>
              <w:bottom w:val="single" w:sz="2" w:space="0" w:color="auto"/>
              <w:right w:val="single" w:sz="2" w:space="0" w:color="auto"/>
            </w:tcBorders>
            <w:vAlign w:val="center"/>
          </w:tcPr>
          <w:p w14:paraId="4FD007E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13.36%</w:t>
            </w:r>
          </w:p>
        </w:tc>
      </w:tr>
      <w:tr w:rsidR="00C57E60" w14:paraId="3A32D73A"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3DE40C9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血脂检测系统</w:t>
            </w:r>
          </w:p>
        </w:tc>
        <w:tc>
          <w:tcPr>
            <w:tcW w:w="1559" w:type="dxa"/>
            <w:tcBorders>
              <w:top w:val="single" w:sz="2" w:space="0" w:color="auto"/>
              <w:left w:val="single" w:sz="2" w:space="0" w:color="auto"/>
              <w:bottom w:val="single" w:sz="2" w:space="0" w:color="auto"/>
              <w:right w:val="single" w:sz="2" w:space="0" w:color="auto"/>
            </w:tcBorders>
            <w:vAlign w:val="center"/>
          </w:tcPr>
          <w:p w14:paraId="0CA6C266" w14:textId="36C4D220" w:rsidR="00113A51" w:rsidRDefault="001B017D">
            <w:pPr>
              <w:spacing w:line="360" w:lineRule="auto"/>
              <w:jc w:val="right"/>
              <w:rPr>
                <w:rFonts w:ascii="Times New Roman" w:eastAsia="宋体" w:hAnsi="Times New Roman" w:cs="宋体"/>
                <w:sz w:val="18"/>
                <w:szCs w:val="18"/>
              </w:rPr>
            </w:pPr>
            <w:r w:rsidRPr="001B017D">
              <w:rPr>
                <w:rFonts w:ascii="Times New Roman" w:eastAsia="宋体" w:hAnsi="Times New Roman" w:cs="宋体"/>
                <w:sz w:val="18"/>
                <w:szCs w:val="18"/>
              </w:rPr>
              <w:t>197,240,379.01</w:t>
            </w:r>
          </w:p>
        </w:tc>
        <w:tc>
          <w:tcPr>
            <w:tcW w:w="1531" w:type="dxa"/>
            <w:tcBorders>
              <w:top w:val="single" w:sz="2" w:space="0" w:color="auto"/>
              <w:left w:val="single" w:sz="2" w:space="0" w:color="auto"/>
              <w:bottom w:val="single" w:sz="2" w:space="0" w:color="auto"/>
              <w:right w:val="single" w:sz="2" w:space="0" w:color="auto"/>
            </w:tcBorders>
            <w:vAlign w:val="center"/>
          </w:tcPr>
          <w:p w14:paraId="2F48432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4.23%</w:t>
            </w:r>
          </w:p>
        </w:tc>
        <w:tc>
          <w:tcPr>
            <w:tcW w:w="1516" w:type="dxa"/>
            <w:tcBorders>
              <w:top w:val="single" w:sz="2" w:space="0" w:color="auto"/>
              <w:left w:val="single" w:sz="2" w:space="0" w:color="auto"/>
              <w:bottom w:val="single" w:sz="2" w:space="0" w:color="auto"/>
              <w:right w:val="single" w:sz="2" w:space="0" w:color="auto"/>
            </w:tcBorders>
            <w:vAlign w:val="center"/>
          </w:tcPr>
          <w:p w14:paraId="4957A2C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243,813,062.18</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1C9AB0B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5.49%</w:t>
            </w:r>
          </w:p>
        </w:tc>
        <w:tc>
          <w:tcPr>
            <w:tcW w:w="850" w:type="dxa"/>
            <w:tcBorders>
              <w:top w:val="single" w:sz="2" w:space="0" w:color="auto"/>
              <w:left w:val="single" w:sz="2" w:space="0" w:color="auto"/>
              <w:bottom w:val="single" w:sz="2" w:space="0" w:color="auto"/>
              <w:right w:val="single" w:sz="2" w:space="0" w:color="auto"/>
            </w:tcBorders>
            <w:vAlign w:val="center"/>
          </w:tcPr>
          <w:p w14:paraId="09D83FFC" w14:textId="56D3D966" w:rsidR="00113A51" w:rsidRDefault="00766EC7" w:rsidP="000F6214">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-19.1</w:t>
            </w:r>
            <w:r w:rsidR="000F6214">
              <w:rPr>
                <w:rFonts w:ascii="Times New Roman" w:eastAsia="宋体" w:hAnsi="Times New Roman" w:cs="宋体"/>
                <w:sz w:val="18"/>
                <w:szCs w:val="18"/>
              </w:rPr>
              <w:t>0</w:t>
            </w:r>
            <w:r>
              <w:rPr>
                <w:rFonts w:ascii="Times New Roman" w:eastAsia="宋体" w:hAnsi="Times New Roman" w:cs="宋体"/>
                <w:sz w:val="18"/>
                <w:szCs w:val="18"/>
              </w:rPr>
              <w:t>%</w:t>
            </w:r>
          </w:p>
        </w:tc>
      </w:tr>
      <w:tr w:rsidR="00C57E60" w14:paraId="489D67E2"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6E6B746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iPOCT</w:t>
            </w:r>
            <w:r>
              <w:rPr>
                <w:rFonts w:ascii="Times New Roman" w:eastAsia="宋体" w:hAnsi="Times New Roman" w:cs="宋体"/>
                <w:sz w:val="18"/>
                <w:szCs w:val="18"/>
              </w:rPr>
              <w:t>监测系统</w:t>
            </w:r>
          </w:p>
        </w:tc>
        <w:tc>
          <w:tcPr>
            <w:tcW w:w="1559" w:type="dxa"/>
            <w:tcBorders>
              <w:top w:val="single" w:sz="2" w:space="0" w:color="auto"/>
              <w:left w:val="single" w:sz="2" w:space="0" w:color="auto"/>
              <w:bottom w:val="single" w:sz="2" w:space="0" w:color="auto"/>
              <w:right w:val="single" w:sz="2" w:space="0" w:color="auto"/>
            </w:tcBorders>
            <w:vAlign w:val="center"/>
          </w:tcPr>
          <w:p w14:paraId="6A80289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167,999,567.90</w:t>
            </w:r>
          </w:p>
        </w:tc>
        <w:tc>
          <w:tcPr>
            <w:tcW w:w="1531" w:type="dxa"/>
            <w:tcBorders>
              <w:top w:val="single" w:sz="2" w:space="0" w:color="auto"/>
              <w:left w:val="single" w:sz="2" w:space="0" w:color="auto"/>
              <w:bottom w:val="single" w:sz="2" w:space="0" w:color="auto"/>
              <w:right w:val="single" w:sz="2" w:space="0" w:color="auto"/>
            </w:tcBorders>
            <w:vAlign w:val="center"/>
          </w:tcPr>
          <w:p w14:paraId="0A06867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3.61%</w:t>
            </w:r>
          </w:p>
        </w:tc>
        <w:tc>
          <w:tcPr>
            <w:tcW w:w="1516" w:type="dxa"/>
            <w:tcBorders>
              <w:top w:val="single" w:sz="2" w:space="0" w:color="auto"/>
              <w:left w:val="single" w:sz="2" w:space="0" w:color="auto"/>
              <w:bottom w:val="single" w:sz="2" w:space="0" w:color="auto"/>
              <w:right w:val="single" w:sz="2" w:space="0" w:color="auto"/>
            </w:tcBorders>
            <w:vAlign w:val="center"/>
          </w:tcPr>
          <w:p w14:paraId="126397C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185,676,471.13</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5D966DD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4.18%</w:t>
            </w:r>
          </w:p>
        </w:tc>
        <w:tc>
          <w:tcPr>
            <w:tcW w:w="850" w:type="dxa"/>
            <w:tcBorders>
              <w:top w:val="single" w:sz="2" w:space="0" w:color="auto"/>
              <w:left w:val="single" w:sz="2" w:space="0" w:color="auto"/>
              <w:bottom w:val="single" w:sz="2" w:space="0" w:color="auto"/>
              <w:right w:val="single" w:sz="2" w:space="0" w:color="auto"/>
            </w:tcBorders>
            <w:vAlign w:val="center"/>
          </w:tcPr>
          <w:p w14:paraId="405624F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-9.52%</w:t>
            </w:r>
          </w:p>
        </w:tc>
      </w:tr>
      <w:tr w:rsidR="00C57E60" w14:paraId="7EB1A9AA"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7D839A4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糖化血红蛋白检测系统</w:t>
            </w:r>
          </w:p>
        </w:tc>
        <w:tc>
          <w:tcPr>
            <w:tcW w:w="1559" w:type="dxa"/>
            <w:tcBorders>
              <w:top w:val="single" w:sz="2" w:space="0" w:color="auto"/>
              <w:left w:val="single" w:sz="2" w:space="0" w:color="auto"/>
              <w:bottom w:val="single" w:sz="2" w:space="0" w:color="auto"/>
              <w:right w:val="single" w:sz="2" w:space="0" w:color="auto"/>
            </w:tcBorders>
            <w:vAlign w:val="center"/>
          </w:tcPr>
          <w:p w14:paraId="4DBA212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211,117,726.88</w:t>
            </w:r>
          </w:p>
        </w:tc>
        <w:tc>
          <w:tcPr>
            <w:tcW w:w="1531" w:type="dxa"/>
            <w:tcBorders>
              <w:top w:val="single" w:sz="2" w:space="0" w:color="auto"/>
              <w:left w:val="single" w:sz="2" w:space="0" w:color="auto"/>
              <w:bottom w:val="single" w:sz="2" w:space="0" w:color="auto"/>
              <w:right w:val="single" w:sz="2" w:space="0" w:color="auto"/>
            </w:tcBorders>
            <w:vAlign w:val="center"/>
          </w:tcPr>
          <w:p w14:paraId="36CD8EC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4.53%</w:t>
            </w:r>
          </w:p>
        </w:tc>
        <w:tc>
          <w:tcPr>
            <w:tcW w:w="1516" w:type="dxa"/>
            <w:tcBorders>
              <w:top w:val="single" w:sz="2" w:space="0" w:color="auto"/>
              <w:left w:val="single" w:sz="2" w:space="0" w:color="auto"/>
              <w:bottom w:val="single" w:sz="2" w:space="0" w:color="auto"/>
              <w:right w:val="single" w:sz="2" w:space="0" w:color="auto"/>
            </w:tcBorders>
            <w:vAlign w:val="center"/>
          </w:tcPr>
          <w:p w14:paraId="33AEB10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181,747,860.80</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420F412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4.09%</w:t>
            </w:r>
          </w:p>
        </w:tc>
        <w:tc>
          <w:tcPr>
            <w:tcW w:w="850" w:type="dxa"/>
            <w:tcBorders>
              <w:top w:val="single" w:sz="2" w:space="0" w:color="auto"/>
              <w:left w:val="single" w:sz="2" w:space="0" w:color="auto"/>
              <w:bottom w:val="single" w:sz="2" w:space="0" w:color="auto"/>
              <w:right w:val="single" w:sz="2" w:space="0" w:color="auto"/>
            </w:tcBorders>
            <w:vAlign w:val="center"/>
          </w:tcPr>
          <w:p w14:paraId="2DF35D6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16.16%</w:t>
            </w:r>
          </w:p>
        </w:tc>
      </w:tr>
      <w:tr w:rsidR="00C57E60" w14:paraId="671CA3DB"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1B98438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血压计</w:t>
            </w:r>
          </w:p>
        </w:tc>
        <w:tc>
          <w:tcPr>
            <w:tcW w:w="1559" w:type="dxa"/>
            <w:tcBorders>
              <w:top w:val="single" w:sz="2" w:space="0" w:color="auto"/>
              <w:left w:val="single" w:sz="2" w:space="0" w:color="auto"/>
              <w:bottom w:val="single" w:sz="2" w:space="0" w:color="auto"/>
              <w:right w:val="single" w:sz="2" w:space="0" w:color="auto"/>
            </w:tcBorders>
            <w:vAlign w:val="center"/>
          </w:tcPr>
          <w:p w14:paraId="50AEC85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168,163,048.73</w:t>
            </w:r>
          </w:p>
        </w:tc>
        <w:tc>
          <w:tcPr>
            <w:tcW w:w="1531" w:type="dxa"/>
            <w:tcBorders>
              <w:top w:val="single" w:sz="2" w:space="0" w:color="auto"/>
              <w:left w:val="single" w:sz="2" w:space="0" w:color="auto"/>
              <w:bottom w:val="single" w:sz="2" w:space="0" w:color="auto"/>
              <w:right w:val="single" w:sz="2" w:space="0" w:color="auto"/>
            </w:tcBorders>
            <w:vAlign w:val="center"/>
          </w:tcPr>
          <w:p w14:paraId="0D49BA6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3.61%</w:t>
            </w:r>
          </w:p>
        </w:tc>
        <w:tc>
          <w:tcPr>
            <w:tcW w:w="1516" w:type="dxa"/>
            <w:tcBorders>
              <w:top w:val="single" w:sz="2" w:space="0" w:color="auto"/>
              <w:left w:val="single" w:sz="2" w:space="0" w:color="auto"/>
              <w:bottom w:val="single" w:sz="2" w:space="0" w:color="auto"/>
              <w:right w:val="single" w:sz="2" w:space="0" w:color="auto"/>
            </w:tcBorders>
            <w:vAlign w:val="center"/>
          </w:tcPr>
          <w:p w14:paraId="1322E6B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123,267,255.84</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4C4D602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2.77%</w:t>
            </w:r>
          </w:p>
        </w:tc>
        <w:tc>
          <w:tcPr>
            <w:tcW w:w="850" w:type="dxa"/>
            <w:tcBorders>
              <w:top w:val="single" w:sz="2" w:space="0" w:color="auto"/>
              <w:left w:val="single" w:sz="2" w:space="0" w:color="auto"/>
              <w:bottom w:val="single" w:sz="2" w:space="0" w:color="auto"/>
              <w:right w:val="single" w:sz="2" w:space="0" w:color="auto"/>
            </w:tcBorders>
            <w:vAlign w:val="center"/>
          </w:tcPr>
          <w:p w14:paraId="738D94D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36.42%</w:t>
            </w:r>
          </w:p>
        </w:tc>
      </w:tr>
      <w:tr w:rsidR="00C57E60" w14:paraId="7B4C84A4"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19AC305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经营品</w:t>
            </w:r>
          </w:p>
        </w:tc>
        <w:tc>
          <w:tcPr>
            <w:tcW w:w="1559" w:type="dxa"/>
            <w:tcBorders>
              <w:top w:val="single" w:sz="2" w:space="0" w:color="auto"/>
              <w:left w:val="single" w:sz="2" w:space="0" w:color="auto"/>
              <w:bottom w:val="single" w:sz="2" w:space="0" w:color="auto"/>
              <w:right w:val="single" w:sz="2" w:space="0" w:color="auto"/>
            </w:tcBorders>
            <w:vAlign w:val="center"/>
          </w:tcPr>
          <w:p w14:paraId="0323823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104,157,141.12</w:t>
            </w:r>
          </w:p>
        </w:tc>
        <w:tc>
          <w:tcPr>
            <w:tcW w:w="1531" w:type="dxa"/>
            <w:tcBorders>
              <w:top w:val="single" w:sz="2" w:space="0" w:color="auto"/>
              <w:left w:val="single" w:sz="2" w:space="0" w:color="auto"/>
              <w:bottom w:val="single" w:sz="2" w:space="0" w:color="auto"/>
              <w:right w:val="single" w:sz="2" w:space="0" w:color="auto"/>
            </w:tcBorders>
            <w:vAlign w:val="center"/>
          </w:tcPr>
          <w:p w14:paraId="22D5F75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2.24%</w:t>
            </w:r>
          </w:p>
        </w:tc>
        <w:tc>
          <w:tcPr>
            <w:tcW w:w="1516" w:type="dxa"/>
            <w:tcBorders>
              <w:top w:val="single" w:sz="2" w:space="0" w:color="auto"/>
              <w:left w:val="single" w:sz="2" w:space="0" w:color="auto"/>
              <w:bottom w:val="single" w:sz="2" w:space="0" w:color="auto"/>
              <w:right w:val="single" w:sz="2" w:space="0" w:color="auto"/>
            </w:tcBorders>
            <w:vAlign w:val="center"/>
          </w:tcPr>
          <w:p w14:paraId="674AB3F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89,473,156.52</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3191191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2.01%</w:t>
            </w:r>
          </w:p>
        </w:tc>
        <w:tc>
          <w:tcPr>
            <w:tcW w:w="850" w:type="dxa"/>
            <w:tcBorders>
              <w:top w:val="single" w:sz="2" w:space="0" w:color="auto"/>
              <w:left w:val="single" w:sz="2" w:space="0" w:color="auto"/>
              <w:bottom w:val="single" w:sz="2" w:space="0" w:color="auto"/>
              <w:right w:val="single" w:sz="2" w:space="0" w:color="auto"/>
            </w:tcBorders>
            <w:vAlign w:val="center"/>
          </w:tcPr>
          <w:p w14:paraId="4E1BE86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16.41%</w:t>
            </w:r>
          </w:p>
        </w:tc>
      </w:tr>
      <w:tr w:rsidR="00C57E60" w14:paraId="53955C21"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76D0722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其他</w:t>
            </w:r>
          </w:p>
        </w:tc>
        <w:tc>
          <w:tcPr>
            <w:tcW w:w="1559" w:type="dxa"/>
            <w:tcBorders>
              <w:top w:val="single" w:sz="2" w:space="0" w:color="auto"/>
              <w:left w:val="single" w:sz="2" w:space="0" w:color="auto"/>
              <w:bottom w:val="single" w:sz="2" w:space="0" w:color="auto"/>
              <w:right w:val="single" w:sz="2" w:space="0" w:color="auto"/>
            </w:tcBorders>
            <w:vAlign w:val="center"/>
          </w:tcPr>
          <w:p w14:paraId="64111D1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43,927,257.60</w:t>
            </w:r>
          </w:p>
        </w:tc>
        <w:tc>
          <w:tcPr>
            <w:tcW w:w="1531" w:type="dxa"/>
            <w:tcBorders>
              <w:top w:val="single" w:sz="2" w:space="0" w:color="auto"/>
              <w:left w:val="single" w:sz="2" w:space="0" w:color="auto"/>
              <w:bottom w:val="single" w:sz="2" w:space="0" w:color="auto"/>
              <w:right w:val="single" w:sz="2" w:space="0" w:color="auto"/>
            </w:tcBorders>
            <w:vAlign w:val="center"/>
          </w:tcPr>
          <w:p w14:paraId="5EE5EDC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0.94%</w:t>
            </w:r>
          </w:p>
        </w:tc>
        <w:tc>
          <w:tcPr>
            <w:tcW w:w="1516" w:type="dxa"/>
            <w:tcBorders>
              <w:top w:val="single" w:sz="2" w:space="0" w:color="auto"/>
              <w:left w:val="single" w:sz="2" w:space="0" w:color="auto"/>
              <w:bottom w:val="single" w:sz="2" w:space="0" w:color="auto"/>
              <w:right w:val="single" w:sz="2" w:space="0" w:color="auto"/>
            </w:tcBorders>
            <w:vAlign w:val="center"/>
          </w:tcPr>
          <w:p w14:paraId="1F4E9A9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36,549,267.99</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2BBEC28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0.82%</w:t>
            </w:r>
          </w:p>
        </w:tc>
        <w:tc>
          <w:tcPr>
            <w:tcW w:w="850" w:type="dxa"/>
            <w:tcBorders>
              <w:top w:val="single" w:sz="2" w:space="0" w:color="auto"/>
              <w:left w:val="single" w:sz="2" w:space="0" w:color="auto"/>
              <w:bottom w:val="single" w:sz="2" w:space="0" w:color="auto"/>
              <w:right w:val="single" w:sz="2" w:space="0" w:color="auto"/>
            </w:tcBorders>
            <w:vAlign w:val="center"/>
          </w:tcPr>
          <w:p w14:paraId="1AEA15F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20.19%</w:t>
            </w:r>
          </w:p>
        </w:tc>
      </w:tr>
      <w:tr w:rsidR="00C57E60" w14:paraId="1C8F41DB" w14:textId="77777777" w:rsidTr="00BA13AD">
        <w:trPr>
          <w:trHeight w:val="240"/>
        </w:trPr>
        <w:tc>
          <w:tcPr>
            <w:tcW w:w="9587"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478D6C3C"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分地区</w:t>
            </w:r>
          </w:p>
        </w:tc>
      </w:tr>
      <w:tr w:rsidR="00C57E60" w14:paraId="5304A91D"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70518A76" w14:textId="3B4E4AFF" w:rsidR="00113A51" w:rsidRDefault="00CA2DD3">
            <w:pPr>
              <w:spacing w:line="360" w:lineRule="auto"/>
              <w:rPr>
                <w:rFonts w:ascii="Times New Roman" w:eastAsia="宋体" w:hAnsi="Times New Roman" w:cs="宋体"/>
                <w:sz w:val="18"/>
                <w:szCs w:val="18"/>
              </w:rPr>
            </w:pPr>
            <w:r w:rsidRPr="00CA2DD3">
              <w:rPr>
                <w:rFonts w:ascii="Times New Roman" w:eastAsia="宋体" w:hAnsi="Times New Roman" w:cs="宋体" w:hint="eastAsia"/>
                <w:sz w:val="18"/>
                <w:szCs w:val="18"/>
              </w:rPr>
              <w:t>境内</w:t>
            </w:r>
          </w:p>
        </w:tc>
        <w:tc>
          <w:tcPr>
            <w:tcW w:w="1559" w:type="dxa"/>
            <w:tcBorders>
              <w:top w:val="single" w:sz="2" w:space="0" w:color="auto"/>
              <w:left w:val="single" w:sz="2" w:space="0" w:color="auto"/>
              <w:bottom w:val="single" w:sz="2" w:space="0" w:color="auto"/>
              <w:right w:val="single" w:sz="2" w:space="0" w:color="auto"/>
            </w:tcBorders>
            <w:vAlign w:val="center"/>
          </w:tcPr>
          <w:p w14:paraId="27248F0D" w14:textId="2290B63B"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2,607,394,459.74</w:t>
            </w:r>
          </w:p>
        </w:tc>
        <w:tc>
          <w:tcPr>
            <w:tcW w:w="1531" w:type="dxa"/>
            <w:tcBorders>
              <w:top w:val="single" w:sz="2" w:space="0" w:color="auto"/>
              <w:left w:val="single" w:sz="2" w:space="0" w:color="auto"/>
              <w:bottom w:val="single" w:sz="2" w:space="0" w:color="auto"/>
              <w:right w:val="single" w:sz="2" w:space="0" w:color="auto"/>
            </w:tcBorders>
            <w:vAlign w:val="center"/>
          </w:tcPr>
          <w:p w14:paraId="639DBF4A" w14:textId="24ABAE15"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55.96%</w:t>
            </w:r>
          </w:p>
        </w:tc>
        <w:tc>
          <w:tcPr>
            <w:tcW w:w="1516" w:type="dxa"/>
            <w:tcBorders>
              <w:top w:val="single" w:sz="2" w:space="0" w:color="auto"/>
              <w:left w:val="single" w:sz="2" w:space="0" w:color="auto"/>
              <w:bottom w:val="single" w:sz="2" w:space="0" w:color="auto"/>
              <w:right w:val="single" w:sz="2" w:space="0" w:color="auto"/>
            </w:tcBorders>
            <w:vAlign w:val="center"/>
          </w:tcPr>
          <w:p w14:paraId="33DCE208" w14:textId="69421B64"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2,577,984,287.09</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73431660" w14:textId="2821BB46"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58.02%</w:t>
            </w:r>
          </w:p>
        </w:tc>
        <w:tc>
          <w:tcPr>
            <w:tcW w:w="850" w:type="dxa"/>
            <w:tcBorders>
              <w:top w:val="single" w:sz="2" w:space="0" w:color="auto"/>
              <w:left w:val="single" w:sz="2" w:space="0" w:color="auto"/>
              <w:bottom w:val="single" w:sz="2" w:space="0" w:color="auto"/>
              <w:right w:val="single" w:sz="2" w:space="0" w:color="auto"/>
            </w:tcBorders>
            <w:vAlign w:val="center"/>
          </w:tcPr>
          <w:p w14:paraId="596DA8A8" w14:textId="311A2E25"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1.14%</w:t>
            </w:r>
          </w:p>
        </w:tc>
      </w:tr>
      <w:tr w:rsidR="00C57E60" w14:paraId="36C09231"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4C8581EB" w14:textId="54690061" w:rsidR="00113A51" w:rsidRDefault="00CA2DD3">
            <w:pPr>
              <w:spacing w:line="360" w:lineRule="auto"/>
              <w:rPr>
                <w:rFonts w:ascii="Times New Roman" w:eastAsia="宋体" w:hAnsi="Times New Roman" w:cs="宋体"/>
                <w:sz w:val="18"/>
                <w:szCs w:val="18"/>
              </w:rPr>
            </w:pPr>
            <w:r w:rsidRPr="00CA2DD3">
              <w:rPr>
                <w:rFonts w:ascii="Times New Roman" w:eastAsia="宋体" w:hAnsi="Times New Roman" w:cs="宋体" w:hint="eastAsia"/>
                <w:sz w:val="18"/>
                <w:szCs w:val="18"/>
              </w:rPr>
              <w:t>境外</w:t>
            </w:r>
          </w:p>
        </w:tc>
        <w:tc>
          <w:tcPr>
            <w:tcW w:w="1559" w:type="dxa"/>
            <w:tcBorders>
              <w:top w:val="single" w:sz="2" w:space="0" w:color="auto"/>
              <w:left w:val="single" w:sz="2" w:space="0" w:color="auto"/>
              <w:bottom w:val="single" w:sz="2" w:space="0" w:color="auto"/>
              <w:right w:val="single" w:sz="2" w:space="0" w:color="auto"/>
            </w:tcBorders>
            <w:vAlign w:val="center"/>
          </w:tcPr>
          <w:p w14:paraId="0ECF1746" w14:textId="5B407941"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2,051,941,453.76</w:t>
            </w:r>
          </w:p>
        </w:tc>
        <w:tc>
          <w:tcPr>
            <w:tcW w:w="1531" w:type="dxa"/>
            <w:tcBorders>
              <w:top w:val="single" w:sz="2" w:space="0" w:color="auto"/>
              <w:left w:val="single" w:sz="2" w:space="0" w:color="auto"/>
              <w:bottom w:val="single" w:sz="2" w:space="0" w:color="auto"/>
              <w:right w:val="single" w:sz="2" w:space="0" w:color="auto"/>
            </w:tcBorders>
            <w:vAlign w:val="center"/>
          </w:tcPr>
          <w:p w14:paraId="6E151627" w14:textId="5378A1A8"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44.04%</w:t>
            </w:r>
          </w:p>
        </w:tc>
        <w:tc>
          <w:tcPr>
            <w:tcW w:w="1516" w:type="dxa"/>
            <w:tcBorders>
              <w:top w:val="single" w:sz="2" w:space="0" w:color="auto"/>
              <w:left w:val="single" w:sz="2" w:space="0" w:color="auto"/>
              <w:bottom w:val="single" w:sz="2" w:space="0" w:color="auto"/>
              <w:right w:val="single" w:sz="2" w:space="0" w:color="auto"/>
            </w:tcBorders>
            <w:vAlign w:val="center"/>
          </w:tcPr>
          <w:p w14:paraId="4DE7B869" w14:textId="55DE8B36"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1,865,139,283.52</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002FDC50" w14:textId="558F8702"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41.98%</w:t>
            </w:r>
          </w:p>
        </w:tc>
        <w:tc>
          <w:tcPr>
            <w:tcW w:w="850" w:type="dxa"/>
            <w:tcBorders>
              <w:top w:val="single" w:sz="2" w:space="0" w:color="auto"/>
              <w:left w:val="single" w:sz="2" w:space="0" w:color="auto"/>
              <w:bottom w:val="single" w:sz="2" w:space="0" w:color="auto"/>
              <w:right w:val="single" w:sz="2" w:space="0" w:color="auto"/>
            </w:tcBorders>
            <w:vAlign w:val="center"/>
          </w:tcPr>
          <w:p w14:paraId="5D94C1F1" w14:textId="7E3B433F" w:rsidR="00113A51" w:rsidRDefault="00CA2DD3">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10.02%</w:t>
            </w:r>
          </w:p>
        </w:tc>
      </w:tr>
      <w:tr w:rsidR="00C57E60" w14:paraId="05792E61" w14:textId="77777777" w:rsidTr="00BA13AD">
        <w:trPr>
          <w:trHeight w:val="240"/>
        </w:trPr>
        <w:tc>
          <w:tcPr>
            <w:tcW w:w="9587"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1E5C198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分销售模式</w:t>
            </w:r>
          </w:p>
        </w:tc>
      </w:tr>
      <w:tr w:rsidR="00C57E60" w14:paraId="12443CD9"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2ED48D2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经销</w:t>
            </w:r>
          </w:p>
        </w:tc>
        <w:tc>
          <w:tcPr>
            <w:tcW w:w="1559" w:type="dxa"/>
            <w:tcBorders>
              <w:top w:val="single" w:sz="2" w:space="0" w:color="auto"/>
              <w:left w:val="single" w:sz="2" w:space="0" w:color="auto"/>
              <w:bottom w:val="single" w:sz="2" w:space="0" w:color="auto"/>
              <w:right w:val="single" w:sz="2" w:space="0" w:color="auto"/>
            </w:tcBorders>
            <w:vAlign w:val="center"/>
          </w:tcPr>
          <w:p w14:paraId="753CFD3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3,618,034,223.33</w:t>
            </w:r>
          </w:p>
        </w:tc>
        <w:tc>
          <w:tcPr>
            <w:tcW w:w="1531" w:type="dxa"/>
            <w:tcBorders>
              <w:top w:val="single" w:sz="2" w:space="0" w:color="auto"/>
              <w:left w:val="single" w:sz="2" w:space="0" w:color="auto"/>
              <w:bottom w:val="single" w:sz="2" w:space="0" w:color="auto"/>
              <w:right w:val="single" w:sz="2" w:space="0" w:color="auto"/>
            </w:tcBorders>
            <w:vAlign w:val="center"/>
          </w:tcPr>
          <w:p w14:paraId="6B21395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77.65%</w:t>
            </w:r>
          </w:p>
        </w:tc>
        <w:tc>
          <w:tcPr>
            <w:tcW w:w="1516" w:type="dxa"/>
            <w:tcBorders>
              <w:top w:val="single" w:sz="2" w:space="0" w:color="auto"/>
              <w:left w:val="single" w:sz="2" w:space="0" w:color="auto"/>
              <w:bottom w:val="single" w:sz="2" w:space="0" w:color="auto"/>
              <w:right w:val="single" w:sz="2" w:space="0" w:color="auto"/>
            </w:tcBorders>
            <w:vAlign w:val="center"/>
          </w:tcPr>
          <w:p w14:paraId="0914D62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3,534,140,265.80</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01D6ADB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79.54%</w:t>
            </w:r>
          </w:p>
        </w:tc>
        <w:tc>
          <w:tcPr>
            <w:tcW w:w="850" w:type="dxa"/>
            <w:tcBorders>
              <w:top w:val="single" w:sz="2" w:space="0" w:color="auto"/>
              <w:left w:val="single" w:sz="2" w:space="0" w:color="auto"/>
              <w:bottom w:val="single" w:sz="2" w:space="0" w:color="auto"/>
              <w:right w:val="single" w:sz="2" w:space="0" w:color="auto"/>
            </w:tcBorders>
            <w:vAlign w:val="center"/>
          </w:tcPr>
          <w:p w14:paraId="71A9088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2.37%</w:t>
            </w:r>
          </w:p>
        </w:tc>
      </w:tr>
      <w:tr w:rsidR="00C57E60" w14:paraId="2DB7D0BC" w14:textId="77777777" w:rsidTr="00BA13AD">
        <w:trPr>
          <w:trHeight w:val="240"/>
        </w:trPr>
        <w:tc>
          <w:tcPr>
            <w:tcW w:w="2557" w:type="dxa"/>
            <w:tcBorders>
              <w:top w:val="single" w:sz="2" w:space="0" w:color="auto"/>
              <w:left w:val="single" w:sz="2" w:space="0" w:color="auto"/>
              <w:bottom w:val="single" w:sz="2" w:space="0" w:color="auto"/>
              <w:right w:val="single" w:sz="2" w:space="0" w:color="auto"/>
            </w:tcBorders>
            <w:vAlign w:val="center"/>
          </w:tcPr>
          <w:p w14:paraId="406BDEC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直销</w:t>
            </w:r>
          </w:p>
        </w:tc>
        <w:tc>
          <w:tcPr>
            <w:tcW w:w="1559" w:type="dxa"/>
            <w:tcBorders>
              <w:top w:val="single" w:sz="2" w:space="0" w:color="auto"/>
              <w:left w:val="single" w:sz="2" w:space="0" w:color="auto"/>
              <w:bottom w:val="single" w:sz="2" w:space="0" w:color="auto"/>
              <w:right w:val="single" w:sz="2" w:space="0" w:color="auto"/>
            </w:tcBorders>
            <w:vAlign w:val="center"/>
          </w:tcPr>
          <w:p w14:paraId="4EEF7A4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1,041,301,690.17</w:t>
            </w:r>
          </w:p>
        </w:tc>
        <w:tc>
          <w:tcPr>
            <w:tcW w:w="1531" w:type="dxa"/>
            <w:tcBorders>
              <w:top w:val="single" w:sz="2" w:space="0" w:color="auto"/>
              <w:left w:val="single" w:sz="2" w:space="0" w:color="auto"/>
              <w:bottom w:val="single" w:sz="2" w:space="0" w:color="auto"/>
              <w:right w:val="single" w:sz="2" w:space="0" w:color="auto"/>
            </w:tcBorders>
            <w:vAlign w:val="center"/>
          </w:tcPr>
          <w:p w14:paraId="407D3D0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22.35%</w:t>
            </w:r>
          </w:p>
        </w:tc>
        <w:tc>
          <w:tcPr>
            <w:tcW w:w="1516" w:type="dxa"/>
            <w:tcBorders>
              <w:top w:val="single" w:sz="2" w:space="0" w:color="auto"/>
              <w:left w:val="single" w:sz="2" w:space="0" w:color="auto"/>
              <w:bottom w:val="single" w:sz="2" w:space="0" w:color="auto"/>
              <w:right w:val="single" w:sz="2" w:space="0" w:color="auto"/>
            </w:tcBorders>
            <w:vAlign w:val="center"/>
          </w:tcPr>
          <w:p w14:paraId="7251616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908,983,304.81</w:t>
            </w:r>
          </w:p>
        </w:tc>
        <w:tc>
          <w:tcPr>
            <w:tcW w:w="1574" w:type="dxa"/>
            <w:gridSpan w:val="3"/>
            <w:tcBorders>
              <w:top w:val="single" w:sz="2" w:space="0" w:color="auto"/>
              <w:left w:val="single" w:sz="2" w:space="0" w:color="auto"/>
              <w:bottom w:val="single" w:sz="2" w:space="0" w:color="auto"/>
              <w:right w:val="single" w:sz="2" w:space="0" w:color="auto"/>
            </w:tcBorders>
            <w:vAlign w:val="center"/>
          </w:tcPr>
          <w:p w14:paraId="048E974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20.46%</w:t>
            </w:r>
          </w:p>
        </w:tc>
        <w:tc>
          <w:tcPr>
            <w:tcW w:w="850" w:type="dxa"/>
            <w:tcBorders>
              <w:top w:val="single" w:sz="2" w:space="0" w:color="auto"/>
              <w:left w:val="single" w:sz="2" w:space="0" w:color="auto"/>
              <w:bottom w:val="single" w:sz="2" w:space="0" w:color="auto"/>
              <w:right w:val="single" w:sz="2" w:space="0" w:color="auto"/>
            </w:tcBorders>
            <w:vAlign w:val="center"/>
          </w:tcPr>
          <w:p w14:paraId="4DDB1F5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14.56%</w:t>
            </w:r>
          </w:p>
        </w:tc>
      </w:tr>
    </w:tbl>
    <w:p w14:paraId="79D09628" w14:textId="77777777" w:rsidR="00113A51" w:rsidRDefault="00766EC7">
      <w:pPr>
        <w:keepNext/>
        <w:keepLines/>
        <w:spacing w:before="300" w:after="300" w:line="280" w:lineRule="exact"/>
        <w:outlineLvl w:val="3"/>
        <w:rPr>
          <w:rFonts w:ascii="宋体" w:eastAsia="宋体" w:hAnsi="宋体" w:cs="宋体"/>
          <w:b/>
          <w:bCs/>
          <w:sz w:val="18"/>
          <w:szCs w:val="18"/>
        </w:rPr>
      </w:pPr>
      <w:bookmarkStart w:id="25" w:name="_Toc988909"/>
      <w:r>
        <w:rPr>
          <w:rFonts w:ascii="宋体" w:eastAsia="宋体" w:hAnsi="宋体" w:cs="宋体"/>
          <w:b/>
          <w:bCs/>
          <w:sz w:val="18"/>
          <w:szCs w:val="18"/>
        </w:rPr>
        <w:t>（2） 占公司营业收入或营业利润10%以上的行业、产品、地区、销售模式的情况</w:t>
      </w:r>
      <w:bookmarkEnd w:id="25"/>
    </w:p>
    <w:p w14:paraId="58C8349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688747D3" w14:textId="77777777" w:rsidR="00113A51" w:rsidRDefault="00766EC7">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580" w:type="dxa"/>
        <w:tblInd w:w="108" w:type="dxa"/>
        <w:tblLayout w:type="fixed"/>
        <w:tblLook w:val="04A0" w:firstRow="1" w:lastRow="0" w:firstColumn="1" w:lastColumn="0" w:noHBand="0" w:noVBand="1"/>
      </w:tblPr>
      <w:tblGrid>
        <w:gridCol w:w="1508"/>
        <w:gridCol w:w="1491"/>
        <w:gridCol w:w="1627"/>
        <w:gridCol w:w="879"/>
        <w:gridCol w:w="1389"/>
        <w:gridCol w:w="1389"/>
        <w:gridCol w:w="1297"/>
      </w:tblGrid>
      <w:tr w:rsidR="00C57E60" w14:paraId="55D73B64" w14:textId="77777777">
        <w:trPr>
          <w:trHeight w:val="240"/>
        </w:trPr>
        <w:tc>
          <w:tcPr>
            <w:tcW w:w="1508" w:type="dxa"/>
            <w:tcBorders>
              <w:top w:val="single" w:sz="2" w:space="0" w:color="auto"/>
              <w:left w:val="single" w:sz="2" w:space="0" w:color="auto"/>
              <w:bottom w:val="single" w:sz="2" w:space="0" w:color="auto"/>
              <w:right w:val="single" w:sz="2" w:space="0" w:color="auto"/>
            </w:tcBorders>
            <w:shd w:val="clear" w:color="auto" w:fill="D3D3D3"/>
            <w:vAlign w:val="center"/>
          </w:tcPr>
          <w:p w14:paraId="581DD963" w14:textId="77777777" w:rsidR="00113A51" w:rsidRDefault="00113A51">
            <w:pPr>
              <w:spacing w:line="360" w:lineRule="auto"/>
              <w:rPr>
                <w:rFonts w:ascii="Times New Roman" w:eastAsia="宋体" w:hAnsi="Times New Roman"/>
                <w:szCs w:val="18"/>
              </w:rPr>
            </w:pPr>
          </w:p>
        </w:tc>
        <w:tc>
          <w:tcPr>
            <w:tcW w:w="1491" w:type="dxa"/>
            <w:tcBorders>
              <w:top w:val="single" w:sz="2" w:space="0" w:color="auto"/>
              <w:left w:val="single" w:sz="2" w:space="0" w:color="auto"/>
              <w:bottom w:val="single" w:sz="2" w:space="0" w:color="auto"/>
              <w:right w:val="single" w:sz="2" w:space="0" w:color="auto"/>
            </w:tcBorders>
            <w:shd w:val="clear" w:color="auto" w:fill="D3D3D3"/>
            <w:vAlign w:val="center"/>
          </w:tcPr>
          <w:p w14:paraId="7C98916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营业收入</w:t>
            </w:r>
          </w:p>
        </w:tc>
        <w:tc>
          <w:tcPr>
            <w:tcW w:w="1627" w:type="dxa"/>
            <w:tcBorders>
              <w:top w:val="single" w:sz="2" w:space="0" w:color="auto"/>
              <w:left w:val="single" w:sz="2" w:space="0" w:color="auto"/>
              <w:bottom w:val="single" w:sz="2" w:space="0" w:color="auto"/>
              <w:right w:val="single" w:sz="2" w:space="0" w:color="auto"/>
            </w:tcBorders>
            <w:shd w:val="clear" w:color="auto" w:fill="D3D3D3"/>
            <w:vAlign w:val="center"/>
          </w:tcPr>
          <w:p w14:paraId="7D425A4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营业成本</w:t>
            </w:r>
          </w:p>
        </w:tc>
        <w:tc>
          <w:tcPr>
            <w:tcW w:w="879" w:type="dxa"/>
            <w:tcBorders>
              <w:top w:val="single" w:sz="2" w:space="0" w:color="auto"/>
              <w:left w:val="single" w:sz="2" w:space="0" w:color="auto"/>
              <w:bottom w:val="single" w:sz="2" w:space="0" w:color="auto"/>
              <w:right w:val="single" w:sz="2" w:space="0" w:color="auto"/>
            </w:tcBorders>
            <w:shd w:val="clear" w:color="auto" w:fill="D3D3D3"/>
            <w:vAlign w:val="center"/>
          </w:tcPr>
          <w:p w14:paraId="63B706A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毛利率</w:t>
            </w:r>
          </w:p>
        </w:tc>
        <w:tc>
          <w:tcPr>
            <w:tcW w:w="1389" w:type="dxa"/>
            <w:tcBorders>
              <w:top w:val="single" w:sz="2" w:space="0" w:color="auto"/>
              <w:left w:val="single" w:sz="2" w:space="0" w:color="auto"/>
              <w:bottom w:val="single" w:sz="2" w:space="0" w:color="auto"/>
              <w:right w:val="single" w:sz="2" w:space="0" w:color="auto"/>
            </w:tcBorders>
            <w:shd w:val="clear" w:color="auto" w:fill="D3D3D3"/>
            <w:vAlign w:val="center"/>
          </w:tcPr>
          <w:p w14:paraId="3D59EFF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营业收入比上年同期增减</w:t>
            </w:r>
          </w:p>
        </w:tc>
        <w:tc>
          <w:tcPr>
            <w:tcW w:w="1389" w:type="dxa"/>
            <w:tcBorders>
              <w:top w:val="single" w:sz="2" w:space="0" w:color="auto"/>
              <w:left w:val="single" w:sz="2" w:space="0" w:color="auto"/>
              <w:bottom w:val="single" w:sz="2" w:space="0" w:color="auto"/>
              <w:right w:val="single" w:sz="2" w:space="0" w:color="auto"/>
            </w:tcBorders>
            <w:shd w:val="clear" w:color="auto" w:fill="D3D3D3"/>
            <w:vAlign w:val="center"/>
          </w:tcPr>
          <w:p w14:paraId="0192A2B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营业成本比上年同期增减</w:t>
            </w:r>
          </w:p>
        </w:tc>
        <w:tc>
          <w:tcPr>
            <w:tcW w:w="1297" w:type="dxa"/>
            <w:tcBorders>
              <w:top w:val="single" w:sz="2" w:space="0" w:color="auto"/>
              <w:left w:val="single" w:sz="2" w:space="0" w:color="auto"/>
              <w:bottom w:val="single" w:sz="2" w:space="0" w:color="auto"/>
              <w:right w:val="single" w:sz="2" w:space="0" w:color="auto"/>
            </w:tcBorders>
            <w:shd w:val="clear" w:color="auto" w:fill="D3D3D3"/>
            <w:vAlign w:val="center"/>
          </w:tcPr>
          <w:p w14:paraId="5E741D1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毛利率比上年同期增减</w:t>
            </w:r>
          </w:p>
        </w:tc>
      </w:tr>
      <w:tr w:rsidR="00C57E60" w14:paraId="69A83B76" w14:textId="77777777">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1FE057E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分行业</w:t>
            </w:r>
          </w:p>
        </w:tc>
      </w:tr>
      <w:tr w:rsidR="00C57E60" w14:paraId="2D2B545F" w14:textId="77777777">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3E2BB39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医疗器械行业</w:t>
            </w:r>
          </w:p>
        </w:tc>
        <w:tc>
          <w:tcPr>
            <w:tcW w:w="1491" w:type="dxa"/>
            <w:tcBorders>
              <w:top w:val="single" w:sz="2" w:space="0" w:color="auto"/>
              <w:left w:val="single" w:sz="2" w:space="0" w:color="auto"/>
              <w:bottom w:val="single" w:sz="2" w:space="0" w:color="auto"/>
              <w:right w:val="single" w:sz="2" w:space="0" w:color="auto"/>
            </w:tcBorders>
            <w:vAlign w:val="center"/>
          </w:tcPr>
          <w:p w14:paraId="1EED13D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4,650,846,735.83</w:t>
            </w:r>
          </w:p>
        </w:tc>
        <w:tc>
          <w:tcPr>
            <w:tcW w:w="1627" w:type="dxa"/>
            <w:tcBorders>
              <w:top w:val="single" w:sz="2" w:space="0" w:color="auto"/>
              <w:left w:val="single" w:sz="2" w:space="0" w:color="auto"/>
              <w:bottom w:val="single" w:sz="2" w:space="0" w:color="auto"/>
              <w:right w:val="single" w:sz="2" w:space="0" w:color="auto"/>
            </w:tcBorders>
            <w:vAlign w:val="center"/>
          </w:tcPr>
          <w:p w14:paraId="304AA3C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2,383,451,644.59</w:t>
            </w:r>
          </w:p>
        </w:tc>
        <w:tc>
          <w:tcPr>
            <w:tcW w:w="879" w:type="dxa"/>
            <w:tcBorders>
              <w:top w:val="single" w:sz="2" w:space="0" w:color="auto"/>
              <w:left w:val="single" w:sz="2" w:space="0" w:color="auto"/>
              <w:bottom w:val="single" w:sz="2" w:space="0" w:color="auto"/>
              <w:right w:val="single" w:sz="2" w:space="0" w:color="auto"/>
            </w:tcBorders>
            <w:vAlign w:val="center"/>
          </w:tcPr>
          <w:p w14:paraId="08F5C5A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48.75%</w:t>
            </w:r>
          </w:p>
        </w:tc>
        <w:tc>
          <w:tcPr>
            <w:tcW w:w="1389" w:type="dxa"/>
            <w:tcBorders>
              <w:top w:val="single" w:sz="2" w:space="0" w:color="auto"/>
              <w:left w:val="single" w:sz="2" w:space="0" w:color="auto"/>
              <w:bottom w:val="single" w:sz="2" w:space="0" w:color="auto"/>
              <w:right w:val="single" w:sz="2" w:space="0" w:color="auto"/>
            </w:tcBorders>
            <w:vAlign w:val="center"/>
          </w:tcPr>
          <w:p w14:paraId="6053096F" w14:textId="428FBAD4" w:rsidR="00113A51" w:rsidRDefault="009D6E02">
            <w:pPr>
              <w:spacing w:line="360" w:lineRule="auto"/>
              <w:jc w:val="right"/>
              <w:rPr>
                <w:rFonts w:ascii="Times New Roman" w:eastAsia="宋体" w:hAnsi="Times New Roman" w:cs="宋体"/>
                <w:sz w:val="18"/>
                <w:szCs w:val="18"/>
              </w:rPr>
            </w:pPr>
            <w:r w:rsidRPr="009D6E02">
              <w:rPr>
                <w:rFonts w:ascii="Times New Roman" w:eastAsia="宋体" w:hAnsi="Times New Roman" w:cs="宋体"/>
                <w:sz w:val="18"/>
                <w:szCs w:val="18"/>
              </w:rPr>
              <w:t>5.15%</w:t>
            </w:r>
          </w:p>
        </w:tc>
        <w:tc>
          <w:tcPr>
            <w:tcW w:w="1389" w:type="dxa"/>
            <w:tcBorders>
              <w:top w:val="single" w:sz="2" w:space="0" w:color="auto"/>
              <w:left w:val="single" w:sz="2" w:space="0" w:color="auto"/>
              <w:bottom w:val="single" w:sz="2" w:space="0" w:color="auto"/>
              <w:right w:val="single" w:sz="2" w:space="0" w:color="auto"/>
            </w:tcBorders>
            <w:vAlign w:val="center"/>
          </w:tcPr>
          <w:p w14:paraId="761883F5" w14:textId="1EFF2312" w:rsidR="00113A51" w:rsidRDefault="009D6E02">
            <w:pPr>
              <w:spacing w:line="360" w:lineRule="auto"/>
              <w:jc w:val="right"/>
              <w:rPr>
                <w:rFonts w:ascii="Times New Roman" w:eastAsia="宋体" w:hAnsi="Times New Roman" w:cs="宋体"/>
                <w:sz w:val="18"/>
                <w:szCs w:val="18"/>
              </w:rPr>
            </w:pPr>
            <w:r w:rsidRPr="009D6E02">
              <w:rPr>
                <w:rFonts w:ascii="Times New Roman" w:eastAsia="宋体" w:hAnsi="Times New Roman" w:cs="宋体"/>
                <w:sz w:val="18"/>
                <w:szCs w:val="18"/>
              </w:rPr>
              <w:t>19.26%</w:t>
            </w:r>
          </w:p>
        </w:tc>
        <w:tc>
          <w:tcPr>
            <w:tcW w:w="1297" w:type="dxa"/>
            <w:tcBorders>
              <w:top w:val="single" w:sz="2" w:space="0" w:color="auto"/>
              <w:left w:val="single" w:sz="2" w:space="0" w:color="auto"/>
              <w:bottom w:val="single" w:sz="2" w:space="0" w:color="auto"/>
              <w:right w:val="single" w:sz="2" w:space="0" w:color="auto"/>
            </w:tcBorders>
            <w:vAlign w:val="center"/>
          </w:tcPr>
          <w:p w14:paraId="0274203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-6.07%</w:t>
            </w:r>
          </w:p>
        </w:tc>
      </w:tr>
      <w:tr w:rsidR="00C57E60" w14:paraId="1949BFDA" w14:textId="77777777">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712A716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分产品</w:t>
            </w:r>
          </w:p>
        </w:tc>
      </w:tr>
      <w:tr w:rsidR="00C57E60" w14:paraId="07BB8FEA" w14:textId="77777777">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1F34EA6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1491" w:type="dxa"/>
            <w:tcBorders>
              <w:top w:val="single" w:sz="2" w:space="0" w:color="auto"/>
              <w:left w:val="single" w:sz="2" w:space="0" w:color="auto"/>
              <w:bottom w:val="single" w:sz="2" w:space="0" w:color="auto"/>
              <w:right w:val="single" w:sz="2" w:space="0" w:color="auto"/>
            </w:tcBorders>
            <w:vAlign w:val="center"/>
          </w:tcPr>
          <w:p w14:paraId="505AC4D2" w14:textId="25356F20" w:rsidR="00113A51" w:rsidRDefault="000F6214">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3,469,631,232.56</w:t>
            </w:r>
          </w:p>
        </w:tc>
        <w:tc>
          <w:tcPr>
            <w:tcW w:w="1627" w:type="dxa"/>
            <w:tcBorders>
              <w:top w:val="single" w:sz="2" w:space="0" w:color="auto"/>
              <w:left w:val="single" w:sz="2" w:space="0" w:color="auto"/>
              <w:bottom w:val="single" w:sz="2" w:space="0" w:color="auto"/>
              <w:right w:val="single" w:sz="2" w:space="0" w:color="auto"/>
            </w:tcBorders>
            <w:vAlign w:val="center"/>
          </w:tcPr>
          <w:p w14:paraId="3DBE5ABA" w14:textId="68988298" w:rsidR="00113A51" w:rsidRDefault="00B3237D" w:rsidP="00F6357F">
            <w:pPr>
              <w:spacing w:line="360" w:lineRule="auto"/>
              <w:jc w:val="right"/>
              <w:rPr>
                <w:rFonts w:ascii="Times New Roman" w:eastAsia="宋体" w:hAnsi="Times New Roman" w:cs="宋体"/>
                <w:sz w:val="18"/>
                <w:szCs w:val="18"/>
              </w:rPr>
            </w:pPr>
            <w:r w:rsidRPr="00B3237D">
              <w:rPr>
                <w:rFonts w:ascii="Times New Roman" w:eastAsia="宋体" w:hAnsi="Times New Roman" w:cs="宋体"/>
                <w:sz w:val="18"/>
                <w:szCs w:val="18"/>
              </w:rPr>
              <w:t>1,672,45</w:t>
            </w:r>
            <w:r w:rsidR="00D14944">
              <w:rPr>
                <w:rFonts w:ascii="Times New Roman" w:eastAsia="宋体" w:hAnsi="Times New Roman" w:cs="宋体"/>
                <w:sz w:val="18"/>
                <w:szCs w:val="18"/>
              </w:rPr>
              <w:t>3</w:t>
            </w:r>
            <w:r w:rsidRPr="00B3237D">
              <w:rPr>
                <w:rFonts w:ascii="Times New Roman" w:eastAsia="宋体" w:hAnsi="Times New Roman" w:cs="宋体"/>
                <w:sz w:val="18"/>
                <w:szCs w:val="18"/>
              </w:rPr>
              <w:t>,</w:t>
            </w:r>
            <w:r w:rsidR="00D14944">
              <w:rPr>
                <w:rFonts w:ascii="Times New Roman" w:eastAsia="宋体" w:hAnsi="Times New Roman" w:cs="宋体"/>
                <w:sz w:val="18"/>
                <w:szCs w:val="18"/>
              </w:rPr>
              <w:t>510</w:t>
            </w:r>
            <w:r w:rsidRPr="00B3237D">
              <w:rPr>
                <w:rFonts w:ascii="Times New Roman" w:eastAsia="宋体" w:hAnsi="Times New Roman" w:cs="宋体"/>
                <w:sz w:val="18"/>
                <w:szCs w:val="18"/>
              </w:rPr>
              <w:t>.</w:t>
            </w:r>
            <w:r w:rsidR="00D14944">
              <w:rPr>
                <w:rFonts w:ascii="Times New Roman" w:eastAsia="宋体" w:hAnsi="Times New Roman" w:cs="宋体"/>
                <w:sz w:val="18"/>
                <w:szCs w:val="18"/>
              </w:rPr>
              <w:t>9</w:t>
            </w:r>
            <w:r w:rsidRPr="00B3237D">
              <w:rPr>
                <w:rFonts w:ascii="Times New Roman" w:eastAsia="宋体" w:hAnsi="Times New Roman" w:cs="宋体"/>
                <w:sz w:val="18"/>
                <w:szCs w:val="18"/>
              </w:rPr>
              <w:t>2</w:t>
            </w:r>
          </w:p>
        </w:tc>
        <w:tc>
          <w:tcPr>
            <w:tcW w:w="879" w:type="dxa"/>
            <w:tcBorders>
              <w:top w:val="single" w:sz="2" w:space="0" w:color="auto"/>
              <w:left w:val="single" w:sz="2" w:space="0" w:color="auto"/>
              <w:bottom w:val="single" w:sz="2" w:space="0" w:color="auto"/>
              <w:right w:val="single" w:sz="2" w:space="0" w:color="auto"/>
            </w:tcBorders>
            <w:vAlign w:val="center"/>
          </w:tcPr>
          <w:p w14:paraId="1EF5BCCA" w14:textId="3DD6ED0B" w:rsidR="00113A51" w:rsidRDefault="000F6214" w:rsidP="00472846">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51.</w:t>
            </w:r>
            <w:r w:rsidR="00B3237D">
              <w:rPr>
                <w:rFonts w:ascii="Times New Roman" w:eastAsia="宋体" w:hAnsi="Times New Roman" w:cs="宋体"/>
                <w:sz w:val="18"/>
                <w:szCs w:val="18"/>
              </w:rPr>
              <w:t>80</w:t>
            </w:r>
            <w:r w:rsidRPr="000F6214">
              <w:rPr>
                <w:rFonts w:ascii="Times New Roman" w:eastAsia="宋体" w:hAnsi="Times New Roman" w:cs="宋体"/>
                <w:sz w:val="18"/>
                <w:szCs w:val="18"/>
              </w:rPr>
              <w:t>%</w:t>
            </w:r>
          </w:p>
        </w:tc>
        <w:tc>
          <w:tcPr>
            <w:tcW w:w="1389" w:type="dxa"/>
            <w:tcBorders>
              <w:top w:val="single" w:sz="2" w:space="0" w:color="auto"/>
              <w:left w:val="single" w:sz="2" w:space="0" w:color="auto"/>
              <w:bottom w:val="single" w:sz="2" w:space="0" w:color="auto"/>
              <w:right w:val="single" w:sz="2" w:space="0" w:color="auto"/>
            </w:tcBorders>
            <w:vAlign w:val="center"/>
          </w:tcPr>
          <w:p w14:paraId="7E6A024E" w14:textId="79508114" w:rsidR="00113A51" w:rsidRDefault="009D6E02">
            <w:pPr>
              <w:spacing w:line="360" w:lineRule="auto"/>
              <w:jc w:val="right"/>
              <w:rPr>
                <w:rFonts w:ascii="Times New Roman" w:eastAsia="宋体" w:hAnsi="Times New Roman" w:cs="宋体"/>
                <w:sz w:val="18"/>
                <w:szCs w:val="18"/>
              </w:rPr>
            </w:pPr>
            <w:r w:rsidRPr="009D6E02">
              <w:rPr>
                <w:rFonts w:ascii="Times New Roman" w:eastAsia="宋体" w:hAnsi="Times New Roman" w:cs="宋体"/>
                <w:sz w:val="18"/>
                <w:szCs w:val="18"/>
              </w:rPr>
              <w:t>4.49%</w:t>
            </w:r>
          </w:p>
        </w:tc>
        <w:tc>
          <w:tcPr>
            <w:tcW w:w="1389" w:type="dxa"/>
            <w:tcBorders>
              <w:top w:val="single" w:sz="2" w:space="0" w:color="auto"/>
              <w:left w:val="single" w:sz="2" w:space="0" w:color="auto"/>
              <w:bottom w:val="single" w:sz="2" w:space="0" w:color="auto"/>
              <w:right w:val="single" w:sz="2" w:space="0" w:color="auto"/>
            </w:tcBorders>
            <w:vAlign w:val="center"/>
          </w:tcPr>
          <w:p w14:paraId="7E51C3BF" w14:textId="2074E46A" w:rsidR="00113A51" w:rsidRDefault="009D6E02">
            <w:pPr>
              <w:spacing w:line="360" w:lineRule="auto"/>
              <w:jc w:val="right"/>
              <w:rPr>
                <w:rFonts w:ascii="Times New Roman" w:eastAsia="宋体" w:hAnsi="Times New Roman" w:cs="宋体"/>
                <w:sz w:val="18"/>
                <w:szCs w:val="18"/>
              </w:rPr>
            </w:pPr>
            <w:r w:rsidRPr="009D6E02">
              <w:rPr>
                <w:rFonts w:ascii="Times New Roman" w:eastAsia="宋体" w:hAnsi="Times New Roman" w:cs="宋体"/>
                <w:sz w:val="18"/>
                <w:szCs w:val="18"/>
              </w:rPr>
              <w:t>26.50%</w:t>
            </w:r>
          </w:p>
        </w:tc>
        <w:tc>
          <w:tcPr>
            <w:tcW w:w="1297" w:type="dxa"/>
            <w:tcBorders>
              <w:top w:val="single" w:sz="2" w:space="0" w:color="auto"/>
              <w:left w:val="single" w:sz="2" w:space="0" w:color="auto"/>
              <w:bottom w:val="single" w:sz="2" w:space="0" w:color="auto"/>
              <w:right w:val="single" w:sz="2" w:space="0" w:color="auto"/>
            </w:tcBorders>
            <w:vAlign w:val="center"/>
          </w:tcPr>
          <w:p w14:paraId="463688BB" w14:textId="3F6B6BA2" w:rsidR="00113A51" w:rsidRDefault="000F6214" w:rsidP="003756FE">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-8.</w:t>
            </w:r>
            <w:r w:rsidR="00B3237D">
              <w:rPr>
                <w:rFonts w:ascii="Times New Roman" w:eastAsia="宋体" w:hAnsi="Times New Roman" w:cs="宋体"/>
                <w:sz w:val="18"/>
                <w:szCs w:val="18"/>
              </w:rPr>
              <w:t>38</w:t>
            </w:r>
            <w:r w:rsidRPr="000F6214">
              <w:rPr>
                <w:rFonts w:ascii="Times New Roman" w:eastAsia="宋体" w:hAnsi="Times New Roman" w:cs="宋体"/>
                <w:sz w:val="18"/>
                <w:szCs w:val="18"/>
              </w:rPr>
              <w:t>%</w:t>
            </w:r>
          </w:p>
        </w:tc>
      </w:tr>
      <w:tr w:rsidR="00C57E60" w14:paraId="4EB29E5B" w14:textId="77777777">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4E4AE34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分地区</w:t>
            </w:r>
          </w:p>
        </w:tc>
      </w:tr>
      <w:tr w:rsidR="003C3AEA" w14:paraId="6E39D64B" w14:textId="77777777" w:rsidTr="00C707CF">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53935654" w14:textId="170CF760" w:rsidR="003C3AEA" w:rsidRDefault="003C3AEA" w:rsidP="003C3AEA">
            <w:pPr>
              <w:spacing w:line="360" w:lineRule="auto"/>
              <w:rPr>
                <w:rFonts w:ascii="Times New Roman" w:eastAsia="宋体" w:hAnsi="Times New Roman" w:cs="宋体"/>
                <w:sz w:val="18"/>
                <w:szCs w:val="18"/>
              </w:rPr>
            </w:pPr>
            <w:r w:rsidRPr="00CA2DD3">
              <w:rPr>
                <w:rFonts w:ascii="Times New Roman" w:eastAsia="宋体" w:hAnsi="Times New Roman" w:cs="宋体" w:hint="eastAsia"/>
                <w:sz w:val="18"/>
                <w:szCs w:val="18"/>
              </w:rPr>
              <w:t>境内</w:t>
            </w:r>
          </w:p>
        </w:tc>
        <w:tc>
          <w:tcPr>
            <w:tcW w:w="1491" w:type="dxa"/>
            <w:tcBorders>
              <w:top w:val="single" w:sz="2" w:space="0" w:color="auto"/>
              <w:left w:val="single" w:sz="2" w:space="0" w:color="auto"/>
              <w:bottom w:val="single" w:sz="2" w:space="0" w:color="auto"/>
              <w:right w:val="single" w:sz="2" w:space="0" w:color="auto"/>
            </w:tcBorders>
            <w:vAlign w:val="center"/>
          </w:tcPr>
          <w:p w14:paraId="05341044" w14:textId="677AE953" w:rsidR="003C3AEA" w:rsidRDefault="003C3AEA" w:rsidP="003C3AEA">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2,607,394,459.74</w:t>
            </w:r>
          </w:p>
        </w:tc>
        <w:tc>
          <w:tcPr>
            <w:tcW w:w="1627" w:type="dxa"/>
            <w:tcBorders>
              <w:top w:val="single" w:sz="2" w:space="0" w:color="auto"/>
              <w:left w:val="single" w:sz="2" w:space="0" w:color="auto"/>
              <w:bottom w:val="single" w:sz="2" w:space="0" w:color="auto"/>
              <w:right w:val="single" w:sz="2" w:space="0" w:color="auto"/>
            </w:tcBorders>
            <w:vAlign w:val="center"/>
          </w:tcPr>
          <w:p w14:paraId="3FAF3720" w14:textId="16BD74ED"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1,008,000,820.94</w:t>
            </w:r>
          </w:p>
        </w:tc>
        <w:tc>
          <w:tcPr>
            <w:tcW w:w="879" w:type="dxa"/>
            <w:tcBorders>
              <w:top w:val="single" w:sz="2" w:space="0" w:color="auto"/>
              <w:left w:val="single" w:sz="2" w:space="0" w:color="auto"/>
              <w:bottom w:val="single" w:sz="2" w:space="0" w:color="auto"/>
              <w:right w:val="single" w:sz="2" w:space="0" w:color="auto"/>
            </w:tcBorders>
            <w:vAlign w:val="center"/>
          </w:tcPr>
          <w:p w14:paraId="237836FE" w14:textId="33B3E352"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61.34%</w:t>
            </w:r>
          </w:p>
        </w:tc>
        <w:tc>
          <w:tcPr>
            <w:tcW w:w="1389" w:type="dxa"/>
            <w:tcBorders>
              <w:top w:val="single" w:sz="2" w:space="0" w:color="auto"/>
              <w:left w:val="single" w:sz="2" w:space="0" w:color="auto"/>
              <w:bottom w:val="single" w:sz="2" w:space="0" w:color="auto"/>
              <w:right w:val="single" w:sz="2" w:space="0" w:color="auto"/>
            </w:tcBorders>
            <w:vAlign w:val="center"/>
          </w:tcPr>
          <w:p w14:paraId="76FD1405" w14:textId="6F13E946"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1.14%</w:t>
            </w:r>
          </w:p>
        </w:tc>
        <w:tc>
          <w:tcPr>
            <w:tcW w:w="1389" w:type="dxa"/>
            <w:tcBorders>
              <w:top w:val="single" w:sz="2" w:space="0" w:color="auto"/>
              <w:left w:val="single" w:sz="2" w:space="0" w:color="auto"/>
              <w:bottom w:val="single" w:sz="2" w:space="0" w:color="auto"/>
              <w:right w:val="single" w:sz="2" w:space="0" w:color="auto"/>
            </w:tcBorders>
            <w:vAlign w:val="center"/>
          </w:tcPr>
          <w:p w14:paraId="5365119C" w14:textId="2ED71EB4"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7.47%</w:t>
            </w:r>
          </w:p>
        </w:tc>
        <w:tc>
          <w:tcPr>
            <w:tcW w:w="1297" w:type="dxa"/>
            <w:tcBorders>
              <w:top w:val="single" w:sz="2" w:space="0" w:color="auto"/>
              <w:left w:val="single" w:sz="2" w:space="0" w:color="auto"/>
              <w:bottom w:val="single" w:sz="2" w:space="0" w:color="auto"/>
              <w:right w:val="single" w:sz="2" w:space="0" w:color="auto"/>
            </w:tcBorders>
            <w:vAlign w:val="center"/>
          </w:tcPr>
          <w:p w14:paraId="6FB6DE78" w14:textId="0DC19FFB"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-2.28%</w:t>
            </w:r>
          </w:p>
        </w:tc>
      </w:tr>
      <w:tr w:rsidR="003C3AEA" w14:paraId="700BAE71" w14:textId="77777777" w:rsidTr="00C707CF">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7C15D741" w14:textId="582329B0" w:rsidR="003C3AEA" w:rsidRDefault="003C3AEA" w:rsidP="003C3AEA">
            <w:pPr>
              <w:spacing w:line="360" w:lineRule="auto"/>
              <w:rPr>
                <w:rFonts w:ascii="Times New Roman" w:eastAsia="宋体" w:hAnsi="Times New Roman" w:cs="宋体"/>
                <w:sz w:val="18"/>
                <w:szCs w:val="18"/>
              </w:rPr>
            </w:pPr>
            <w:r w:rsidRPr="00CA2DD3">
              <w:rPr>
                <w:rFonts w:ascii="Times New Roman" w:eastAsia="宋体" w:hAnsi="Times New Roman" w:cs="宋体" w:hint="eastAsia"/>
                <w:sz w:val="18"/>
                <w:szCs w:val="18"/>
              </w:rPr>
              <w:t>境外</w:t>
            </w:r>
          </w:p>
        </w:tc>
        <w:tc>
          <w:tcPr>
            <w:tcW w:w="1491" w:type="dxa"/>
            <w:tcBorders>
              <w:top w:val="single" w:sz="2" w:space="0" w:color="auto"/>
              <w:left w:val="single" w:sz="2" w:space="0" w:color="auto"/>
              <w:bottom w:val="single" w:sz="2" w:space="0" w:color="auto"/>
              <w:right w:val="single" w:sz="2" w:space="0" w:color="auto"/>
            </w:tcBorders>
            <w:vAlign w:val="center"/>
          </w:tcPr>
          <w:p w14:paraId="44B13607" w14:textId="0BD75D6C" w:rsidR="003C3AEA" w:rsidRDefault="003C3AEA" w:rsidP="003C3AEA">
            <w:pPr>
              <w:spacing w:line="360" w:lineRule="auto"/>
              <w:jc w:val="right"/>
              <w:rPr>
                <w:rFonts w:ascii="Times New Roman" w:eastAsia="宋体" w:hAnsi="Times New Roman" w:cs="宋体"/>
                <w:sz w:val="18"/>
                <w:szCs w:val="18"/>
              </w:rPr>
            </w:pPr>
            <w:r w:rsidRPr="00CA2DD3">
              <w:rPr>
                <w:rFonts w:ascii="Times New Roman" w:eastAsia="宋体" w:hAnsi="Times New Roman" w:cs="宋体"/>
                <w:sz w:val="18"/>
                <w:szCs w:val="18"/>
              </w:rPr>
              <w:t>2,051,941,453.76</w:t>
            </w:r>
          </w:p>
        </w:tc>
        <w:tc>
          <w:tcPr>
            <w:tcW w:w="1627" w:type="dxa"/>
            <w:tcBorders>
              <w:top w:val="single" w:sz="2" w:space="0" w:color="auto"/>
              <w:left w:val="single" w:sz="2" w:space="0" w:color="auto"/>
              <w:bottom w:val="single" w:sz="2" w:space="0" w:color="auto"/>
              <w:right w:val="single" w:sz="2" w:space="0" w:color="auto"/>
            </w:tcBorders>
            <w:vAlign w:val="center"/>
          </w:tcPr>
          <w:p w14:paraId="5AA9C1A8" w14:textId="7D3B586C"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1,380,465,629.26</w:t>
            </w:r>
          </w:p>
        </w:tc>
        <w:tc>
          <w:tcPr>
            <w:tcW w:w="879" w:type="dxa"/>
            <w:tcBorders>
              <w:top w:val="single" w:sz="2" w:space="0" w:color="auto"/>
              <w:left w:val="single" w:sz="2" w:space="0" w:color="auto"/>
              <w:bottom w:val="single" w:sz="2" w:space="0" w:color="auto"/>
              <w:right w:val="single" w:sz="2" w:space="0" w:color="auto"/>
            </w:tcBorders>
            <w:vAlign w:val="center"/>
          </w:tcPr>
          <w:p w14:paraId="1ADBE8AD" w14:textId="23941AF5"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32.72%</w:t>
            </w:r>
          </w:p>
        </w:tc>
        <w:tc>
          <w:tcPr>
            <w:tcW w:w="1389" w:type="dxa"/>
            <w:tcBorders>
              <w:top w:val="single" w:sz="2" w:space="0" w:color="auto"/>
              <w:left w:val="single" w:sz="2" w:space="0" w:color="auto"/>
              <w:bottom w:val="single" w:sz="2" w:space="0" w:color="auto"/>
              <w:right w:val="single" w:sz="2" w:space="0" w:color="auto"/>
            </w:tcBorders>
            <w:vAlign w:val="center"/>
          </w:tcPr>
          <w:p w14:paraId="6DAE83B1" w14:textId="016288AA"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10.02%</w:t>
            </w:r>
          </w:p>
        </w:tc>
        <w:tc>
          <w:tcPr>
            <w:tcW w:w="1389" w:type="dxa"/>
            <w:tcBorders>
              <w:top w:val="single" w:sz="2" w:space="0" w:color="auto"/>
              <w:left w:val="single" w:sz="2" w:space="0" w:color="auto"/>
              <w:bottom w:val="single" w:sz="2" w:space="0" w:color="auto"/>
              <w:right w:val="single" w:sz="2" w:space="0" w:color="auto"/>
            </w:tcBorders>
            <w:vAlign w:val="center"/>
          </w:tcPr>
          <w:p w14:paraId="5AF13C56" w14:textId="715B19F7"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29.40%</w:t>
            </w:r>
          </w:p>
        </w:tc>
        <w:tc>
          <w:tcPr>
            <w:tcW w:w="1297" w:type="dxa"/>
            <w:tcBorders>
              <w:top w:val="single" w:sz="2" w:space="0" w:color="auto"/>
              <w:left w:val="single" w:sz="2" w:space="0" w:color="auto"/>
              <w:bottom w:val="single" w:sz="2" w:space="0" w:color="auto"/>
              <w:right w:val="single" w:sz="2" w:space="0" w:color="auto"/>
            </w:tcBorders>
            <w:vAlign w:val="center"/>
          </w:tcPr>
          <w:p w14:paraId="7FA15025" w14:textId="4F00096C" w:rsidR="003C3AEA" w:rsidRDefault="003C3AEA">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-10.08%</w:t>
            </w:r>
          </w:p>
        </w:tc>
      </w:tr>
      <w:tr w:rsidR="00C57E60" w14:paraId="030D27F5" w14:textId="77777777">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46855B9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分销售模式</w:t>
            </w:r>
          </w:p>
        </w:tc>
      </w:tr>
      <w:tr w:rsidR="00C57E60" w14:paraId="04C54EAF" w14:textId="77777777">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7A9EF37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经销</w:t>
            </w:r>
          </w:p>
        </w:tc>
        <w:tc>
          <w:tcPr>
            <w:tcW w:w="1491" w:type="dxa"/>
            <w:tcBorders>
              <w:top w:val="single" w:sz="2" w:space="0" w:color="auto"/>
              <w:left w:val="single" w:sz="2" w:space="0" w:color="auto"/>
              <w:bottom w:val="single" w:sz="2" w:space="0" w:color="auto"/>
              <w:right w:val="single" w:sz="2" w:space="0" w:color="auto"/>
            </w:tcBorders>
            <w:vAlign w:val="center"/>
          </w:tcPr>
          <w:p w14:paraId="056D9B9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3,618,034,223.33</w:t>
            </w:r>
          </w:p>
        </w:tc>
        <w:tc>
          <w:tcPr>
            <w:tcW w:w="1627" w:type="dxa"/>
            <w:tcBorders>
              <w:top w:val="single" w:sz="2" w:space="0" w:color="auto"/>
              <w:left w:val="single" w:sz="2" w:space="0" w:color="auto"/>
              <w:bottom w:val="single" w:sz="2" w:space="0" w:color="auto"/>
              <w:right w:val="single" w:sz="2" w:space="0" w:color="auto"/>
            </w:tcBorders>
            <w:vAlign w:val="center"/>
          </w:tcPr>
          <w:p w14:paraId="6958F79A" w14:textId="56FD953D" w:rsidR="00113A51" w:rsidRDefault="000F6214">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1,893,977,230.45</w:t>
            </w:r>
          </w:p>
        </w:tc>
        <w:tc>
          <w:tcPr>
            <w:tcW w:w="879" w:type="dxa"/>
            <w:tcBorders>
              <w:top w:val="single" w:sz="2" w:space="0" w:color="auto"/>
              <w:left w:val="single" w:sz="2" w:space="0" w:color="auto"/>
              <w:bottom w:val="single" w:sz="2" w:space="0" w:color="auto"/>
              <w:right w:val="single" w:sz="2" w:space="0" w:color="auto"/>
            </w:tcBorders>
            <w:vAlign w:val="center"/>
          </w:tcPr>
          <w:p w14:paraId="3B1B3C4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47.65%</w:t>
            </w:r>
          </w:p>
        </w:tc>
        <w:tc>
          <w:tcPr>
            <w:tcW w:w="1389" w:type="dxa"/>
            <w:tcBorders>
              <w:top w:val="single" w:sz="2" w:space="0" w:color="auto"/>
              <w:left w:val="single" w:sz="2" w:space="0" w:color="auto"/>
              <w:bottom w:val="single" w:sz="2" w:space="0" w:color="auto"/>
              <w:right w:val="single" w:sz="2" w:space="0" w:color="auto"/>
            </w:tcBorders>
            <w:vAlign w:val="center"/>
          </w:tcPr>
          <w:p w14:paraId="6C530845" w14:textId="4F765544" w:rsidR="00113A51" w:rsidRDefault="00C92767">
            <w:pPr>
              <w:spacing w:line="360" w:lineRule="auto"/>
              <w:jc w:val="right"/>
              <w:rPr>
                <w:rFonts w:ascii="Times New Roman" w:eastAsia="宋体" w:hAnsi="Times New Roman" w:cs="宋体"/>
                <w:sz w:val="18"/>
                <w:szCs w:val="18"/>
              </w:rPr>
            </w:pPr>
            <w:r w:rsidRPr="00C92767">
              <w:rPr>
                <w:rFonts w:ascii="Times New Roman" w:eastAsia="宋体" w:hAnsi="Times New Roman" w:cs="宋体"/>
                <w:sz w:val="18"/>
                <w:szCs w:val="18"/>
              </w:rPr>
              <w:t>2.37%</w:t>
            </w:r>
          </w:p>
        </w:tc>
        <w:tc>
          <w:tcPr>
            <w:tcW w:w="1389" w:type="dxa"/>
            <w:tcBorders>
              <w:top w:val="single" w:sz="2" w:space="0" w:color="auto"/>
              <w:left w:val="single" w:sz="2" w:space="0" w:color="auto"/>
              <w:bottom w:val="single" w:sz="2" w:space="0" w:color="auto"/>
              <w:right w:val="single" w:sz="2" w:space="0" w:color="auto"/>
            </w:tcBorders>
            <w:vAlign w:val="center"/>
          </w:tcPr>
          <w:p w14:paraId="5EFDEAA4" w14:textId="0AF0964D" w:rsidR="00113A51" w:rsidRDefault="00C92767">
            <w:pPr>
              <w:spacing w:line="360" w:lineRule="auto"/>
              <w:jc w:val="right"/>
              <w:rPr>
                <w:rFonts w:ascii="Times New Roman" w:eastAsia="宋体" w:hAnsi="Times New Roman" w:cs="宋体"/>
                <w:sz w:val="18"/>
                <w:szCs w:val="18"/>
              </w:rPr>
            </w:pPr>
            <w:r w:rsidRPr="00C92767">
              <w:rPr>
                <w:rFonts w:ascii="Times New Roman" w:eastAsia="宋体" w:hAnsi="Times New Roman" w:cs="宋体"/>
                <w:sz w:val="18"/>
                <w:szCs w:val="18"/>
              </w:rPr>
              <w:t>16.41%</w:t>
            </w:r>
          </w:p>
        </w:tc>
        <w:tc>
          <w:tcPr>
            <w:tcW w:w="1297" w:type="dxa"/>
            <w:tcBorders>
              <w:top w:val="single" w:sz="2" w:space="0" w:color="auto"/>
              <w:left w:val="single" w:sz="2" w:space="0" w:color="auto"/>
              <w:bottom w:val="single" w:sz="2" w:space="0" w:color="auto"/>
              <w:right w:val="single" w:sz="2" w:space="0" w:color="auto"/>
            </w:tcBorders>
            <w:vAlign w:val="center"/>
          </w:tcPr>
          <w:p w14:paraId="4A8C3B1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-6.31%</w:t>
            </w:r>
          </w:p>
        </w:tc>
      </w:tr>
      <w:tr w:rsidR="00C57E60" w14:paraId="58E1726A" w14:textId="77777777">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02CE41D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直销</w:t>
            </w:r>
          </w:p>
        </w:tc>
        <w:tc>
          <w:tcPr>
            <w:tcW w:w="1491" w:type="dxa"/>
            <w:tcBorders>
              <w:top w:val="single" w:sz="2" w:space="0" w:color="auto"/>
              <w:left w:val="single" w:sz="2" w:space="0" w:color="auto"/>
              <w:bottom w:val="single" w:sz="2" w:space="0" w:color="auto"/>
              <w:right w:val="single" w:sz="2" w:space="0" w:color="auto"/>
            </w:tcBorders>
            <w:vAlign w:val="center"/>
          </w:tcPr>
          <w:p w14:paraId="0C484FC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1,041,301,690.17</w:t>
            </w:r>
          </w:p>
        </w:tc>
        <w:tc>
          <w:tcPr>
            <w:tcW w:w="1627" w:type="dxa"/>
            <w:tcBorders>
              <w:top w:val="single" w:sz="2" w:space="0" w:color="auto"/>
              <w:left w:val="single" w:sz="2" w:space="0" w:color="auto"/>
              <w:bottom w:val="single" w:sz="2" w:space="0" w:color="auto"/>
              <w:right w:val="single" w:sz="2" w:space="0" w:color="auto"/>
            </w:tcBorders>
            <w:vAlign w:val="center"/>
          </w:tcPr>
          <w:p w14:paraId="688B301D" w14:textId="485FF5D1" w:rsidR="00113A51" w:rsidRDefault="000F6214">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494,489,219.75</w:t>
            </w:r>
          </w:p>
        </w:tc>
        <w:tc>
          <w:tcPr>
            <w:tcW w:w="879" w:type="dxa"/>
            <w:tcBorders>
              <w:top w:val="single" w:sz="2" w:space="0" w:color="auto"/>
              <w:left w:val="single" w:sz="2" w:space="0" w:color="auto"/>
              <w:bottom w:val="single" w:sz="2" w:space="0" w:color="auto"/>
              <w:right w:val="single" w:sz="2" w:space="0" w:color="auto"/>
            </w:tcBorders>
            <w:vAlign w:val="center"/>
          </w:tcPr>
          <w:p w14:paraId="5AEEEB1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52.51%</w:t>
            </w:r>
          </w:p>
        </w:tc>
        <w:tc>
          <w:tcPr>
            <w:tcW w:w="1389" w:type="dxa"/>
            <w:tcBorders>
              <w:top w:val="single" w:sz="2" w:space="0" w:color="auto"/>
              <w:left w:val="single" w:sz="2" w:space="0" w:color="auto"/>
              <w:bottom w:val="single" w:sz="2" w:space="0" w:color="auto"/>
              <w:right w:val="single" w:sz="2" w:space="0" w:color="auto"/>
            </w:tcBorders>
            <w:vAlign w:val="center"/>
          </w:tcPr>
          <w:p w14:paraId="74FC9AB3" w14:textId="4AC2AD70" w:rsidR="00113A51" w:rsidRDefault="00C92767">
            <w:pPr>
              <w:spacing w:line="360" w:lineRule="auto"/>
              <w:jc w:val="right"/>
              <w:rPr>
                <w:rFonts w:ascii="Times New Roman" w:eastAsia="宋体" w:hAnsi="Times New Roman" w:cs="宋体"/>
                <w:sz w:val="18"/>
                <w:szCs w:val="18"/>
              </w:rPr>
            </w:pPr>
            <w:r w:rsidRPr="00C92767">
              <w:rPr>
                <w:rFonts w:ascii="Times New Roman" w:eastAsia="宋体" w:hAnsi="Times New Roman" w:cs="宋体"/>
                <w:sz w:val="18"/>
                <w:szCs w:val="18"/>
              </w:rPr>
              <w:t>14.56%</w:t>
            </w:r>
          </w:p>
        </w:tc>
        <w:tc>
          <w:tcPr>
            <w:tcW w:w="1389" w:type="dxa"/>
            <w:tcBorders>
              <w:top w:val="single" w:sz="2" w:space="0" w:color="auto"/>
              <w:left w:val="single" w:sz="2" w:space="0" w:color="auto"/>
              <w:bottom w:val="single" w:sz="2" w:space="0" w:color="auto"/>
              <w:right w:val="single" w:sz="2" w:space="0" w:color="auto"/>
            </w:tcBorders>
            <w:vAlign w:val="center"/>
          </w:tcPr>
          <w:p w14:paraId="2E13FA25" w14:textId="298474A3" w:rsidR="00113A51" w:rsidRDefault="00C92767">
            <w:pPr>
              <w:spacing w:line="360" w:lineRule="auto"/>
              <w:jc w:val="right"/>
              <w:rPr>
                <w:rFonts w:ascii="Times New Roman" w:eastAsia="宋体" w:hAnsi="Times New Roman" w:cs="宋体"/>
                <w:sz w:val="18"/>
                <w:szCs w:val="18"/>
              </w:rPr>
            </w:pPr>
            <w:r w:rsidRPr="00C92767">
              <w:rPr>
                <w:rFonts w:ascii="Times New Roman" w:eastAsia="宋体" w:hAnsi="Times New Roman" w:cs="宋体"/>
                <w:sz w:val="18"/>
                <w:szCs w:val="18"/>
              </w:rPr>
              <w:t>30.90%</w:t>
            </w:r>
          </w:p>
        </w:tc>
        <w:tc>
          <w:tcPr>
            <w:tcW w:w="1297" w:type="dxa"/>
            <w:tcBorders>
              <w:top w:val="single" w:sz="2" w:space="0" w:color="auto"/>
              <w:left w:val="single" w:sz="2" w:space="0" w:color="auto"/>
              <w:bottom w:val="single" w:sz="2" w:space="0" w:color="auto"/>
              <w:right w:val="single" w:sz="2" w:space="0" w:color="auto"/>
            </w:tcBorders>
            <w:vAlign w:val="center"/>
          </w:tcPr>
          <w:p w14:paraId="08A08CB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-5.93%</w:t>
            </w:r>
          </w:p>
        </w:tc>
      </w:tr>
    </w:tbl>
    <w:p w14:paraId="26EFC02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公司主营业务数据统计口径在报告期发生调整的情况下，公司最近1年按报告期末口径调整后的主营业务数据</w:t>
      </w:r>
    </w:p>
    <w:p w14:paraId="04D9A852" w14:textId="697726ED" w:rsidR="00113A51" w:rsidRDefault="003C3AEA">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sidR="00766EC7">
        <w:rPr>
          <w:rFonts w:ascii="宋体" w:eastAsia="宋体" w:hAnsi="宋体" w:cs="宋体"/>
          <w:sz w:val="18"/>
          <w:szCs w:val="18"/>
        </w:rPr>
        <w:t xml:space="preserve">适用 </w:t>
      </w:r>
      <w:r>
        <w:rPr>
          <w:rFonts w:ascii="宋体" w:eastAsia="宋体" w:hAnsi="宋体" w:cs="宋体"/>
          <w:sz w:val="18"/>
          <w:szCs w:val="18"/>
        </w:rPr>
        <w:t>□</w:t>
      </w:r>
      <w:r w:rsidR="00766EC7">
        <w:rPr>
          <w:rFonts w:ascii="宋体" w:eastAsia="宋体" w:hAnsi="宋体" w:cs="宋体"/>
          <w:sz w:val="18"/>
          <w:szCs w:val="18"/>
        </w:rPr>
        <w:t>不适用</w:t>
      </w:r>
    </w:p>
    <w:p w14:paraId="4576CEBC" w14:textId="77777777" w:rsidR="00174100" w:rsidRDefault="00174100" w:rsidP="00174100">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580" w:type="dxa"/>
        <w:tblInd w:w="108" w:type="dxa"/>
        <w:tblLayout w:type="fixed"/>
        <w:tblLook w:val="04A0" w:firstRow="1" w:lastRow="0" w:firstColumn="1" w:lastColumn="0" w:noHBand="0" w:noVBand="1"/>
      </w:tblPr>
      <w:tblGrid>
        <w:gridCol w:w="1508"/>
        <w:gridCol w:w="1491"/>
        <w:gridCol w:w="1627"/>
        <w:gridCol w:w="879"/>
        <w:gridCol w:w="1389"/>
        <w:gridCol w:w="1389"/>
        <w:gridCol w:w="1297"/>
      </w:tblGrid>
      <w:tr w:rsidR="00174100" w14:paraId="164A345D" w14:textId="77777777" w:rsidTr="006F1229">
        <w:trPr>
          <w:trHeight w:val="240"/>
        </w:trPr>
        <w:tc>
          <w:tcPr>
            <w:tcW w:w="1508" w:type="dxa"/>
            <w:tcBorders>
              <w:top w:val="single" w:sz="2" w:space="0" w:color="auto"/>
              <w:left w:val="single" w:sz="2" w:space="0" w:color="auto"/>
              <w:bottom w:val="single" w:sz="2" w:space="0" w:color="auto"/>
              <w:right w:val="single" w:sz="2" w:space="0" w:color="auto"/>
            </w:tcBorders>
            <w:shd w:val="clear" w:color="auto" w:fill="D3D3D3"/>
            <w:vAlign w:val="center"/>
          </w:tcPr>
          <w:p w14:paraId="79E5EE91" w14:textId="77777777" w:rsidR="00174100" w:rsidRDefault="00174100" w:rsidP="006F1229">
            <w:pPr>
              <w:spacing w:line="360" w:lineRule="auto"/>
              <w:rPr>
                <w:rFonts w:ascii="Times New Roman" w:eastAsia="宋体" w:hAnsi="Times New Roman"/>
                <w:szCs w:val="18"/>
              </w:rPr>
            </w:pPr>
          </w:p>
        </w:tc>
        <w:tc>
          <w:tcPr>
            <w:tcW w:w="1491" w:type="dxa"/>
            <w:tcBorders>
              <w:top w:val="single" w:sz="2" w:space="0" w:color="auto"/>
              <w:left w:val="single" w:sz="2" w:space="0" w:color="auto"/>
              <w:bottom w:val="single" w:sz="2" w:space="0" w:color="auto"/>
              <w:right w:val="single" w:sz="2" w:space="0" w:color="auto"/>
            </w:tcBorders>
            <w:shd w:val="clear" w:color="auto" w:fill="D3D3D3"/>
            <w:vAlign w:val="center"/>
          </w:tcPr>
          <w:p w14:paraId="04FE1C94" w14:textId="77777777" w:rsidR="00174100" w:rsidRDefault="00174100" w:rsidP="006F1229">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营业收入</w:t>
            </w:r>
          </w:p>
        </w:tc>
        <w:tc>
          <w:tcPr>
            <w:tcW w:w="1627" w:type="dxa"/>
            <w:tcBorders>
              <w:top w:val="single" w:sz="2" w:space="0" w:color="auto"/>
              <w:left w:val="single" w:sz="2" w:space="0" w:color="auto"/>
              <w:bottom w:val="single" w:sz="2" w:space="0" w:color="auto"/>
              <w:right w:val="single" w:sz="2" w:space="0" w:color="auto"/>
            </w:tcBorders>
            <w:shd w:val="clear" w:color="auto" w:fill="D3D3D3"/>
            <w:vAlign w:val="center"/>
          </w:tcPr>
          <w:p w14:paraId="239AFC76" w14:textId="77777777" w:rsidR="00174100" w:rsidRDefault="00174100" w:rsidP="006F1229">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营业成本</w:t>
            </w:r>
          </w:p>
        </w:tc>
        <w:tc>
          <w:tcPr>
            <w:tcW w:w="879" w:type="dxa"/>
            <w:tcBorders>
              <w:top w:val="single" w:sz="2" w:space="0" w:color="auto"/>
              <w:left w:val="single" w:sz="2" w:space="0" w:color="auto"/>
              <w:bottom w:val="single" w:sz="2" w:space="0" w:color="auto"/>
              <w:right w:val="single" w:sz="2" w:space="0" w:color="auto"/>
            </w:tcBorders>
            <w:shd w:val="clear" w:color="auto" w:fill="D3D3D3"/>
            <w:vAlign w:val="center"/>
          </w:tcPr>
          <w:p w14:paraId="0BD3F22B" w14:textId="77777777" w:rsidR="00174100" w:rsidRDefault="00174100" w:rsidP="006F1229">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毛利率</w:t>
            </w:r>
          </w:p>
        </w:tc>
        <w:tc>
          <w:tcPr>
            <w:tcW w:w="1389" w:type="dxa"/>
            <w:tcBorders>
              <w:top w:val="single" w:sz="2" w:space="0" w:color="auto"/>
              <w:left w:val="single" w:sz="2" w:space="0" w:color="auto"/>
              <w:bottom w:val="single" w:sz="2" w:space="0" w:color="auto"/>
              <w:right w:val="single" w:sz="2" w:space="0" w:color="auto"/>
            </w:tcBorders>
            <w:shd w:val="clear" w:color="auto" w:fill="D3D3D3"/>
            <w:vAlign w:val="center"/>
          </w:tcPr>
          <w:p w14:paraId="5CFE110B" w14:textId="77777777" w:rsidR="00174100" w:rsidRDefault="00174100" w:rsidP="006F1229">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营业收入比上年同期增减</w:t>
            </w:r>
          </w:p>
        </w:tc>
        <w:tc>
          <w:tcPr>
            <w:tcW w:w="1389" w:type="dxa"/>
            <w:tcBorders>
              <w:top w:val="single" w:sz="2" w:space="0" w:color="auto"/>
              <w:left w:val="single" w:sz="2" w:space="0" w:color="auto"/>
              <w:bottom w:val="single" w:sz="2" w:space="0" w:color="auto"/>
              <w:right w:val="single" w:sz="2" w:space="0" w:color="auto"/>
            </w:tcBorders>
            <w:shd w:val="clear" w:color="auto" w:fill="D3D3D3"/>
            <w:vAlign w:val="center"/>
          </w:tcPr>
          <w:p w14:paraId="19E0C065" w14:textId="77777777" w:rsidR="00174100" w:rsidRDefault="00174100" w:rsidP="006F1229">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营业成本比上年同期增减</w:t>
            </w:r>
          </w:p>
        </w:tc>
        <w:tc>
          <w:tcPr>
            <w:tcW w:w="1297" w:type="dxa"/>
            <w:tcBorders>
              <w:top w:val="single" w:sz="2" w:space="0" w:color="auto"/>
              <w:left w:val="single" w:sz="2" w:space="0" w:color="auto"/>
              <w:bottom w:val="single" w:sz="2" w:space="0" w:color="auto"/>
              <w:right w:val="single" w:sz="2" w:space="0" w:color="auto"/>
            </w:tcBorders>
            <w:shd w:val="clear" w:color="auto" w:fill="D3D3D3"/>
            <w:vAlign w:val="center"/>
          </w:tcPr>
          <w:p w14:paraId="5E419DA9" w14:textId="77777777" w:rsidR="00174100" w:rsidRDefault="00174100" w:rsidP="006F1229">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毛利率比上年同期增减</w:t>
            </w:r>
          </w:p>
        </w:tc>
      </w:tr>
      <w:tr w:rsidR="00174100" w14:paraId="7E0716B7" w14:textId="77777777" w:rsidTr="006F1229">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37C790B4" w14:textId="77777777" w:rsidR="00174100" w:rsidRDefault="00174100" w:rsidP="006F1229">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分行业</w:t>
            </w:r>
          </w:p>
        </w:tc>
      </w:tr>
      <w:tr w:rsidR="00174100" w14:paraId="3CF741CE" w14:textId="77777777" w:rsidTr="006F1229">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69109A2B" w14:textId="77777777" w:rsidR="00174100" w:rsidRDefault="00174100" w:rsidP="006F1229">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分产品</w:t>
            </w:r>
          </w:p>
        </w:tc>
      </w:tr>
      <w:tr w:rsidR="00174100" w14:paraId="12245984" w14:textId="77777777" w:rsidTr="006F1229">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5CC87B05" w14:textId="77777777" w:rsidR="00174100" w:rsidRDefault="00174100" w:rsidP="006F1229">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分地区</w:t>
            </w:r>
          </w:p>
        </w:tc>
      </w:tr>
      <w:tr w:rsidR="00174100" w14:paraId="783DEE55" w14:textId="77777777" w:rsidTr="006F1229">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178AE99C" w14:textId="77777777" w:rsidR="00174100" w:rsidRDefault="00174100" w:rsidP="006F1229">
            <w:pPr>
              <w:spacing w:line="360" w:lineRule="auto"/>
              <w:rPr>
                <w:rFonts w:ascii="Times New Roman" w:eastAsia="宋体" w:hAnsi="Times New Roman" w:cs="宋体"/>
                <w:sz w:val="18"/>
                <w:szCs w:val="18"/>
              </w:rPr>
            </w:pPr>
            <w:r w:rsidRPr="00CA2DD3">
              <w:rPr>
                <w:rFonts w:ascii="Times New Roman" w:eastAsia="宋体" w:hAnsi="Times New Roman" w:cs="宋体" w:hint="eastAsia"/>
                <w:sz w:val="18"/>
                <w:szCs w:val="18"/>
              </w:rPr>
              <w:t>境内</w:t>
            </w:r>
          </w:p>
        </w:tc>
        <w:tc>
          <w:tcPr>
            <w:tcW w:w="1491" w:type="dxa"/>
            <w:tcBorders>
              <w:top w:val="single" w:sz="2" w:space="0" w:color="auto"/>
              <w:left w:val="single" w:sz="2" w:space="0" w:color="auto"/>
              <w:bottom w:val="single" w:sz="2" w:space="0" w:color="auto"/>
              <w:right w:val="single" w:sz="2" w:space="0" w:color="auto"/>
            </w:tcBorders>
            <w:vAlign w:val="center"/>
          </w:tcPr>
          <w:p w14:paraId="4730B22E" w14:textId="1B1D4A96"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2,577,984,287.09</w:t>
            </w:r>
          </w:p>
        </w:tc>
        <w:tc>
          <w:tcPr>
            <w:tcW w:w="1627" w:type="dxa"/>
            <w:tcBorders>
              <w:top w:val="single" w:sz="2" w:space="0" w:color="auto"/>
              <w:left w:val="single" w:sz="2" w:space="0" w:color="auto"/>
              <w:bottom w:val="single" w:sz="2" w:space="0" w:color="auto"/>
              <w:right w:val="single" w:sz="2" w:space="0" w:color="auto"/>
            </w:tcBorders>
            <w:vAlign w:val="center"/>
          </w:tcPr>
          <w:p w14:paraId="32306481" w14:textId="4DC312F7"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937,910,692.48</w:t>
            </w:r>
          </w:p>
        </w:tc>
        <w:tc>
          <w:tcPr>
            <w:tcW w:w="879" w:type="dxa"/>
            <w:tcBorders>
              <w:top w:val="single" w:sz="2" w:space="0" w:color="auto"/>
              <w:left w:val="single" w:sz="2" w:space="0" w:color="auto"/>
              <w:bottom w:val="single" w:sz="2" w:space="0" w:color="auto"/>
              <w:right w:val="single" w:sz="2" w:space="0" w:color="auto"/>
            </w:tcBorders>
            <w:vAlign w:val="center"/>
          </w:tcPr>
          <w:p w14:paraId="058C81E2" w14:textId="4FBB6998"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63.62%</w:t>
            </w:r>
          </w:p>
        </w:tc>
        <w:tc>
          <w:tcPr>
            <w:tcW w:w="1389" w:type="dxa"/>
            <w:tcBorders>
              <w:top w:val="single" w:sz="2" w:space="0" w:color="auto"/>
              <w:left w:val="single" w:sz="2" w:space="0" w:color="auto"/>
              <w:bottom w:val="single" w:sz="2" w:space="0" w:color="auto"/>
              <w:right w:val="single" w:sz="2" w:space="0" w:color="auto"/>
            </w:tcBorders>
            <w:vAlign w:val="center"/>
          </w:tcPr>
          <w:p w14:paraId="7A5F667B" w14:textId="63CEBA38"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9.81%</w:t>
            </w:r>
          </w:p>
        </w:tc>
        <w:tc>
          <w:tcPr>
            <w:tcW w:w="1389" w:type="dxa"/>
            <w:tcBorders>
              <w:top w:val="single" w:sz="2" w:space="0" w:color="auto"/>
              <w:left w:val="single" w:sz="2" w:space="0" w:color="auto"/>
              <w:bottom w:val="single" w:sz="2" w:space="0" w:color="auto"/>
              <w:right w:val="single" w:sz="2" w:space="0" w:color="auto"/>
            </w:tcBorders>
            <w:vAlign w:val="center"/>
          </w:tcPr>
          <w:p w14:paraId="38EB8368" w14:textId="0CCAD38F"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9.20%</w:t>
            </w:r>
          </w:p>
        </w:tc>
        <w:tc>
          <w:tcPr>
            <w:tcW w:w="1297" w:type="dxa"/>
            <w:tcBorders>
              <w:top w:val="single" w:sz="2" w:space="0" w:color="auto"/>
              <w:left w:val="single" w:sz="2" w:space="0" w:color="auto"/>
              <w:bottom w:val="single" w:sz="2" w:space="0" w:color="auto"/>
              <w:right w:val="single" w:sz="2" w:space="0" w:color="auto"/>
            </w:tcBorders>
            <w:vAlign w:val="center"/>
          </w:tcPr>
          <w:p w14:paraId="3E1CF709" w14:textId="5C22C6ED"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0.20%</w:t>
            </w:r>
          </w:p>
        </w:tc>
      </w:tr>
      <w:tr w:rsidR="00174100" w14:paraId="0CD3AFDC" w14:textId="77777777" w:rsidTr="006F1229">
        <w:trPr>
          <w:trHeight w:val="240"/>
        </w:trPr>
        <w:tc>
          <w:tcPr>
            <w:tcW w:w="1508" w:type="dxa"/>
            <w:tcBorders>
              <w:top w:val="single" w:sz="2" w:space="0" w:color="auto"/>
              <w:left w:val="single" w:sz="2" w:space="0" w:color="auto"/>
              <w:bottom w:val="single" w:sz="2" w:space="0" w:color="auto"/>
              <w:right w:val="single" w:sz="2" w:space="0" w:color="auto"/>
            </w:tcBorders>
            <w:vAlign w:val="center"/>
          </w:tcPr>
          <w:p w14:paraId="7AED1974" w14:textId="77777777" w:rsidR="00174100" w:rsidRDefault="00174100" w:rsidP="006F1229">
            <w:pPr>
              <w:spacing w:line="360" w:lineRule="auto"/>
              <w:rPr>
                <w:rFonts w:ascii="Times New Roman" w:eastAsia="宋体" w:hAnsi="Times New Roman" w:cs="宋体"/>
                <w:sz w:val="18"/>
                <w:szCs w:val="18"/>
              </w:rPr>
            </w:pPr>
            <w:r w:rsidRPr="00CA2DD3">
              <w:rPr>
                <w:rFonts w:ascii="Times New Roman" w:eastAsia="宋体" w:hAnsi="Times New Roman" w:cs="宋体" w:hint="eastAsia"/>
                <w:sz w:val="18"/>
                <w:szCs w:val="18"/>
              </w:rPr>
              <w:t>境外</w:t>
            </w:r>
          </w:p>
        </w:tc>
        <w:tc>
          <w:tcPr>
            <w:tcW w:w="1491" w:type="dxa"/>
            <w:tcBorders>
              <w:top w:val="single" w:sz="2" w:space="0" w:color="auto"/>
              <w:left w:val="single" w:sz="2" w:space="0" w:color="auto"/>
              <w:bottom w:val="single" w:sz="2" w:space="0" w:color="auto"/>
              <w:right w:val="single" w:sz="2" w:space="0" w:color="auto"/>
            </w:tcBorders>
            <w:vAlign w:val="center"/>
          </w:tcPr>
          <w:p w14:paraId="74F66A9A" w14:textId="4EECF74E" w:rsidR="00174100" w:rsidRDefault="00267199" w:rsidP="00C707CF">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1</w:t>
            </w:r>
            <w:r w:rsidR="008D236C">
              <w:rPr>
                <w:rFonts w:ascii="Times New Roman" w:eastAsia="宋体" w:hAnsi="Times New Roman" w:cs="宋体"/>
                <w:sz w:val="18"/>
                <w:szCs w:val="18"/>
              </w:rPr>
              <w:t>,</w:t>
            </w:r>
            <w:r w:rsidRPr="00267199">
              <w:rPr>
                <w:rFonts w:ascii="Times New Roman" w:eastAsia="宋体" w:hAnsi="Times New Roman" w:cs="宋体"/>
                <w:sz w:val="18"/>
                <w:szCs w:val="18"/>
              </w:rPr>
              <w:t>865</w:t>
            </w:r>
            <w:r w:rsidR="008D236C">
              <w:rPr>
                <w:rFonts w:ascii="Times New Roman" w:eastAsia="宋体" w:hAnsi="Times New Roman" w:cs="宋体"/>
                <w:sz w:val="18"/>
                <w:szCs w:val="18"/>
              </w:rPr>
              <w:t>,</w:t>
            </w:r>
            <w:r w:rsidRPr="00267199">
              <w:rPr>
                <w:rFonts w:ascii="Times New Roman" w:eastAsia="宋体" w:hAnsi="Times New Roman" w:cs="宋体"/>
                <w:sz w:val="18"/>
                <w:szCs w:val="18"/>
              </w:rPr>
              <w:t>139</w:t>
            </w:r>
            <w:r w:rsidR="008D236C">
              <w:rPr>
                <w:rFonts w:ascii="Times New Roman" w:eastAsia="宋体" w:hAnsi="Times New Roman" w:cs="宋体"/>
                <w:sz w:val="18"/>
                <w:szCs w:val="18"/>
              </w:rPr>
              <w:t>,</w:t>
            </w:r>
            <w:r w:rsidRPr="00267199">
              <w:rPr>
                <w:rFonts w:ascii="Times New Roman" w:eastAsia="宋体" w:hAnsi="Times New Roman" w:cs="宋体"/>
                <w:sz w:val="18"/>
                <w:szCs w:val="18"/>
              </w:rPr>
              <w:t>283.52</w:t>
            </w:r>
          </w:p>
        </w:tc>
        <w:tc>
          <w:tcPr>
            <w:tcW w:w="1627" w:type="dxa"/>
            <w:tcBorders>
              <w:top w:val="single" w:sz="2" w:space="0" w:color="auto"/>
              <w:left w:val="single" w:sz="2" w:space="0" w:color="auto"/>
              <w:bottom w:val="single" w:sz="2" w:space="0" w:color="auto"/>
              <w:right w:val="single" w:sz="2" w:space="0" w:color="auto"/>
            </w:tcBorders>
            <w:vAlign w:val="center"/>
          </w:tcPr>
          <w:p w14:paraId="2C6492B4" w14:textId="32ACB4E4" w:rsidR="00174100" w:rsidRDefault="00267199" w:rsidP="00C707CF">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1</w:t>
            </w:r>
            <w:r w:rsidR="008D236C">
              <w:rPr>
                <w:rFonts w:ascii="Times New Roman" w:eastAsia="宋体" w:hAnsi="Times New Roman" w:cs="宋体"/>
                <w:sz w:val="18"/>
                <w:szCs w:val="18"/>
              </w:rPr>
              <w:t>,</w:t>
            </w:r>
            <w:r w:rsidRPr="00267199">
              <w:rPr>
                <w:rFonts w:ascii="Times New Roman" w:eastAsia="宋体" w:hAnsi="Times New Roman" w:cs="宋体"/>
                <w:sz w:val="18"/>
                <w:szCs w:val="18"/>
              </w:rPr>
              <w:t>066</w:t>
            </w:r>
            <w:r w:rsidR="008D236C">
              <w:rPr>
                <w:rFonts w:ascii="Times New Roman" w:eastAsia="宋体" w:hAnsi="Times New Roman" w:cs="宋体"/>
                <w:sz w:val="18"/>
                <w:szCs w:val="18"/>
              </w:rPr>
              <w:t>,</w:t>
            </w:r>
            <w:r w:rsidRPr="00267199">
              <w:rPr>
                <w:rFonts w:ascii="Times New Roman" w:eastAsia="宋体" w:hAnsi="Times New Roman" w:cs="宋体"/>
                <w:sz w:val="18"/>
                <w:szCs w:val="18"/>
              </w:rPr>
              <w:t>811</w:t>
            </w:r>
            <w:r w:rsidR="008D236C">
              <w:rPr>
                <w:rFonts w:ascii="Times New Roman" w:eastAsia="宋体" w:hAnsi="Times New Roman" w:cs="宋体"/>
                <w:sz w:val="18"/>
                <w:szCs w:val="18"/>
              </w:rPr>
              <w:t>,</w:t>
            </w:r>
            <w:r w:rsidRPr="00267199">
              <w:rPr>
                <w:rFonts w:ascii="Times New Roman" w:eastAsia="宋体" w:hAnsi="Times New Roman" w:cs="宋体"/>
                <w:sz w:val="18"/>
                <w:szCs w:val="18"/>
              </w:rPr>
              <w:t>717.10</w:t>
            </w:r>
          </w:p>
        </w:tc>
        <w:tc>
          <w:tcPr>
            <w:tcW w:w="879" w:type="dxa"/>
            <w:tcBorders>
              <w:top w:val="single" w:sz="2" w:space="0" w:color="auto"/>
              <w:left w:val="single" w:sz="2" w:space="0" w:color="auto"/>
              <w:bottom w:val="single" w:sz="2" w:space="0" w:color="auto"/>
              <w:right w:val="single" w:sz="2" w:space="0" w:color="auto"/>
            </w:tcBorders>
            <w:vAlign w:val="center"/>
          </w:tcPr>
          <w:p w14:paraId="295CC781" w14:textId="26A45A48"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42.80%</w:t>
            </w:r>
          </w:p>
        </w:tc>
        <w:tc>
          <w:tcPr>
            <w:tcW w:w="1389" w:type="dxa"/>
            <w:tcBorders>
              <w:top w:val="single" w:sz="2" w:space="0" w:color="auto"/>
              <w:left w:val="single" w:sz="2" w:space="0" w:color="auto"/>
              <w:bottom w:val="single" w:sz="2" w:space="0" w:color="auto"/>
              <w:right w:val="single" w:sz="2" w:space="0" w:color="auto"/>
            </w:tcBorders>
            <w:vAlign w:val="center"/>
          </w:tcPr>
          <w:p w14:paraId="675E579C" w14:textId="0A2852A1"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9.00%</w:t>
            </w:r>
          </w:p>
        </w:tc>
        <w:tc>
          <w:tcPr>
            <w:tcW w:w="1389" w:type="dxa"/>
            <w:tcBorders>
              <w:top w:val="single" w:sz="2" w:space="0" w:color="auto"/>
              <w:left w:val="single" w:sz="2" w:space="0" w:color="auto"/>
              <w:bottom w:val="single" w:sz="2" w:space="0" w:color="auto"/>
              <w:right w:val="single" w:sz="2" w:space="0" w:color="auto"/>
            </w:tcBorders>
            <w:vAlign w:val="center"/>
          </w:tcPr>
          <w:p w14:paraId="2953DAE8" w14:textId="47F68F21"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3.91%</w:t>
            </w:r>
          </w:p>
        </w:tc>
        <w:tc>
          <w:tcPr>
            <w:tcW w:w="1297" w:type="dxa"/>
            <w:tcBorders>
              <w:top w:val="single" w:sz="2" w:space="0" w:color="auto"/>
              <w:left w:val="single" w:sz="2" w:space="0" w:color="auto"/>
              <w:bottom w:val="single" w:sz="2" w:space="0" w:color="auto"/>
              <w:right w:val="single" w:sz="2" w:space="0" w:color="auto"/>
            </w:tcBorders>
            <w:vAlign w:val="center"/>
          </w:tcPr>
          <w:p w14:paraId="1101CAF4" w14:textId="58DDB802" w:rsidR="00174100" w:rsidRDefault="00267199" w:rsidP="006F1229">
            <w:pPr>
              <w:spacing w:line="360" w:lineRule="auto"/>
              <w:jc w:val="right"/>
              <w:rPr>
                <w:rFonts w:ascii="Times New Roman" w:eastAsia="宋体" w:hAnsi="Times New Roman" w:cs="宋体"/>
                <w:sz w:val="18"/>
                <w:szCs w:val="18"/>
              </w:rPr>
            </w:pPr>
            <w:r w:rsidRPr="00267199">
              <w:rPr>
                <w:rFonts w:ascii="Times New Roman" w:eastAsia="宋体" w:hAnsi="Times New Roman" w:cs="宋体"/>
                <w:sz w:val="18"/>
                <w:szCs w:val="18"/>
              </w:rPr>
              <w:t>2.80%</w:t>
            </w:r>
          </w:p>
        </w:tc>
      </w:tr>
      <w:tr w:rsidR="00174100" w14:paraId="2FC9E637" w14:textId="77777777" w:rsidTr="006F1229">
        <w:trPr>
          <w:trHeight w:val="240"/>
        </w:trPr>
        <w:tc>
          <w:tcPr>
            <w:tcW w:w="9580" w:type="dxa"/>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300E4DC2" w14:textId="77777777" w:rsidR="00174100" w:rsidRDefault="00174100" w:rsidP="006F1229">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分销售模式</w:t>
            </w:r>
          </w:p>
        </w:tc>
      </w:tr>
    </w:tbl>
    <w:p w14:paraId="2D6D592F" w14:textId="41A75524" w:rsidR="00174100" w:rsidRDefault="00174100" w:rsidP="00C707CF">
      <w:pPr>
        <w:spacing w:before="100" w:after="100" w:line="240" w:lineRule="exact"/>
        <w:rPr>
          <w:rFonts w:ascii="宋体" w:eastAsia="宋体" w:hAnsi="宋体" w:cs="宋体"/>
          <w:sz w:val="18"/>
          <w:szCs w:val="18"/>
        </w:rPr>
      </w:pPr>
      <w:r>
        <w:rPr>
          <w:rFonts w:ascii="宋体" w:eastAsia="宋体" w:hAnsi="宋体" w:cs="宋体" w:hint="eastAsia"/>
          <w:sz w:val="18"/>
          <w:szCs w:val="18"/>
        </w:rPr>
        <w:t>变更口径的理由</w:t>
      </w:r>
    </w:p>
    <w:p w14:paraId="4B7A0AB6" w14:textId="33D9E2EB" w:rsidR="00174100" w:rsidRPr="00C707CF" w:rsidRDefault="00174100" w:rsidP="00C707CF">
      <w:pPr>
        <w:pStyle w:val="a9"/>
        <w:spacing w:before="0" w:beforeAutospacing="0" w:after="0" w:afterAutospacing="0" w:line="360" w:lineRule="auto"/>
        <w:ind w:firstLineChars="200" w:firstLine="420"/>
        <w:jc w:val="both"/>
        <w:rPr>
          <w:rFonts w:ascii="Times New Roman" w:hAnsi="Times New Roman"/>
          <w:sz w:val="21"/>
          <w:szCs w:val="21"/>
        </w:rPr>
      </w:pPr>
      <w:r w:rsidRPr="00C707CF">
        <w:rPr>
          <w:rFonts w:ascii="Times New Roman" w:hAnsi="Times New Roman" w:hint="eastAsia"/>
          <w:sz w:val="21"/>
          <w:szCs w:val="21"/>
        </w:rPr>
        <w:t>基于公司全球化战略推进，公司境外业务持续拓展，已形成多国家、多区域的多元化发展布局，海外板块业务占比逐步变化，公司对收入分地区的列报口径进行优化调整，由“中国、美国、其他地区”变更为“境内、境外”，将原单独列示美国与其他地区业务统一归入为境外。</w:t>
      </w:r>
    </w:p>
    <w:p w14:paraId="1AB28812" w14:textId="77777777" w:rsidR="00113A51" w:rsidRDefault="00766EC7">
      <w:pPr>
        <w:keepNext/>
        <w:keepLines/>
        <w:spacing w:before="300" w:after="300" w:line="280" w:lineRule="exact"/>
        <w:outlineLvl w:val="3"/>
        <w:rPr>
          <w:rFonts w:ascii="宋体" w:eastAsia="宋体" w:hAnsi="宋体" w:cs="宋体"/>
          <w:b/>
          <w:bCs/>
          <w:sz w:val="18"/>
          <w:szCs w:val="18"/>
        </w:rPr>
      </w:pPr>
      <w:bookmarkStart w:id="26" w:name="_Toc988910"/>
      <w:r>
        <w:rPr>
          <w:rFonts w:ascii="宋体" w:eastAsia="宋体" w:hAnsi="宋体" w:cs="宋体"/>
          <w:b/>
          <w:bCs/>
          <w:sz w:val="18"/>
          <w:szCs w:val="18"/>
        </w:rPr>
        <w:t>（3） 公司实物销售收入是否大于劳务收入</w:t>
      </w:r>
      <w:bookmarkEnd w:id="26"/>
    </w:p>
    <w:p w14:paraId="11EF1615"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604"/>
        <w:gridCol w:w="1604"/>
        <w:gridCol w:w="1604"/>
        <w:gridCol w:w="1604"/>
        <w:gridCol w:w="1539"/>
      </w:tblGrid>
      <w:tr w:rsidR="00C57E60" w14:paraId="013FEEC4" w14:textId="77777777" w:rsidTr="00472846">
        <w:trPr>
          <w:trHeight w:val="240"/>
        </w:trPr>
        <w:tc>
          <w:tcPr>
            <w:tcW w:w="1604" w:type="dxa"/>
            <w:shd w:val="clear" w:color="auto" w:fill="D3D3D3"/>
            <w:vAlign w:val="center"/>
          </w:tcPr>
          <w:p w14:paraId="76DD568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行业分类</w:t>
            </w:r>
          </w:p>
        </w:tc>
        <w:tc>
          <w:tcPr>
            <w:tcW w:w="1604" w:type="dxa"/>
            <w:shd w:val="clear" w:color="auto" w:fill="D3D3D3"/>
            <w:vAlign w:val="center"/>
          </w:tcPr>
          <w:p w14:paraId="0DFE4F4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项目</w:t>
            </w:r>
          </w:p>
        </w:tc>
        <w:tc>
          <w:tcPr>
            <w:tcW w:w="1604" w:type="dxa"/>
            <w:shd w:val="clear" w:color="auto" w:fill="D3D3D3"/>
            <w:vAlign w:val="center"/>
          </w:tcPr>
          <w:p w14:paraId="2EAC0A6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单位</w:t>
            </w:r>
          </w:p>
        </w:tc>
        <w:tc>
          <w:tcPr>
            <w:tcW w:w="1604" w:type="dxa"/>
            <w:shd w:val="clear" w:color="auto" w:fill="D3D3D3"/>
            <w:vAlign w:val="center"/>
          </w:tcPr>
          <w:p w14:paraId="18D83CF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1604" w:type="dxa"/>
            <w:shd w:val="clear" w:color="auto" w:fill="D3D3D3"/>
            <w:vAlign w:val="center"/>
          </w:tcPr>
          <w:p w14:paraId="21048D5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1539" w:type="dxa"/>
            <w:shd w:val="clear" w:color="auto" w:fill="D3D3D3"/>
            <w:vAlign w:val="center"/>
          </w:tcPr>
          <w:p w14:paraId="662FF2A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同比增减</w:t>
            </w:r>
          </w:p>
        </w:tc>
      </w:tr>
      <w:tr w:rsidR="00C57E60" w14:paraId="77DB0EB1" w14:textId="77777777" w:rsidTr="00472846">
        <w:trPr>
          <w:trHeight w:val="240"/>
        </w:trPr>
        <w:tc>
          <w:tcPr>
            <w:tcW w:w="1604" w:type="dxa"/>
            <w:vMerge w:val="restart"/>
            <w:vAlign w:val="center"/>
          </w:tcPr>
          <w:p w14:paraId="1A27727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医疗器械行业</w:t>
            </w:r>
          </w:p>
        </w:tc>
        <w:tc>
          <w:tcPr>
            <w:tcW w:w="1604" w:type="dxa"/>
            <w:shd w:val="clear" w:color="auto" w:fill="D3D3D3"/>
            <w:vAlign w:val="center"/>
          </w:tcPr>
          <w:p w14:paraId="1D8020D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销售量</w:t>
            </w:r>
          </w:p>
        </w:tc>
        <w:tc>
          <w:tcPr>
            <w:tcW w:w="1604" w:type="dxa"/>
            <w:vAlign w:val="center"/>
          </w:tcPr>
          <w:p w14:paraId="2B364B8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万套</w:t>
            </w:r>
          </w:p>
        </w:tc>
        <w:tc>
          <w:tcPr>
            <w:tcW w:w="1604" w:type="dxa"/>
            <w:vAlign w:val="center"/>
          </w:tcPr>
          <w:p w14:paraId="7C1F28A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3,052.77</w:t>
            </w:r>
          </w:p>
        </w:tc>
        <w:tc>
          <w:tcPr>
            <w:tcW w:w="1604" w:type="dxa"/>
            <w:vAlign w:val="center"/>
          </w:tcPr>
          <w:p w14:paraId="4E6BA25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2,892.89</w:t>
            </w:r>
          </w:p>
        </w:tc>
        <w:tc>
          <w:tcPr>
            <w:tcW w:w="1539" w:type="dxa"/>
            <w:vAlign w:val="center"/>
          </w:tcPr>
          <w:p w14:paraId="7B2C0CB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5.53%</w:t>
            </w:r>
          </w:p>
        </w:tc>
      </w:tr>
      <w:tr w:rsidR="00C57E60" w14:paraId="1B81B06C" w14:textId="77777777" w:rsidTr="00472846">
        <w:trPr>
          <w:trHeight w:val="240"/>
        </w:trPr>
        <w:tc>
          <w:tcPr>
            <w:tcW w:w="1604" w:type="dxa"/>
            <w:vMerge/>
            <w:vAlign w:val="center"/>
          </w:tcPr>
          <w:p w14:paraId="60F58E85" w14:textId="77777777" w:rsidR="00113A51" w:rsidRDefault="00113A51">
            <w:pPr>
              <w:spacing w:line="360" w:lineRule="auto"/>
              <w:rPr>
                <w:rFonts w:ascii="Times New Roman" w:eastAsia="宋体" w:hAnsi="Times New Roman" w:cs="宋体"/>
                <w:sz w:val="18"/>
                <w:szCs w:val="18"/>
              </w:rPr>
            </w:pPr>
          </w:p>
        </w:tc>
        <w:tc>
          <w:tcPr>
            <w:tcW w:w="1604" w:type="dxa"/>
            <w:shd w:val="clear" w:color="auto" w:fill="D3D3D3"/>
            <w:vAlign w:val="center"/>
          </w:tcPr>
          <w:p w14:paraId="0EE084B6"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生产量</w:t>
            </w:r>
          </w:p>
        </w:tc>
        <w:tc>
          <w:tcPr>
            <w:tcW w:w="1604" w:type="dxa"/>
            <w:vAlign w:val="center"/>
          </w:tcPr>
          <w:p w14:paraId="4B81C92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万套</w:t>
            </w:r>
          </w:p>
        </w:tc>
        <w:tc>
          <w:tcPr>
            <w:tcW w:w="1604" w:type="dxa"/>
            <w:vAlign w:val="center"/>
          </w:tcPr>
          <w:p w14:paraId="33906650" w14:textId="4171C8CB" w:rsidR="00113A51" w:rsidRDefault="00766EC7" w:rsidP="00F6357F">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w:t>
            </w:r>
            <w:r w:rsidR="00D14944">
              <w:rPr>
                <w:rFonts w:ascii="Times New Roman" w:eastAsia="宋体" w:hAnsi="Times New Roman" w:cs="宋体"/>
                <w:sz w:val="18"/>
                <w:szCs w:val="18"/>
              </w:rPr>
              <w:t>132</w:t>
            </w:r>
            <w:r>
              <w:rPr>
                <w:rFonts w:ascii="Times New Roman" w:eastAsia="宋体" w:hAnsi="Times New Roman" w:cs="宋体"/>
                <w:sz w:val="18"/>
                <w:szCs w:val="18"/>
              </w:rPr>
              <w:t>.</w:t>
            </w:r>
            <w:r w:rsidR="00D14944">
              <w:rPr>
                <w:rFonts w:ascii="Times New Roman" w:eastAsia="宋体" w:hAnsi="Times New Roman" w:cs="宋体"/>
                <w:sz w:val="18"/>
                <w:szCs w:val="18"/>
              </w:rPr>
              <w:t>79</w:t>
            </w:r>
          </w:p>
        </w:tc>
        <w:tc>
          <w:tcPr>
            <w:tcW w:w="1604" w:type="dxa"/>
            <w:vAlign w:val="center"/>
          </w:tcPr>
          <w:p w14:paraId="19A13F5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2,693.85</w:t>
            </w:r>
          </w:p>
        </w:tc>
        <w:tc>
          <w:tcPr>
            <w:tcW w:w="1539" w:type="dxa"/>
            <w:vAlign w:val="center"/>
          </w:tcPr>
          <w:p w14:paraId="459B2089" w14:textId="4530F826" w:rsidR="00113A51" w:rsidRDefault="00475708">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16.29</w:t>
            </w:r>
            <w:r w:rsidR="00766EC7">
              <w:rPr>
                <w:rFonts w:ascii="Times New Roman" w:eastAsia="宋体" w:hAnsi="Times New Roman" w:cs="宋体"/>
                <w:sz w:val="18"/>
                <w:szCs w:val="18"/>
              </w:rPr>
              <w:t>%</w:t>
            </w:r>
          </w:p>
        </w:tc>
      </w:tr>
      <w:tr w:rsidR="00C57E60" w14:paraId="69FD535C" w14:textId="77777777" w:rsidTr="00472846">
        <w:trPr>
          <w:trHeight w:val="240"/>
        </w:trPr>
        <w:tc>
          <w:tcPr>
            <w:tcW w:w="1604" w:type="dxa"/>
            <w:vMerge/>
            <w:vAlign w:val="center"/>
          </w:tcPr>
          <w:p w14:paraId="4C5CE2FC" w14:textId="77777777" w:rsidR="00113A51" w:rsidRDefault="00113A51">
            <w:pPr>
              <w:spacing w:line="360" w:lineRule="auto"/>
              <w:rPr>
                <w:rFonts w:ascii="Times New Roman" w:eastAsia="宋体" w:hAnsi="Times New Roman" w:cs="宋体"/>
                <w:sz w:val="18"/>
                <w:szCs w:val="18"/>
              </w:rPr>
            </w:pPr>
          </w:p>
        </w:tc>
        <w:tc>
          <w:tcPr>
            <w:tcW w:w="1604" w:type="dxa"/>
            <w:shd w:val="clear" w:color="auto" w:fill="D3D3D3"/>
            <w:vAlign w:val="center"/>
          </w:tcPr>
          <w:p w14:paraId="4FB26A4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库存量</w:t>
            </w:r>
          </w:p>
        </w:tc>
        <w:tc>
          <w:tcPr>
            <w:tcW w:w="1604" w:type="dxa"/>
            <w:vAlign w:val="center"/>
          </w:tcPr>
          <w:p w14:paraId="6DFFF1A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万套</w:t>
            </w:r>
          </w:p>
        </w:tc>
        <w:tc>
          <w:tcPr>
            <w:tcW w:w="1604" w:type="dxa"/>
            <w:vAlign w:val="center"/>
          </w:tcPr>
          <w:p w14:paraId="22FA6518" w14:textId="02ACB2EF" w:rsidR="00113A51" w:rsidRDefault="00475708">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378.60</w:t>
            </w:r>
          </w:p>
        </w:tc>
        <w:tc>
          <w:tcPr>
            <w:tcW w:w="1604" w:type="dxa"/>
            <w:vAlign w:val="center"/>
          </w:tcPr>
          <w:p w14:paraId="1E65A19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298.58</w:t>
            </w:r>
          </w:p>
        </w:tc>
        <w:tc>
          <w:tcPr>
            <w:tcW w:w="1539" w:type="dxa"/>
            <w:vAlign w:val="center"/>
          </w:tcPr>
          <w:p w14:paraId="74348A19" w14:textId="15693C20" w:rsidR="00113A51" w:rsidRDefault="00475708">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26.80</w:t>
            </w:r>
            <w:r w:rsidR="00766EC7">
              <w:rPr>
                <w:rFonts w:ascii="Times New Roman" w:eastAsia="宋体" w:hAnsi="Times New Roman" w:cs="宋体"/>
                <w:sz w:val="18"/>
                <w:szCs w:val="18"/>
              </w:rPr>
              <w:t>%</w:t>
            </w:r>
          </w:p>
        </w:tc>
      </w:tr>
    </w:tbl>
    <w:p w14:paraId="35BBA6A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相关数据同比发生变动30%以上的原因说明</w:t>
      </w:r>
    </w:p>
    <w:p w14:paraId="5E403DC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68530C6" w14:textId="77777777" w:rsidR="00113A51" w:rsidRDefault="00766EC7">
      <w:pPr>
        <w:keepNext/>
        <w:keepLines/>
        <w:spacing w:before="300" w:after="300" w:line="280" w:lineRule="exact"/>
        <w:outlineLvl w:val="3"/>
        <w:rPr>
          <w:rFonts w:ascii="宋体" w:eastAsia="宋体" w:hAnsi="宋体" w:cs="宋体"/>
          <w:b/>
          <w:bCs/>
          <w:sz w:val="18"/>
          <w:szCs w:val="18"/>
        </w:rPr>
      </w:pPr>
      <w:bookmarkStart w:id="27" w:name="_Toc988911"/>
      <w:r>
        <w:rPr>
          <w:rFonts w:ascii="宋体" w:eastAsia="宋体" w:hAnsi="宋体" w:cs="宋体"/>
          <w:b/>
          <w:bCs/>
          <w:sz w:val="18"/>
          <w:szCs w:val="18"/>
        </w:rPr>
        <w:t>（4） 公司已签订的重大销售合同、重大采购合同截至本报告期的履行情况</w:t>
      </w:r>
      <w:bookmarkEnd w:id="27"/>
    </w:p>
    <w:p w14:paraId="66E51C0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90DA01F" w14:textId="77777777" w:rsidR="00113A51" w:rsidRDefault="00766EC7">
      <w:pPr>
        <w:keepNext/>
        <w:keepLines/>
        <w:spacing w:before="300" w:after="300" w:line="280" w:lineRule="exact"/>
        <w:outlineLvl w:val="3"/>
        <w:rPr>
          <w:rFonts w:ascii="宋体" w:eastAsia="宋体" w:hAnsi="宋体" w:cs="宋体"/>
          <w:b/>
          <w:bCs/>
          <w:sz w:val="18"/>
          <w:szCs w:val="18"/>
        </w:rPr>
      </w:pPr>
      <w:bookmarkStart w:id="28" w:name="_Toc988912"/>
      <w:r>
        <w:rPr>
          <w:rFonts w:ascii="宋体" w:eastAsia="宋体" w:hAnsi="宋体" w:cs="宋体"/>
          <w:b/>
          <w:bCs/>
          <w:sz w:val="18"/>
          <w:szCs w:val="18"/>
        </w:rPr>
        <w:t>（5） 营业成本构成</w:t>
      </w:r>
      <w:bookmarkEnd w:id="28"/>
    </w:p>
    <w:p w14:paraId="07EDDCA0"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产品分类</w:t>
      </w:r>
    </w:p>
    <w:p w14:paraId="67E0C1C2"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573" w:type="dxa"/>
        <w:tblInd w:w="108" w:type="dxa"/>
        <w:tblLayout w:type="fixed"/>
        <w:tblCellMar>
          <w:left w:w="28" w:type="dxa"/>
          <w:right w:w="28" w:type="dxa"/>
        </w:tblCellMar>
        <w:tblLook w:val="04A0" w:firstRow="1" w:lastRow="0" w:firstColumn="1" w:lastColumn="0" w:noHBand="0" w:noVBand="1"/>
      </w:tblPr>
      <w:tblGrid>
        <w:gridCol w:w="1377"/>
        <w:gridCol w:w="1377"/>
        <w:gridCol w:w="1497"/>
        <w:gridCol w:w="1497"/>
        <w:gridCol w:w="1497"/>
        <w:gridCol w:w="1497"/>
        <w:gridCol w:w="831"/>
      </w:tblGrid>
      <w:tr w:rsidR="00C57E60" w14:paraId="159301F3" w14:textId="77777777" w:rsidTr="000F6214">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E6C6FF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产品分类</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3B27A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项目</w:t>
            </w:r>
          </w:p>
        </w:tc>
        <w:tc>
          <w:tcPr>
            <w:tcW w:w="299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170255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299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BE45F6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831" w:type="dxa"/>
            <w:vMerge w:val="restart"/>
            <w:tcBorders>
              <w:top w:val="single" w:sz="2" w:space="0" w:color="auto"/>
              <w:left w:val="single" w:sz="2" w:space="0" w:color="auto"/>
              <w:right w:val="single" w:sz="2" w:space="0" w:color="auto"/>
            </w:tcBorders>
            <w:shd w:val="clear" w:color="auto" w:fill="D3D3D3"/>
            <w:vAlign w:val="center"/>
          </w:tcPr>
          <w:p w14:paraId="29BF18F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同比增减</w:t>
            </w:r>
          </w:p>
        </w:tc>
      </w:tr>
      <w:tr w:rsidR="00C57E60" w14:paraId="015D82EA" w14:textId="77777777" w:rsidTr="000F6214">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296476E" w14:textId="77777777" w:rsidR="00113A51" w:rsidRDefault="00113A51">
            <w:pPr>
              <w:spacing w:line="360" w:lineRule="auto"/>
              <w:rPr>
                <w:rFonts w:ascii="Times New Roman" w:eastAsia="宋体" w:hAnsi="Times New Roman"/>
                <w:szCs w:val="18"/>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9A66260" w14:textId="77777777" w:rsidR="00113A51" w:rsidRDefault="00113A51">
            <w:pPr>
              <w:spacing w:line="360" w:lineRule="auto"/>
              <w:rPr>
                <w:rFonts w:ascii="Times New Roman" w:eastAsia="宋体" w:hAnsi="Times New Roman"/>
                <w:szCs w:val="18"/>
              </w:rPr>
            </w:pPr>
          </w:p>
        </w:tc>
        <w:tc>
          <w:tcPr>
            <w:tcW w:w="1497" w:type="dxa"/>
            <w:tcBorders>
              <w:top w:val="single" w:sz="2" w:space="0" w:color="auto"/>
              <w:left w:val="single" w:sz="2" w:space="0" w:color="auto"/>
              <w:bottom w:val="single" w:sz="2" w:space="0" w:color="auto"/>
              <w:right w:val="single" w:sz="2" w:space="0" w:color="auto"/>
            </w:tcBorders>
            <w:shd w:val="clear" w:color="auto" w:fill="D3D3D3"/>
            <w:vAlign w:val="center"/>
          </w:tcPr>
          <w:p w14:paraId="77496F3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1497" w:type="dxa"/>
            <w:tcBorders>
              <w:top w:val="single" w:sz="2" w:space="0" w:color="auto"/>
              <w:left w:val="single" w:sz="2" w:space="0" w:color="auto"/>
              <w:bottom w:val="single" w:sz="2" w:space="0" w:color="auto"/>
              <w:right w:val="single" w:sz="2" w:space="0" w:color="auto"/>
            </w:tcBorders>
            <w:shd w:val="clear" w:color="auto" w:fill="D3D3D3"/>
            <w:vAlign w:val="center"/>
          </w:tcPr>
          <w:p w14:paraId="0605594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占营业成本比重</w:t>
            </w:r>
          </w:p>
        </w:tc>
        <w:tc>
          <w:tcPr>
            <w:tcW w:w="1497" w:type="dxa"/>
            <w:tcBorders>
              <w:top w:val="single" w:sz="2" w:space="0" w:color="auto"/>
              <w:left w:val="single" w:sz="2" w:space="0" w:color="auto"/>
              <w:bottom w:val="single" w:sz="2" w:space="0" w:color="auto"/>
              <w:right w:val="single" w:sz="2" w:space="0" w:color="auto"/>
            </w:tcBorders>
            <w:shd w:val="clear" w:color="auto" w:fill="D3D3D3"/>
            <w:vAlign w:val="center"/>
          </w:tcPr>
          <w:p w14:paraId="564F9A3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1497" w:type="dxa"/>
            <w:tcBorders>
              <w:top w:val="single" w:sz="2" w:space="0" w:color="auto"/>
              <w:left w:val="single" w:sz="2" w:space="0" w:color="auto"/>
              <w:bottom w:val="single" w:sz="2" w:space="0" w:color="auto"/>
              <w:right w:val="single" w:sz="2" w:space="0" w:color="auto"/>
            </w:tcBorders>
            <w:shd w:val="clear" w:color="auto" w:fill="D3D3D3"/>
            <w:vAlign w:val="center"/>
          </w:tcPr>
          <w:p w14:paraId="72317D8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占营业成本比重</w:t>
            </w:r>
          </w:p>
        </w:tc>
        <w:tc>
          <w:tcPr>
            <w:tcW w:w="831" w:type="dxa"/>
            <w:vMerge/>
            <w:tcBorders>
              <w:left w:val="single" w:sz="2" w:space="0" w:color="auto"/>
              <w:right w:val="single" w:sz="2" w:space="0" w:color="auto"/>
            </w:tcBorders>
            <w:shd w:val="clear" w:color="auto" w:fill="D3D3D3"/>
            <w:vAlign w:val="center"/>
          </w:tcPr>
          <w:p w14:paraId="098AB0E1" w14:textId="77777777" w:rsidR="00113A51" w:rsidRDefault="00113A51">
            <w:pPr>
              <w:spacing w:line="360" w:lineRule="auto"/>
              <w:rPr>
                <w:rFonts w:ascii="Times New Roman" w:eastAsia="宋体" w:hAnsi="Times New Roman"/>
                <w:szCs w:val="18"/>
              </w:rPr>
            </w:pPr>
          </w:p>
        </w:tc>
      </w:tr>
      <w:tr w:rsidR="00C57E60" w14:paraId="2A501FBC" w14:textId="77777777" w:rsidTr="000F6214">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29BC71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1377" w:type="dxa"/>
            <w:tcBorders>
              <w:top w:val="single" w:sz="2" w:space="0" w:color="auto"/>
              <w:left w:val="single" w:sz="2" w:space="0" w:color="auto"/>
              <w:bottom w:val="single" w:sz="2" w:space="0" w:color="auto"/>
              <w:right w:val="single" w:sz="2" w:space="0" w:color="auto"/>
            </w:tcBorders>
            <w:vAlign w:val="center"/>
          </w:tcPr>
          <w:p w14:paraId="2FFDFF8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原材料</w:t>
            </w:r>
          </w:p>
        </w:tc>
        <w:tc>
          <w:tcPr>
            <w:tcW w:w="1497" w:type="dxa"/>
            <w:tcBorders>
              <w:top w:val="single" w:sz="2" w:space="0" w:color="auto"/>
              <w:left w:val="single" w:sz="2" w:space="0" w:color="auto"/>
              <w:bottom w:val="single" w:sz="2" w:space="0" w:color="auto"/>
              <w:right w:val="single" w:sz="2" w:space="0" w:color="auto"/>
            </w:tcBorders>
            <w:vAlign w:val="center"/>
          </w:tcPr>
          <w:p w14:paraId="424592B3" w14:textId="4ACC8B80" w:rsidR="00113A51" w:rsidRDefault="00475708" w:rsidP="00472846">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1,058,104,408.34</w:t>
            </w:r>
          </w:p>
        </w:tc>
        <w:tc>
          <w:tcPr>
            <w:tcW w:w="1497" w:type="dxa"/>
            <w:tcBorders>
              <w:top w:val="single" w:sz="2" w:space="0" w:color="auto"/>
              <w:left w:val="single" w:sz="2" w:space="0" w:color="auto"/>
              <w:bottom w:val="single" w:sz="2" w:space="0" w:color="auto"/>
              <w:right w:val="single" w:sz="2" w:space="0" w:color="auto"/>
            </w:tcBorders>
            <w:vAlign w:val="center"/>
          </w:tcPr>
          <w:p w14:paraId="152248CC" w14:textId="73557E5C" w:rsidR="00113A51" w:rsidRDefault="00475708" w:rsidP="00472846">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63.27%</w:t>
            </w:r>
          </w:p>
        </w:tc>
        <w:tc>
          <w:tcPr>
            <w:tcW w:w="1497" w:type="dxa"/>
            <w:tcBorders>
              <w:top w:val="single" w:sz="2" w:space="0" w:color="auto"/>
              <w:left w:val="single" w:sz="2" w:space="0" w:color="auto"/>
              <w:bottom w:val="single" w:sz="2" w:space="0" w:color="auto"/>
              <w:right w:val="single" w:sz="2" w:space="0" w:color="auto"/>
            </w:tcBorders>
            <w:vAlign w:val="center"/>
          </w:tcPr>
          <w:p w14:paraId="782CB0A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929,548,254.94</w:t>
            </w:r>
          </w:p>
        </w:tc>
        <w:tc>
          <w:tcPr>
            <w:tcW w:w="1497" w:type="dxa"/>
            <w:tcBorders>
              <w:top w:val="single" w:sz="2" w:space="0" w:color="auto"/>
              <w:left w:val="single" w:sz="2" w:space="0" w:color="auto"/>
              <w:bottom w:val="single" w:sz="2" w:space="0" w:color="auto"/>
              <w:right w:val="single" w:sz="2" w:space="0" w:color="auto"/>
            </w:tcBorders>
            <w:vAlign w:val="center"/>
          </w:tcPr>
          <w:p w14:paraId="56DC26D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70.31%</w:t>
            </w:r>
          </w:p>
        </w:tc>
        <w:tc>
          <w:tcPr>
            <w:tcW w:w="831" w:type="dxa"/>
            <w:tcBorders>
              <w:top w:val="single" w:sz="2" w:space="0" w:color="auto"/>
              <w:left w:val="single" w:sz="2" w:space="0" w:color="auto"/>
              <w:bottom w:val="single" w:sz="2" w:space="0" w:color="auto"/>
              <w:right w:val="single" w:sz="2" w:space="0" w:color="auto"/>
            </w:tcBorders>
            <w:vAlign w:val="center"/>
          </w:tcPr>
          <w:p w14:paraId="2463F178" w14:textId="22EA71F0" w:rsidR="00113A51" w:rsidRDefault="00475708" w:rsidP="00472846">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13.83%</w:t>
            </w:r>
          </w:p>
        </w:tc>
      </w:tr>
      <w:tr w:rsidR="00C57E60" w14:paraId="0B61922C" w14:textId="77777777" w:rsidTr="000F6214">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47BEA9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1377" w:type="dxa"/>
            <w:tcBorders>
              <w:top w:val="single" w:sz="2" w:space="0" w:color="auto"/>
              <w:left w:val="single" w:sz="2" w:space="0" w:color="auto"/>
              <w:bottom w:val="single" w:sz="2" w:space="0" w:color="auto"/>
              <w:right w:val="single" w:sz="2" w:space="0" w:color="auto"/>
            </w:tcBorders>
            <w:vAlign w:val="center"/>
          </w:tcPr>
          <w:p w14:paraId="2779C53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工资及福利费</w:t>
            </w:r>
          </w:p>
        </w:tc>
        <w:tc>
          <w:tcPr>
            <w:tcW w:w="1497" w:type="dxa"/>
            <w:tcBorders>
              <w:top w:val="single" w:sz="2" w:space="0" w:color="auto"/>
              <w:left w:val="single" w:sz="2" w:space="0" w:color="auto"/>
              <w:bottom w:val="single" w:sz="2" w:space="0" w:color="auto"/>
              <w:right w:val="single" w:sz="2" w:space="0" w:color="auto"/>
            </w:tcBorders>
            <w:vAlign w:val="center"/>
          </w:tcPr>
          <w:p w14:paraId="698CDD9C" w14:textId="1721C168"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260,266,350.61</w:t>
            </w:r>
          </w:p>
        </w:tc>
        <w:tc>
          <w:tcPr>
            <w:tcW w:w="1497" w:type="dxa"/>
            <w:tcBorders>
              <w:top w:val="single" w:sz="2" w:space="0" w:color="auto"/>
              <w:left w:val="single" w:sz="2" w:space="0" w:color="auto"/>
              <w:bottom w:val="single" w:sz="2" w:space="0" w:color="auto"/>
              <w:right w:val="single" w:sz="2" w:space="0" w:color="auto"/>
            </w:tcBorders>
            <w:vAlign w:val="center"/>
          </w:tcPr>
          <w:p w14:paraId="2936AD35" w14:textId="0505759F"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15.56%</w:t>
            </w:r>
          </w:p>
        </w:tc>
        <w:tc>
          <w:tcPr>
            <w:tcW w:w="1497" w:type="dxa"/>
            <w:tcBorders>
              <w:top w:val="single" w:sz="2" w:space="0" w:color="auto"/>
              <w:left w:val="single" w:sz="2" w:space="0" w:color="auto"/>
              <w:bottom w:val="single" w:sz="2" w:space="0" w:color="auto"/>
              <w:right w:val="single" w:sz="2" w:space="0" w:color="auto"/>
            </w:tcBorders>
            <w:vAlign w:val="center"/>
          </w:tcPr>
          <w:p w14:paraId="2A3B1C3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217,827,330.97</w:t>
            </w:r>
          </w:p>
        </w:tc>
        <w:tc>
          <w:tcPr>
            <w:tcW w:w="1497" w:type="dxa"/>
            <w:tcBorders>
              <w:top w:val="single" w:sz="2" w:space="0" w:color="auto"/>
              <w:left w:val="single" w:sz="2" w:space="0" w:color="auto"/>
              <w:bottom w:val="single" w:sz="2" w:space="0" w:color="auto"/>
              <w:right w:val="single" w:sz="2" w:space="0" w:color="auto"/>
            </w:tcBorders>
            <w:vAlign w:val="center"/>
          </w:tcPr>
          <w:p w14:paraId="0E7E0BB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16.48%</w:t>
            </w:r>
          </w:p>
        </w:tc>
        <w:tc>
          <w:tcPr>
            <w:tcW w:w="831" w:type="dxa"/>
            <w:tcBorders>
              <w:top w:val="single" w:sz="2" w:space="0" w:color="auto"/>
              <w:left w:val="single" w:sz="2" w:space="0" w:color="auto"/>
              <w:bottom w:val="single" w:sz="2" w:space="0" w:color="auto"/>
              <w:right w:val="single" w:sz="2" w:space="0" w:color="auto"/>
            </w:tcBorders>
            <w:vAlign w:val="center"/>
          </w:tcPr>
          <w:p w14:paraId="2967DEF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19.48%</w:t>
            </w:r>
          </w:p>
        </w:tc>
      </w:tr>
      <w:tr w:rsidR="00C57E60" w14:paraId="3765C1FC" w14:textId="77777777" w:rsidTr="000F6214">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8EA88F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1377" w:type="dxa"/>
            <w:tcBorders>
              <w:top w:val="single" w:sz="2" w:space="0" w:color="auto"/>
              <w:left w:val="single" w:sz="2" w:space="0" w:color="auto"/>
              <w:bottom w:val="single" w:sz="2" w:space="0" w:color="auto"/>
              <w:right w:val="single" w:sz="2" w:space="0" w:color="auto"/>
            </w:tcBorders>
            <w:vAlign w:val="center"/>
          </w:tcPr>
          <w:p w14:paraId="63F4C00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制造费用</w:t>
            </w:r>
          </w:p>
        </w:tc>
        <w:tc>
          <w:tcPr>
            <w:tcW w:w="1497" w:type="dxa"/>
            <w:tcBorders>
              <w:top w:val="single" w:sz="2" w:space="0" w:color="auto"/>
              <w:left w:val="single" w:sz="2" w:space="0" w:color="auto"/>
              <w:bottom w:val="single" w:sz="2" w:space="0" w:color="auto"/>
              <w:right w:val="single" w:sz="2" w:space="0" w:color="auto"/>
            </w:tcBorders>
            <w:vAlign w:val="center"/>
          </w:tcPr>
          <w:p w14:paraId="0EC36BB7" w14:textId="3D7E0923"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299,447,596.56</w:t>
            </w:r>
          </w:p>
        </w:tc>
        <w:tc>
          <w:tcPr>
            <w:tcW w:w="1497" w:type="dxa"/>
            <w:tcBorders>
              <w:top w:val="single" w:sz="2" w:space="0" w:color="auto"/>
              <w:left w:val="single" w:sz="2" w:space="0" w:color="auto"/>
              <w:bottom w:val="single" w:sz="2" w:space="0" w:color="auto"/>
              <w:right w:val="single" w:sz="2" w:space="0" w:color="auto"/>
            </w:tcBorders>
            <w:vAlign w:val="center"/>
          </w:tcPr>
          <w:p w14:paraId="5BF85A58" w14:textId="27315C48"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17.90%</w:t>
            </w:r>
          </w:p>
        </w:tc>
        <w:tc>
          <w:tcPr>
            <w:tcW w:w="1497" w:type="dxa"/>
            <w:tcBorders>
              <w:top w:val="single" w:sz="2" w:space="0" w:color="auto"/>
              <w:left w:val="single" w:sz="2" w:space="0" w:color="auto"/>
              <w:bottom w:val="single" w:sz="2" w:space="0" w:color="auto"/>
              <w:right w:val="single" w:sz="2" w:space="0" w:color="auto"/>
            </w:tcBorders>
            <w:vAlign w:val="center"/>
          </w:tcPr>
          <w:p w14:paraId="31950B1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116,126,272.99</w:t>
            </w:r>
          </w:p>
        </w:tc>
        <w:tc>
          <w:tcPr>
            <w:tcW w:w="1497" w:type="dxa"/>
            <w:tcBorders>
              <w:top w:val="single" w:sz="2" w:space="0" w:color="auto"/>
              <w:left w:val="single" w:sz="2" w:space="0" w:color="auto"/>
              <w:bottom w:val="single" w:sz="2" w:space="0" w:color="auto"/>
              <w:right w:val="single" w:sz="2" w:space="0" w:color="auto"/>
            </w:tcBorders>
            <w:vAlign w:val="center"/>
          </w:tcPr>
          <w:p w14:paraId="1570BDD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8.78%</w:t>
            </w:r>
          </w:p>
        </w:tc>
        <w:tc>
          <w:tcPr>
            <w:tcW w:w="831" w:type="dxa"/>
            <w:tcBorders>
              <w:top w:val="single" w:sz="2" w:space="0" w:color="auto"/>
              <w:left w:val="single" w:sz="2" w:space="0" w:color="auto"/>
              <w:bottom w:val="single" w:sz="2" w:space="0" w:color="auto"/>
              <w:right w:val="single" w:sz="2" w:space="0" w:color="auto"/>
            </w:tcBorders>
            <w:vAlign w:val="center"/>
          </w:tcPr>
          <w:p w14:paraId="10E97C46" w14:textId="2BAE0475"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157.86%</w:t>
            </w:r>
          </w:p>
        </w:tc>
      </w:tr>
      <w:tr w:rsidR="00C57E60" w14:paraId="1BE68862" w14:textId="77777777" w:rsidTr="000F6214">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BA61EC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血糖监测系统</w:t>
            </w:r>
          </w:p>
        </w:tc>
        <w:tc>
          <w:tcPr>
            <w:tcW w:w="1377" w:type="dxa"/>
            <w:tcBorders>
              <w:top w:val="single" w:sz="2" w:space="0" w:color="auto"/>
              <w:left w:val="single" w:sz="2" w:space="0" w:color="auto"/>
              <w:bottom w:val="single" w:sz="2" w:space="0" w:color="auto"/>
              <w:right w:val="single" w:sz="2" w:space="0" w:color="auto"/>
            </w:tcBorders>
            <w:vAlign w:val="center"/>
          </w:tcPr>
          <w:p w14:paraId="2090FC5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委托加工费</w:t>
            </w:r>
          </w:p>
        </w:tc>
        <w:tc>
          <w:tcPr>
            <w:tcW w:w="1497" w:type="dxa"/>
            <w:tcBorders>
              <w:top w:val="single" w:sz="2" w:space="0" w:color="auto"/>
              <w:left w:val="single" w:sz="2" w:space="0" w:color="auto"/>
              <w:bottom w:val="single" w:sz="2" w:space="0" w:color="auto"/>
              <w:right w:val="single" w:sz="2" w:space="0" w:color="auto"/>
            </w:tcBorders>
            <w:vAlign w:val="center"/>
          </w:tcPr>
          <w:p w14:paraId="1318E694" w14:textId="4DEDCF39"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54,635,155.41</w:t>
            </w:r>
          </w:p>
        </w:tc>
        <w:tc>
          <w:tcPr>
            <w:tcW w:w="1497" w:type="dxa"/>
            <w:tcBorders>
              <w:top w:val="single" w:sz="2" w:space="0" w:color="auto"/>
              <w:left w:val="single" w:sz="2" w:space="0" w:color="auto"/>
              <w:bottom w:val="single" w:sz="2" w:space="0" w:color="auto"/>
              <w:right w:val="single" w:sz="2" w:space="0" w:color="auto"/>
            </w:tcBorders>
            <w:vAlign w:val="center"/>
          </w:tcPr>
          <w:p w14:paraId="4ECAB5A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3.27%</w:t>
            </w:r>
          </w:p>
        </w:tc>
        <w:tc>
          <w:tcPr>
            <w:tcW w:w="1497" w:type="dxa"/>
            <w:tcBorders>
              <w:top w:val="single" w:sz="2" w:space="0" w:color="auto"/>
              <w:left w:val="single" w:sz="2" w:space="0" w:color="auto"/>
              <w:bottom w:val="single" w:sz="2" w:space="0" w:color="auto"/>
              <w:right w:val="single" w:sz="2" w:space="0" w:color="auto"/>
            </w:tcBorders>
            <w:vAlign w:val="center"/>
          </w:tcPr>
          <w:p w14:paraId="3439876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58,583,042.25</w:t>
            </w:r>
          </w:p>
        </w:tc>
        <w:tc>
          <w:tcPr>
            <w:tcW w:w="1497" w:type="dxa"/>
            <w:tcBorders>
              <w:top w:val="single" w:sz="2" w:space="0" w:color="auto"/>
              <w:left w:val="single" w:sz="2" w:space="0" w:color="auto"/>
              <w:bottom w:val="single" w:sz="2" w:space="0" w:color="auto"/>
              <w:right w:val="single" w:sz="2" w:space="0" w:color="auto"/>
            </w:tcBorders>
            <w:vAlign w:val="center"/>
          </w:tcPr>
          <w:p w14:paraId="4B34915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4.43%</w:t>
            </w:r>
          </w:p>
        </w:tc>
        <w:tc>
          <w:tcPr>
            <w:tcW w:w="831" w:type="dxa"/>
            <w:tcBorders>
              <w:top w:val="single" w:sz="2" w:space="0" w:color="auto"/>
              <w:left w:val="single" w:sz="2" w:space="0" w:color="auto"/>
              <w:bottom w:val="single" w:sz="2" w:space="0" w:color="auto"/>
              <w:right w:val="single" w:sz="2" w:space="0" w:color="auto"/>
            </w:tcBorders>
            <w:vAlign w:val="center"/>
          </w:tcPr>
          <w:p w14:paraId="57E6713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-6.74%</w:t>
            </w:r>
          </w:p>
        </w:tc>
      </w:tr>
      <w:tr w:rsidR="00C57E60" w14:paraId="1876806C" w14:textId="77777777" w:rsidTr="000F6214">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A03DA6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562C97A1" w14:textId="77777777" w:rsidR="00113A51" w:rsidRDefault="00113A51">
            <w:pPr>
              <w:spacing w:line="360" w:lineRule="auto"/>
              <w:rPr>
                <w:rFonts w:ascii="Times New Roman" w:eastAsia="宋体" w:hAnsi="Times New Roman" w:cs="宋体"/>
                <w:sz w:val="18"/>
                <w:szCs w:val="18"/>
              </w:rPr>
            </w:pPr>
          </w:p>
        </w:tc>
        <w:tc>
          <w:tcPr>
            <w:tcW w:w="1497" w:type="dxa"/>
            <w:tcBorders>
              <w:top w:val="single" w:sz="2" w:space="0" w:color="auto"/>
              <w:left w:val="single" w:sz="2" w:space="0" w:color="auto"/>
              <w:bottom w:val="single" w:sz="2" w:space="0" w:color="auto"/>
              <w:right w:val="single" w:sz="2" w:space="0" w:color="auto"/>
            </w:tcBorders>
            <w:vAlign w:val="center"/>
          </w:tcPr>
          <w:p w14:paraId="37FD2580" w14:textId="3733ABED"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1,672,453,510.92</w:t>
            </w:r>
          </w:p>
        </w:tc>
        <w:tc>
          <w:tcPr>
            <w:tcW w:w="1497" w:type="dxa"/>
            <w:tcBorders>
              <w:top w:val="single" w:sz="2" w:space="0" w:color="auto"/>
              <w:left w:val="single" w:sz="2" w:space="0" w:color="auto"/>
              <w:bottom w:val="single" w:sz="2" w:space="0" w:color="auto"/>
              <w:right w:val="single" w:sz="2" w:space="0" w:color="auto"/>
            </w:tcBorders>
            <w:vAlign w:val="center"/>
          </w:tcPr>
          <w:p w14:paraId="6F120F76" w14:textId="395A1589" w:rsidR="00113A51" w:rsidRDefault="000F6214">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100.00%</w:t>
            </w:r>
          </w:p>
        </w:tc>
        <w:tc>
          <w:tcPr>
            <w:tcW w:w="1497" w:type="dxa"/>
            <w:tcBorders>
              <w:top w:val="single" w:sz="2" w:space="0" w:color="auto"/>
              <w:left w:val="single" w:sz="2" w:space="0" w:color="auto"/>
              <w:bottom w:val="single" w:sz="2" w:space="0" w:color="auto"/>
              <w:right w:val="single" w:sz="2" w:space="0" w:color="auto"/>
            </w:tcBorders>
            <w:vAlign w:val="center"/>
          </w:tcPr>
          <w:p w14:paraId="2470863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1,322,084,901.15</w:t>
            </w:r>
          </w:p>
        </w:tc>
        <w:tc>
          <w:tcPr>
            <w:tcW w:w="1497" w:type="dxa"/>
            <w:tcBorders>
              <w:top w:val="single" w:sz="2" w:space="0" w:color="auto"/>
              <w:left w:val="single" w:sz="2" w:space="0" w:color="auto"/>
              <w:bottom w:val="single" w:sz="2" w:space="0" w:color="auto"/>
              <w:right w:val="single" w:sz="2" w:space="0" w:color="auto"/>
            </w:tcBorders>
            <w:vAlign w:val="center"/>
          </w:tcPr>
          <w:p w14:paraId="41B2809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100.00%</w:t>
            </w:r>
          </w:p>
        </w:tc>
        <w:tc>
          <w:tcPr>
            <w:tcW w:w="831" w:type="dxa"/>
            <w:tcBorders>
              <w:top w:val="single" w:sz="2" w:space="0" w:color="auto"/>
              <w:left w:val="single" w:sz="2" w:space="0" w:color="auto"/>
              <w:bottom w:val="single" w:sz="2" w:space="0" w:color="auto"/>
              <w:right w:val="single" w:sz="2" w:space="0" w:color="auto"/>
            </w:tcBorders>
            <w:vAlign w:val="center"/>
          </w:tcPr>
          <w:p w14:paraId="13FFB6CC" w14:textId="5457845B" w:rsidR="00113A51" w:rsidRDefault="000F6214" w:rsidP="00472846">
            <w:pPr>
              <w:spacing w:line="360" w:lineRule="auto"/>
              <w:jc w:val="right"/>
              <w:rPr>
                <w:rFonts w:ascii="Times New Roman" w:eastAsia="宋体" w:hAnsi="Times New Roman" w:cs="宋体"/>
                <w:sz w:val="18"/>
                <w:szCs w:val="18"/>
              </w:rPr>
            </w:pPr>
            <w:r w:rsidRPr="000F6214">
              <w:rPr>
                <w:rFonts w:ascii="Times New Roman" w:eastAsia="宋体" w:hAnsi="Times New Roman" w:cs="宋体"/>
                <w:sz w:val="18"/>
                <w:szCs w:val="18"/>
              </w:rPr>
              <w:t>26.</w:t>
            </w:r>
            <w:r w:rsidR="001B52FA">
              <w:rPr>
                <w:rFonts w:ascii="Times New Roman" w:eastAsia="宋体" w:hAnsi="Times New Roman" w:cs="宋体"/>
                <w:sz w:val="18"/>
                <w:szCs w:val="18"/>
              </w:rPr>
              <w:t>50</w:t>
            </w:r>
            <w:r w:rsidRPr="000F6214">
              <w:rPr>
                <w:rFonts w:ascii="Times New Roman" w:eastAsia="宋体" w:hAnsi="Times New Roman" w:cs="宋体"/>
                <w:sz w:val="18"/>
                <w:szCs w:val="18"/>
              </w:rPr>
              <w:t>%</w:t>
            </w:r>
          </w:p>
        </w:tc>
      </w:tr>
    </w:tbl>
    <w:p w14:paraId="2CA48A7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说明</w:t>
      </w:r>
    </w:p>
    <w:p w14:paraId="324FA4B9" w14:textId="320DC87D" w:rsidR="00113A51" w:rsidRPr="00C707CF" w:rsidRDefault="00475708" w:rsidP="00C707CF">
      <w:pPr>
        <w:pStyle w:val="a9"/>
        <w:spacing w:before="0" w:beforeAutospacing="0" w:after="0" w:afterAutospacing="0" w:line="360" w:lineRule="auto"/>
        <w:ind w:firstLineChars="200" w:firstLine="420"/>
        <w:jc w:val="both"/>
        <w:rPr>
          <w:rFonts w:ascii="Times New Roman" w:hAnsi="Times New Roman"/>
          <w:sz w:val="21"/>
          <w:szCs w:val="21"/>
        </w:rPr>
      </w:pPr>
      <w:r w:rsidRPr="00C707CF">
        <w:rPr>
          <w:rFonts w:ascii="Times New Roman" w:hAnsi="Times New Roman" w:hint="eastAsia"/>
          <w:sz w:val="21"/>
          <w:szCs w:val="21"/>
        </w:rPr>
        <w:t>制造费用大幅增长主要是受子公司</w:t>
      </w:r>
      <w:r w:rsidRPr="00C707CF">
        <w:rPr>
          <w:rFonts w:ascii="Times New Roman" w:hAnsi="Times New Roman"/>
          <w:sz w:val="21"/>
          <w:szCs w:val="21"/>
        </w:rPr>
        <w:t>Trividia Health Inc.</w:t>
      </w:r>
      <w:r w:rsidR="00D62C07" w:rsidRPr="00D62C07">
        <w:rPr>
          <w:rFonts w:ascii="Times New Roman" w:hAnsi="Times New Roman" w:hint="eastAsia"/>
          <w:sz w:val="21"/>
          <w:szCs w:val="21"/>
        </w:rPr>
        <w:t>与罗氏</w:t>
      </w:r>
      <w:r w:rsidR="009431B0">
        <w:rPr>
          <w:rFonts w:ascii="Times New Roman" w:hAnsi="Times New Roman" w:hint="eastAsia"/>
          <w:sz w:val="21"/>
          <w:szCs w:val="21"/>
        </w:rPr>
        <w:t>达成</w:t>
      </w:r>
      <w:r w:rsidR="00D62C07" w:rsidRPr="00D62C07">
        <w:rPr>
          <w:rFonts w:ascii="Times New Roman" w:hAnsi="Times New Roman" w:hint="eastAsia"/>
          <w:sz w:val="21"/>
          <w:szCs w:val="21"/>
        </w:rPr>
        <w:t>交叉专利许可影响</w:t>
      </w:r>
      <w:r w:rsidRPr="00C707CF">
        <w:rPr>
          <w:rFonts w:ascii="Times New Roman" w:hAnsi="Times New Roman"/>
          <w:sz w:val="21"/>
          <w:szCs w:val="21"/>
        </w:rPr>
        <w:t>所致。</w:t>
      </w:r>
    </w:p>
    <w:p w14:paraId="7D5AF8BC" w14:textId="77777777" w:rsidR="00113A51" w:rsidRDefault="00766EC7">
      <w:pPr>
        <w:keepNext/>
        <w:keepLines/>
        <w:spacing w:before="300" w:after="300" w:line="280" w:lineRule="exact"/>
        <w:outlineLvl w:val="3"/>
        <w:rPr>
          <w:rFonts w:ascii="宋体" w:eastAsia="宋体" w:hAnsi="宋体" w:cs="宋体"/>
          <w:b/>
          <w:bCs/>
          <w:sz w:val="18"/>
          <w:szCs w:val="18"/>
        </w:rPr>
      </w:pPr>
      <w:bookmarkStart w:id="29" w:name="_Toc988913"/>
      <w:r>
        <w:rPr>
          <w:rFonts w:ascii="宋体" w:eastAsia="宋体" w:hAnsi="宋体" w:cs="宋体"/>
          <w:b/>
          <w:bCs/>
          <w:sz w:val="18"/>
          <w:szCs w:val="18"/>
        </w:rPr>
        <w:t>（6） 报告期内合并范围是否发生变动</w:t>
      </w:r>
      <w:bookmarkEnd w:id="29"/>
    </w:p>
    <w:p w14:paraId="20BD316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2643364B" w14:textId="77777777" w:rsidR="00113A51" w:rsidRPr="00BA13AD"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sidRPr="00BA13AD">
        <w:rPr>
          <w:rFonts w:ascii="Times New Roman" w:hAnsi="Times New Roman"/>
          <w:sz w:val="21"/>
          <w:szCs w:val="21"/>
        </w:rPr>
        <w:t>报告期内，公司新增</w:t>
      </w:r>
      <w:r w:rsidRPr="00BA13AD">
        <w:rPr>
          <w:rFonts w:ascii="Times New Roman" w:hAnsi="Times New Roman"/>
          <w:sz w:val="21"/>
          <w:szCs w:val="21"/>
        </w:rPr>
        <w:t>5</w:t>
      </w:r>
      <w:r w:rsidRPr="00BA13AD">
        <w:rPr>
          <w:rFonts w:ascii="Times New Roman" w:hAnsi="Times New Roman"/>
          <w:sz w:val="21"/>
          <w:szCs w:val="21"/>
        </w:rPr>
        <w:t>家子公司：</w:t>
      </w:r>
      <w:r w:rsidRPr="00BA13AD">
        <w:rPr>
          <w:rFonts w:ascii="Times New Roman" w:hAnsi="Times New Roman"/>
          <w:sz w:val="21"/>
          <w:szCs w:val="21"/>
        </w:rPr>
        <w:t>2025</w:t>
      </w:r>
      <w:r w:rsidRPr="00BA13AD">
        <w:rPr>
          <w:rFonts w:ascii="Times New Roman" w:hAnsi="Times New Roman" w:hint="eastAsia"/>
          <w:sz w:val="21"/>
          <w:szCs w:val="21"/>
        </w:rPr>
        <w:t>年</w:t>
      </w:r>
      <w:r w:rsidRPr="00BA13AD">
        <w:rPr>
          <w:rFonts w:ascii="Times New Roman" w:hAnsi="Times New Roman"/>
          <w:sz w:val="21"/>
          <w:szCs w:val="21"/>
        </w:rPr>
        <w:t>11</w:t>
      </w:r>
      <w:r w:rsidRPr="00BA13AD">
        <w:rPr>
          <w:rFonts w:ascii="Times New Roman" w:hAnsi="Times New Roman" w:hint="eastAsia"/>
          <w:sz w:val="21"/>
          <w:szCs w:val="21"/>
        </w:rPr>
        <w:t>月</w:t>
      </w:r>
      <w:r w:rsidRPr="00BA13AD">
        <w:rPr>
          <w:rFonts w:ascii="Times New Roman" w:hAnsi="Times New Roman"/>
          <w:sz w:val="21"/>
          <w:szCs w:val="21"/>
        </w:rPr>
        <w:t>20</w:t>
      </w:r>
      <w:r w:rsidRPr="00BA13AD">
        <w:rPr>
          <w:rFonts w:ascii="Times New Roman" w:hAnsi="Times New Roman" w:hint="eastAsia"/>
          <w:sz w:val="21"/>
          <w:szCs w:val="21"/>
        </w:rPr>
        <w:t>日注册成立</w:t>
      </w:r>
      <w:r w:rsidRPr="00BA13AD">
        <w:rPr>
          <w:rFonts w:ascii="Times New Roman" w:hAnsi="Times New Roman"/>
          <w:sz w:val="21"/>
          <w:szCs w:val="21"/>
        </w:rPr>
        <w:t>Sinocare Meditech Netherlands B.V.</w:t>
      </w:r>
      <w:r w:rsidRPr="00BA13AD">
        <w:rPr>
          <w:rFonts w:ascii="Times New Roman" w:hAnsi="Times New Roman" w:hint="eastAsia"/>
          <w:sz w:val="21"/>
          <w:szCs w:val="21"/>
        </w:rPr>
        <w:t>、</w:t>
      </w:r>
      <w:r w:rsidRPr="00BA13AD">
        <w:rPr>
          <w:rFonts w:ascii="Times New Roman" w:hAnsi="Times New Roman"/>
          <w:sz w:val="21"/>
          <w:szCs w:val="21"/>
        </w:rPr>
        <w:t>2025</w:t>
      </w:r>
      <w:r w:rsidRPr="00BA13AD">
        <w:rPr>
          <w:rFonts w:ascii="Times New Roman" w:hAnsi="Times New Roman" w:hint="eastAsia"/>
          <w:sz w:val="21"/>
          <w:szCs w:val="21"/>
        </w:rPr>
        <w:t>年</w:t>
      </w:r>
      <w:r w:rsidRPr="00BA13AD">
        <w:rPr>
          <w:rFonts w:ascii="Times New Roman" w:hAnsi="Times New Roman"/>
          <w:sz w:val="21"/>
          <w:szCs w:val="21"/>
        </w:rPr>
        <w:t>8</w:t>
      </w:r>
      <w:r w:rsidRPr="00BA13AD">
        <w:rPr>
          <w:rFonts w:ascii="Times New Roman" w:hAnsi="Times New Roman" w:hint="eastAsia"/>
          <w:sz w:val="21"/>
          <w:szCs w:val="21"/>
        </w:rPr>
        <w:t>月</w:t>
      </w:r>
      <w:r w:rsidRPr="00BA13AD">
        <w:rPr>
          <w:rFonts w:ascii="Times New Roman" w:hAnsi="Times New Roman"/>
          <w:sz w:val="21"/>
          <w:szCs w:val="21"/>
        </w:rPr>
        <w:t>7</w:t>
      </w:r>
      <w:r w:rsidRPr="00BA13AD">
        <w:rPr>
          <w:rFonts w:ascii="Times New Roman" w:hAnsi="Times New Roman" w:hint="eastAsia"/>
          <w:sz w:val="21"/>
          <w:szCs w:val="21"/>
        </w:rPr>
        <w:t>日注册成立</w:t>
      </w:r>
      <w:r w:rsidRPr="00BA13AD">
        <w:rPr>
          <w:rFonts w:ascii="Times New Roman" w:hAnsi="Times New Roman"/>
          <w:sz w:val="21"/>
          <w:szCs w:val="21"/>
        </w:rPr>
        <w:t>SINOCARE MALAYSIA SDN. BHD.</w:t>
      </w:r>
      <w:r w:rsidRPr="00BA13AD">
        <w:rPr>
          <w:rFonts w:ascii="Times New Roman" w:hAnsi="Times New Roman" w:hint="eastAsia"/>
          <w:sz w:val="21"/>
          <w:szCs w:val="21"/>
        </w:rPr>
        <w:t>、</w:t>
      </w:r>
      <w:r w:rsidRPr="00BA13AD">
        <w:rPr>
          <w:rFonts w:ascii="Times New Roman" w:hAnsi="Times New Roman"/>
          <w:sz w:val="21"/>
          <w:szCs w:val="21"/>
        </w:rPr>
        <w:t>2025</w:t>
      </w:r>
      <w:r w:rsidRPr="00BA13AD">
        <w:rPr>
          <w:rFonts w:ascii="Times New Roman" w:hAnsi="Times New Roman" w:hint="eastAsia"/>
          <w:sz w:val="21"/>
          <w:szCs w:val="21"/>
        </w:rPr>
        <w:t>年</w:t>
      </w:r>
      <w:r w:rsidRPr="00BA13AD">
        <w:rPr>
          <w:rFonts w:ascii="Times New Roman" w:hAnsi="Times New Roman"/>
          <w:sz w:val="21"/>
          <w:szCs w:val="21"/>
        </w:rPr>
        <w:t>10</w:t>
      </w:r>
      <w:r w:rsidRPr="00BA13AD">
        <w:rPr>
          <w:rFonts w:ascii="Times New Roman" w:hAnsi="Times New Roman" w:hint="eastAsia"/>
          <w:sz w:val="21"/>
          <w:szCs w:val="21"/>
        </w:rPr>
        <w:t>月</w:t>
      </w:r>
      <w:r w:rsidRPr="00BA13AD">
        <w:rPr>
          <w:rFonts w:ascii="Times New Roman" w:hAnsi="Times New Roman"/>
          <w:sz w:val="21"/>
          <w:szCs w:val="21"/>
        </w:rPr>
        <w:t>28</w:t>
      </w:r>
      <w:r w:rsidRPr="00BA13AD">
        <w:rPr>
          <w:rFonts w:ascii="Times New Roman" w:hAnsi="Times New Roman" w:hint="eastAsia"/>
          <w:sz w:val="21"/>
          <w:szCs w:val="21"/>
        </w:rPr>
        <w:t>日注册成立</w:t>
      </w:r>
      <w:r w:rsidRPr="00BA13AD">
        <w:rPr>
          <w:rFonts w:ascii="Times New Roman" w:hAnsi="Times New Roman"/>
          <w:sz w:val="21"/>
          <w:szCs w:val="21"/>
        </w:rPr>
        <w:t>SINOCARE MEDITECH SINGAPORE PTE. LTD.</w:t>
      </w:r>
      <w:r w:rsidRPr="00BA13AD">
        <w:rPr>
          <w:rFonts w:ascii="Times New Roman" w:hAnsi="Times New Roman" w:hint="eastAsia"/>
          <w:sz w:val="21"/>
          <w:szCs w:val="21"/>
        </w:rPr>
        <w:t>、</w:t>
      </w:r>
      <w:r w:rsidRPr="00BA13AD">
        <w:rPr>
          <w:rFonts w:ascii="Times New Roman" w:hAnsi="Times New Roman"/>
          <w:sz w:val="21"/>
          <w:szCs w:val="21"/>
        </w:rPr>
        <w:t>2025</w:t>
      </w:r>
      <w:r w:rsidRPr="00BA13AD">
        <w:rPr>
          <w:rFonts w:ascii="Times New Roman" w:hAnsi="Times New Roman" w:hint="eastAsia"/>
          <w:sz w:val="21"/>
          <w:szCs w:val="21"/>
        </w:rPr>
        <w:t>年</w:t>
      </w:r>
      <w:r w:rsidRPr="00BA13AD">
        <w:rPr>
          <w:rFonts w:ascii="Times New Roman" w:hAnsi="Times New Roman"/>
          <w:sz w:val="21"/>
          <w:szCs w:val="21"/>
        </w:rPr>
        <w:t>2</w:t>
      </w:r>
      <w:r w:rsidRPr="00BA13AD">
        <w:rPr>
          <w:rFonts w:ascii="Times New Roman" w:hAnsi="Times New Roman" w:hint="eastAsia"/>
          <w:sz w:val="21"/>
          <w:szCs w:val="21"/>
        </w:rPr>
        <w:t>月</w:t>
      </w:r>
      <w:r w:rsidRPr="00BA13AD">
        <w:rPr>
          <w:rFonts w:ascii="Times New Roman" w:hAnsi="Times New Roman"/>
          <w:sz w:val="21"/>
          <w:szCs w:val="21"/>
        </w:rPr>
        <w:t>7</w:t>
      </w:r>
      <w:r w:rsidRPr="00BA13AD">
        <w:rPr>
          <w:rFonts w:ascii="Times New Roman" w:hAnsi="Times New Roman" w:hint="eastAsia"/>
          <w:sz w:val="21"/>
          <w:szCs w:val="21"/>
        </w:rPr>
        <w:t>日注册成立上海绮风电子商务有限公司以及</w:t>
      </w:r>
      <w:r w:rsidRPr="00BA13AD">
        <w:rPr>
          <w:rFonts w:ascii="Times New Roman" w:hAnsi="Times New Roman" w:hint="eastAsia"/>
          <w:sz w:val="21"/>
          <w:szCs w:val="21"/>
        </w:rPr>
        <w:t>2025</w:t>
      </w:r>
      <w:r w:rsidRPr="00BA13AD">
        <w:rPr>
          <w:rFonts w:ascii="Times New Roman" w:hAnsi="Times New Roman" w:hint="eastAsia"/>
          <w:sz w:val="21"/>
          <w:szCs w:val="21"/>
        </w:rPr>
        <w:t>年</w:t>
      </w:r>
      <w:r w:rsidRPr="00BA13AD">
        <w:rPr>
          <w:rFonts w:ascii="Times New Roman" w:hAnsi="Times New Roman" w:hint="eastAsia"/>
          <w:sz w:val="21"/>
          <w:szCs w:val="21"/>
        </w:rPr>
        <w:t>10</w:t>
      </w:r>
      <w:r w:rsidRPr="00BA13AD">
        <w:rPr>
          <w:rFonts w:ascii="Times New Roman" w:hAnsi="Times New Roman" w:hint="eastAsia"/>
          <w:sz w:val="21"/>
          <w:szCs w:val="21"/>
        </w:rPr>
        <w:t>月非同一控制下企业合并长沙甜蜜医联网络科技有限公司。</w:t>
      </w:r>
    </w:p>
    <w:p w14:paraId="23CAFB76" w14:textId="35D7B559" w:rsidR="00113A51" w:rsidRPr="00BA13AD"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sidRPr="00BA13AD">
        <w:rPr>
          <w:rFonts w:ascii="Times New Roman" w:hAnsi="Times New Roman" w:hint="eastAsia"/>
          <w:sz w:val="21"/>
          <w:szCs w:val="21"/>
        </w:rPr>
        <w:t>报告期内，公司注销</w:t>
      </w:r>
      <w:r w:rsidR="00475708">
        <w:rPr>
          <w:rFonts w:ascii="Times New Roman" w:hAnsi="Times New Roman"/>
          <w:sz w:val="21"/>
          <w:szCs w:val="21"/>
        </w:rPr>
        <w:t>4</w:t>
      </w:r>
      <w:r w:rsidRPr="00BA13AD">
        <w:rPr>
          <w:rFonts w:ascii="Times New Roman" w:hAnsi="Times New Roman" w:hint="eastAsia"/>
          <w:sz w:val="21"/>
          <w:szCs w:val="21"/>
        </w:rPr>
        <w:t>家子公司：三伟达健康管理有限公司，三诺健康（香港）有限公司，</w:t>
      </w:r>
      <w:r w:rsidRPr="00BA13AD">
        <w:rPr>
          <w:rFonts w:ascii="Times New Roman" w:hAnsi="Times New Roman"/>
          <w:sz w:val="21"/>
          <w:szCs w:val="21"/>
        </w:rPr>
        <w:t>Sinocare Medical (Singapore) Pte.Ltd</w:t>
      </w:r>
      <w:r w:rsidR="00475708" w:rsidRPr="00475708">
        <w:rPr>
          <w:rFonts w:ascii="Times New Roman" w:hAnsi="Times New Roman" w:hint="eastAsia"/>
          <w:sz w:val="21"/>
          <w:szCs w:val="21"/>
        </w:rPr>
        <w:t>，</w:t>
      </w:r>
      <w:r w:rsidR="00475708" w:rsidRPr="00475708">
        <w:rPr>
          <w:rFonts w:ascii="Times New Roman" w:hAnsi="Times New Roman"/>
          <w:sz w:val="21"/>
          <w:szCs w:val="21"/>
        </w:rPr>
        <w:t>Trividia Health Australia Pty Ltd.</w:t>
      </w:r>
      <w:r w:rsidRPr="00475708">
        <w:rPr>
          <w:rFonts w:ascii="Times New Roman" w:hAnsi="Times New Roman" w:hint="eastAsia"/>
          <w:sz w:val="21"/>
          <w:szCs w:val="21"/>
        </w:rPr>
        <w:t>。</w:t>
      </w:r>
      <w:r w:rsidRPr="00BA13AD">
        <w:rPr>
          <w:rFonts w:ascii="Times New Roman" w:hAnsi="Times New Roman"/>
          <w:sz w:val="21"/>
          <w:szCs w:val="21"/>
        </w:rPr>
        <w:t xml:space="preserve"> </w:t>
      </w:r>
    </w:p>
    <w:p w14:paraId="5AE4667C" w14:textId="77777777" w:rsidR="00113A51" w:rsidRPr="00BA13AD" w:rsidRDefault="00766EC7" w:rsidP="00BA13AD">
      <w:pPr>
        <w:pStyle w:val="a9"/>
        <w:spacing w:before="0" w:beforeAutospacing="0" w:after="0" w:afterAutospacing="0" w:line="360" w:lineRule="auto"/>
        <w:ind w:firstLineChars="200" w:firstLine="420"/>
        <w:jc w:val="both"/>
        <w:rPr>
          <w:rFonts w:ascii="Times New Roman" w:hAnsi="Times New Roman"/>
          <w:sz w:val="21"/>
          <w:szCs w:val="21"/>
        </w:rPr>
      </w:pPr>
      <w:r w:rsidRPr="00BA13AD">
        <w:rPr>
          <w:rFonts w:ascii="Times New Roman" w:hAnsi="Times New Roman"/>
          <w:sz w:val="21"/>
          <w:szCs w:val="21"/>
        </w:rPr>
        <w:t>详见本报告第八节财务报告</w:t>
      </w:r>
      <w:r w:rsidRPr="00C707CF">
        <w:rPr>
          <w:sz w:val="21"/>
          <w:szCs w:val="21"/>
        </w:rPr>
        <w:t>“九、合并范围的变更”</w:t>
      </w:r>
      <w:r w:rsidRPr="00BA13AD">
        <w:rPr>
          <w:rFonts w:ascii="Times New Roman" w:hAnsi="Times New Roman"/>
          <w:sz w:val="21"/>
          <w:szCs w:val="21"/>
        </w:rPr>
        <w:t>。</w:t>
      </w:r>
    </w:p>
    <w:p w14:paraId="2BEBD1F8" w14:textId="77777777" w:rsidR="00113A51" w:rsidRDefault="00766EC7">
      <w:pPr>
        <w:keepNext/>
        <w:keepLines/>
        <w:spacing w:before="300" w:after="300" w:line="280" w:lineRule="exact"/>
        <w:outlineLvl w:val="3"/>
        <w:rPr>
          <w:rFonts w:ascii="宋体" w:eastAsia="宋体" w:hAnsi="宋体" w:cs="宋体"/>
          <w:b/>
          <w:bCs/>
          <w:sz w:val="18"/>
          <w:szCs w:val="18"/>
        </w:rPr>
      </w:pPr>
      <w:bookmarkStart w:id="30" w:name="_Toc988914"/>
      <w:r>
        <w:rPr>
          <w:rFonts w:ascii="宋体" w:eastAsia="宋体" w:hAnsi="宋体" w:cs="宋体"/>
          <w:b/>
          <w:bCs/>
          <w:sz w:val="18"/>
          <w:szCs w:val="18"/>
        </w:rPr>
        <w:t>（7） 公司报告期内业务、产品或服务发生重大变化或调整有关情况</w:t>
      </w:r>
      <w:bookmarkEnd w:id="30"/>
    </w:p>
    <w:p w14:paraId="339ED8FA"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6548EA4" w14:textId="77777777" w:rsidR="00113A51" w:rsidRDefault="00766EC7">
      <w:pPr>
        <w:keepNext/>
        <w:keepLines/>
        <w:spacing w:before="300" w:after="300" w:line="280" w:lineRule="exact"/>
        <w:outlineLvl w:val="3"/>
        <w:rPr>
          <w:rFonts w:ascii="宋体" w:eastAsia="宋体" w:hAnsi="宋体" w:cs="宋体"/>
          <w:b/>
          <w:bCs/>
          <w:sz w:val="18"/>
          <w:szCs w:val="18"/>
        </w:rPr>
      </w:pPr>
      <w:bookmarkStart w:id="31" w:name="_Toc988915"/>
      <w:r>
        <w:rPr>
          <w:rFonts w:ascii="宋体" w:eastAsia="宋体" w:hAnsi="宋体" w:cs="宋体"/>
          <w:b/>
          <w:bCs/>
          <w:sz w:val="18"/>
          <w:szCs w:val="18"/>
        </w:rPr>
        <w:t>（8） 主要销售客户和主要供应商情况</w:t>
      </w:r>
      <w:bookmarkEnd w:id="31"/>
    </w:p>
    <w:p w14:paraId="26B42AFB"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公司主要销售客户情况</w:t>
      </w:r>
    </w:p>
    <w:tbl>
      <w:tblPr>
        <w:tblW w:w="9639" w:type="dxa"/>
        <w:tblInd w:w="108" w:type="dxa"/>
        <w:tblLayout w:type="fixed"/>
        <w:tblLook w:val="04A0" w:firstRow="1" w:lastRow="0" w:firstColumn="1" w:lastColumn="0" w:noHBand="0" w:noVBand="1"/>
      </w:tblPr>
      <w:tblGrid>
        <w:gridCol w:w="4820"/>
        <w:gridCol w:w="4819"/>
      </w:tblGrid>
      <w:tr w:rsidR="00C57E60" w14:paraId="70522B10"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9FD95B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前五名客户合计销售金额（元）</w:t>
            </w:r>
          </w:p>
        </w:tc>
        <w:tc>
          <w:tcPr>
            <w:tcW w:w="4820" w:type="dxa"/>
            <w:tcBorders>
              <w:top w:val="single" w:sz="2" w:space="0" w:color="auto"/>
              <w:left w:val="single" w:sz="2" w:space="0" w:color="auto"/>
              <w:bottom w:val="single" w:sz="2" w:space="0" w:color="auto"/>
              <w:right w:val="single" w:sz="2" w:space="0" w:color="auto"/>
            </w:tcBorders>
            <w:vAlign w:val="center"/>
          </w:tcPr>
          <w:p w14:paraId="13C10A07" w14:textId="2F54E8EE"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959,226,666.23</w:t>
            </w:r>
          </w:p>
        </w:tc>
      </w:tr>
      <w:tr w:rsidR="00C57E60" w14:paraId="249CA3C7"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16752AF"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前五名客户合计销售金额占年度销售总额比例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3FA32225" w14:textId="6778C4E1"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20.59%</w:t>
            </w:r>
          </w:p>
        </w:tc>
      </w:tr>
      <w:tr w:rsidR="00C57E60" w14:paraId="49EA008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2DD5498"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前五名客户销售额中关联方销售额占年度销售总额比例</w:t>
            </w:r>
          </w:p>
        </w:tc>
        <w:tc>
          <w:tcPr>
            <w:tcW w:w="4820" w:type="dxa"/>
            <w:tcBorders>
              <w:top w:val="single" w:sz="2" w:space="0" w:color="auto"/>
              <w:left w:val="single" w:sz="2" w:space="0" w:color="auto"/>
              <w:bottom w:val="single" w:sz="2" w:space="0" w:color="auto"/>
              <w:right w:val="single" w:sz="2" w:space="0" w:color="auto"/>
            </w:tcBorders>
            <w:vAlign w:val="center"/>
          </w:tcPr>
          <w:p w14:paraId="7C25312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bl>
    <w:p w14:paraId="36BBCF1A"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公司前5大客户资料</w:t>
      </w:r>
    </w:p>
    <w:tbl>
      <w:tblPr>
        <w:tblW w:w="9639" w:type="dxa"/>
        <w:tblInd w:w="108" w:type="dxa"/>
        <w:tblLayout w:type="fixed"/>
        <w:tblLook w:val="04A0" w:firstRow="1" w:lastRow="0" w:firstColumn="1" w:lastColumn="0" w:noHBand="0" w:noVBand="1"/>
      </w:tblPr>
      <w:tblGrid>
        <w:gridCol w:w="2409"/>
        <w:gridCol w:w="2410"/>
        <w:gridCol w:w="2410"/>
        <w:gridCol w:w="2410"/>
      </w:tblGrid>
      <w:tr w:rsidR="00C57E60" w14:paraId="229B67B5" w14:textId="77777777" w:rsidTr="00475708">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3D10BB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1DFDF1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客户名称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DC7FABB"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销售额（元）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AEE98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占年度销售总额比例</w:t>
            </w:r>
          </w:p>
        </w:tc>
      </w:tr>
      <w:tr w:rsidR="00475708" w14:paraId="25FBE06C" w14:textId="77777777" w:rsidTr="00C707CF">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C0F2FED"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04CEB2A7" w14:textId="162A9AE3" w:rsidR="00475708" w:rsidRDefault="00AF7570" w:rsidP="00475708">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14:paraId="497BFF1C" w14:textId="0BB9DB29" w:rsidR="00475708" w:rsidRDefault="00475708" w:rsidP="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331,140,016.51</w:t>
            </w:r>
          </w:p>
        </w:tc>
        <w:tc>
          <w:tcPr>
            <w:tcW w:w="2410" w:type="dxa"/>
            <w:tcBorders>
              <w:top w:val="single" w:sz="2" w:space="0" w:color="auto"/>
              <w:left w:val="single" w:sz="2" w:space="0" w:color="auto"/>
              <w:bottom w:val="single" w:sz="2" w:space="0" w:color="auto"/>
              <w:right w:val="single" w:sz="2" w:space="0" w:color="auto"/>
            </w:tcBorders>
          </w:tcPr>
          <w:p w14:paraId="4BEE55A8" w14:textId="74195D07"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7.11%</w:t>
            </w:r>
          </w:p>
        </w:tc>
      </w:tr>
      <w:tr w:rsidR="00475708" w14:paraId="2688A3F4" w14:textId="77777777" w:rsidTr="00C707CF">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2A29EB5"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525FB488" w14:textId="2D1EE137" w:rsidR="00475708" w:rsidRDefault="00AF7570" w:rsidP="00475708">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14:paraId="16BC22E6" w14:textId="0C12CB09" w:rsidR="00475708" w:rsidRDefault="00475708" w:rsidP="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182,268,954.13</w:t>
            </w:r>
          </w:p>
        </w:tc>
        <w:tc>
          <w:tcPr>
            <w:tcW w:w="2410" w:type="dxa"/>
            <w:tcBorders>
              <w:top w:val="single" w:sz="2" w:space="0" w:color="auto"/>
              <w:left w:val="single" w:sz="2" w:space="0" w:color="auto"/>
              <w:bottom w:val="single" w:sz="2" w:space="0" w:color="auto"/>
              <w:right w:val="single" w:sz="2" w:space="0" w:color="auto"/>
            </w:tcBorders>
          </w:tcPr>
          <w:p w14:paraId="20CED473" w14:textId="4803C48D"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3.91%</w:t>
            </w:r>
          </w:p>
        </w:tc>
      </w:tr>
      <w:tr w:rsidR="00475708" w14:paraId="0D853EDB" w14:textId="77777777" w:rsidTr="00C707CF">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4A24210"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14:paraId="5B0F1EB9" w14:textId="2700C2FD" w:rsidR="00475708" w:rsidRDefault="00AF7570" w:rsidP="00475708">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第三名</w:t>
            </w:r>
          </w:p>
        </w:tc>
        <w:tc>
          <w:tcPr>
            <w:tcW w:w="2410" w:type="dxa"/>
            <w:tcBorders>
              <w:top w:val="single" w:sz="2" w:space="0" w:color="auto"/>
              <w:left w:val="single" w:sz="2" w:space="0" w:color="auto"/>
              <w:bottom w:val="single" w:sz="2" w:space="0" w:color="auto"/>
              <w:right w:val="single" w:sz="2" w:space="0" w:color="auto"/>
            </w:tcBorders>
          </w:tcPr>
          <w:p w14:paraId="68246F2B" w14:textId="53983C79"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178,704,017.78</w:t>
            </w:r>
          </w:p>
        </w:tc>
        <w:tc>
          <w:tcPr>
            <w:tcW w:w="2410" w:type="dxa"/>
            <w:tcBorders>
              <w:top w:val="single" w:sz="2" w:space="0" w:color="auto"/>
              <w:left w:val="single" w:sz="2" w:space="0" w:color="auto"/>
              <w:bottom w:val="single" w:sz="2" w:space="0" w:color="auto"/>
              <w:right w:val="single" w:sz="2" w:space="0" w:color="auto"/>
            </w:tcBorders>
          </w:tcPr>
          <w:p w14:paraId="475BCDC8" w14:textId="1254D357"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3.84%</w:t>
            </w:r>
          </w:p>
        </w:tc>
      </w:tr>
      <w:tr w:rsidR="00475708" w14:paraId="79A2567C" w14:textId="77777777" w:rsidTr="00C707CF">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5D4ADF5"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14:paraId="49FD4383" w14:textId="6CCD0091" w:rsidR="00475708" w:rsidRDefault="00AF7570" w:rsidP="00475708">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第四名</w:t>
            </w:r>
          </w:p>
        </w:tc>
        <w:tc>
          <w:tcPr>
            <w:tcW w:w="2410" w:type="dxa"/>
            <w:tcBorders>
              <w:top w:val="single" w:sz="2" w:space="0" w:color="auto"/>
              <w:left w:val="single" w:sz="2" w:space="0" w:color="auto"/>
              <w:bottom w:val="single" w:sz="2" w:space="0" w:color="auto"/>
              <w:right w:val="single" w:sz="2" w:space="0" w:color="auto"/>
            </w:tcBorders>
          </w:tcPr>
          <w:p w14:paraId="2A127846" w14:textId="5B3C5ADD"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144,911,446.84</w:t>
            </w:r>
          </w:p>
        </w:tc>
        <w:tc>
          <w:tcPr>
            <w:tcW w:w="2410" w:type="dxa"/>
            <w:tcBorders>
              <w:top w:val="single" w:sz="2" w:space="0" w:color="auto"/>
              <w:left w:val="single" w:sz="2" w:space="0" w:color="auto"/>
              <w:bottom w:val="single" w:sz="2" w:space="0" w:color="auto"/>
              <w:right w:val="single" w:sz="2" w:space="0" w:color="auto"/>
            </w:tcBorders>
          </w:tcPr>
          <w:p w14:paraId="75DDC406" w14:textId="3576BB35"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3.11%</w:t>
            </w:r>
          </w:p>
        </w:tc>
      </w:tr>
      <w:tr w:rsidR="00475708" w14:paraId="263A171C" w14:textId="77777777" w:rsidTr="00C707CF">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363151A"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14:paraId="6504698A" w14:textId="602A0BDA" w:rsidR="00475708" w:rsidRDefault="00AF7570" w:rsidP="00475708">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第五名</w:t>
            </w:r>
          </w:p>
        </w:tc>
        <w:tc>
          <w:tcPr>
            <w:tcW w:w="2410" w:type="dxa"/>
            <w:tcBorders>
              <w:top w:val="single" w:sz="2" w:space="0" w:color="auto"/>
              <w:left w:val="single" w:sz="2" w:space="0" w:color="auto"/>
              <w:bottom w:val="single" w:sz="2" w:space="0" w:color="auto"/>
              <w:right w:val="single" w:sz="2" w:space="0" w:color="auto"/>
            </w:tcBorders>
          </w:tcPr>
          <w:p w14:paraId="3C975412" w14:textId="26F8C1D0"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122,202,230.99</w:t>
            </w:r>
          </w:p>
        </w:tc>
        <w:tc>
          <w:tcPr>
            <w:tcW w:w="2410" w:type="dxa"/>
            <w:tcBorders>
              <w:top w:val="single" w:sz="2" w:space="0" w:color="auto"/>
              <w:left w:val="single" w:sz="2" w:space="0" w:color="auto"/>
              <w:bottom w:val="single" w:sz="2" w:space="0" w:color="auto"/>
              <w:right w:val="single" w:sz="2" w:space="0" w:color="auto"/>
            </w:tcBorders>
          </w:tcPr>
          <w:p w14:paraId="289EA33C" w14:textId="30300F12"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2.62%</w:t>
            </w:r>
          </w:p>
        </w:tc>
      </w:tr>
      <w:tr w:rsidR="00475708" w14:paraId="04F46E6A" w14:textId="77777777" w:rsidTr="00C707CF">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69985CD"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DA79DC1" w14:textId="77777777" w:rsidR="00475708" w:rsidRDefault="00475708" w:rsidP="00475708">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c>
          <w:tcPr>
            <w:tcW w:w="2410" w:type="dxa"/>
            <w:tcBorders>
              <w:top w:val="single" w:sz="2" w:space="0" w:color="auto"/>
              <w:left w:val="single" w:sz="2" w:space="0" w:color="auto"/>
              <w:bottom w:val="single" w:sz="2" w:space="0" w:color="auto"/>
              <w:right w:val="single" w:sz="2" w:space="0" w:color="auto"/>
            </w:tcBorders>
          </w:tcPr>
          <w:p w14:paraId="44DAF1E5" w14:textId="3EBEFC75"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959,226,666.23</w:t>
            </w:r>
          </w:p>
        </w:tc>
        <w:tc>
          <w:tcPr>
            <w:tcW w:w="2410" w:type="dxa"/>
            <w:tcBorders>
              <w:top w:val="single" w:sz="2" w:space="0" w:color="auto"/>
              <w:left w:val="single" w:sz="2" w:space="0" w:color="auto"/>
              <w:bottom w:val="single" w:sz="2" w:space="0" w:color="auto"/>
              <w:right w:val="single" w:sz="2" w:space="0" w:color="auto"/>
            </w:tcBorders>
          </w:tcPr>
          <w:p w14:paraId="30D9F7BA" w14:textId="3FE7E2F4"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20.59%</w:t>
            </w:r>
          </w:p>
        </w:tc>
      </w:tr>
    </w:tbl>
    <w:p w14:paraId="5BC9CD1A"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主要客户其他情况说明</w:t>
      </w:r>
    </w:p>
    <w:p w14:paraId="7CED24B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1B0D17D"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公司主要供应商情况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19"/>
      </w:tblGrid>
      <w:tr w:rsidR="00475708" w14:paraId="2065569B" w14:textId="77777777" w:rsidTr="00B97CD7">
        <w:trPr>
          <w:trHeight w:val="240"/>
        </w:trPr>
        <w:tc>
          <w:tcPr>
            <w:tcW w:w="4820" w:type="dxa"/>
            <w:shd w:val="clear" w:color="auto" w:fill="D3D3D3"/>
            <w:vAlign w:val="center"/>
          </w:tcPr>
          <w:p w14:paraId="4C60122A" w14:textId="77777777" w:rsidR="00475708" w:rsidRDefault="00475708" w:rsidP="00475708">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前五名供应商合计采购金额（元）</w:t>
            </w:r>
          </w:p>
        </w:tc>
        <w:tc>
          <w:tcPr>
            <w:tcW w:w="4819" w:type="dxa"/>
          </w:tcPr>
          <w:p w14:paraId="428B57F9" w14:textId="3DFA8B4C"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247,123,261.52</w:t>
            </w:r>
          </w:p>
        </w:tc>
      </w:tr>
      <w:tr w:rsidR="00475708" w14:paraId="38B095F5" w14:textId="77777777" w:rsidTr="00B97CD7">
        <w:trPr>
          <w:trHeight w:val="240"/>
        </w:trPr>
        <w:tc>
          <w:tcPr>
            <w:tcW w:w="4820" w:type="dxa"/>
            <w:shd w:val="clear" w:color="auto" w:fill="D3D3D3"/>
            <w:vAlign w:val="center"/>
          </w:tcPr>
          <w:p w14:paraId="50F19D42" w14:textId="77777777" w:rsidR="00475708" w:rsidRDefault="00475708" w:rsidP="00475708">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前五名供应商合计采购金额占年度采购总额比例</w:t>
            </w:r>
          </w:p>
        </w:tc>
        <w:tc>
          <w:tcPr>
            <w:tcW w:w="4819" w:type="dxa"/>
          </w:tcPr>
          <w:p w14:paraId="2A5C03C1" w14:textId="4FBEC896"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13.10%</w:t>
            </w:r>
          </w:p>
        </w:tc>
      </w:tr>
      <w:tr w:rsidR="00475708" w14:paraId="60F876E0" w14:textId="77777777" w:rsidTr="00B97CD7">
        <w:trPr>
          <w:trHeight w:val="240"/>
        </w:trPr>
        <w:tc>
          <w:tcPr>
            <w:tcW w:w="4820" w:type="dxa"/>
            <w:shd w:val="clear" w:color="auto" w:fill="D3D3D3"/>
            <w:vAlign w:val="center"/>
          </w:tcPr>
          <w:p w14:paraId="5B7ADFD3" w14:textId="77777777" w:rsidR="00475708" w:rsidRDefault="00475708" w:rsidP="00475708">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前五名供应商采购额中关联方采购额占年度采购总额比例</w:t>
            </w:r>
          </w:p>
        </w:tc>
        <w:tc>
          <w:tcPr>
            <w:tcW w:w="4819" w:type="dxa"/>
          </w:tcPr>
          <w:p w14:paraId="6CFE5D4D" w14:textId="6522047F" w:rsidR="00475708" w:rsidRDefault="00475708" w:rsidP="00475708">
            <w:pPr>
              <w:spacing w:line="360" w:lineRule="auto"/>
              <w:jc w:val="right"/>
              <w:rPr>
                <w:rFonts w:ascii="Times New Roman" w:eastAsia="宋体" w:hAnsi="Times New Roman" w:cs="宋体"/>
                <w:sz w:val="18"/>
                <w:szCs w:val="18"/>
              </w:rPr>
            </w:pPr>
            <w:r w:rsidRPr="00C707CF">
              <w:rPr>
                <w:rFonts w:ascii="Times New Roman" w:eastAsia="宋体" w:hAnsi="Times New Roman" w:cs="宋体"/>
                <w:sz w:val="18"/>
                <w:szCs w:val="18"/>
              </w:rPr>
              <w:t>0.00%</w:t>
            </w:r>
          </w:p>
        </w:tc>
      </w:tr>
    </w:tbl>
    <w:p w14:paraId="6488A738"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公司前5名供应商资料</w:t>
      </w:r>
    </w:p>
    <w:tbl>
      <w:tblPr>
        <w:tblW w:w="9639" w:type="dxa"/>
        <w:tblInd w:w="108" w:type="dxa"/>
        <w:tblLayout w:type="fixed"/>
        <w:tblLook w:val="04A0" w:firstRow="1" w:lastRow="0" w:firstColumn="1" w:lastColumn="0" w:noHBand="0" w:noVBand="1"/>
      </w:tblPr>
      <w:tblGrid>
        <w:gridCol w:w="2409"/>
        <w:gridCol w:w="2410"/>
        <w:gridCol w:w="2410"/>
        <w:gridCol w:w="2410"/>
      </w:tblGrid>
      <w:tr w:rsidR="00C57E60" w14:paraId="7D201C7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A8911A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序号</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6E1C7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供应商名称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837418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采购额（元）</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44A28F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占年度采购总额比例</w:t>
            </w:r>
          </w:p>
        </w:tc>
      </w:tr>
      <w:tr w:rsidR="00C57E60" w14:paraId="5F3E379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275294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484A0044" w14:textId="7E73E80C" w:rsidR="00113A51" w:rsidRDefault="00AF7570">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第一名</w:t>
            </w:r>
          </w:p>
        </w:tc>
        <w:tc>
          <w:tcPr>
            <w:tcW w:w="2410" w:type="dxa"/>
            <w:tcBorders>
              <w:top w:val="single" w:sz="2" w:space="0" w:color="auto"/>
              <w:left w:val="single" w:sz="2" w:space="0" w:color="auto"/>
              <w:bottom w:val="single" w:sz="2" w:space="0" w:color="auto"/>
              <w:right w:val="single" w:sz="2" w:space="0" w:color="auto"/>
            </w:tcBorders>
            <w:vAlign w:val="center"/>
          </w:tcPr>
          <w:p w14:paraId="49D1B246" w14:textId="65136C74"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75,610,093.37</w:t>
            </w:r>
          </w:p>
        </w:tc>
        <w:tc>
          <w:tcPr>
            <w:tcW w:w="2410" w:type="dxa"/>
            <w:tcBorders>
              <w:top w:val="single" w:sz="2" w:space="0" w:color="auto"/>
              <w:left w:val="single" w:sz="2" w:space="0" w:color="auto"/>
              <w:bottom w:val="single" w:sz="2" w:space="0" w:color="auto"/>
              <w:right w:val="single" w:sz="2" w:space="0" w:color="auto"/>
            </w:tcBorders>
            <w:vAlign w:val="center"/>
          </w:tcPr>
          <w:p w14:paraId="35EAC253" w14:textId="353482B2"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4.01%</w:t>
            </w:r>
          </w:p>
        </w:tc>
      </w:tr>
      <w:tr w:rsidR="00C57E60" w14:paraId="7D4A006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82B3CD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7F5D978E" w14:textId="14EE4BD2" w:rsidR="00113A51" w:rsidRDefault="00AF7570">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第二名</w:t>
            </w:r>
          </w:p>
        </w:tc>
        <w:tc>
          <w:tcPr>
            <w:tcW w:w="2410" w:type="dxa"/>
            <w:tcBorders>
              <w:top w:val="single" w:sz="2" w:space="0" w:color="auto"/>
              <w:left w:val="single" w:sz="2" w:space="0" w:color="auto"/>
              <w:bottom w:val="single" w:sz="2" w:space="0" w:color="auto"/>
              <w:right w:val="single" w:sz="2" w:space="0" w:color="auto"/>
            </w:tcBorders>
            <w:vAlign w:val="center"/>
          </w:tcPr>
          <w:p w14:paraId="3A5FE2D8" w14:textId="5D353650"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52,071,931.32</w:t>
            </w:r>
          </w:p>
        </w:tc>
        <w:tc>
          <w:tcPr>
            <w:tcW w:w="2410" w:type="dxa"/>
            <w:tcBorders>
              <w:top w:val="single" w:sz="2" w:space="0" w:color="auto"/>
              <w:left w:val="single" w:sz="2" w:space="0" w:color="auto"/>
              <w:bottom w:val="single" w:sz="2" w:space="0" w:color="auto"/>
              <w:right w:val="single" w:sz="2" w:space="0" w:color="auto"/>
            </w:tcBorders>
            <w:vAlign w:val="center"/>
          </w:tcPr>
          <w:p w14:paraId="30BCB97B" w14:textId="5D71787F"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2.76%</w:t>
            </w:r>
          </w:p>
        </w:tc>
      </w:tr>
      <w:tr w:rsidR="00C57E60" w14:paraId="4C9D587C"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DF156A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3</w:t>
            </w:r>
          </w:p>
        </w:tc>
        <w:tc>
          <w:tcPr>
            <w:tcW w:w="2410" w:type="dxa"/>
            <w:tcBorders>
              <w:top w:val="single" w:sz="2" w:space="0" w:color="auto"/>
              <w:left w:val="single" w:sz="2" w:space="0" w:color="auto"/>
              <w:bottom w:val="single" w:sz="2" w:space="0" w:color="auto"/>
              <w:right w:val="single" w:sz="2" w:space="0" w:color="auto"/>
            </w:tcBorders>
            <w:vAlign w:val="center"/>
          </w:tcPr>
          <w:p w14:paraId="3957CDB1" w14:textId="589CE38F" w:rsidR="00113A51" w:rsidRDefault="00AF7570">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第三名</w:t>
            </w:r>
          </w:p>
        </w:tc>
        <w:tc>
          <w:tcPr>
            <w:tcW w:w="2410" w:type="dxa"/>
            <w:tcBorders>
              <w:top w:val="single" w:sz="2" w:space="0" w:color="auto"/>
              <w:left w:val="single" w:sz="2" w:space="0" w:color="auto"/>
              <w:bottom w:val="single" w:sz="2" w:space="0" w:color="auto"/>
              <w:right w:val="single" w:sz="2" w:space="0" w:color="auto"/>
            </w:tcBorders>
            <w:vAlign w:val="center"/>
          </w:tcPr>
          <w:p w14:paraId="24219A3E" w14:textId="65288D61"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40,360,881.91</w:t>
            </w:r>
          </w:p>
        </w:tc>
        <w:tc>
          <w:tcPr>
            <w:tcW w:w="2410" w:type="dxa"/>
            <w:tcBorders>
              <w:top w:val="single" w:sz="2" w:space="0" w:color="auto"/>
              <w:left w:val="single" w:sz="2" w:space="0" w:color="auto"/>
              <w:bottom w:val="single" w:sz="2" w:space="0" w:color="auto"/>
              <w:right w:val="single" w:sz="2" w:space="0" w:color="auto"/>
            </w:tcBorders>
            <w:vAlign w:val="center"/>
          </w:tcPr>
          <w:p w14:paraId="64D419A5" w14:textId="5FC4BBFF"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2.14%</w:t>
            </w:r>
          </w:p>
        </w:tc>
      </w:tr>
      <w:tr w:rsidR="00C57E60" w14:paraId="1819D387"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48404B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2410" w:type="dxa"/>
            <w:tcBorders>
              <w:top w:val="single" w:sz="2" w:space="0" w:color="auto"/>
              <w:left w:val="single" w:sz="2" w:space="0" w:color="auto"/>
              <w:bottom w:val="single" w:sz="2" w:space="0" w:color="auto"/>
              <w:right w:val="single" w:sz="2" w:space="0" w:color="auto"/>
            </w:tcBorders>
            <w:vAlign w:val="center"/>
          </w:tcPr>
          <w:p w14:paraId="3DC753A9" w14:textId="500B0745" w:rsidR="00113A51" w:rsidRDefault="00AF7570">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第四名</w:t>
            </w:r>
          </w:p>
        </w:tc>
        <w:tc>
          <w:tcPr>
            <w:tcW w:w="2410" w:type="dxa"/>
            <w:tcBorders>
              <w:top w:val="single" w:sz="2" w:space="0" w:color="auto"/>
              <w:left w:val="single" w:sz="2" w:space="0" w:color="auto"/>
              <w:bottom w:val="single" w:sz="2" w:space="0" w:color="auto"/>
              <w:right w:val="single" w:sz="2" w:space="0" w:color="auto"/>
            </w:tcBorders>
            <w:vAlign w:val="center"/>
          </w:tcPr>
          <w:p w14:paraId="77A2196F" w14:textId="196D05D9"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39,831,585.68</w:t>
            </w:r>
          </w:p>
        </w:tc>
        <w:tc>
          <w:tcPr>
            <w:tcW w:w="2410" w:type="dxa"/>
            <w:tcBorders>
              <w:top w:val="single" w:sz="2" w:space="0" w:color="auto"/>
              <w:left w:val="single" w:sz="2" w:space="0" w:color="auto"/>
              <w:bottom w:val="single" w:sz="2" w:space="0" w:color="auto"/>
              <w:right w:val="single" w:sz="2" w:space="0" w:color="auto"/>
            </w:tcBorders>
            <w:vAlign w:val="center"/>
          </w:tcPr>
          <w:p w14:paraId="33623224" w14:textId="06861201"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2.11%</w:t>
            </w:r>
          </w:p>
        </w:tc>
      </w:tr>
      <w:tr w:rsidR="00C57E60" w14:paraId="47E84DE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C8FEB9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5</w:t>
            </w:r>
          </w:p>
        </w:tc>
        <w:tc>
          <w:tcPr>
            <w:tcW w:w="2410" w:type="dxa"/>
            <w:tcBorders>
              <w:top w:val="single" w:sz="2" w:space="0" w:color="auto"/>
              <w:left w:val="single" w:sz="2" w:space="0" w:color="auto"/>
              <w:bottom w:val="single" w:sz="2" w:space="0" w:color="auto"/>
              <w:right w:val="single" w:sz="2" w:space="0" w:color="auto"/>
            </w:tcBorders>
            <w:vAlign w:val="center"/>
          </w:tcPr>
          <w:p w14:paraId="75FD4E8F" w14:textId="1C4A0588" w:rsidR="00113A51" w:rsidRDefault="00AF7570">
            <w:pPr>
              <w:spacing w:line="360" w:lineRule="auto"/>
              <w:rPr>
                <w:rFonts w:ascii="Times New Roman" w:eastAsia="宋体" w:hAnsi="Times New Roman" w:cs="宋体"/>
                <w:sz w:val="18"/>
                <w:szCs w:val="18"/>
              </w:rPr>
            </w:pPr>
            <w:r>
              <w:rPr>
                <w:rFonts w:ascii="Times New Roman" w:eastAsia="宋体" w:hAnsi="Times New Roman" w:cs="宋体" w:hint="eastAsia"/>
                <w:sz w:val="18"/>
                <w:szCs w:val="18"/>
              </w:rPr>
              <w:t>第五名</w:t>
            </w:r>
          </w:p>
        </w:tc>
        <w:tc>
          <w:tcPr>
            <w:tcW w:w="2410" w:type="dxa"/>
            <w:tcBorders>
              <w:top w:val="single" w:sz="2" w:space="0" w:color="auto"/>
              <w:left w:val="single" w:sz="2" w:space="0" w:color="auto"/>
              <w:bottom w:val="single" w:sz="2" w:space="0" w:color="auto"/>
              <w:right w:val="single" w:sz="2" w:space="0" w:color="auto"/>
            </w:tcBorders>
            <w:vAlign w:val="center"/>
          </w:tcPr>
          <w:p w14:paraId="15C24F40" w14:textId="606D5E5E"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39,248,769.24</w:t>
            </w:r>
          </w:p>
        </w:tc>
        <w:tc>
          <w:tcPr>
            <w:tcW w:w="2410" w:type="dxa"/>
            <w:tcBorders>
              <w:top w:val="single" w:sz="2" w:space="0" w:color="auto"/>
              <w:left w:val="single" w:sz="2" w:space="0" w:color="auto"/>
              <w:bottom w:val="single" w:sz="2" w:space="0" w:color="auto"/>
              <w:right w:val="single" w:sz="2" w:space="0" w:color="auto"/>
            </w:tcBorders>
            <w:vAlign w:val="center"/>
          </w:tcPr>
          <w:p w14:paraId="34D9E4CE" w14:textId="5ECA2A37"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2.08%</w:t>
            </w:r>
          </w:p>
        </w:tc>
      </w:tr>
      <w:tr w:rsidR="00C57E60" w14:paraId="7382CF4A"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DD5836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合计</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901EA4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3A21E6E6" w14:textId="0CC279AB"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247,123,261.52</w:t>
            </w:r>
          </w:p>
        </w:tc>
        <w:tc>
          <w:tcPr>
            <w:tcW w:w="2410" w:type="dxa"/>
            <w:tcBorders>
              <w:top w:val="single" w:sz="2" w:space="0" w:color="auto"/>
              <w:left w:val="single" w:sz="2" w:space="0" w:color="auto"/>
              <w:bottom w:val="single" w:sz="2" w:space="0" w:color="auto"/>
              <w:right w:val="single" w:sz="2" w:space="0" w:color="auto"/>
            </w:tcBorders>
            <w:vAlign w:val="center"/>
          </w:tcPr>
          <w:p w14:paraId="2686E943" w14:textId="1BC24800" w:rsidR="00113A51" w:rsidRDefault="00475708">
            <w:pPr>
              <w:spacing w:line="360" w:lineRule="auto"/>
              <w:jc w:val="right"/>
              <w:rPr>
                <w:rFonts w:ascii="Times New Roman" w:eastAsia="宋体" w:hAnsi="Times New Roman" w:cs="宋体"/>
                <w:sz w:val="18"/>
                <w:szCs w:val="18"/>
              </w:rPr>
            </w:pPr>
            <w:r w:rsidRPr="00475708">
              <w:rPr>
                <w:rFonts w:ascii="Times New Roman" w:eastAsia="宋体" w:hAnsi="Times New Roman" w:cs="宋体"/>
                <w:sz w:val="18"/>
                <w:szCs w:val="18"/>
              </w:rPr>
              <w:t>13.10%</w:t>
            </w:r>
          </w:p>
        </w:tc>
      </w:tr>
    </w:tbl>
    <w:p w14:paraId="1C476DF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主要供应商其他情况说明</w:t>
      </w:r>
    </w:p>
    <w:p w14:paraId="7C935A2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7767C4"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报告期内公司贸易业务收入占营业收入比例超过10%</w:t>
      </w:r>
    </w:p>
    <w:p w14:paraId="56EA7945"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62B986C" w14:textId="77777777" w:rsidR="00113A51" w:rsidRDefault="00766EC7">
      <w:pPr>
        <w:pStyle w:val="3"/>
        <w:spacing w:line="280" w:lineRule="exact"/>
        <w:jc w:val="left"/>
        <w:rPr>
          <w:rFonts w:ascii="宋体" w:hAnsi="宋体" w:cs="宋体"/>
          <w:b/>
          <w:bCs/>
        </w:rPr>
      </w:pPr>
      <w:bookmarkStart w:id="32" w:name="_Toc988916"/>
      <w:r>
        <w:rPr>
          <w:rFonts w:ascii="宋体" w:hAnsi="宋体" w:cs="宋体"/>
          <w:b/>
          <w:bCs/>
        </w:rPr>
        <w:t>3、费用</w:t>
      </w:r>
      <w:bookmarkEnd w:id="32"/>
    </w:p>
    <w:p w14:paraId="20846BF0" w14:textId="77777777" w:rsidR="00113A51" w:rsidRDefault="00766EC7">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7" w:type="dxa"/>
        <w:tblInd w:w="108" w:type="dxa"/>
        <w:tblLayout w:type="fixed"/>
        <w:tblLook w:val="04A0" w:firstRow="1" w:lastRow="0" w:firstColumn="1" w:lastColumn="0" w:noHBand="0" w:noVBand="1"/>
      </w:tblPr>
      <w:tblGrid>
        <w:gridCol w:w="1020"/>
        <w:gridCol w:w="1559"/>
        <w:gridCol w:w="1559"/>
        <w:gridCol w:w="992"/>
        <w:gridCol w:w="4507"/>
      </w:tblGrid>
      <w:tr w:rsidR="00C57E60" w14:paraId="38274954" w14:textId="77777777">
        <w:trPr>
          <w:trHeight w:val="240"/>
        </w:trPr>
        <w:tc>
          <w:tcPr>
            <w:tcW w:w="1020" w:type="dxa"/>
            <w:tcBorders>
              <w:top w:val="single" w:sz="2" w:space="0" w:color="auto"/>
              <w:left w:val="single" w:sz="2" w:space="0" w:color="auto"/>
              <w:bottom w:val="single" w:sz="2" w:space="0" w:color="auto"/>
              <w:right w:val="single" w:sz="2" w:space="0" w:color="auto"/>
            </w:tcBorders>
            <w:shd w:val="clear" w:color="auto" w:fill="D3D3D3"/>
            <w:vAlign w:val="center"/>
          </w:tcPr>
          <w:p w14:paraId="1674525D" w14:textId="77777777" w:rsidR="00113A51" w:rsidRDefault="00113A51">
            <w:pPr>
              <w:spacing w:line="360" w:lineRule="auto"/>
              <w:rPr>
                <w:rFonts w:ascii="Times New Roman" w:eastAsia="宋体" w:hAnsi="Times New Roman"/>
                <w:szCs w:val="18"/>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FC5046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6DC1F53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B874F9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同比增减</w:t>
            </w:r>
          </w:p>
        </w:tc>
        <w:tc>
          <w:tcPr>
            <w:tcW w:w="4507" w:type="dxa"/>
            <w:tcBorders>
              <w:top w:val="single" w:sz="2" w:space="0" w:color="auto"/>
              <w:left w:val="single" w:sz="2" w:space="0" w:color="auto"/>
              <w:bottom w:val="single" w:sz="2" w:space="0" w:color="auto"/>
              <w:right w:val="single" w:sz="2" w:space="0" w:color="auto"/>
            </w:tcBorders>
            <w:shd w:val="clear" w:color="auto" w:fill="D3D3D3"/>
            <w:vAlign w:val="center"/>
          </w:tcPr>
          <w:p w14:paraId="7090CE1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重大变动说明</w:t>
            </w:r>
          </w:p>
        </w:tc>
      </w:tr>
      <w:tr w:rsidR="00C57E60" w14:paraId="47C40098" w14:textId="77777777">
        <w:trPr>
          <w:trHeight w:val="240"/>
        </w:trPr>
        <w:tc>
          <w:tcPr>
            <w:tcW w:w="1020" w:type="dxa"/>
            <w:tcBorders>
              <w:top w:val="single" w:sz="2" w:space="0" w:color="auto"/>
              <w:left w:val="single" w:sz="2" w:space="0" w:color="auto"/>
              <w:bottom w:val="single" w:sz="2" w:space="0" w:color="auto"/>
              <w:right w:val="single" w:sz="2" w:space="0" w:color="auto"/>
            </w:tcBorders>
            <w:shd w:val="clear" w:color="auto" w:fill="D3D3D3"/>
            <w:vAlign w:val="center"/>
          </w:tcPr>
          <w:p w14:paraId="4186E686"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销售费用</w:t>
            </w:r>
          </w:p>
        </w:tc>
        <w:tc>
          <w:tcPr>
            <w:tcW w:w="1559" w:type="dxa"/>
            <w:tcBorders>
              <w:top w:val="single" w:sz="2" w:space="0" w:color="auto"/>
              <w:left w:val="single" w:sz="2" w:space="0" w:color="auto"/>
              <w:bottom w:val="single" w:sz="2" w:space="0" w:color="auto"/>
              <w:right w:val="single" w:sz="2" w:space="0" w:color="auto"/>
            </w:tcBorders>
            <w:vAlign w:val="center"/>
          </w:tcPr>
          <w:p w14:paraId="54E012D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1,258,301,474.99</w:t>
            </w:r>
          </w:p>
        </w:tc>
        <w:tc>
          <w:tcPr>
            <w:tcW w:w="1559" w:type="dxa"/>
            <w:tcBorders>
              <w:top w:val="single" w:sz="2" w:space="0" w:color="auto"/>
              <w:left w:val="single" w:sz="2" w:space="0" w:color="auto"/>
              <w:bottom w:val="single" w:sz="2" w:space="0" w:color="auto"/>
              <w:right w:val="single" w:sz="2" w:space="0" w:color="auto"/>
            </w:tcBorders>
            <w:vAlign w:val="center"/>
          </w:tcPr>
          <w:p w14:paraId="7FC8AAC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1,191,774,591.77</w:t>
            </w:r>
          </w:p>
        </w:tc>
        <w:tc>
          <w:tcPr>
            <w:tcW w:w="992" w:type="dxa"/>
            <w:tcBorders>
              <w:top w:val="single" w:sz="2" w:space="0" w:color="auto"/>
              <w:left w:val="single" w:sz="2" w:space="0" w:color="auto"/>
              <w:bottom w:val="single" w:sz="2" w:space="0" w:color="auto"/>
              <w:right w:val="single" w:sz="2" w:space="0" w:color="auto"/>
            </w:tcBorders>
            <w:vAlign w:val="center"/>
          </w:tcPr>
          <w:p w14:paraId="1279C1C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5.58%</w:t>
            </w:r>
          </w:p>
        </w:tc>
        <w:tc>
          <w:tcPr>
            <w:tcW w:w="4507" w:type="dxa"/>
            <w:tcBorders>
              <w:top w:val="single" w:sz="2" w:space="0" w:color="auto"/>
              <w:left w:val="single" w:sz="2" w:space="0" w:color="auto"/>
              <w:bottom w:val="single" w:sz="2" w:space="0" w:color="auto"/>
              <w:right w:val="single" w:sz="2" w:space="0" w:color="auto"/>
            </w:tcBorders>
            <w:vAlign w:val="center"/>
          </w:tcPr>
          <w:p w14:paraId="7D406E0B" w14:textId="77777777" w:rsidR="00113A51" w:rsidRDefault="00113A51">
            <w:pPr>
              <w:spacing w:line="360" w:lineRule="auto"/>
              <w:rPr>
                <w:rFonts w:ascii="Times New Roman" w:eastAsia="宋体" w:hAnsi="Times New Roman" w:cs="宋体"/>
                <w:sz w:val="18"/>
                <w:szCs w:val="18"/>
              </w:rPr>
            </w:pPr>
          </w:p>
        </w:tc>
      </w:tr>
      <w:tr w:rsidR="00C57E60" w14:paraId="4DDBCD58" w14:textId="77777777">
        <w:trPr>
          <w:trHeight w:val="240"/>
        </w:trPr>
        <w:tc>
          <w:tcPr>
            <w:tcW w:w="1020" w:type="dxa"/>
            <w:tcBorders>
              <w:top w:val="single" w:sz="2" w:space="0" w:color="auto"/>
              <w:left w:val="single" w:sz="2" w:space="0" w:color="auto"/>
              <w:bottom w:val="single" w:sz="2" w:space="0" w:color="auto"/>
              <w:right w:val="single" w:sz="2" w:space="0" w:color="auto"/>
            </w:tcBorders>
            <w:shd w:val="clear" w:color="auto" w:fill="D3D3D3"/>
            <w:vAlign w:val="center"/>
          </w:tcPr>
          <w:p w14:paraId="3A8B09C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管理费用</w:t>
            </w:r>
          </w:p>
        </w:tc>
        <w:tc>
          <w:tcPr>
            <w:tcW w:w="1559" w:type="dxa"/>
            <w:tcBorders>
              <w:top w:val="single" w:sz="2" w:space="0" w:color="auto"/>
              <w:left w:val="single" w:sz="2" w:space="0" w:color="auto"/>
              <w:bottom w:val="single" w:sz="2" w:space="0" w:color="auto"/>
              <w:right w:val="single" w:sz="2" w:space="0" w:color="auto"/>
            </w:tcBorders>
            <w:vAlign w:val="center"/>
          </w:tcPr>
          <w:p w14:paraId="573BA26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456,821,095.98</w:t>
            </w:r>
          </w:p>
        </w:tc>
        <w:tc>
          <w:tcPr>
            <w:tcW w:w="1559" w:type="dxa"/>
            <w:tcBorders>
              <w:top w:val="single" w:sz="2" w:space="0" w:color="auto"/>
              <w:left w:val="single" w:sz="2" w:space="0" w:color="auto"/>
              <w:bottom w:val="single" w:sz="2" w:space="0" w:color="auto"/>
              <w:right w:val="single" w:sz="2" w:space="0" w:color="auto"/>
            </w:tcBorders>
            <w:vAlign w:val="center"/>
          </w:tcPr>
          <w:p w14:paraId="5FC5E6E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405,530,062.59</w:t>
            </w:r>
          </w:p>
        </w:tc>
        <w:tc>
          <w:tcPr>
            <w:tcW w:w="992" w:type="dxa"/>
            <w:tcBorders>
              <w:top w:val="single" w:sz="2" w:space="0" w:color="auto"/>
              <w:left w:val="single" w:sz="2" w:space="0" w:color="auto"/>
              <w:bottom w:val="single" w:sz="2" w:space="0" w:color="auto"/>
              <w:right w:val="single" w:sz="2" w:space="0" w:color="auto"/>
            </w:tcBorders>
            <w:vAlign w:val="center"/>
          </w:tcPr>
          <w:p w14:paraId="2A94509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12.65%</w:t>
            </w:r>
          </w:p>
        </w:tc>
        <w:tc>
          <w:tcPr>
            <w:tcW w:w="4507" w:type="dxa"/>
            <w:tcBorders>
              <w:top w:val="single" w:sz="2" w:space="0" w:color="auto"/>
              <w:left w:val="single" w:sz="2" w:space="0" w:color="auto"/>
              <w:bottom w:val="single" w:sz="2" w:space="0" w:color="auto"/>
              <w:right w:val="single" w:sz="2" w:space="0" w:color="auto"/>
            </w:tcBorders>
            <w:vAlign w:val="center"/>
          </w:tcPr>
          <w:p w14:paraId="4CAE6CDD" w14:textId="45EC32E1" w:rsidR="00113A51" w:rsidRDefault="00113A51">
            <w:pPr>
              <w:spacing w:line="360" w:lineRule="auto"/>
              <w:rPr>
                <w:rFonts w:ascii="Times New Roman" w:eastAsia="宋体" w:hAnsi="Times New Roman" w:cs="宋体"/>
                <w:sz w:val="18"/>
                <w:szCs w:val="18"/>
              </w:rPr>
            </w:pPr>
          </w:p>
        </w:tc>
      </w:tr>
      <w:tr w:rsidR="00C57E60" w14:paraId="2DDDFA1C" w14:textId="77777777">
        <w:trPr>
          <w:trHeight w:val="240"/>
        </w:trPr>
        <w:tc>
          <w:tcPr>
            <w:tcW w:w="1020" w:type="dxa"/>
            <w:tcBorders>
              <w:top w:val="single" w:sz="2" w:space="0" w:color="auto"/>
              <w:left w:val="single" w:sz="2" w:space="0" w:color="auto"/>
              <w:bottom w:val="single" w:sz="2" w:space="0" w:color="auto"/>
              <w:right w:val="single" w:sz="2" w:space="0" w:color="auto"/>
            </w:tcBorders>
            <w:shd w:val="clear" w:color="auto" w:fill="D3D3D3"/>
            <w:vAlign w:val="center"/>
          </w:tcPr>
          <w:p w14:paraId="140161E8"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财务费用</w:t>
            </w:r>
          </w:p>
        </w:tc>
        <w:tc>
          <w:tcPr>
            <w:tcW w:w="1559" w:type="dxa"/>
            <w:tcBorders>
              <w:top w:val="single" w:sz="2" w:space="0" w:color="auto"/>
              <w:left w:val="single" w:sz="2" w:space="0" w:color="auto"/>
              <w:bottom w:val="single" w:sz="2" w:space="0" w:color="auto"/>
              <w:right w:val="single" w:sz="2" w:space="0" w:color="auto"/>
            </w:tcBorders>
            <w:vAlign w:val="center"/>
          </w:tcPr>
          <w:p w14:paraId="181171D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35,167,127.29</w:t>
            </w:r>
          </w:p>
        </w:tc>
        <w:tc>
          <w:tcPr>
            <w:tcW w:w="1559" w:type="dxa"/>
            <w:tcBorders>
              <w:top w:val="single" w:sz="2" w:space="0" w:color="auto"/>
              <w:left w:val="single" w:sz="2" w:space="0" w:color="auto"/>
              <w:bottom w:val="single" w:sz="2" w:space="0" w:color="auto"/>
              <w:right w:val="single" w:sz="2" w:space="0" w:color="auto"/>
            </w:tcBorders>
            <w:vAlign w:val="center"/>
          </w:tcPr>
          <w:p w14:paraId="121E15B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20,072,214.97</w:t>
            </w:r>
          </w:p>
        </w:tc>
        <w:tc>
          <w:tcPr>
            <w:tcW w:w="992" w:type="dxa"/>
            <w:tcBorders>
              <w:top w:val="single" w:sz="2" w:space="0" w:color="auto"/>
              <w:left w:val="single" w:sz="2" w:space="0" w:color="auto"/>
              <w:bottom w:val="single" w:sz="2" w:space="0" w:color="auto"/>
              <w:right w:val="single" w:sz="2" w:space="0" w:color="auto"/>
            </w:tcBorders>
            <w:vAlign w:val="center"/>
          </w:tcPr>
          <w:p w14:paraId="06D782B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75.20%</w:t>
            </w:r>
          </w:p>
        </w:tc>
        <w:tc>
          <w:tcPr>
            <w:tcW w:w="4507" w:type="dxa"/>
            <w:tcBorders>
              <w:top w:val="single" w:sz="2" w:space="0" w:color="auto"/>
              <w:left w:val="single" w:sz="2" w:space="0" w:color="auto"/>
              <w:bottom w:val="single" w:sz="2" w:space="0" w:color="auto"/>
              <w:right w:val="single" w:sz="2" w:space="0" w:color="auto"/>
            </w:tcBorders>
            <w:vAlign w:val="center"/>
          </w:tcPr>
          <w:p w14:paraId="0453957C" w14:textId="13CFAA33"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主要系子公司</w:t>
            </w:r>
            <w:r w:rsidR="000F6214" w:rsidRPr="000F6214">
              <w:rPr>
                <w:rFonts w:ascii="Times New Roman" w:eastAsia="宋体" w:hAnsi="Times New Roman" w:cs="宋体"/>
                <w:sz w:val="18"/>
                <w:szCs w:val="18"/>
              </w:rPr>
              <w:t>Trividia</w:t>
            </w:r>
            <w:r>
              <w:rPr>
                <w:rFonts w:ascii="Times New Roman" w:eastAsia="宋体" w:hAnsi="Times New Roman" w:cs="宋体"/>
                <w:sz w:val="18"/>
                <w:szCs w:val="18"/>
              </w:rPr>
              <w:t>汇率变动影响</w:t>
            </w:r>
            <w:r w:rsidR="003D693E">
              <w:rPr>
                <w:rFonts w:ascii="Times New Roman" w:eastAsia="宋体" w:hAnsi="Times New Roman" w:cs="宋体" w:hint="eastAsia"/>
                <w:sz w:val="18"/>
                <w:szCs w:val="18"/>
              </w:rPr>
              <w:t>汇兑损益</w:t>
            </w:r>
            <w:r>
              <w:rPr>
                <w:rFonts w:ascii="Times New Roman" w:eastAsia="宋体" w:hAnsi="Times New Roman" w:cs="宋体"/>
                <w:sz w:val="18"/>
                <w:szCs w:val="18"/>
              </w:rPr>
              <w:t>所致</w:t>
            </w:r>
          </w:p>
        </w:tc>
      </w:tr>
      <w:tr w:rsidR="00C57E60" w14:paraId="635AA554" w14:textId="77777777">
        <w:trPr>
          <w:trHeight w:val="240"/>
        </w:trPr>
        <w:tc>
          <w:tcPr>
            <w:tcW w:w="1020" w:type="dxa"/>
            <w:tcBorders>
              <w:top w:val="single" w:sz="2" w:space="0" w:color="auto"/>
              <w:left w:val="single" w:sz="2" w:space="0" w:color="auto"/>
              <w:bottom w:val="single" w:sz="2" w:space="0" w:color="auto"/>
              <w:right w:val="single" w:sz="2" w:space="0" w:color="auto"/>
            </w:tcBorders>
            <w:shd w:val="clear" w:color="auto" w:fill="D3D3D3"/>
            <w:vAlign w:val="center"/>
          </w:tcPr>
          <w:p w14:paraId="31BE51BA"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研发费用</w:t>
            </w:r>
          </w:p>
        </w:tc>
        <w:tc>
          <w:tcPr>
            <w:tcW w:w="1559" w:type="dxa"/>
            <w:tcBorders>
              <w:top w:val="single" w:sz="2" w:space="0" w:color="auto"/>
              <w:left w:val="single" w:sz="2" w:space="0" w:color="auto"/>
              <w:bottom w:val="single" w:sz="2" w:space="0" w:color="auto"/>
              <w:right w:val="single" w:sz="2" w:space="0" w:color="auto"/>
            </w:tcBorders>
            <w:vAlign w:val="center"/>
          </w:tcPr>
          <w:p w14:paraId="0C3ADDB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274,631,109.46</w:t>
            </w:r>
          </w:p>
        </w:tc>
        <w:tc>
          <w:tcPr>
            <w:tcW w:w="1559" w:type="dxa"/>
            <w:tcBorders>
              <w:top w:val="single" w:sz="2" w:space="0" w:color="auto"/>
              <w:left w:val="single" w:sz="2" w:space="0" w:color="auto"/>
              <w:bottom w:val="single" w:sz="2" w:space="0" w:color="auto"/>
              <w:right w:val="single" w:sz="2" w:space="0" w:color="auto"/>
            </w:tcBorders>
            <w:vAlign w:val="center"/>
          </w:tcPr>
          <w:p w14:paraId="47DA2E9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374,997,672.43</w:t>
            </w:r>
          </w:p>
        </w:tc>
        <w:tc>
          <w:tcPr>
            <w:tcW w:w="992" w:type="dxa"/>
            <w:tcBorders>
              <w:top w:val="single" w:sz="2" w:space="0" w:color="auto"/>
              <w:left w:val="single" w:sz="2" w:space="0" w:color="auto"/>
              <w:bottom w:val="single" w:sz="2" w:space="0" w:color="auto"/>
              <w:right w:val="single" w:sz="2" w:space="0" w:color="auto"/>
            </w:tcBorders>
            <w:vAlign w:val="center"/>
          </w:tcPr>
          <w:p w14:paraId="51E630C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-26.76%</w:t>
            </w:r>
          </w:p>
        </w:tc>
        <w:tc>
          <w:tcPr>
            <w:tcW w:w="4507" w:type="dxa"/>
            <w:tcBorders>
              <w:top w:val="single" w:sz="2" w:space="0" w:color="auto"/>
              <w:left w:val="single" w:sz="2" w:space="0" w:color="auto"/>
              <w:bottom w:val="single" w:sz="2" w:space="0" w:color="auto"/>
              <w:right w:val="single" w:sz="2" w:space="0" w:color="auto"/>
            </w:tcBorders>
            <w:vAlign w:val="center"/>
          </w:tcPr>
          <w:p w14:paraId="1339313E" w14:textId="2B556F66" w:rsidR="00113A51" w:rsidRDefault="00113A51">
            <w:pPr>
              <w:spacing w:line="360" w:lineRule="auto"/>
              <w:rPr>
                <w:rFonts w:ascii="Times New Roman" w:eastAsia="宋体" w:hAnsi="Times New Roman" w:cs="宋体"/>
                <w:sz w:val="18"/>
                <w:szCs w:val="18"/>
              </w:rPr>
            </w:pPr>
          </w:p>
        </w:tc>
      </w:tr>
    </w:tbl>
    <w:p w14:paraId="2737F829" w14:textId="77777777" w:rsidR="00113A51" w:rsidRDefault="00766EC7">
      <w:pPr>
        <w:pStyle w:val="3"/>
        <w:spacing w:line="280" w:lineRule="exact"/>
        <w:jc w:val="left"/>
        <w:rPr>
          <w:rFonts w:ascii="宋体" w:hAnsi="宋体" w:cs="宋体"/>
          <w:b/>
          <w:bCs/>
        </w:rPr>
      </w:pPr>
      <w:bookmarkStart w:id="33" w:name="_Toc988917"/>
      <w:r>
        <w:rPr>
          <w:rFonts w:ascii="宋体" w:hAnsi="宋体" w:cs="宋体"/>
          <w:b/>
          <w:bCs/>
        </w:rPr>
        <w:t>4、研发投入</w:t>
      </w:r>
      <w:bookmarkEnd w:id="33"/>
    </w:p>
    <w:p w14:paraId="585EC3DE"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8" w:type="dxa"/>
        <w:tblInd w:w="108" w:type="dxa"/>
        <w:tblLayout w:type="fixed"/>
        <w:tblCellMar>
          <w:left w:w="28" w:type="dxa"/>
          <w:right w:w="28" w:type="dxa"/>
        </w:tblCellMar>
        <w:tblLook w:val="04A0" w:firstRow="1" w:lastRow="0" w:firstColumn="1" w:lastColumn="0" w:noHBand="0" w:noVBand="1"/>
      </w:tblPr>
      <w:tblGrid>
        <w:gridCol w:w="1621"/>
        <w:gridCol w:w="2410"/>
        <w:gridCol w:w="1134"/>
        <w:gridCol w:w="1276"/>
        <w:gridCol w:w="3197"/>
      </w:tblGrid>
      <w:tr w:rsidR="00C57E60" w14:paraId="45B2122D"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shd w:val="clear" w:color="auto" w:fill="D3D3D3"/>
            <w:vAlign w:val="center"/>
          </w:tcPr>
          <w:p w14:paraId="5F19B990" w14:textId="77777777" w:rsidR="00113A51" w:rsidRDefault="00766EC7" w:rsidP="00DC359B">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主要研发项目名称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9F86F8A" w14:textId="77777777" w:rsidR="00113A51" w:rsidRDefault="00766EC7" w:rsidP="00DC359B">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项目目的</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A3875A2" w14:textId="77777777" w:rsidR="00113A51" w:rsidRDefault="00766EC7" w:rsidP="00DC359B">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项目进展</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6E8A346B" w14:textId="77777777" w:rsidR="00113A51" w:rsidRDefault="00766EC7" w:rsidP="00DC359B">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拟达到的目标</w:t>
            </w:r>
          </w:p>
        </w:tc>
        <w:tc>
          <w:tcPr>
            <w:tcW w:w="3197" w:type="dxa"/>
            <w:tcBorders>
              <w:top w:val="single" w:sz="2" w:space="0" w:color="auto"/>
              <w:left w:val="single" w:sz="2" w:space="0" w:color="auto"/>
              <w:bottom w:val="single" w:sz="2" w:space="0" w:color="auto"/>
              <w:right w:val="single" w:sz="2" w:space="0" w:color="auto"/>
            </w:tcBorders>
            <w:shd w:val="clear" w:color="auto" w:fill="D3D3D3"/>
            <w:vAlign w:val="center"/>
          </w:tcPr>
          <w:p w14:paraId="4EAB208F" w14:textId="77777777" w:rsidR="00113A51" w:rsidRDefault="00766EC7" w:rsidP="00DC359B">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预计对公司未来发展的影响</w:t>
            </w:r>
          </w:p>
        </w:tc>
      </w:tr>
      <w:tr w:rsidR="00C57E60" w14:paraId="7694ABD9"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369D5BD1"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已有血糖仪器技术升级</w:t>
            </w:r>
          </w:p>
        </w:tc>
        <w:tc>
          <w:tcPr>
            <w:tcW w:w="2410" w:type="dxa"/>
            <w:tcBorders>
              <w:top w:val="single" w:sz="2" w:space="0" w:color="auto"/>
              <w:left w:val="single" w:sz="2" w:space="0" w:color="auto"/>
              <w:bottom w:val="single" w:sz="2" w:space="0" w:color="auto"/>
              <w:right w:val="single" w:sz="2" w:space="0" w:color="auto"/>
            </w:tcBorders>
            <w:vAlign w:val="center"/>
          </w:tcPr>
          <w:p w14:paraId="210244C8"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产品迭代升级，满足市场需求</w:t>
            </w:r>
          </w:p>
        </w:tc>
        <w:tc>
          <w:tcPr>
            <w:tcW w:w="1134" w:type="dxa"/>
            <w:tcBorders>
              <w:top w:val="single" w:sz="2" w:space="0" w:color="auto"/>
              <w:left w:val="single" w:sz="2" w:space="0" w:color="auto"/>
              <w:bottom w:val="single" w:sz="2" w:space="0" w:color="auto"/>
              <w:right w:val="single" w:sz="2" w:space="0" w:color="auto"/>
            </w:tcBorders>
            <w:vAlign w:val="center"/>
          </w:tcPr>
          <w:p w14:paraId="049FFCA3"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4124433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69F24A22"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r>
      <w:tr w:rsidR="00C57E60" w14:paraId="2FA7AF80"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5D3ADE73"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已有尿酸仪器技术升级</w:t>
            </w:r>
          </w:p>
        </w:tc>
        <w:tc>
          <w:tcPr>
            <w:tcW w:w="2410" w:type="dxa"/>
            <w:tcBorders>
              <w:top w:val="single" w:sz="2" w:space="0" w:color="auto"/>
              <w:left w:val="single" w:sz="2" w:space="0" w:color="auto"/>
              <w:bottom w:val="single" w:sz="2" w:space="0" w:color="auto"/>
              <w:right w:val="single" w:sz="2" w:space="0" w:color="auto"/>
            </w:tcBorders>
            <w:vAlign w:val="center"/>
          </w:tcPr>
          <w:p w14:paraId="0490D09A"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产品迭代升级，满足市场需求</w:t>
            </w:r>
          </w:p>
        </w:tc>
        <w:tc>
          <w:tcPr>
            <w:tcW w:w="1134" w:type="dxa"/>
            <w:tcBorders>
              <w:top w:val="single" w:sz="2" w:space="0" w:color="auto"/>
              <w:left w:val="single" w:sz="2" w:space="0" w:color="auto"/>
              <w:bottom w:val="single" w:sz="2" w:space="0" w:color="auto"/>
              <w:right w:val="single" w:sz="2" w:space="0" w:color="auto"/>
            </w:tcBorders>
            <w:vAlign w:val="center"/>
          </w:tcPr>
          <w:p w14:paraId="309513BA"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已拿证</w:t>
            </w:r>
          </w:p>
        </w:tc>
        <w:tc>
          <w:tcPr>
            <w:tcW w:w="1276" w:type="dxa"/>
            <w:tcBorders>
              <w:top w:val="single" w:sz="2" w:space="0" w:color="auto"/>
              <w:left w:val="single" w:sz="2" w:space="0" w:color="auto"/>
              <w:bottom w:val="single" w:sz="2" w:space="0" w:color="auto"/>
              <w:right w:val="single" w:sz="2" w:space="0" w:color="auto"/>
            </w:tcBorders>
            <w:vAlign w:val="center"/>
          </w:tcPr>
          <w:p w14:paraId="09F00DB3"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06E039C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r>
      <w:tr w:rsidR="00C57E60" w14:paraId="7AA379FF"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0B2294CF"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已有血糖尿酸产品技术升级</w:t>
            </w:r>
          </w:p>
        </w:tc>
        <w:tc>
          <w:tcPr>
            <w:tcW w:w="2410" w:type="dxa"/>
            <w:tcBorders>
              <w:top w:val="single" w:sz="2" w:space="0" w:color="auto"/>
              <w:left w:val="single" w:sz="2" w:space="0" w:color="auto"/>
              <w:bottom w:val="single" w:sz="2" w:space="0" w:color="auto"/>
              <w:right w:val="single" w:sz="2" w:space="0" w:color="auto"/>
            </w:tcBorders>
            <w:vAlign w:val="center"/>
          </w:tcPr>
          <w:p w14:paraId="6F28600C"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提升产品市场竞争力，及丰富产品试用场景</w:t>
            </w:r>
          </w:p>
        </w:tc>
        <w:tc>
          <w:tcPr>
            <w:tcW w:w="1134" w:type="dxa"/>
            <w:tcBorders>
              <w:top w:val="single" w:sz="2" w:space="0" w:color="auto"/>
              <w:left w:val="single" w:sz="2" w:space="0" w:color="auto"/>
              <w:bottom w:val="single" w:sz="2" w:space="0" w:color="auto"/>
              <w:right w:val="single" w:sz="2" w:space="0" w:color="auto"/>
            </w:tcBorders>
            <w:vAlign w:val="center"/>
          </w:tcPr>
          <w:p w14:paraId="55258C42"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1D10E796"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18ADD295"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提升产品市场竞争力，及丰富产品试用场景</w:t>
            </w:r>
          </w:p>
        </w:tc>
      </w:tr>
      <w:tr w:rsidR="00C57E60" w14:paraId="5655A17A"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16880D73"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肌酐测试系统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63F67DFC"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64C8DCC6"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237C725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59962029"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r>
      <w:tr w:rsidR="00C57E60" w14:paraId="377217F1"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7F63472F"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血糖尿酸总胆固醇测试系统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62BFF53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26DB2CA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17B7A818"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56FDCE75"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r>
      <w:tr w:rsidR="00C57E60" w14:paraId="2D74D41F"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0157B550"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新一代血糖产品升级</w:t>
            </w:r>
          </w:p>
        </w:tc>
        <w:tc>
          <w:tcPr>
            <w:tcW w:w="2410" w:type="dxa"/>
            <w:tcBorders>
              <w:top w:val="single" w:sz="2" w:space="0" w:color="auto"/>
              <w:left w:val="single" w:sz="2" w:space="0" w:color="auto"/>
              <w:bottom w:val="single" w:sz="2" w:space="0" w:color="auto"/>
              <w:right w:val="single" w:sz="2" w:space="0" w:color="auto"/>
            </w:tcBorders>
            <w:vAlign w:val="center"/>
          </w:tcPr>
          <w:p w14:paraId="73644C53"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产品迭代升级，满足市场需求</w:t>
            </w:r>
          </w:p>
        </w:tc>
        <w:tc>
          <w:tcPr>
            <w:tcW w:w="1134" w:type="dxa"/>
            <w:tcBorders>
              <w:top w:val="single" w:sz="2" w:space="0" w:color="auto"/>
              <w:left w:val="single" w:sz="2" w:space="0" w:color="auto"/>
              <w:bottom w:val="single" w:sz="2" w:space="0" w:color="auto"/>
              <w:right w:val="single" w:sz="2" w:space="0" w:color="auto"/>
            </w:tcBorders>
            <w:vAlign w:val="center"/>
          </w:tcPr>
          <w:p w14:paraId="61059FD7"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4986783B"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56713915"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提升产品市场竞争力，及丰富产品试用场景</w:t>
            </w:r>
          </w:p>
        </w:tc>
      </w:tr>
      <w:tr w:rsidR="00C57E60" w14:paraId="252B5DA3"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0AE53AC9"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新一代院内产品测试系统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54153D5B"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1511DE34"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7FEBDDBB"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22665A6C"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r>
      <w:tr w:rsidR="00C57E60" w14:paraId="152C4285"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63109387"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新一代血糖尿酸二合一测试系统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13F8C1A9"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0A7BD7F8"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仪器已拿证，试条等证中</w:t>
            </w:r>
          </w:p>
        </w:tc>
        <w:tc>
          <w:tcPr>
            <w:tcW w:w="1276" w:type="dxa"/>
            <w:tcBorders>
              <w:top w:val="single" w:sz="2" w:space="0" w:color="auto"/>
              <w:left w:val="single" w:sz="2" w:space="0" w:color="auto"/>
              <w:bottom w:val="single" w:sz="2" w:space="0" w:color="auto"/>
              <w:right w:val="single" w:sz="2" w:space="0" w:color="auto"/>
            </w:tcBorders>
            <w:vAlign w:val="center"/>
          </w:tcPr>
          <w:p w14:paraId="722FA2C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6E9FDFB3"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r>
      <w:tr w:rsidR="00C57E60" w14:paraId="5AE3AFB5"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03EB6FA2"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多指标测试系统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38C80AB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1AA6502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研发中</w:t>
            </w:r>
          </w:p>
        </w:tc>
        <w:tc>
          <w:tcPr>
            <w:tcW w:w="1276" w:type="dxa"/>
            <w:tcBorders>
              <w:top w:val="single" w:sz="2" w:space="0" w:color="auto"/>
              <w:left w:val="single" w:sz="2" w:space="0" w:color="auto"/>
              <w:bottom w:val="single" w:sz="2" w:space="0" w:color="auto"/>
              <w:right w:val="single" w:sz="2" w:space="0" w:color="auto"/>
            </w:tcBorders>
            <w:vAlign w:val="center"/>
          </w:tcPr>
          <w:p w14:paraId="40B802A7"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6D03C88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r>
      <w:tr w:rsidR="00C57E60" w14:paraId="6E656B94"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5C5E4438"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血糖血酮测试系统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7DE825BB"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45660216"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研发中</w:t>
            </w:r>
          </w:p>
        </w:tc>
        <w:tc>
          <w:tcPr>
            <w:tcW w:w="1276" w:type="dxa"/>
            <w:tcBorders>
              <w:top w:val="single" w:sz="2" w:space="0" w:color="auto"/>
              <w:left w:val="single" w:sz="2" w:space="0" w:color="auto"/>
              <w:bottom w:val="single" w:sz="2" w:space="0" w:color="auto"/>
              <w:right w:val="single" w:sz="2" w:space="0" w:color="auto"/>
            </w:tcBorders>
            <w:vAlign w:val="center"/>
          </w:tcPr>
          <w:p w14:paraId="715D44F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530244BA"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r>
      <w:tr w:rsidR="00C57E60" w14:paraId="0E0308FD"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276B3E30"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新一代血脂仪器产品</w:t>
            </w:r>
          </w:p>
        </w:tc>
        <w:tc>
          <w:tcPr>
            <w:tcW w:w="2410" w:type="dxa"/>
            <w:tcBorders>
              <w:top w:val="single" w:sz="2" w:space="0" w:color="auto"/>
              <w:left w:val="single" w:sz="2" w:space="0" w:color="auto"/>
              <w:bottom w:val="single" w:sz="2" w:space="0" w:color="auto"/>
              <w:right w:val="single" w:sz="2" w:space="0" w:color="auto"/>
            </w:tcBorders>
            <w:vAlign w:val="center"/>
          </w:tcPr>
          <w:p w14:paraId="404A4C34"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6231290F"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研发中</w:t>
            </w:r>
          </w:p>
        </w:tc>
        <w:tc>
          <w:tcPr>
            <w:tcW w:w="1276" w:type="dxa"/>
            <w:tcBorders>
              <w:top w:val="single" w:sz="2" w:space="0" w:color="auto"/>
              <w:left w:val="single" w:sz="2" w:space="0" w:color="auto"/>
              <w:bottom w:val="single" w:sz="2" w:space="0" w:color="auto"/>
              <w:right w:val="single" w:sz="2" w:space="0" w:color="auto"/>
            </w:tcBorders>
            <w:vAlign w:val="center"/>
          </w:tcPr>
          <w:p w14:paraId="2FC9D3EB"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0899C5EC"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r>
      <w:tr w:rsidR="00C57E60" w14:paraId="35079949"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0D478F50"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已有血脂试条性能提升</w:t>
            </w:r>
          </w:p>
        </w:tc>
        <w:tc>
          <w:tcPr>
            <w:tcW w:w="2410" w:type="dxa"/>
            <w:tcBorders>
              <w:top w:val="single" w:sz="2" w:space="0" w:color="auto"/>
              <w:left w:val="single" w:sz="2" w:space="0" w:color="auto"/>
              <w:bottom w:val="single" w:sz="2" w:space="0" w:color="auto"/>
              <w:right w:val="single" w:sz="2" w:space="0" w:color="auto"/>
            </w:tcBorders>
            <w:vAlign w:val="center"/>
          </w:tcPr>
          <w:p w14:paraId="10E2F01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产品迭代升级，满足市场需求</w:t>
            </w:r>
          </w:p>
        </w:tc>
        <w:tc>
          <w:tcPr>
            <w:tcW w:w="1134" w:type="dxa"/>
            <w:tcBorders>
              <w:top w:val="single" w:sz="2" w:space="0" w:color="auto"/>
              <w:left w:val="single" w:sz="2" w:space="0" w:color="auto"/>
              <w:bottom w:val="single" w:sz="2" w:space="0" w:color="auto"/>
              <w:right w:val="single" w:sz="2" w:space="0" w:color="auto"/>
            </w:tcBorders>
            <w:vAlign w:val="center"/>
          </w:tcPr>
          <w:p w14:paraId="07898CE3"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4E07065B"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72BB1EC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提升产品性能，及产品市场竞争力</w:t>
            </w:r>
          </w:p>
        </w:tc>
      </w:tr>
      <w:tr w:rsidR="00C57E60" w14:paraId="5DEC9D85"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13EFE26C"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iCARE</w:t>
            </w:r>
            <w:r>
              <w:rPr>
                <w:rFonts w:ascii="Times New Roman" w:eastAsia="宋体" w:hAnsi="Times New Roman" w:cs="宋体"/>
                <w:sz w:val="18"/>
                <w:szCs w:val="18"/>
              </w:rPr>
              <w:t>血常规检测系统</w:t>
            </w:r>
          </w:p>
        </w:tc>
        <w:tc>
          <w:tcPr>
            <w:tcW w:w="2410" w:type="dxa"/>
            <w:tcBorders>
              <w:top w:val="single" w:sz="2" w:space="0" w:color="auto"/>
              <w:left w:val="single" w:sz="2" w:space="0" w:color="auto"/>
              <w:bottom w:val="single" w:sz="2" w:space="0" w:color="auto"/>
              <w:right w:val="single" w:sz="2" w:space="0" w:color="auto"/>
            </w:tcBorders>
            <w:vAlign w:val="center"/>
          </w:tcPr>
          <w:p w14:paraId="033B885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丰富公司产品线，提升产品市场竞争力</w:t>
            </w:r>
          </w:p>
        </w:tc>
        <w:tc>
          <w:tcPr>
            <w:tcW w:w="1134" w:type="dxa"/>
            <w:tcBorders>
              <w:top w:val="single" w:sz="2" w:space="0" w:color="auto"/>
              <w:left w:val="single" w:sz="2" w:space="0" w:color="auto"/>
              <w:bottom w:val="single" w:sz="2" w:space="0" w:color="auto"/>
              <w:right w:val="single" w:sz="2" w:space="0" w:color="auto"/>
            </w:tcBorders>
            <w:vAlign w:val="center"/>
          </w:tcPr>
          <w:p w14:paraId="6E057008"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3F272A8F"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00A5893D"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实现检测指标全覆盖，提升产品竞争力</w:t>
            </w:r>
          </w:p>
        </w:tc>
      </w:tr>
      <w:tr w:rsidR="00C57E60" w14:paraId="65E5B6FE"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769FA1FE"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iCARE</w:t>
            </w:r>
            <w:r>
              <w:rPr>
                <w:rFonts w:ascii="Times New Roman" w:eastAsia="宋体" w:hAnsi="Times New Roman" w:cs="宋体"/>
                <w:sz w:val="18"/>
                <w:szCs w:val="18"/>
              </w:rPr>
              <w:t>产品技术升级</w:t>
            </w:r>
          </w:p>
        </w:tc>
        <w:tc>
          <w:tcPr>
            <w:tcW w:w="2410" w:type="dxa"/>
            <w:tcBorders>
              <w:top w:val="single" w:sz="2" w:space="0" w:color="auto"/>
              <w:left w:val="single" w:sz="2" w:space="0" w:color="auto"/>
              <w:bottom w:val="single" w:sz="2" w:space="0" w:color="auto"/>
              <w:right w:val="single" w:sz="2" w:space="0" w:color="auto"/>
            </w:tcBorders>
            <w:vAlign w:val="center"/>
          </w:tcPr>
          <w:p w14:paraId="407A6FEE"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产品迭代升级，满足市场需求</w:t>
            </w:r>
          </w:p>
        </w:tc>
        <w:tc>
          <w:tcPr>
            <w:tcW w:w="1134" w:type="dxa"/>
            <w:tcBorders>
              <w:top w:val="single" w:sz="2" w:space="0" w:color="auto"/>
              <w:left w:val="single" w:sz="2" w:space="0" w:color="auto"/>
              <w:bottom w:val="single" w:sz="2" w:space="0" w:color="auto"/>
              <w:right w:val="single" w:sz="2" w:space="0" w:color="auto"/>
            </w:tcBorders>
            <w:vAlign w:val="center"/>
          </w:tcPr>
          <w:p w14:paraId="3A38F52A"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0868F796"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上市销售</w:t>
            </w:r>
          </w:p>
        </w:tc>
        <w:tc>
          <w:tcPr>
            <w:tcW w:w="3197" w:type="dxa"/>
            <w:tcBorders>
              <w:top w:val="single" w:sz="2" w:space="0" w:color="auto"/>
              <w:left w:val="single" w:sz="2" w:space="0" w:color="auto"/>
              <w:bottom w:val="single" w:sz="2" w:space="0" w:color="auto"/>
              <w:right w:val="single" w:sz="2" w:space="0" w:color="auto"/>
            </w:tcBorders>
            <w:vAlign w:val="center"/>
          </w:tcPr>
          <w:p w14:paraId="453454D8"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提升产品性能，及市场竞争力，</w:t>
            </w:r>
          </w:p>
        </w:tc>
      </w:tr>
      <w:tr w:rsidR="00C57E60" w14:paraId="72CE9B1D"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2065FE1E"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持续葡萄糖监测系统（</w:t>
            </w:r>
            <w:r>
              <w:rPr>
                <w:rFonts w:ascii="Times New Roman" w:eastAsia="宋体" w:hAnsi="Times New Roman" w:cs="宋体"/>
                <w:sz w:val="18"/>
                <w:szCs w:val="18"/>
              </w:rPr>
              <w:t>3</w:t>
            </w:r>
            <w:r>
              <w:rPr>
                <w:rFonts w:ascii="Times New Roman" w:eastAsia="宋体" w:hAnsi="Times New Roman" w:cs="宋体"/>
                <w:sz w:val="18"/>
                <w:szCs w:val="18"/>
              </w:rPr>
              <w:t>系列）</w:t>
            </w:r>
          </w:p>
        </w:tc>
        <w:tc>
          <w:tcPr>
            <w:tcW w:w="2410" w:type="dxa"/>
            <w:tcBorders>
              <w:top w:val="single" w:sz="2" w:space="0" w:color="auto"/>
              <w:left w:val="single" w:sz="2" w:space="0" w:color="auto"/>
              <w:bottom w:val="single" w:sz="2" w:space="0" w:color="auto"/>
              <w:right w:val="single" w:sz="2" w:space="0" w:color="auto"/>
            </w:tcBorders>
            <w:vAlign w:val="center"/>
          </w:tcPr>
          <w:p w14:paraId="76F22CB5"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推出新的产品</w:t>
            </w:r>
          </w:p>
        </w:tc>
        <w:tc>
          <w:tcPr>
            <w:tcW w:w="1134" w:type="dxa"/>
            <w:tcBorders>
              <w:top w:val="single" w:sz="2" w:space="0" w:color="auto"/>
              <w:left w:val="single" w:sz="2" w:space="0" w:color="auto"/>
              <w:bottom w:val="single" w:sz="2" w:space="0" w:color="auto"/>
              <w:right w:val="single" w:sz="2" w:space="0" w:color="auto"/>
            </w:tcBorders>
            <w:vAlign w:val="center"/>
          </w:tcPr>
          <w:p w14:paraId="522542A0"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已上市</w:t>
            </w:r>
          </w:p>
        </w:tc>
        <w:tc>
          <w:tcPr>
            <w:tcW w:w="1276" w:type="dxa"/>
            <w:tcBorders>
              <w:top w:val="single" w:sz="2" w:space="0" w:color="auto"/>
              <w:left w:val="single" w:sz="2" w:space="0" w:color="auto"/>
              <w:bottom w:val="single" w:sz="2" w:space="0" w:color="auto"/>
              <w:right w:val="single" w:sz="2" w:space="0" w:color="auto"/>
            </w:tcBorders>
            <w:vAlign w:val="center"/>
          </w:tcPr>
          <w:p w14:paraId="1DDFCCAC"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开发出行业领先的持续葡萄糖监测系统及配套组件，实现对人体葡萄糖水平的实时、精准、连续监测。</w:t>
            </w:r>
          </w:p>
        </w:tc>
        <w:tc>
          <w:tcPr>
            <w:tcW w:w="3197" w:type="dxa"/>
            <w:tcBorders>
              <w:top w:val="single" w:sz="2" w:space="0" w:color="auto"/>
              <w:left w:val="single" w:sz="2" w:space="0" w:color="auto"/>
              <w:bottom w:val="single" w:sz="2" w:space="0" w:color="auto"/>
              <w:right w:val="single" w:sz="2" w:space="0" w:color="auto"/>
            </w:tcBorders>
            <w:vAlign w:val="center"/>
          </w:tcPr>
          <w:p w14:paraId="1FFD9BF9"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提升性能，扩展功能，丰富血糖产品类别，提升产品竞争力，并符合中国、欧盟等国际标准。</w:t>
            </w:r>
          </w:p>
        </w:tc>
      </w:tr>
      <w:tr w:rsidR="00C57E60" w14:paraId="50BA829F" w14:textId="77777777" w:rsidTr="00DC359B">
        <w:trPr>
          <w:cantSplit/>
          <w:trHeight w:val="240"/>
          <w:tblHeader/>
        </w:trPr>
        <w:tc>
          <w:tcPr>
            <w:tcW w:w="1621" w:type="dxa"/>
            <w:tcBorders>
              <w:top w:val="single" w:sz="2" w:space="0" w:color="auto"/>
              <w:left w:val="single" w:sz="2" w:space="0" w:color="auto"/>
              <w:bottom w:val="single" w:sz="2" w:space="0" w:color="auto"/>
              <w:right w:val="single" w:sz="2" w:space="0" w:color="auto"/>
            </w:tcBorders>
            <w:vAlign w:val="center"/>
          </w:tcPr>
          <w:p w14:paraId="3C14F4BC" w14:textId="77777777" w:rsidR="00113A51" w:rsidRDefault="00766EC7" w:rsidP="00DC359B">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持续葡萄糖监测系统（</w:t>
            </w:r>
            <w:r>
              <w:rPr>
                <w:rFonts w:ascii="Times New Roman" w:eastAsia="宋体" w:hAnsi="Times New Roman" w:cs="宋体"/>
                <w:sz w:val="18"/>
                <w:szCs w:val="18"/>
              </w:rPr>
              <w:t>6/7</w:t>
            </w:r>
            <w:r>
              <w:rPr>
                <w:rFonts w:ascii="Times New Roman" w:eastAsia="宋体" w:hAnsi="Times New Roman" w:cs="宋体"/>
                <w:sz w:val="18"/>
                <w:szCs w:val="18"/>
              </w:rPr>
              <w:t>系列）</w:t>
            </w:r>
          </w:p>
        </w:tc>
        <w:tc>
          <w:tcPr>
            <w:tcW w:w="2410" w:type="dxa"/>
            <w:tcBorders>
              <w:top w:val="single" w:sz="2" w:space="0" w:color="auto"/>
              <w:left w:val="single" w:sz="2" w:space="0" w:color="auto"/>
              <w:bottom w:val="single" w:sz="2" w:space="0" w:color="auto"/>
              <w:right w:val="single" w:sz="2" w:space="0" w:color="auto"/>
            </w:tcBorders>
            <w:vAlign w:val="center"/>
          </w:tcPr>
          <w:p w14:paraId="09501F37"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产品更新换代</w:t>
            </w:r>
          </w:p>
        </w:tc>
        <w:tc>
          <w:tcPr>
            <w:tcW w:w="1134" w:type="dxa"/>
            <w:tcBorders>
              <w:top w:val="single" w:sz="2" w:space="0" w:color="auto"/>
              <w:left w:val="single" w:sz="2" w:space="0" w:color="auto"/>
              <w:bottom w:val="single" w:sz="2" w:space="0" w:color="auto"/>
              <w:right w:val="single" w:sz="2" w:space="0" w:color="auto"/>
            </w:tcBorders>
            <w:vAlign w:val="center"/>
          </w:tcPr>
          <w:p w14:paraId="1AAA779F"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部分上市</w:t>
            </w:r>
          </w:p>
        </w:tc>
        <w:tc>
          <w:tcPr>
            <w:tcW w:w="1276" w:type="dxa"/>
            <w:tcBorders>
              <w:top w:val="single" w:sz="2" w:space="0" w:color="auto"/>
              <w:left w:val="single" w:sz="2" w:space="0" w:color="auto"/>
              <w:bottom w:val="single" w:sz="2" w:space="0" w:color="auto"/>
              <w:right w:val="single" w:sz="2" w:space="0" w:color="auto"/>
            </w:tcBorders>
            <w:vAlign w:val="center"/>
          </w:tcPr>
          <w:p w14:paraId="57C2B3AF"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开发出集成创新技术的持续葡萄糖监测系统及配套组件，提升系统的准确性、稳定性、用户友好等关键性能，保持产品在国际的领先地位。</w:t>
            </w:r>
          </w:p>
        </w:tc>
        <w:tc>
          <w:tcPr>
            <w:tcW w:w="3197" w:type="dxa"/>
            <w:tcBorders>
              <w:top w:val="single" w:sz="2" w:space="0" w:color="auto"/>
              <w:left w:val="single" w:sz="2" w:space="0" w:color="auto"/>
              <w:bottom w:val="single" w:sz="2" w:space="0" w:color="auto"/>
              <w:right w:val="single" w:sz="2" w:space="0" w:color="auto"/>
            </w:tcBorders>
            <w:vAlign w:val="center"/>
          </w:tcPr>
          <w:p w14:paraId="6A587F3C" w14:textId="77777777" w:rsidR="00113A51" w:rsidRDefault="00766EC7" w:rsidP="00DC359B">
            <w:pPr>
              <w:spacing w:line="360" w:lineRule="auto"/>
              <w:rPr>
                <w:rFonts w:ascii="Times New Roman" w:eastAsia="宋体" w:hAnsi="Times New Roman" w:cs="宋体"/>
                <w:sz w:val="18"/>
                <w:szCs w:val="18"/>
              </w:rPr>
            </w:pPr>
            <w:r>
              <w:rPr>
                <w:rFonts w:ascii="Times New Roman" w:eastAsia="宋体" w:hAnsi="Times New Roman" w:cs="宋体"/>
                <w:sz w:val="18"/>
                <w:szCs w:val="18"/>
              </w:rPr>
              <w:t>提升性能，扩展功能，丰富血糖产品类别，提升产品竞争力，并符合中国、欧盟、美国等国际标准。</w:t>
            </w:r>
          </w:p>
        </w:tc>
      </w:tr>
    </w:tbl>
    <w:p w14:paraId="49FA97AA"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公司研发人员情况</w:t>
      </w:r>
    </w:p>
    <w:tbl>
      <w:tblPr>
        <w:tblW w:w="9639" w:type="dxa"/>
        <w:tblInd w:w="108" w:type="dxa"/>
        <w:tblLayout w:type="fixed"/>
        <w:tblLook w:val="04A0" w:firstRow="1" w:lastRow="0" w:firstColumn="1" w:lastColumn="0" w:noHBand="0" w:noVBand="1"/>
      </w:tblPr>
      <w:tblGrid>
        <w:gridCol w:w="3118"/>
        <w:gridCol w:w="2171"/>
        <w:gridCol w:w="2171"/>
        <w:gridCol w:w="2171"/>
        <w:gridCol w:w="8"/>
      </w:tblGrid>
      <w:tr w:rsidR="00C57E60" w14:paraId="79E563C1"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325EE98D" w14:textId="77777777" w:rsidR="00113A51" w:rsidRDefault="00113A51">
            <w:pPr>
              <w:spacing w:line="360" w:lineRule="auto"/>
              <w:rPr>
                <w:rFonts w:ascii="Times New Roman" w:eastAsia="宋体" w:hAnsi="Times New Roman"/>
                <w:szCs w:val="18"/>
              </w:rPr>
            </w:pPr>
          </w:p>
        </w:tc>
        <w:tc>
          <w:tcPr>
            <w:tcW w:w="2171" w:type="dxa"/>
            <w:tcBorders>
              <w:top w:val="single" w:sz="2" w:space="0" w:color="auto"/>
              <w:left w:val="single" w:sz="2" w:space="0" w:color="auto"/>
              <w:bottom w:val="single" w:sz="2" w:space="0" w:color="auto"/>
              <w:right w:val="single" w:sz="2" w:space="0" w:color="auto"/>
            </w:tcBorders>
            <w:shd w:val="clear" w:color="auto" w:fill="D3D3D3"/>
            <w:vAlign w:val="center"/>
          </w:tcPr>
          <w:p w14:paraId="394E4E3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2171" w:type="dxa"/>
            <w:tcBorders>
              <w:top w:val="single" w:sz="2" w:space="0" w:color="auto"/>
              <w:left w:val="single" w:sz="2" w:space="0" w:color="auto"/>
              <w:bottom w:val="single" w:sz="2" w:space="0" w:color="auto"/>
              <w:right w:val="single" w:sz="2" w:space="0" w:color="auto"/>
            </w:tcBorders>
            <w:shd w:val="clear" w:color="auto" w:fill="D3D3D3"/>
            <w:vAlign w:val="center"/>
          </w:tcPr>
          <w:p w14:paraId="405AE751"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2171" w:type="dxa"/>
            <w:tcBorders>
              <w:top w:val="single" w:sz="2" w:space="0" w:color="auto"/>
              <w:left w:val="single" w:sz="2" w:space="0" w:color="auto"/>
              <w:bottom w:val="single" w:sz="2" w:space="0" w:color="auto"/>
              <w:right w:val="single" w:sz="2" w:space="0" w:color="auto"/>
            </w:tcBorders>
            <w:shd w:val="clear" w:color="auto" w:fill="D3D3D3"/>
            <w:vAlign w:val="center"/>
          </w:tcPr>
          <w:p w14:paraId="2A0CDAC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变动比例</w:t>
            </w:r>
          </w:p>
        </w:tc>
      </w:tr>
      <w:tr w:rsidR="00C57E60" w14:paraId="1DE6B3AD"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537412B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研发人员数量（人）</w:t>
            </w:r>
          </w:p>
        </w:tc>
        <w:tc>
          <w:tcPr>
            <w:tcW w:w="2171" w:type="dxa"/>
            <w:tcBorders>
              <w:top w:val="single" w:sz="2" w:space="0" w:color="auto"/>
              <w:left w:val="single" w:sz="2" w:space="0" w:color="auto"/>
              <w:bottom w:val="single" w:sz="2" w:space="0" w:color="auto"/>
              <w:right w:val="single" w:sz="2" w:space="0" w:color="auto"/>
            </w:tcBorders>
            <w:vAlign w:val="center"/>
          </w:tcPr>
          <w:p w14:paraId="2BDD1E5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879</w:t>
            </w:r>
          </w:p>
        </w:tc>
        <w:tc>
          <w:tcPr>
            <w:tcW w:w="2171" w:type="dxa"/>
            <w:tcBorders>
              <w:top w:val="single" w:sz="2" w:space="0" w:color="auto"/>
              <w:left w:val="single" w:sz="2" w:space="0" w:color="auto"/>
              <w:bottom w:val="single" w:sz="2" w:space="0" w:color="auto"/>
              <w:right w:val="single" w:sz="2" w:space="0" w:color="auto"/>
            </w:tcBorders>
            <w:vAlign w:val="center"/>
          </w:tcPr>
          <w:p w14:paraId="56650CD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879</w:t>
            </w:r>
          </w:p>
        </w:tc>
        <w:tc>
          <w:tcPr>
            <w:tcW w:w="2171" w:type="dxa"/>
            <w:tcBorders>
              <w:top w:val="single" w:sz="2" w:space="0" w:color="auto"/>
              <w:left w:val="single" w:sz="2" w:space="0" w:color="auto"/>
              <w:bottom w:val="single" w:sz="2" w:space="0" w:color="auto"/>
              <w:right w:val="single" w:sz="2" w:space="0" w:color="auto"/>
            </w:tcBorders>
            <w:vAlign w:val="center"/>
          </w:tcPr>
          <w:p w14:paraId="36DF27C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r w:rsidR="00C57E60" w14:paraId="0F7B1230"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3CADC800"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研发人员数量占比</w:t>
            </w:r>
          </w:p>
        </w:tc>
        <w:tc>
          <w:tcPr>
            <w:tcW w:w="2171" w:type="dxa"/>
            <w:tcBorders>
              <w:top w:val="single" w:sz="2" w:space="0" w:color="auto"/>
              <w:left w:val="single" w:sz="2" w:space="0" w:color="auto"/>
              <w:bottom w:val="single" w:sz="2" w:space="0" w:color="auto"/>
              <w:right w:val="single" w:sz="2" w:space="0" w:color="auto"/>
            </w:tcBorders>
            <w:vAlign w:val="center"/>
          </w:tcPr>
          <w:p w14:paraId="602F522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17.54%</w:t>
            </w:r>
          </w:p>
        </w:tc>
        <w:tc>
          <w:tcPr>
            <w:tcW w:w="2171" w:type="dxa"/>
            <w:tcBorders>
              <w:top w:val="single" w:sz="2" w:space="0" w:color="auto"/>
              <w:left w:val="single" w:sz="2" w:space="0" w:color="auto"/>
              <w:bottom w:val="single" w:sz="2" w:space="0" w:color="auto"/>
              <w:right w:val="single" w:sz="2" w:space="0" w:color="auto"/>
            </w:tcBorders>
            <w:vAlign w:val="center"/>
          </w:tcPr>
          <w:p w14:paraId="3AE30ED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18.28%</w:t>
            </w:r>
          </w:p>
        </w:tc>
        <w:tc>
          <w:tcPr>
            <w:tcW w:w="2171" w:type="dxa"/>
            <w:tcBorders>
              <w:top w:val="single" w:sz="2" w:space="0" w:color="auto"/>
              <w:left w:val="single" w:sz="2" w:space="0" w:color="auto"/>
              <w:bottom w:val="single" w:sz="2" w:space="0" w:color="auto"/>
              <w:right w:val="single" w:sz="2" w:space="0" w:color="auto"/>
            </w:tcBorders>
            <w:vAlign w:val="center"/>
          </w:tcPr>
          <w:p w14:paraId="56E38EC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-0.74%</w:t>
            </w:r>
          </w:p>
        </w:tc>
      </w:tr>
      <w:tr w:rsidR="00C57E60" w14:paraId="565DE1FD" w14:textId="77777777">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8ACD3B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研发人员学历</w:t>
            </w:r>
          </w:p>
        </w:tc>
      </w:tr>
      <w:tr w:rsidR="00C57E60" w14:paraId="078C6751"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7EE6A8A5"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本科</w:t>
            </w:r>
          </w:p>
        </w:tc>
        <w:tc>
          <w:tcPr>
            <w:tcW w:w="2171" w:type="dxa"/>
            <w:tcBorders>
              <w:top w:val="single" w:sz="2" w:space="0" w:color="auto"/>
              <w:left w:val="single" w:sz="2" w:space="0" w:color="auto"/>
              <w:bottom w:val="single" w:sz="2" w:space="0" w:color="auto"/>
              <w:right w:val="single" w:sz="2" w:space="0" w:color="auto"/>
            </w:tcBorders>
            <w:vAlign w:val="center"/>
          </w:tcPr>
          <w:p w14:paraId="4E1A4B7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460</w:t>
            </w:r>
          </w:p>
        </w:tc>
        <w:tc>
          <w:tcPr>
            <w:tcW w:w="2171" w:type="dxa"/>
            <w:tcBorders>
              <w:top w:val="single" w:sz="2" w:space="0" w:color="auto"/>
              <w:left w:val="single" w:sz="2" w:space="0" w:color="auto"/>
              <w:bottom w:val="single" w:sz="2" w:space="0" w:color="auto"/>
              <w:right w:val="single" w:sz="2" w:space="0" w:color="auto"/>
            </w:tcBorders>
            <w:vAlign w:val="center"/>
          </w:tcPr>
          <w:p w14:paraId="7EAF2FA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459</w:t>
            </w:r>
          </w:p>
        </w:tc>
        <w:tc>
          <w:tcPr>
            <w:tcW w:w="2171" w:type="dxa"/>
            <w:tcBorders>
              <w:top w:val="single" w:sz="2" w:space="0" w:color="auto"/>
              <w:left w:val="single" w:sz="2" w:space="0" w:color="auto"/>
              <w:bottom w:val="single" w:sz="2" w:space="0" w:color="auto"/>
              <w:right w:val="single" w:sz="2" w:space="0" w:color="auto"/>
            </w:tcBorders>
            <w:vAlign w:val="center"/>
          </w:tcPr>
          <w:p w14:paraId="77D0C82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0.02%</w:t>
            </w:r>
          </w:p>
        </w:tc>
      </w:tr>
      <w:tr w:rsidR="00C57E60" w14:paraId="11694AC8"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31F4BB9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硕士</w:t>
            </w:r>
          </w:p>
        </w:tc>
        <w:tc>
          <w:tcPr>
            <w:tcW w:w="2171" w:type="dxa"/>
            <w:tcBorders>
              <w:top w:val="single" w:sz="2" w:space="0" w:color="auto"/>
              <w:left w:val="single" w:sz="2" w:space="0" w:color="auto"/>
              <w:bottom w:val="single" w:sz="2" w:space="0" w:color="auto"/>
              <w:right w:val="single" w:sz="2" w:space="0" w:color="auto"/>
            </w:tcBorders>
            <w:vAlign w:val="center"/>
          </w:tcPr>
          <w:p w14:paraId="7ECCE33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174</w:t>
            </w:r>
          </w:p>
        </w:tc>
        <w:tc>
          <w:tcPr>
            <w:tcW w:w="2171" w:type="dxa"/>
            <w:tcBorders>
              <w:top w:val="single" w:sz="2" w:space="0" w:color="auto"/>
              <w:left w:val="single" w:sz="2" w:space="0" w:color="auto"/>
              <w:bottom w:val="single" w:sz="2" w:space="0" w:color="auto"/>
              <w:right w:val="single" w:sz="2" w:space="0" w:color="auto"/>
            </w:tcBorders>
            <w:vAlign w:val="center"/>
          </w:tcPr>
          <w:p w14:paraId="62CE8A2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171</w:t>
            </w:r>
          </w:p>
        </w:tc>
        <w:tc>
          <w:tcPr>
            <w:tcW w:w="2171" w:type="dxa"/>
            <w:tcBorders>
              <w:top w:val="single" w:sz="2" w:space="0" w:color="auto"/>
              <w:left w:val="single" w:sz="2" w:space="0" w:color="auto"/>
              <w:bottom w:val="single" w:sz="2" w:space="0" w:color="auto"/>
              <w:right w:val="single" w:sz="2" w:space="0" w:color="auto"/>
            </w:tcBorders>
            <w:vAlign w:val="center"/>
          </w:tcPr>
          <w:p w14:paraId="74504DB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1.76%</w:t>
            </w:r>
          </w:p>
        </w:tc>
      </w:tr>
      <w:tr w:rsidR="00C57E60" w14:paraId="6F305FF3"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vAlign w:val="center"/>
          </w:tcPr>
          <w:p w14:paraId="0DA5248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其他</w:t>
            </w:r>
          </w:p>
        </w:tc>
        <w:tc>
          <w:tcPr>
            <w:tcW w:w="2171" w:type="dxa"/>
            <w:tcBorders>
              <w:top w:val="single" w:sz="2" w:space="0" w:color="auto"/>
              <w:left w:val="single" w:sz="2" w:space="0" w:color="auto"/>
              <w:bottom w:val="single" w:sz="2" w:space="0" w:color="auto"/>
              <w:right w:val="single" w:sz="2" w:space="0" w:color="auto"/>
            </w:tcBorders>
            <w:vAlign w:val="center"/>
          </w:tcPr>
          <w:p w14:paraId="6169E62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245</w:t>
            </w:r>
          </w:p>
        </w:tc>
        <w:tc>
          <w:tcPr>
            <w:tcW w:w="2171" w:type="dxa"/>
            <w:tcBorders>
              <w:top w:val="single" w:sz="2" w:space="0" w:color="auto"/>
              <w:left w:val="single" w:sz="2" w:space="0" w:color="auto"/>
              <w:bottom w:val="single" w:sz="2" w:space="0" w:color="auto"/>
              <w:right w:val="single" w:sz="2" w:space="0" w:color="auto"/>
            </w:tcBorders>
            <w:vAlign w:val="center"/>
          </w:tcPr>
          <w:p w14:paraId="6D2C0CF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249</w:t>
            </w:r>
          </w:p>
        </w:tc>
        <w:tc>
          <w:tcPr>
            <w:tcW w:w="2171" w:type="dxa"/>
            <w:tcBorders>
              <w:top w:val="single" w:sz="2" w:space="0" w:color="auto"/>
              <w:left w:val="single" w:sz="2" w:space="0" w:color="auto"/>
              <w:bottom w:val="single" w:sz="2" w:space="0" w:color="auto"/>
              <w:right w:val="single" w:sz="2" w:space="0" w:color="auto"/>
            </w:tcBorders>
            <w:vAlign w:val="center"/>
          </w:tcPr>
          <w:p w14:paraId="24E0E47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-1.61%</w:t>
            </w:r>
          </w:p>
        </w:tc>
      </w:tr>
      <w:tr w:rsidR="00C57E60" w14:paraId="322C44A0" w14:textId="77777777">
        <w:trPr>
          <w:trHeight w:val="240"/>
        </w:trPr>
        <w:tc>
          <w:tcPr>
            <w:tcW w:w="963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400DF1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研发人员年龄构成</w:t>
            </w:r>
          </w:p>
        </w:tc>
      </w:tr>
      <w:tr w:rsidR="00C57E60" w14:paraId="3E21BD2B"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1F8DB98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30</w:t>
            </w:r>
            <w:r>
              <w:rPr>
                <w:rFonts w:ascii="Times New Roman" w:eastAsia="宋体" w:hAnsi="Times New Roman" w:cs="宋体"/>
                <w:sz w:val="18"/>
                <w:szCs w:val="18"/>
              </w:rPr>
              <w:t>岁以下</w:t>
            </w:r>
          </w:p>
        </w:tc>
        <w:tc>
          <w:tcPr>
            <w:tcW w:w="2171" w:type="dxa"/>
            <w:tcBorders>
              <w:top w:val="single" w:sz="2" w:space="0" w:color="auto"/>
              <w:left w:val="single" w:sz="2" w:space="0" w:color="auto"/>
              <w:bottom w:val="single" w:sz="2" w:space="0" w:color="auto"/>
              <w:right w:val="single" w:sz="2" w:space="0" w:color="auto"/>
            </w:tcBorders>
            <w:vAlign w:val="center"/>
          </w:tcPr>
          <w:p w14:paraId="39FDE0A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291</w:t>
            </w:r>
          </w:p>
        </w:tc>
        <w:tc>
          <w:tcPr>
            <w:tcW w:w="2171" w:type="dxa"/>
            <w:tcBorders>
              <w:top w:val="single" w:sz="2" w:space="0" w:color="auto"/>
              <w:left w:val="single" w:sz="2" w:space="0" w:color="auto"/>
              <w:bottom w:val="single" w:sz="2" w:space="0" w:color="auto"/>
              <w:right w:val="single" w:sz="2" w:space="0" w:color="auto"/>
            </w:tcBorders>
            <w:vAlign w:val="center"/>
          </w:tcPr>
          <w:p w14:paraId="5D8DCF8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304</w:t>
            </w:r>
          </w:p>
        </w:tc>
        <w:tc>
          <w:tcPr>
            <w:tcW w:w="2171" w:type="dxa"/>
            <w:tcBorders>
              <w:top w:val="single" w:sz="2" w:space="0" w:color="auto"/>
              <w:left w:val="single" w:sz="2" w:space="0" w:color="auto"/>
              <w:bottom w:val="single" w:sz="2" w:space="0" w:color="auto"/>
              <w:right w:val="single" w:sz="2" w:space="0" w:color="auto"/>
            </w:tcBorders>
            <w:vAlign w:val="center"/>
          </w:tcPr>
          <w:p w14:paraId="598BC88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-4.28%</w:t>
            </w:r>
          </w:p>
        </w:tc>
      </w:tr>
      <w:tr w:rsidR="00C57E60" w14:paraId="0406B07F"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05799AE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30~40</w:t>
            </w:r>
            <w:r>
              <w:rPr>
                <w:rFonts w:ascii="Times New Roman" w:eastAsia="宋体" w:hAnsi="Times New Roman" w:cs="宋体"/>
                <w:sz w:val="18"/>
                <w:szCs w:val="18"/>
              </w:rPr>
              <w:t>岁</w:t>
            </w:r>
          </w:p>
        </w:tc>
        <w:tc>
          <w:tcPr>
            <w:tcW w:w="2171" w:type="dxa"/>
            <w:tcBorders>
              <w:top w:val="single" w:sz="2" w:space="0" w:color="auto"/>
              <w:left w:val="single" w:sz="2" w:space="0" w:color="auto"/>
              <w:bottom w:val="single" w:sz="2" w:space="0" w:color="auto"/>
              <w:right w:val="single" w:sz="2" w:space="0" w:color="auto"/>
            </w:tcBorders>
            <w:vAlign w:val="center"/>
          </w:tcPr>
          <w:p w14:paraId="2EAC763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483</w:t>
            </w:r>
          </w:p>
        </w:tc>
        <w:tc>
          <w:tcPr>
            <w:tcW w:w="2171" w:type="dxa"/>
            <w:tcBorders>
              <w:top w:val="single" w:sz="2" w:space="0" w:color="auto"/>
              <w:left w:val="single" w:sz="2" w:space="0" w:color="auto"/>
              <w:bottom w:val="single" w:sz="2" w:space="0" w:color="auto"/>
              <w:right w:val="single" w:sz="2" w:space="0" w:color="auto"/>
            </w:tcBorders>
            <w:vAlign w:val="center"/>
          </w:tcPr>
          <w:p w14:paraId="03233FA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481</w:t>
            </w:r>
          </w:p>
        </w:tc>
        <w:tc>
          <w:tcPr>
            <w:tcW w:w="2171" w:type="dxa"/>
            <w:tcBorders>
              <w:top w:val="single" w:sz="2" w:space="0" w:color="auto"/>
              <w:left w:val="single" w:sz="2" w:space="0" w:color="auto"/>
              <w:bottom w:val="single" w:sz="2" w:space="0" w:color="auto"/>
              <w:right w:val="single" w:sz="2" w:space="0" w:color="auto"/>
            </w:tcBorders>
            <w:vAlign w:val="center"/>
          </w:tcPr>
          <w:p w14:paraId="31AA212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0.42%</w:t>
            </w:r>
          </w:p>
        </w:tc>
      </w:tr>
      <w:tr w:rsidR="00C57E60" w14:paraId="168EC156" w14:textId="77777777">
        <w:trPr>
          <w:gridAfter w:val="1"/>
          <w:wAfter w:w="8" w:type="dxa"/>
          <w:trHeight w:val="240"/>
        </w:trPr>
        <w:tc>
          <w:tcPr>
            <w:tcW w:w="3118" w:type="dxa"/>
            <w:tcBorders>
              <w:top w:val="single" w:sz="2" w:space="0" w:color="auto"/>
              <w:left w:val="single" w:sz="2" w:space="0" w:color="auto"/>
              <w:bottom w:val="single" w:sz="2" w:space="0" w:color="auto"/>
              <w:right w:val="single" w:sz="2" w:space="0" w:color="auto"/>
            </w:tcBorders>
            <w:vAlign w:val="center"/>
          </w:tcPr>
          <w:p w14:paraId="3537096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40</w:t>
            </w:r>
            <w:r>
              <w:rPr>
                <w:rFonts w:ascii="Times New Roman" w:eastAsia="宋体" w:hAnsi="Times New Roman" w:cs="宋体"/>
                <w:sz w:val="18"/>
                <w:szCs w:val="18"/>
              </w:rPr>
              <w:t>岁以上</w:t>
            </w:r>
          </w:p>
        </w:tc>
        <w:tc>
          <w:tcPr>
            <w:tcW w:w="2171" w:type="dxa"/>
            <w:tcBorders>
              <w:top w:val="single" w:sz="2" w:space="0" w:color="auto"/>
              <w:left w:val="single" w:sz="2" w:space="0" w:color="auto"/>
              <w:bottom w:val="single" w:sz="2" w:space="0" w:color="auto"/>
              <w:right w:val="single" w:sz="2" w:space="0" w:color="auto"/>
            </w:tcBorders>
            <w:vAlign w:val="center"/>
          </w:tcPr>
          <w:p w14:paraId="602BA24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105</w:t>
            </w:r>
          </w:p>
        </w:tc>
        <w:tc>
          <w:tcPr>
            <w:tcW w:w="2171" w:type="dxa"/>
            <w:tcBorders>
              <w:top w:val="single" w:sz="2" w:space="0" w:color="auto"/>
              <w:left w:val="single" w:sz="2" w:space="0" w:color="auto"/>
              <w:bottom w:val="single" w:sz="2" w:space="0" w:color="auto"/>
              <w:right w:val="single" w:sz="2" w:space="0" w:color="auto"/>
            </w:tcBorders>
            <w:vAlign w:val="center"/>
          </w:tcPr>
          <w:p w14:paraId="6617EA0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94</w:t>
            </w:r>
          </w:p>
        </w:tc>
        <w:tc>
          <w:tcPr>
            <w:tcW w:w="2171" w:type="dxa"/>
            <w:tcBorders>
              <w:top w:val="single" w:sz="2" w:space="0" w:color="auto"/>
              <w:left w:val="single" w:sz="2" w:space="0" w:color="auto"/>
              <w:bottom w:val="single" w:sz="2" w:space="0" w:color="auto"/>
              <w:right w:val="single" w:sz="2" w:space="0" w:color="auto"/>
            </w:tcBorders>
            <w:vAlign w:val="center"/>
          </w:tcPr>
          <w:p w14:paraId="729E223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11.70%</w:t>
            </w:r>
          </w:p>
        </w:tc>
      </w:tr>
    </w:tbl>
    <w:p w14:paraId="72BA4F4B"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近三年公司研发投入金额及占营业收入的比例</w:t>
      </w:r>
    </w:p>
    <w:tbl>
      <w:tblPr>
        <w:tblW w:w="9639" w:type="dxa"/>
        <w:tblInd w:w="108" w:type="dxa"/>
        <w:tblLayout w:type="fixed"/>
        <w:tblLook w:val="04A0" w:firstRow="1" w:lastRow="0" w:firstColumn="1" w:lastColumn="0" w:noHBand="0" w:noVBand="1"/>
      </w:tblPr>
      <w:tblGrid>
        <w:gridCol w:w="2409"/>
        <w:gridCol w:w="2410"/>
        <w:gridCol w:w="2410"/>
        <w:gridCol w:w="2410"/>
      </w:tblGrid>
      <w:tr w:rsidR="00C57E60" w14:paraId="5B9D70B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A3D376F" w14:textId="77777777" w:rsidR="00113A51" w:rsidRDefault="00113A51">
            <w:pPr>
              <w:spacing w:line="360" w:lineRule="auto"/>
              <w:rPr>
                <w:rFonts w:ascii="Times New Roman" w:eastAsia="宋体" w:hAnsi="Times New Roman"/>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7610D1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15D480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C714F7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2023</w:t>
            </w:r>
            <w:r>
              <w:rPr>
                <w:rFonts w:ascii="Times New Roman" w:eastAsia="宋体" w:hAnsi="Times New Roman" w:cs="宋体"/>
                <w:sz w:val="18"/>
                <w:szCs w:val="18"/>
              </w:rPr>
              <w:t>年</w:t>
            </w:r>
          </w:p>
        </w:tc>
      </w:tr>
      <w:tr w:rsidR="00C57E60" w14:paraId="59FF3809"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30396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研发投入金额（元）</w:t>
            </w:r>
          </w:p>
        </w:tc>
        <w:tc>
          <w:tcPr>
            <w:tcW w:w="2410" w:type="dxa"/>
            <w:tcBorders>
              <w:top w:val="single" w:sz="2" w:space="0" w:color="auto"/>
              <w:left w:val="single" w:sz="2" w:space="0" w:color="auto"/>
              <w:bottom w:val="single" w:sz="2" w:space="0" w:color="auto"/>
              <w:right w:val="single" w:sz="2" w:space="0" w:color="auto"/>
            </w:tcBorders>
            <w:vAlign w:val="center"/>
          </w:tcPr>
          <w:p w14:paraId="5AB2FC1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274,631,109.46</w:t>
            </w:r>
          </w:p>
        </w:tc>
        <w:tc>
          <w:tcPr>
            <w:tcW w:w="2410" w:type="dxa"/>
            <w:tcBorders>
              <w:top w:val="single" w:sz="2" w:space="0" w:color="auto"/>
              <w:left w:val="single" w:sz="2" w:space="0" w:color="auto"/>
              <w:bottom w:val="single" w:sz="2" w:space="0" w:color="auto"/>
              <w:right w:val="single" w:sz="2" w:space="0" w:color="auto"/>
            </w:tcBorders>
            <w:vAlign w:val="center"/>
          </w:tcPr>
          <w:p w14:paraId="75D05E9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374,997,672.43</w:t>
            </w:r>
          </w:p>
        </w:tc>
        <w:tc>
          <w:tcPr>
            <w:tcW w:w="2410" w:type="dxa"/>
            <w:tcBorders>
              <w:top w:val="single" w:sz="2" w:space="0" w:color="auto"/>
              <w:left w:val="single" w:sz="2" w:space="0" w:color="auto"/>
              <w:bottom w:val="single" w:sz="2" w:space="0" w:color="auto"/>
              <w:right w:val="single" w:sz="2" w:space="0" w:color="auto"/>
            </w:tcBorders>
            <w:vAlign w:val="center"/>
          </w:tcPr>
          <w:p w14:paraId="351C6C8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356,405,035.56</w:t>
            </w:r>
          </w:p>
        </w:tc>
      </w:tr>
      <w:tr w:rsidR="00C57E60" w14:paraId="6B88E02F"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F67F9A"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研发投入占营业收入比例</w:t>
            </w:r>
          </w:p>
        </w:tc>
        <w:tc>
          <w:tcPr>
            <w:tcW w:w="2410" w:type="dxa"/>
            <w:tcBorders>
              <w:top w:val="single" w:sz="2" w:space="0" w:color="auto"/>
              <w:left w:val="single" w:sz="2" w:space="0" w:color="auto"/>
              <w:bottom w:val="single" w:sz="2" w:space="0" w:color="auto"/>
              <w:right w:val="single" w:sz="2" w:space="0" w:color="auto"/>
            </w:tcBorders>
            <w:vAlign w:val="center"/>
          </w:tcPr>
          <w:p w14:paraId="5FADB30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5.89%</w:t>
            </w:r>
          </w:p>
        </w:tc>
        <w:tc>
          <w:tcPr>
            <w:tcW w:w="2410" w:type="dxa"/>
            <w:tcBorders>
              <w:top w:val="single" w:sz="2" w:space="0" w:color="auto"/>
              <w:left w:val="single" w:sz="2" w:space="0" w:color="auto"/>
              <w:bottom w:val="single" w:sz="2" w:space="0" w:color="auto"/>
              <w:right w:val="single" w:sz="2" w:space="0" w:color="auto"/>
            </w:tcBorders>
            <w:vAlign w:val="center"/>
          </w:tcPr>
          <w:p w14:paraId="30394CD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8.44%</w:t>
            </w:r>
          </w:p>
        </w:tc>
        <w:tc>
          <w:tcPr>
            <w:tcW w:w="2410" w:type="dxa"/>
            <w:tcBorders>
              <w:top w:val="single" w:sz="2" w:space="0" w:color="auto"/>
              <w:left w:val="single" w:sz="2" w:space="0" w:color="auto"/>
              <w:bottom w:val="single" w:sz="2" w:space="0" w:color="auto"/>
              <w:right w:val="single" w:sz="2" w:space="0" w:color="auto"/>
            </w:tcBorders>
            <w:vAlign w:val="center"/>
          </w:tcPr>
          <w:p w14:paraId="4DC8687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8.78%</w:t>
            </w:r>
          </w:p>
        </w:tc>
      </w:tr>
      <w:tr w:rsidR="00C57E60" w14:paraId="023EC991"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32AA4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研发支出资本化的金额（元）</w:t>
            </w:r>
          </w:p>
        </w:tc>
        <w:tc>
          <w:tcPr>
            <w:tcW w:w="2410" w:type="dxa"/>
            <w:tcBorders>
              <w:top w:val="single" w:sz="2" w:space="0" w:color="auto"/>
              <w:left w:val="single" w:sz="2" w:space="0" w:color="auto"/>
              <w:bottom w:val="single" w:sz="2" w:space="0" w:color="auto"/>
              <w:right w:val="single" w:sz="2" w:space="0" w:color="auto"/>
            </w:tcBorders>
            <w:vAlign w:val="center"/>
          </w:tcPr>
          <w:p w14:paraId="19FDD13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168E9E4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380DD0C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r w:rsidR="00C57E60" w14:paraId="28D5A29E"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E6328E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资本化研发支出占研发投入的比例</w:t>
            </w:r>
          </w:p>
        </w:tc>
        <w:tc>
          <w:tcPr>
            <w:tcW w:w="2410" w:type="dxa"/>
            <w:tcBorders>
              <w:top w:val="single" w:sz="2" w:space="0" w:color="auto"/>
              <w:left w:val="single" w:sz="2" w:space="0" w:color="auto"/>
              <w:bottom w:val="single" w:sz="2" w:space="0" w:color="auto"/>
              <w:right w:val="single" w:sz="2" w:space="0" w:color="auto"/>
            </w:tcBorders>
            <w:vAlign w:val="center"/>
          </w:tcPr>
          <w:p w14:paraId="520F607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52C6FF5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3F42651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r w:rsidR="00C57E60" w14:paraId="086AE1F8" w14:textId="77777777">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A5453C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资本化研发支出占当期净利润的比重</w:t>
            </w:r>
          </w:p>
        </w:tc>
        <w:tc>
          <w:tcPr>
            <w:tcW w:w="2410" w:type="dxa"/>
            <w:tcBorders>
              <w:top w:val="single" w:sz="2" w:space="0" w:color="auto"/>
              <w:left w:val="single" w:sz="2" w:space="0" w:color="auto"/>
              <w:bottom w:val="single" w:sz="2" w:space="0" w:color="auto"/>
              <w:right w:val="single" w:sz="2" w:space="0" w:color="auto"/>
            </w:tcBorders>
            <w:vAlign w:val="center"/>
          </w:tcPr>
          <w:p w14:paraId="428B380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5578404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2410" w:type="dxa"/>
            <w:tcBorders>
              <w:top w:val="single" w:sz="2" w:space="0" w:color="auto"/>
              <w:left w:val="single" w:sz="2" w:space="0" w:color="auto"/>
              <w:bottom w:val="single" w:sz="2" w:space="0" w:color="auto"/>
              <w:right w:val="single" w:sz="2" w:space="0" w:color="auto"/>
            </w:tcBorders>
            <w:vAlign w:val="center"/>
          </w:tcPr>
          <w:p w14:paraId="439DA57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r>
    </w:tbl>
    <w:p w14:paraId="25A387C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公司研发人员构成发生重大变化的原因及影响</w:t>
      </w:r>
    </w:p>
    <w:p w14:paraId="29EC6DB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69FC77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研发投入总额占营业收入的比重较上年发生显著变化的原因</w:t>
      </w:r>
    </w:p>
    <w:p w14:paraId="31A4EF9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4D00F3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研发投入资本化率大幅变动的原因及其合理性说明</w:t>
      </w:r>
    </w:p>
    <w:p w14:paraId="51C5A3C6"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4C66AF4" w14:textId="77777777" w:rsidR="00113A51" w:rsidRPr="00BF671C" w:rsidRDefault="00766EC7">
      <w:pPr>
        <w:spacing w:before="100" w:after="100" w:line="240" w:lineRule="exact"/>
        <w:rPr>
          <w:rFonts w:ascii="宋体" w:eastAsia="宋体" w:hAnsi="宋体" w:cs="宋体"/>
          <w:spacing w:val="-4"/>
          <w:sz w:val="18"/>
          <w:szCs w:val="18"/>
        </w:rPr>
      </w:pPr>
      <w:r w:rsidRPr="00BF671C">
        <w:rPr>
          <w:rFonts w:ascii="宋体" w:eastAsia="宋体" w:hAnsi="宋体" w:cs="宋体"/>
          <w:spacing w:val="-4"/>
          <w:sz w:val="18"/>
          <w:szCs w:val="18"/>
        </w:rPr>
        <w:t>公司需遵守《深圳证券交易所上市公司自律监管指引第4号——创业板行业信息披露》中的“医疗器械业务”的披露要求</w:t>
      </w:r>
    </w:p>
    <w:p w14:paraId="65E0692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医疗器械产品相关情况</w:t>
      </w:r>
    </w:p>
    <w:p w14:paraId="25E9820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15DD834" w14:textId="079F6E1B"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截至</w:t>
      </w:r>
      <w:r>
        <w:rPr>
          <w:rFonts w:ascii="Times New Roman" w:hAnsi="Times New Roman" w:cs="Times New Roman"/>
          <w:sz w:val="21"/>
          <w:szCs w:val="21"/>
        </w:rPr>
        <w:t>2025</w:t>
      </w:r>
      <w:r>
        <w:rPr>
          <w:rFonts w:ascii="Times New Roman" w:hAnsi="Times New Roman" w:hint="eastAsia"/>
          <w:sz w:val="21"/>
          <w:szCs w:val="21"/>
        </w:rPr>
        <w:t>年</w:t>
      </w:r>
      <w:r>
        <w:rPr>
          <w:rFonts w:ascii="Times New Roman" w:hAnsi="Times New Roman" w:cs="Times New Roman"/>
          <w:sz w:val="21"/>
          <w:szCs w:val="21"/>
        </w:rPr>
        <w:t>12</w:t>
      </w:r>
      <w:r>
        <w:rPr>
          <w:rFonts w:ascii="Times New Roman" w:hAnsi="Times New Roman" w:hint="eastAsia"/>
          <w:sz w:val="21"/>
          <w:szCs w:val="21"/>
        </w:rPr>
        <w:t>月</w:t>
      </w:r>
      <w:r>
        <w:rPr>
          <w:rFonts w:ascii="Times New Roman" w:hAnsi="Times New Roman" w:cs="Times New Roman"/>
          <w:sz w:val="21"/>
          <w:szCs w:val="21"/>
        </w:rPr>
        <w:t>31</w:t>
      </w:r>
      <w:r>
        <w:rPr>
          <w:rFonts w:ascii="Times New Roman" w:hAnsi="Times New Roman" w:hint="eastAsia"/>
          <w:sz w:val="21"/>
          <w:szCs w:val="21"/>
        </w:rPr>
        <w:t>日，上市公司共持有</w:t>
      </w:r>
      <w:r>
        <w:rPr>
          <w:rFonts w:ascii="Times New Roman" w:hAnsi="Times New Roman" w:cs="Times New Roman"/>
          <w:sz w:val="21"/>
          <w:szCs w:val="21"/>
        </w:rPr>
        <w:t>164</w:t>
      </w:r>
      <w:r>
        <w:rPr>
          <w:rFonts w:ascii="Times New Roman" w:hAnsi="Times New Roman" w:hint="eastAsia"/>
          <w:sz w:val="21"/>
          <w:szCs w:val="21"/>
        </w:rPr>
        <w:t>项有效国内医疗器械注册证，</w:t>
      </w:r>
      <w:r>
        <w:rPr>
          <w:rFonts w:ascii="Times New Roman" w:hAnsi="Times New Roman" w:cs="Times New Roman"/>
          <w:sz w:val="21"/>
          <w:szCs w:val="21"/>
        </w:rPr>
        <w:t>3</w:t>
      </w:r>
      <w:r>
        <w:rPr>
          <w:rFonts w:ascii="Times New Roman" w:hAnsi="Times New Roman" w:hint="eastAsia"/>
          <w:sz w:val="21"/>
          <w:szCs w:val="21"/>
        </w:rPr>
        <w:t>项有效国内医疗器械备案凭证，</w:t>
      </w:r>
      <w:r>
        <w:rPr>
          <w:rFonts w:ascii="Times New Roman" w:hAnsi="Times New Roman" w:cs="Times New Roman"/>
          <w:sz w:val="21"/>
          <w:szCs w:val="21"/>
        </w:rPr>
        <w:t>2</w:t>
      </w:r>
      <w:r>
        <w:rPr>
          <w:rFonts w:ascii="Times New Roman" w:hAnsi="Times New Roman" w:hint="eastAsia"/>
          <w:sz w:val="21"/>
          <w:szCs w:val="21"/>
        </w:rPr>
        <w:t>项有效的美国</w:t>
      </w:r>
      <w:r>
        <w:rPr>
          <w:rFonts w:ascii="Times New Roman" w:hAnsi="Times New Roman" w:cs="Times New Roman"/>
          <w:sz w:val="21"/>
          <w:szCs w:val="21"/>
        </w:rPr>
        <w:t>FDA</w:t>
      </w:r>
      <w:r>
        <w:rPr>
          <w:rFonts w:ascii="Times New Roman" w:hAnsi="Times New Roman" w:hint="eastAsia"/>
          <w:sz w:val="21"/>
          <w:szCs w:val="21"/>
        </w:rPr>
        <w:t>注册证（对应包含</w:t>
      </w:r>
      <w:r>
        <w:rPr>
          <w:rFonts w:ascii="Times New Roman" w:hAnsi="Times New Roman" w:cs="Times New Roman"/>
          <w:sz w:val="21"/>
          <w:szCs w:val="21"/>
        </w:rPr>
        <w:t>3</w:t>
      </w:r>
      <w:r>
        <w:rPr>
          <w:rFonts w:ascii="Times New Roman" w:hAnsi="Times New Roman" w:hint="eastAsia"/>
          <w:sz w:val="21"/>
          <w:szCs w:val="21"/>
        </w:rPr>
        <w:t>款产品），</w:t>
      </w:r>
      <w:r>
        <w:rPr>
          <w:rFonts w:ascii="Times New Roman" w:hAnsi="Times New Roman" w:cs="Times New Roman"/>
          <w:sz w:val="21"/>
          <w:szCs w:val="21"/>
        </w:rPr>
        <w:t>11</w:t>
      </w:r>
      <w:r>
        <w:rPr>
          <w:rFonts w:ascii="Times New Roman" w:hAnsi="Times New Roman" w:hint="eastAsia"/>
          <w:sz w:val="21"/>
          <w:szCs w:val="21"/>
        </w:rPr>
        <w:t>项有效的</w:t>
      </w:r>
      <w:r>
        <w:rPr>
          <w:rFonts w:ascii="Times New Roman" w:hAnsi="Times New Roman" w:cs="Times New Roman"/>
          <w:sz w:val="21"/>
          <w:szCs w:val="21"/>
        </w:rPr>
        <w:t>CE</w:t>
      </w:r>
      <w:r>
        <w:rPr>
          <w:rFonts w:ascii="Times New Roman" w:hAnsi="Times New Roman" w:hint="eastAsia"/>
          <w:sz w:val="21"/>
          <w:szCs w:val="21"/>
        </w:rPr>
        <w:t>认证证书（对应包含</w:t>
      </w:r>
      <w:r>
        <w:rPr>
          <w:rFonts w:ascii="Times New Roman" w:hAnsi="Times New Roman" w:cs="Times New Roman"/>
          <w:sz w:val="21"/>
          <w:szCs w:val="21"/>
        </w:rPr>
        <w:t>47</w:t>
      </w:r>
      <w:r>
        <w:rPr>
          <w:rFonts w:ascii="Times New Roman" w:hAnsi="Times New Roman" w:hint="eastAsia"/>
          <w:sz w:val="21"/>
          <w:szCs w:val="21"/>
        </w:rPr>
        <w:t>款产品），</w:t>
      </w:r>
      <w:r>
        <w:rPr>
          <w:rFonts w:ascii="Times New Roman" w:hAnsi="Times New Roman" w:cs="Times New Roman"/>
          <w:sz w:val="21"/>
          <w:szCs w:val="21"/>
        </w:rPr>
        <w:t>24</w:t>
      </w:r>
      <w:r>
        <w:rPr>
          <w:rFonts w:ascii="Times New Roman" w:hAnsi="Times New Roman" w:hint="eastAsia"/>
          <w:sz w:val="21"/>
          <w:szCs w:val="21"/>
        </w:rPr>
        <w:t>项有效的产品</w:t>
      </w:r>
      <w:r>
        <w:rPr>
          <w:rFonts w:ascii="Times New Roman" w:hAnsi="Times New Roman" w:cs="Times New Roman"/>
          <w:sz w:val="21"/>
          <w:szCs w:val="21"/>
        </w:rPr>
        <w:t>CE</w:t>
      </w:r>
      <w:r>
        <w:rPr>
          <w:rFonts w:ascii="Times New Roman" w:hAnsi="Times New Roman" w:hint="eastAsia"/>
          <w:sz w:val="21"/>
          <w:szCs w:val="21"/>
        </w:rPr>
        <w:t>自我宣称（对应包含</w:t>
      </w:r>
      <w:r>
        <w:rPr>
          <w:rFonts w:ascii="Times New Roman" w:hAnsi="Times New Roman" w:cs="Times New Roman"/>
          <w:sz w:val="21"/>
          <w:szCs w:val="21"/>
        </w:rPr>
        <w:t>79</w:t>
      </w:r>
      <w:r>
        <w:rPr>
          <w:rFonts w:ascii="Times New Roman" w:hAnsi="Times New Roman" w:hint="eastAsia"/>
          <w:sz w:val="21"/>
          <w:szCs w:val="21"/>
        </w:rPr>
        <w:t>款产品）；报告期内，上市公司新增</w:t>
      </w:r>
      <w:r>
        <w:rPr>
          <w:rFonts w:ascii="Times New Roman" w:hAnsi="Times New Roman" w:cs="Times New Roman"/>
          <w:sz w:val="21"/>
          <w:szCs w:val="21"/>
        </w:rPr>
        <w:t>7</w:t>
      </w:r>
      <w:r>
        <w:rPr>
          <w:rFonts w:ascii="Times New Roman" w:hAnsi="Times New Roman" w:hint="eastAsia"/>
          <w:sz w:val="21"/>
          <w:szCs w:val="21"/>
        </w:rPr>
        <w:t>项国内医疗器械注册证，新增</w:t>
      </w:r>
      <w:r>
        <w:rPr>
          <w:rFonts w:ascii="Times New Roman" w:hAnsi="Times New Roman" w:cs="Times New Roman"/>
          <w:sz w:val="21"/>
          <w:szCs w:val="21"/>
        </w:rPr>
        <w:t>3</w:t>
      </w:r>
      <w:r>
        <w:rPr>
          <w:rFonts w:ascii="Times New Roman" w:hAnsi="Times New Roman" w:hint="eastAsia"/>
          <w:sz w:val="21"/>
          <w:szCs w:val="21"/>
        </w:rPr>
        <w:t>项</w:t>
      </w:r>
      <w:r>
        <w:rPr>
          <w:rFonts w:ascii="Times New Roman" w:hAnsi="Times New Roman" w:cs="Times New Roman"/>
          <w:sz w:val="21"/>
          <w:szCs w:val="21"/>
        </w:rPr>
        <w:t>CE</w:t>
      </w:r>
      <w:r>
        <w:rPr>
          <w:rFonts w:ascii="Times New Roman" w:hAnsi="Times New Roman" w:hint="eastAsia"/>
          <w:sz w:val="21"/>
          <w:szCs w:val="21"/>
        </w:rPr>
        <w:t>认证证书（对应包含</w:t>
      </w:r>
      <w:r>
        <w:rPr>
          <w:rFonts w:ascii="Times New Roman" w:hAnsi="Times New Roman" w:cs="Times New Roman"/>
          <w:sz w:val="21"/>
          <w:szCs w:val="21"/>
        </w:rPr>
        <w:t>7</w:t>
      </w:r>
      <w:r>
        <w:rPr>
          <w:rFonts w:ascii="Times New Roman" w:hAnsi="Times New Roman" w:hint="eastAsia"/>
          <w:sz w:val="21"/>
          <w:szCs w:val="21"/>
        </w:rPr>
        <w:t>款产品）和</w:t>
      </w:r>
      <w:r>
        <w:rPr>
          <w:rFonts w:ascii="Times New Roman" w:hAnsi="Times New Roman" w:cs="Times New Roman"/>
          <w:sz w:val="21"/>
          <w:szCs w:val="21"/>
        </w:rPr>
        <w:t>2</w:t>
      </w:r>
      <w:r>
        <w:rPr>
          <w:rFonts w:ascii="Times New Roman" w:hAnsi="Times New Roman" w:hint="eastAsia"/>
          <w:sz w:val="21"/>
          <w:szCs w:val="21"/>
        </w:rPr>
        <w:t>项自我宣称（包含对应</w:t>
      </w:r>
      <w:r>
        <w:rPr>
          <w:rFonts w:ascii="Times New Roman" w:hAnsi="Times New Roman" w:cs="Times New Roman"/>
          <w:sz w:val="21"/>
          <w:szCs w:val="21"/>
        </w:rPr>
        <w:t>2</w:t>
      </w:r>
      <w:r>
        <w:rPr>
          <w:rFonts w:ascii="Times New Roman" w:hAnsi="Times New Roman" w:hint="eastAsia"/>
          <w:sz w:val="21"/>
          <w:szCs w:val="21"/>
        </w:rPr>
        <w:t>款产品）；当前处于注册阶段的产品</w:t>
      </w:r>
      <w:r>
        <w:rPr>
          <w:rFonts w:ascii="Times New Roman" w:hAnsi="Times New Roman" w:cs="Times New Roman"/>
          <w:sz w:val="21"/>
          <w:szCs w:val="21"/>
        </w:rPr>
        <w:t>11</w:t>
      </w:r>
      <w:r>
        <w:rPr>
          <w:rFonts w:ascii="Times New Roman" w:hAnsi="Times New Roman" w:hint="eastAsia"/>
          <w:sz w:val="21"/>
          <w:szCs w:val="21"/>
        </w:rPr>
        <w:t>项。公司全资子公司</w:t>
      </w:r>
      <w:r>
        <w:rPr>
          <w:rFonts w:ascii="Times New Roman" w:hAnsi="Times New Roman" w:cs="Times New Roman"/>
          <w:sz w:val="21"/>
          <w:szCs w:val="21"/>
        </w:rPr>
        <w:t>PTS</w:t>
      </w:r>
      <w:r>
        <w:rPr>
          <w:rFonts w:ascii="Times New Roman" w:hAnsi="Times New Roman" w:hint="eastAsia"/>
          <w:sz w:val="21"/>
          <w:szCs w:val="21"/>
        </w:rPr>
        <w:t>共持有</w:t>
      </w:r>
      <w:r>
        <w:rPr>
          <w:rFonts w:ascii="Times New Roman" w:hAnsi="Times New Roman" w:cs="Times New Roman"/>
          <w:sz w:val="21"/>
          <w:szCs w:val="21"/>
        </w:rPr>
        <w:t>21</w:t>
      </w:r>
      <w:r>
        <w:rPr>
          <w:rFonts w:ascii="Times New Roman" w:hAnsi="Times New Roman" w:hint="eastAsia"/>
          <w:sz w:val="21"/>
          <w:szCs w:val="21"/>
        </w:rPr>
        <w:t>项有效的美国</w:t>
      </w:r>
      <w:r>
        <w:rPr>
          <w:rFonts w:ascii="Times New Roman" w:hAnsi="Times New Roman" w:cs="Times New Roman"/>
          <w:sz w:val="21"/>
          <w:szCs w:val="21"/>
        </w:rPr>
        <w:t>FDA</w:t>
      </w:r>
      <w:r>
        <w:rPr>
          <w:rFonts w:ascii="Times New Roman" w:hAnsi="Times New Roman" w:hint="eastAsia"/>
          <w:sz w:val="21"/>
          <w:szCs w:val="21"/>
        </w:rPr>
        <w:t>注册证和</w:t>
      </w:r>
      <w:r>
        <w:rPr>
          <w:rFonts w:ascii="Times New Roman" w:hAnsi="Times New Roman" w:cs="Times New Roman"/>
          <w:sz w:val="21"/>
          <w:szCs w:val="21"/>
        </w:rPr>
        <w:t>11</w:t>
      </w:r>
      <w:r>
        <w:rPr>
          <w:rFonts w:ascii="Times New Roman" w:hAnsi="Times New Roman" w:hint="eastAsia"/>
          <w:sz w:val="21"/>
          <w:szCs w:val="21"/>
        </w:rPr>
        <w:t>项有效的</w:t>
      </w:r>
      <w:r>
        <w:rPr>
          <w:rFonts w:ascii="Times New Roman" w:hAnsi="Times New Roman" w:cs="Times New Roman"/>
          <w:sz w:val="21"/>
          <w:szCs w:val="21"/>
        </w:rPr>
        <w:t>CE</w:t>
      </w:r>
      <w:r>
        <w:rPr>
          <w:rFonts w:ascii="Times New Roman" w:hAnsi="Times New Roman" w:hint="eastAsia"/>
          <w:sz w:val="21"/>
          <w:szCs w:val="21"/>
        </w:rPr>
        <w:t>认证证书，已取得</w:t>
      </w:r>
      <w:r>
        <w:rPr>
          <w:rFonts w:ascii="Times New Roman" w:hAnsi="Times New Roman" w:cs="Times New Roman"/>
          <w:sz w:val="21"/>
          <w:szCs w:val="21"/>
        </w:rPr>
        <w:t>7</w:t>
      </w:r>
      <w:r>
        <w:rPr>
          <w:rFonts w:ascii="Times New Roman" w:hAnsi="Times New Roman" w:hint="eastAsia"/>
          <w:sz w:val="21"/>
          <w:szCs w:val="21"/>
        </w:rPr>
        <w:t>项有效的国内医疗器械进口注册证，</w:t>
      </w:r>
      <w:r>
        <w:rPr>
          <w:rFonts w:ascii="Times New Roman" w:hAnsi="Times New Roman" w:cs="Times New Roman"/>
          <w:sz w:val="21"/>
          <w:szCs w:val="21"/>
        </w:rPr>
        <w:t>1</w:t>
      </w:r>
      <w:r>
        <w:rPr>
          <w:rFonts w:ascii="Times New Roman" w:hAnsi="Times New Roman" w:hint="eastAsia"/>
          <w:sz w:val="21"/>
          <w:szCs w:val="21"/>
        </w:rPr>
        <w:t>项有效的医疗器械进口备案凭证；公司控股子公司</w:t>
      </w:r>
      <w:r>
        <w:rPr>
          <w:rFonts w:ascii="Times New Roman" w:hAnsi="Times New Roman" w:cs="Times New Roman"/>
          <w:sz w:val="21"/>
          <w:szCs w:val="21"/>
        </w:rPr>
        <w:t>Trividia</w:t>
      </w:r>
      <w:r>
        <w:rPr>
          <w:rFonts w:ascii="Times New Roman" w:hAnsi="Times New Roman" w:hint="eastAsia"/>
          <w:sz w:val="21"/>
          <w:szCs w:val="21"/>
        </w:rPr>
        <w:t>共持有</w:t>
      </w:r>
      <w:r>
        <w:rPr>
          <w:rFonts w:ascii="Times New Roman" w:hAnsi="Times New Roman" w:cs="Times New Roman"/>
          <w:sz w:val="21"/>
          <w:szCs w:val="21"/>
        </w:rPr>
        <w:t>5</w:t>
      </w:r>
      <w:r>
        <w:rPr>
          <w:rFonts w:ascii="Times New Roman" w:hAnsi="Times New Roman" w:hint="eastAsia"/>
          <w:sz w:val="21"/>
          <w:szCs w:val="21"/>
        </w:rPr>
        <w:t>项有效的美国</w:t>
      </w:r>
      <w:r>
        <w:rPr>
          <w:rFonts w:ascii="Times New Roman" w:hAnsi="Times New Roman" w:cs="Times New Roman"/>
          <w:sz w:val="21"/>
          <w:szCs w:val="21"/>
        </w:rPr>
        <w:t>FDA</w:t>
      </w:r>
      <w:r>
        <w:rPr>
          <w:rFonts w:ascii="Times New Roman" w:hAnsi="Times New Roman" w:hint="eastAsia"/>
          <w:sz w:val="21"/>
          <w:szCs w:val="21"/>
        </w:rPr>
        <w:t>注册证和</w:t>
      </w:r>
      <w:r>
        <w:rPr>
          <w:rFonts w:ascii="Times New Roman" w:hAnsi="Times New Roman" w:cs="Times New Roman"/>
          <w:sz w:val="21"/>
          <w:szCs w:val="21"/>
        </w:rPr>
        <w:t>4</w:t>
      </w:r>
      <w:r>
        <w:rPr>
          <w:rFonts w:ascii="Times New Roman" w:hAnsi="Times New Roman" w:hint="eastAsia"/>
          <w:sz w:val="21"/>
          <w:szCs w:val="21"/>
        </w:rPr>
        <w:t>项有效的</w:t>
      </w:r>
      <w:r>
        <w:rPr>
          <w:rFonts w:ascii="Times New Roman" w:hAnsi="Times New Roman" w:cs="Times New Roman"/>
          <w:sz w:val="21"/>
          <w:szCs w:val="21"/>
        </w:rPr>
        <w:t>CE</w:t>
      </w:r>
      <w:r>
        <w:rPr>
          <w:rFonts w:ascii="Times New Roman" w:hAnsi="Times New Roman" w:hint="eastAsia"/>
          <w:sz w:val="21"/>
          <w:szCs w:val="21"/>
        </w:rPr>
        <w:t>认证证书，已取得</w:t>
      </w:r>
      <w:r>
        <w:rPr>
          <w:rFonts w:ascii="Times New Roman" w:hAnsi="Times New Roman" w:cs="Times New Roman"/>
          <w:sz w:val="21"/>
          <w:szCs w:val="21"/>
        </w:rPr>
        <w:t>2</w:t>
      </w:r>
      <w:r>
        <w:rPr>
          <w:rFonts w:ascii="Times New Roman" w:hAnsi="Times New Roman" w:hint="eastAsia"/>
          <w:sz w:val="21"/>
          <w:szCs w:val="21"/>
        </w:rPr>
        <w:t>项有效的国内医疗器械进口注册证，正在申请</w:t>
      </w:r>
      <w:r>
        <w:rPr>
          <w:rFonts w:ascii="Times New Roman" w:hAnsi="Times New Roman" w:cs="Times New Roman"/>
          <w:sz w:val="21"/>
          <w:szCs w:val="21"/>
        </w:rPr>
        <w:t>2</w:t>
      </w:r>
      <w:r>
        <w:rPr>
          <w:rFonts w:ascii="Times New Roman" w:hAnsi="Times New Roman" w:hint="eastAsia"/>
          <w:sz w:val="21"/>
          <w:szCs w:val="21"/>
        </w:rPr>
        <w:t>项</w:t>
      </w:r>
      <w:r>
        <w:rPr>
          <w:rFonts w:ascii="Times New Roman" w:hAnsi="Times New Roman" w:cs="Times New Roman"/>
          <w:sz w:val="21"/>
          <w:szCs w:val="21"/>
        </w:rPr>
        <w:t>CE</w:t>
      </w:r>
      <w:r>
        <w:rPr>
          <w:rFonts w:ascii="Times New Roman" w:hAnsi="Times New Roman" w:hint="eastAsia"/>
          <w:sz w:val="21"/>
          <w:szCs w:val="21"/>
        </w:rPr>
        <w:t>认证。</w:t>
      </w:r>
    </w:p>
    <w:p w14:paraId="0A40B115"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ascii="Times New Roman" w:hAnsi="Times New Roman" w:hint="eastAsia"/>
          <w:sz w:val="21"/>
          <w:szCs w:val="21"/>
        </w:rPr>
        <w:t>报告期内，上市公司新增</w:t>
      </w:r>
      <w:r>
        <w:rPr>
          <w:rFonts w:ascii="Times New Roman" w:hAnsi="Times New Roman" w:cs="Times New Roman"/>
          <w:sz w:val="21"/>
          <w:szCs w:val="21"/>
        </w:rPr>
        <w:t>7</w:t>
      </w:r>
      <w:r>
        <w:rPr>
          <w:rFonts w:ascii="Times New Roman" w:hAnsi="Times New Roman" w:hint="eastAsia"/>
          <w:sz w:val="21"/>
          <w:szCs w:val="21"/>
        </w:rPr>
        <w:t>项国内医疗器械注册证，</w:t>
      </w:r>
      <w:r>
        <w:rPr>
          <w:rFonts w:ascii="Times New Roman" w:hAnsi="Times New Roman" w:cs="Times New Roman"/>
          <w:sz w:val="21"/>
          <w:szCs w:val="21"/>
        </w:rPr>
        <w:t>1</w:t>
      </w:r>
      <w:r>
        <w:rPr>
          <w:rFonts w:ascii="Times New Roman" w:hAnsi="Times New Roman" w:hint="eastAsia"/>
          <w:sz w:val="21"/>
          <w:szCs w:val="21"/>
        </w:rPr>
        <w:t>项国内医疗器械备案凭证。截至</w:t>
      </w:r>
      <w:r>
        <w:rPr>
          <w:rFonts w:ascii="Times New Roman" w:hAnsi="Times New Roman" w:cs="Times New Roman"/>
          <w:sz w:val="21"/>
          <w:szCs w:val="21"/>
        </w:rPr>
        <w:t>2025</w:t>
      </w:r>
      <w:r>
        <w:rPr>
          <w:rFonts w:ascii="Times New Roman" w:hAnsi="Times New Roman" w:hint="eastAsia"/>
          <w:sz w:val="21"/>
          <w:szCs w:val="21"/>
        </w:rPr>
        <w:t>年</w:t>
      </w:r>
      <w:r>
        <w:rPr>
          <w:rFonts w:ascii="Times New Roman" w:hAnsi="Times New Roman" w:cs="Times New Roman"/>
          <w:sz w:val="21"/>
          <w:szCs w:val="21"/>
        </w:rPr>
        <w:t>12</w:t>
      </w:r>
      <w:r>
        <w:rPr>
          <w:rFonts w:ascii="Times New Roman" w:hAnsi="Times New Roman" w:hint="eastAsia"/>
          <w:sz w:val="21"/>
          <w:szCs w:val="21"/>
        </w:rPr>
        <w:t>月</w:t>
      </w:r>
      <w:r>
        <w:rPr>
          <w:rFonts w:ascii="Times New Roman" w:hAnsi="Times New Roman" w:cs="Times New Roman"/>
          <w:sz w:val="21"/>
          <w:szCs w:val="21"/>
        </w:rPr>
        <w:t>31</w:t>
      </w:r>
      <w:r>
        <w:rPr>
          <w:rFonts w:ascii="Times New Roman" w:hAnsi="Times New Roman" w:hint="eastAsia"/>
          <w:sz w:val="21"/>
          <w:szCs w:val="21"/>
        </w:rPr>
        <w:t>日，上市公司共持有</w:t>
      </w:r>
      <w:r>
        <w:rPr>
          <w:rFonts w:ascii="Times New Roman" w:hAnsi="Times New Roman" w:cs="Times New Roman"/>
          <w:sz w:val="21"/>
          <w:szCs w:val="21"/>
        </w:rPr>
        <w:t>161</w:t>
      </w:r>
      <w:r>
        <w:rPr>
          <w:rFonts w:ascii="Times New Roman" w:hAnsi="Times New Roman" w:hint="eastAsia"/>
          <w:sz w:val="21"/>
          <w:szCs w:val="21"/>
        </w:rPr>
        <w:t>项有效国内</w:t>
      </w:r>
      <w:r>
        <w:rPr>
          <w:rFonts w:ascii="Times New Roman" w:hAnsi="Times New Roman" w:cs="Times New Roman"/>
          <w:sz w:val="21"/>
          <w:szCs w:val="21"/>
        </w:rPr>
        <w:t>Ⅱ</w:t>
      </w:r>
      <w:r>
        <w:rPr>
          <w:rFonts w:ascii="Times New Roman" w:hAnsi="Times New Roman" w:hint="eastAsia"/>
          <w:sz w:val="21"/>
          <w:szCs w:val="21"/>
        </w:rPr>
        <w:t>类医疗器械注册证，</w:t>
      </w:r>
      <w:r>
        <w:rPr>
          <w:rFonts w:ascii="Times New Roman" w:hAnsi="Times New Roman" w:cs="Times New Roman"/>
          <w:sz w:val="21"/>
          <w:szCs w:val="21"/>
        </w:rPr>
        <w:t>3</w:t>
      </w:r>
      <w:r>
        <w:rPr>
          <w:rFonts w:ascii="Times New Roman" w:hAnsi="Times New Roman" w:hint="eastAsia"/>
          <w:sz w:val="21"/>
          <w:szCs w:val="21"/>
        </w:rPr>
        <w:t>项有效国内</w:t>
      </w:r>
      <w:r>
        <w:rPr>
          <w:rFonts w:ascii="Times New Roman" w:hAnsi="Times New Roman" w:cs="Times New Roman"/>
          <w:sz w:val="21"/>
          <w:szCs w:val="21"/>
        </w:rPr>
        <w:t>Ⅲ</w:t>
      </w:r>
      <w:r>
        <w:rPr>
          <w:rFonts w:ascii="Times New Roman" w:hAnsi="Times New Roman" w:hint="eastAsia"/>
          <w:sz w:val="21"/>
          <w:szCs w:val="21"/>
        </w:rPr>
        <w:t>类医疗器械注册证，</w:t>
      </w:r>
      <w:r>
        <w:rPr>
          <w:rFonts w:ascii="Times New Roman" w:hAnsi="Times New Roman" w:cs="Times New Roman"/>
          <w:sz w:val="21"/>
          <w:szCs w:val="21"/>
        </w:rPr>
        <w:t>3</w:t>
      </w:r>
      <w:r>
        <w:rPr>
          <w:rFonts w:ascii="Times New Roman" w:hAnsi="Times New Roman" w:hint="eastAsia"/>
          <w:sz w:val="21"/>
          <w:szCs w:val="21"/>
        </w:rPr>
        <w:t>项有效国内Ⅰ类医疗器械备案凭证，具体明细如下：</w:t>
      </w:r>
    </w:p>
    <w:tbl>
      <w:tblPr>
        <w:tblW w:w="10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
        <w:gridCol w:w="1530"/>
        <w:gridCol w:w="1134"/>
        <w:gridCol w:w="425"/>
        <w:gridCol w:w="4677"/>
        <w:gridCol w:w="992"/>
        <w:gridCol w:w="1276"/>
      </w:tblGrid>
      <w:tr w:rsidR="00113A51" w14:paraId="2990BA16" w14:textId="77777777" w:rsidTr="00C707CF">
        <w:trPr>
          <w:cantSplit/>
          <w:jc w:val="center"/>
        </w:trPr>
        <w:tc>
          <w:tcPr>
            <w:tcW w:w="418" w:type="dxa"/>
            <w:shd w:val="clear" w:color="auto" w:fill="D0CECE"/>
            <w:tcMar>
              <w:top w:w="10" w:type="dxa"/>
              <w:left w:w="10" w:type="dxa"/>
              <w:bottom w:w="10" w:type="dxa"/>
              <w:right w:w="10" w:type="dxa"/>
            </w:tcMar>
            <w:vAlign w:val="center"/>
          </w:tcPr>
          <w:p w14:paraId="495AE688"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序号</w:t>
            </w:r>
          </w:p>
        </w:tc>
        <w:tc>
          <w:tcPr>
            <w:tcW w:w="1530" w:type="dxa"/>
            <w:shd w:val="clear" w:color="auto" w:fill="D0CECE"/>
            <w:tcMar>
              <w:top w:w="10" w:type="dxa"/>
              <w:left w:w="10" w:type="dxa"/>
              <w:bottom w:w="10" w:type="dxa"/>
              <w:right w:w="10" w:type="dxa"/>
            </w:tcMar>
            <w:vAlign w:val="center"/>
          </w:tcPr>
          <w:p w14:paraId="7B5FD27E"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名称</w:t>
            </w:r>
          </w:p>
        </w:tc>
        <w:tc>
          <w:tcPr>
            <w:tcW w:w="1134" w:type="dxa"/>
            <w:shd w:val="clear" w:color="auto" w:fill="D0CECE"/>
            <w:tcMar>
              <w:top w:w="10" w:type="dxa"/>
              <w:left w:w="10" w:type="dxa"/>
              <w:bottom w:w="10" w:type="dxa"/>
              <w:right w:w="10" w:type="dxa"/>
            </w:tcMar>
            <w:vAlign w:val="center"/>
          </w:tcPr>
          <w:p w14:paraId="62F40595"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注册证编号</w:t>
            </w:r>
          </w:p>
        </w:tc>
        <w:tc>
          <w:tcPr>
            <w:tcW w:w="425" w:type="dxa"/>
            <w:shd w:val="clear" w:color="auto" w:fill="D0CECE"/>
            <w:tcMar>
              <w:top w:w="10" w:type="dxa"/>
              <w:left w:w="10" w:type="dxa"/>
              <w:bottom w:w="10" w:type="dxa"/>
              <w:right w:w="10" w:type="dxa"/>
            </w:tcMar>
            <w:vAlign w:val="center"/>
          </w:tcPr>
          <w:p w14:paraId="21BDC5F7"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注册</w:t>
            </w:r>
          </w:p>
          <w:p w14:paraId="6CD105EE"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分类</w:t>
            </w:r>
          </w:p>
        </w:tc>
        <w:tc>
          <w:tcPr>
            <w:tcW w:w="4677" w:type="dxa"/>
            <w:shd w:val="clear" w:color="auto" w:fill="D0CECE"/>
            <w:tcMar>
              <w:top w:w="10" w:type="dxa"/>
              <w:left w:w="10" w:type="dxa"/>
              <w:bottom w:w="10" w:type="dxa"/>
              <w:right w:w="10" w:type="dxa"/>
            </w:tcMar>
            <w:vAlign w:val="center"/>
          </w:tcPr>
          <w:p w14:paraId="1B46CD14"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临床用途</w:t>
            </w:r>
          </w:p>
        </w:tc>
        <w:tc>
          <w:tcPr>
            <w:tcW w:w="992" w:type="dxa"/>
            <w:shd w:val="clear" w:color="auto" w:fill="D0CECE"/>
            <w:tcMar>
              <w:top w:w="10" w:type="dxa"/>
              <w:left w:w="10" w:type="dxa"/>
              <w:bottom w:w="10" w:type="dxa"/>
              <w:right w:w="10" w:type="dxa"/>
            </w:tcMar>
            <w:vAlign w:val="center"/>
          </w:tcPr>
          <w:p w14:paraId="06EC2888"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注册证</w:t>
            </w:r>
          </w:p>
          <w:p w14:paraId="271A85C1"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有效期</w:t>
            </w:r>
          </w:p>
        </w:tc>
        <w:tc>
          <w:tcPr>
            <w:tcW w:w="1276" w:type="dxa"/>
            <w:shd w:val="clear" w:color="auto" w:fill="D0CECE"/>
            <w:tcMar>
              <w:top w:w="10" w:type="dxa"/>
              <w:left w:w="10" w:type="dxa"/>
              <w:bottom w:w="10" w:type="dxa"/>
              <w:right w:w="10" w:type="dxa"/>
            </w:tcMar>
            <w:vAlign w:val="center"/>
          </w:tcPr>
          <w:p w14:paraId="61DEB5B5" w14:textId="77777777" w:rsidR="00113A51" w:rsidRDefault="00766EC7">
            <w:pPr>
              <w:pStyle w:val="a9"/>
              <w:spacing w:before="40" w:beforeAutospacing="0" w:after="40" w:afterAutospacing="0"/>
              <w:jc w:val="center"/>
              <w:rPr>
                <w:rFonts w:ascii="Times New Roman" w:hAnsi="Times New Roman"/>
                <w:sz w:val="21"/>
                <w:szCs w:val="18"/>
              </w:rPr>
            </w:pPr>
            <w:r>
              <w:rPr>
                <w:rStyle w:val="aa"/>
                <w:rFonts w:ascii="Times New Roman" w:hAnsi="Times New Roman" w:hint="eastAsia"/>
                <w:sz w:val="18"/>
                <w:szCs w:val="18"/>
              </w:rPr>
              <w:t>注册情况</w:t>
            </w:r>
          </w:p>
        </w:tc>
      </w:tr>
      <w:tr w:rsidR="00113A51" w14:paraId="0D93F6C5" w14:textId="77777777" w:rsidTr="00C707CF">
        <w:trPr>
          <w:cantSplit/>
          <w:jc w:val="center"/>
        </w:trPr>
        <w:tc>
          <w:tcPr>
            <w:tcW w:w="418" w:type="dxa"/>
            <w:tcMar>
              <w:top w:w="10" w:type="dxa"/>
              <w:left w:w="10" w:type="dxa"/>
              <w:bottom w:w="10" w:type="dxa"/>
              <w:right w:w="10" w:type="dxa"/>
            </w:tcMar>
            <w:vAlign w:val="center"/>
          </w:tcPr>
          <w:p w14:paraId="3B6C493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w:t>
            </w:r>
          </w:p>
        </w:tc>
        <w:tc>
          <w:tcPr>
            <w:tcW w:w="1530" w:type="dxa"/>
            <w:tcMar>
              <w:top w:w="10" w:type="dxa"/>
              <w:left w:w="10" w:type="dxa"/>
              <w:bottom w:w="10" w:type="dxa"/>
              <w:right w:w="10" w:type="dxa"/>
            </w:tcMar>
            <w:vAlign w:val="center"/>
          </w:tcPr>
          <w:p w14:paraId="0BAAE89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2F32308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20172220323</w:t>
            </w:r>
          </w:p>
        </w:tc>
        <w:tc>
          <w:tcPr>
            <w:tcW w:w="425" w:type="dxa"/>
            <w:tcMar>
              <w:top w:w="10" w:type="dxa"/>
              <w:left w:w="10" w:type="dxa"/>
              <w:bottom w:w="10" w:type="dxa"/>
              <w:right w:w="10" w:type="dxa"/>
            </w:tcMar>
            <w:vAlign w:val="center"/>
          </w:tcPr>
          <w:p w14:paraId="0E524CB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460F14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本产品与配套血糖试条配合使用，用于末梢全血葡萄糖测试。可用于医疗机构血糖测试、糖尿病患者或其他人群进行自我血糖监测。本产品只用于血糖水平的监测，不适用于糖尿病的最终诊断。</w:t>
            </w:r>
          </w:p>
        </w:tc>
        <w:tc>
          <w:tcPr>
            <w:tcW w:w="992" w:type="dxa"/>
            <w:tcMar>
              <w:top w:w="10" w:type="dxa"/>
              <w:left w:w="10" w:type="dxa"/>
              <w:bottom w:w="10" w:type="dxa"/>
              <w:right w:w="10" w:type="dxa"/>
            </w:tcMar>
            <w:vAlign w:val="center"/>
          </w:tcPr>
          <w:p w14:paraId="569A498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2027.10.24</w:t>
            </w:r>
          </w:p>
        </w:tc>
        <w:tc>
          <w:tcPr>
            <w:tcW w:w="1276" w:type="dxa"/>
            <w:tcMar>
              <w:top w:w="10" w:type="dxa"/>
              <w:left w:w="10" w:type="dxa"/>
              <w:bottom w:w="10" w:type="dxa"/>
              <w:right w:w="10" w:type="dxa"/>
            </w:tcMar>
            <w:vAlign w:val="center"/>
          </w:tcPr>
          <w:p w14:paraId="5A333B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3A69E36" w14:textId="77777777" w:rsidTr="00C707CF">
        <w:trPr>
          <w:cantSplit/>
          <w:jc w:val="center"/>
        </w:trPr>
        <w:tc>
          <w:tcPr>
            <w:tcW w:w="418" w:type="dxa"/>
            <w:tcMar>
              <w:top w:w="10" w:type="dxa"/>
              <w:left w:w="10" w:type="dxa"/>
              <w:bottom w:w="10" w:type="dxa"/>
              <w:right w:w="10" w:type="dxa"/>
            </w:tcMar>
            <w:vAlign w:val="center"/>
          </w:tcPr>
          <w:p w14:paraId="7B33DBA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w:t>
            </w:r>
          </w:p>
        </w:tc>
        <w:tc>
          <w:tcPr>
            <w:tcW w:w="1530" w:type="dxa"/>
            <w:tcMar>
              <w:top w:w="10" w:type="dxa"/>
              <w:left w:w="10" w:type="dxa"/>
              <w:bottom w:w="10" w:type="dxa"/>
              <w:right w:w="10" w:type="dxa"/>
            </w:tcMar>
            <w:vAlign w:val="center"/>
          </w:tcPr>
          <w:p w14:paraId="3998FF6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5BCB4B0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20172220337</w:t>
            </w:r>
          </w:p>
        </w:tc>
        <w:tc>
          <w:tcPr>
            <w:tcW w:w="425" w:type="dxa"/>
            <w:tcMar>
              <w:top w:w="10" w:type="dxa"/>
              <w:left w:w="10" w:type="dxa"/>
              <w:bottom w:w="10" w:type="dxa"/>
              <w:right w:w="10" w:type="dxa"/>
            </w:tcMar>
            <w:vAlign w:val="center"/>
          </w:tcPr>
          <w:p w14:paraId="7321AB0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6C7DD2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体外检测新鲜毛细血管全血、静脉全血中葡萄糖浓度，可用于医疗机构血糖测试、糖尿病患者或其他人群进行血糖自我监测。本产品只用于血糖水平的监测，不适用于糖尿病的最终诊断。</w:t>
            </w:r>
          </w:p>
        </w:tc>
        <w:tc>
          <w:tcPr>
            <w:tcW w:w="992" w:type="dxa"/>
            <w:tcMar>
              <w:top w:w="10" w:type="dxa"/>
              <w:left w:w="10" w:type="dxa"/>
              <w:bottom w:w="10" w:type="dxa"/>
              <w:right w:w="10" w:type="dxa"/>
            </w:tcMar>
            <w:vAlign w:val="center"/>
          </w:tcPr>
          <w:p w14:paraId="71CF6BD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2027.11.29</w:t>
            </w:r>
          </w:p>
        </w:tc>
        <w:tc>
          <w:tcPr>
            <w:tcW w:w="1276" w:type="dxa"/>
            <w:tcMar>
              <w:top w:w="10" w:type="dxa"/>
              <w:left w:w="10" w:type="dxa"/>
              <w:bottom w:w="10" w:type="dxa"/>
              <w:right w:w="10" w:type="dxa"/>
            </w:tcMar>
            <w:vAlign w:val="center"/>
          </w:tcPr>
          <w:p w14:paraId="3DE352E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4E51A58" w14:textId="77777777" w:rsidTr="00C707CF">
        <w:trPr>
          <w:cantSplit/>
          <w:jc w:val="center"/>
        </w:trPr>
        <w:tc>
          <w:tcPr>
            <w:tcW w:w="418" w:type="dxa"/>
            <w:tcMar>
              <w:top w:w="10" w:type="dxa"/>
              <w:left w:w="10" w:type="dxa"/>
              <w:bottom w:w="10" w:type="dxa"/>
              <w:right w:w="10" w:type="dxa"/>
            </w:tcMar>
            <w:vAlign w:val="center"/>
          </w:tcPr>
          <w:p w14:paraId="2309CDA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w:t>
            </w:r>
          </w:p>
        </w:tc>
        <w:tc>
          <w:tcPr>
            <w:tcW w:w="1530" w:type="dxa"/>
            <w:tcMar>
              <w:top w:w="10" w:type="dxa"/>
              <w:left w:w="10" w:type="dxa"/>
              <w:bottom w:w="10" w:type="dxa"/>
              <w:right w:w="10" w:type="dxa"/>
            </w:tcMar>
            <w:vAlign w:val="center"/>
          </w:tcPr>
          <w:p w14:paraId="3F7A3CF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血糖测试仪</w:t>
            </w:r>
          </w:p>
        </w:tc>
        <w:tc>
          <w:tcPr>
            <w:tcW w:w="1134" w:type="dxa"/>
            <w:tcMar>
              <w:top w:w="10" w:type="dxa"/>
              <w:left w:w="10" w:type="dxa"/>
              <w:bottom w:w="10" w:type="dxa"/>
              <w:right w:w="10" w:type="dxa"/>
            </w:tcMar>
            <w:vAlign w:val="center"/>
          </w:tcPr>
          <w:p w14:paraId="74C5DAE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20172220336</w:t>
            </w:r>
          </w:p>
        </w:tc>
        <w:tc>
          <w:tcPr>
            <w:tcW w:w="425" w:type="dxa"/>
            <w:tcMar>
              <w:top w:w="10" w:type="dxa"/>
              <w:left w:w="10" w:type="dxa"/>
              <w:bottom w:w="10" w:type="dxa"/>
              <w:right w:w="10" w:type="dxa"/>
            </w:tcMar>
            <w:vAlign w:val="center"/>
          </w:tcPr>
          <w:p w14:paraId="7930516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F5A2E6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测试条配合使用，用于体外检测新鲜毛细血管全血、静脉全血中的葡萄糖浓度，可用于医疗机构血糖测试、糖尿病患者或其他人群进行血糖自我监测。本产品只用于血糖水平的监测，不适用于糖尿病的最终诊断。</w:t>
            </w:r>
          </w:p>
        </w:tc>
        <w:tc>
          <w:tcPr>
            <w:tcW w:w="992" w:type="dxa"/>
            <w:tcMar>
              <w:top w:w="10" w:type="dxa"/>
              <w:left w:w="10" w:type="dxa"/>
              <w:bottom w:w="10" w:type="dxa"/>
              <w:right w:w="10" w:type="dxa"/>
            </w:tcMar>
            <w:vAlign w:val="center"/>
          </w:tcPr>
          <w:p w14:paraId="2EB87C4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2027.11.29</w:t>
            </w:r>
          </w:p>
        </w:tc>
        <w:tc>
          <w:tcPr>
            <w:tcW w:w="1276" w:type="dxa"/>
            <w:tcMar>
              <w:top w:w="10" w:type="dxa"/>
              <w:left w:w="10" w:type="dxa"/>
              <w:bottom w:w="10" w:type="dxa"/>
              <w:right w:w="10" w:type="dxa"/>
            </w:tcMar>
            <w:vAlign w:val="center"/>
          </w:tcPr>
          <w:p w14:paraId="0297516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2C1F774" w14:textId="77777777" w:rsidTr="00C707CF">
        <w:trPr>
          <w:cantSplit/>
          <w:jc w:val="center"/>
        </w:trPr>
        <w:tc>
          <w:tcPr>
            <w:tcW w:w="418" w:type="dxa"/>
            <w:tcMar>
              <w:top w:w="10" w:type="dxa"/>
              <w:left w:w="10" w:type="dxa"/>
              <w:bottom w:w="10" w:type="dxa"/>
              <w:right w:w="10" w:type="dxa"/>
            </w:tcMar>
            <w:vAlign w:val="center"/>
          </w:tcPr>
          <w:p w14:paraId="69A17DC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w:t>
            </w:r>
          </w:p>
        </w:tc>
        <w:tc>
          <w:tcPr>
            <w:tcW w:w="1530" w:type="dxa"/>
            <w:tcMar>
              <w:top w:w="10" w:type="dxa"/>
              <w:left w:w="10" w:type="dxa"/>
              <w:bottom w:w="10" w:type="dxa"/>
              <w:right w:w="10" w:type="dxa"/>
            </w:tcMar>
            <w:vAlign w:val="center"/>
          </w:tcPr>
          <w:p w14:paraId="5D7CA4F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智能血糖仪</w:t>
            </w:r>
          </w:p>
        </w:tc>
        <w:tc>
          <w:tcPr>
            <w:tcW w:w="1134" w:type="dxa"/>
            <w:tcMar>
              <w:top w:w="10" w:type="dxa"/>
              <w:left w:w="10" w:type="dxa"/>
              <w:bottom w:w="10" w:type="dxa"/>
              <w:right w:w="10" w:type="dxa"/>
            </w:tcMar>
            <w:vAlign w:val="center"/>
          </w:tcPr>
          <w:p w14:paraId="19B0D39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20172220338</w:t>
            </w:r>
          </w:p>
        </w:tc>
        <w:tc>
          <w:tcPr>
            <w:tcW w:w="425" w:type="dxa"/>
            <w:tcMar>
              <w:top w:w="10" w:type="dxa"/>
              <w:left w:w="10" w:type="dxa"/>
              <w:bottom w:w="10" w:type="dxa"/>
              <w:right w:w="10" w:type="dxa"/>
            </w:tcMar>
            <w:vAlign w:val="center"/>
          </w:tcPr>
          <w:p w14:paraId="40FEB72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94D7B3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体外检测新鲜毛细血管全血、静脉全血中的葡萄糖浓度，可用于医疗机构血糖测试、糖尿病患者或其他人群进行血糖自我监测。本产品只用于血糖水平的监测，不适用于糖尿病的最终诊断。</w:t>
            </w:r>
          </w:p>
        </w:tc>
        <w:tc>
          <w:tcPr>
            <w:tcW w:w="992" w:type="dxa"/>
            <w:tcMar>
              <w:top w:w="10" w:type="dxa"/>
              <w:left w:w="10" w:type="dxa"/>
              <w:bottom w:w="10" w:type="dxa"/>
              <w:right w:w="10" w:type="dxa"/>
            </w:tcMar>
            <w:vAlign w:val="center"/>
          </w:tcPr>
          <w:p w14:paraId="5EBCFAD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2027.11.29</w:t>
            </w:r>
          </w:p>
        </w:tc>
        <w:tc>
          <w:tcPr>
            <w:tcW w:w="1276" w:type="dxa"/>
            <w:tcMar>
              <w:top w:w="10" w:type="dxa"/>
              <w:left w:w="10" w:type="dxa"/>
              <w:bottom w:w="10" w:type="dxa"/>
              <w:right w:w="10" w:type="dxa"/>
            </w:tcMar>
            <w:vAlign w:val="center"/>
          </w:tcPr>
          <w:p w14:paraId="2255814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4DD0C3A" w14:textId="77777777" w:rsidTr="00C707CF">
        <w:trPr>
          <w:cantSplit/>
          <w:jc w:val="center"/>
        </w:trPr>
        <w:tc>
          <w:tcPr>
            <w:tcW w:w="418" w:type="dxa"/>
            <w:tcMar>
              <w:top w:w="10" w:type="dxa"/>
              <w:left w:w="10" w:type="dxa"/>
              <w:bottom w:w="10" w:type="dxa"/>
              <w:right w:w="10" w:type="dxa"/>
            </w:tcMar>
            <w:vAlign w:val="center"/>
          </w:tcPr>
          <w:p w14:paraId="0117006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w:t>
            </w:r>
          </w:p>
        </w:tc>
        <w:tc>
          <w:tcPr>
            <w:tcW w:w="1530" w:type="dxa"/>
            <w:tcMar>
              <w:top w:w="10" w:type="dxa"/>
              <w:left w:w="10" w:type="dxa"/>
              <w:bottom w:w="10" w:type="dxa"/>
              <w:right w:w="10" w:type="dxa"/>
            </w:tcMar>
            <w:vAlign w:val="center"/>
          </w:tcPr>
          <w:p w14:paraId="0B0FE4F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血糖尿酸测试仪</w:t>
            </w:r>
          </w:p>
        </w:tc>
        <w:tc>
          <w:tcPr>
            <w:tcW w:w="1134" w:type="dxa"/>
            <w:tcMar>
              <w:top w:w="10" w:type="dxa"/>
              <w:left w:w="10" w:type="dxa"/>
              <w:bottom w:w="10" w:type="dxa"/>
              <w:right w:w="10" w:type="dxa"/>
            </w:tcMar>
            <w:vAlign w:val="center"/>
          </w:tcPr>
          <w:p w14:paraId="49CECA0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20172220324</w:t>
            </w:r>
          </w:p>
        </w:tc>
        <w:tc>
          <w:tcPr>
            <w:tcW w:w="425" w:type="dxa"/>
            <w:tcMar>
              <w:top w:w="10" w:type="dxa"/>
              <w:left w:w="10" w:type="dxa"/>
              <w:bottom w:w="10" w:type="dxa"/>
              <w:right w:w="10" w:type="dxa"/>
            </w:tcMar>
            <w:vAlign w:val="center"/>
          </w:tcPr>
          <w:p w14:paraId="78396E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987774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血糖尿酸测试仪与配套血糖测试条或者尿酸测试条配套使用，分别用于毛细血管全血或静脉全血的葡萄糖、尿酸浓度测试。</w:t>
            </w:r>
          </w:p>
        </w:tc>
        <w:tc>
          <w:tcPr>
            <w:tcW w:w="992" w:type="dxa"/>
            <w:tcMar>
              <w:top w:w="10" w:type="dxa"/>
              <w:left w:w="10" w:type="dxa"/>
              <w:bottom w:w="10" w:type="dxa"/>
              <w:right w:w="10" w:type="dxa"/>
            </w:tcMar>
            <w:vAlign w:val="center"/>
          </w:tcPr>
          <w:p w14:paraId="7067238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2027.10.24</w:t>
            </w:r>
          </w:p>
        </w:tc>
        <w:tc>
          <w:tcPr>
            <w:tcW w:w="1276" w:type="dxa"/>
            <w:tcMar>
              <w:top w:w="10" w:type="dxa"/>
              <w:left w:w="10" w:type="dxa"/>
              <w:bottom w:w="10" w:type="dxa"/>
              <w:right w:w="10" w:type="dxa"/>
            </w:tcMar>
            <w:vAlign w:val="center"/>
          </w:tcPr>
          <w:p w14:paraId="42A0D03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3AA526C" w14:textId="77777777" w:rsidTr="00C707CF">
        <w:trPr>
          <w:cantSplit/>
          <w:jc w:val="center"/>
        </w:trPr>
        <w:tc>
          <w:tcPr>
            <w:tcW w:w="418" w:type="dxa"/>
            <w:tcMar>
              <w:top w:w="10" w:type="dxa"/>
              <w:left w:w="10" w:type="dxa"/>
              <w:bottom w:w="10" w:type="dxa"/>
              <w:right w:w="10" w:type="dxa"/>
            </w:tcMar>
            <w:vAlign w:val="center"/>
          </w:tcPr>
          <w:p w14:paraId="0D2AD10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w:t>
            </w:r>
          </w:p>
        </w:tc>
        <w:tc>
          <w:tcPr>
            <w:tcW w:w="1530" w:type="dxa"/>
            <w:tcMar>
              <w:top w:w="10" w:type="dxa"/>
              <w:left w:w="10" w:type="dxa"/>
              <w:bottom w:w="10" w:type="dxa"/>
              <w:right w:w="10" w:type="dxa"/>
            </w:tcMar>
            <w:vAlign w:val="center"/>
          </w:tcPr>
          <w:p w14:paraId="286E917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手机血糖仪</w:t>
            </w:r>
          </w:p>
        </w:tc>
        <w:tc>
          <w:tcPr>
            <w:tcW w:w="1134" w:type="dxa"/>
            <w:tcMar>
              <w:top w:w="10" w:type="dxa"/>
              <w:left w:w="10" w:type="dxa"/>
              <w:bottom w:w="10" w:type="dxa"/>
              <w:right w:w="10" w:type="dxa"/>
            </w:tcMar>
            <w:vAlign w:val="center"/>
          </w:tcPr>
          <w:p w14:paraId="11512CD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20182220020</w:t>
            </w:r>
          </w:p>
        </w:tc>
        <w:tc>
          <w:tcPr>
            <w:tcW w:w="425" w:type="dxa"/>
            <w:tcMar>
              <w:top w:w="10" w:type="dxa"/>
              <w:left w:w="10" w:type="dxa"/>
              <w:bottom w:w="10" w:type="dxa"/>
              <w:right w:w="10" w:type="dxa"/>
            </w:tcMar>
            <w:vAlign w:val="center"/>
          </w:tcPr>
          <w:p w14:paraId="4975E2B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184404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与配套的血糖试条配合使用，用于体外检测新鲜毛细血管全血和静脉全血中的葡萄糖浓度。可用于糖尿病患者或其他人群利用智能手机及其他智能设备的通信交互及数据管理功能，进行血糖监测及实时管理，可作为医务人员在临床环境下监测血糖的方法。本产品只用于血糖水平的监测，不适用于糖尿病的最终诊断。</w:t>
            </w:r>
          </w:p>
        </w:tc>
        <w:tc>
          <w:tcPr>
            <w:tcW w:w="992" w:type="dxa"/>
            <w:tcMar>
              <w:top w:w="10" w:type="dxa"/>
              <w:left w:w="10" w:type="dxa"/>
              <w:bottom w:w="10" w:type="dxa"/>
              <w:right w:w="10" w:type="dxa"/>
            </w:tcMar>
            <w:vAlign w:val="center"/>
          </w:tcPr>
          <w:p w14:paraId="487B9A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2028.02.10</w:t>
            </w:r>
          </w:p>
        </w:tc>
        <w:tc>
          <w:tcPr>
            <w:tcW w:w="1276" w:type="dxa"/>
            <w:tcMar>
              <w:top w:w="10" w:type="dxa"/>
              <w:left w:w="10" w:type="dxa"/>
              <w:bottom w:w="10" w:type="dxa"/>
              <w:right w:w="10" w:type="dxa"/>
            </w:tcMar>
            <w:vAlign w:val="center"/>
          </w:tcPr>
          <w:p w14:paraId="30D6598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C089C7C" w14:textId="77777777" w:rsidTr="00C707CF">
        <w:trPr>
          <w:cantSplit/>
          <w:jc w:val="center"/>
        </w:trPr>
        <w:tc>
          <w:tcPr>
            <w:tcW w:w="418" w:type="dxa"/>
            <w:tcMar>
              <w:top w:w="10" w:type="dxa"/>
              <w:left w:w="10" w:type="dxa"/>
              <w:bottom w:w="10" w:type="dxa"/>
              <w:right w:w="10" w:type="dxa"/>
            </w:tcMar>
            <w:vAlign w:val="center"/>
          </w:tcPr>
          <w:p w14:paraId="24E2B79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w:t>
            </w:r>
          </w:p>
        </w:tc>
        <w:tc>
          <w:tcPr>
            <w:tcW w:w="1530" w:type="dxa"/>
            <w:tcMar>
              <w:top w:w="10" w:type="dxa"/>
              <w:left w:w="10" w:type="dxa"/>
              <w:bottom w:w="10" w:type="dxa"/>
              <w:right w:w="10" w:type="dxa"/>
            </w:tcMar>
            <w:vAlign w:val="center"/>
          </w:tcPr>
          <w:p w14:paraId="0BE2FBB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血糖测试系统</w:t>
            </w:r>
          </w:p>
        </w:tc>
        <w:tc>
          <w:tcPr>
            <w:tcW w:w="1134" w:type="dxa"/>
            <w:tcMar>
              <w:top w:w="10" w:type="dxa"/>
              <w:left w:w="10" w:type="dxa"/>
              <w:bottom w:w="10" w:type="dxa"/>
              <w:right w:w="10" w:type="dxa"/>
            </w:tcMar>
            <w:vAlign w:val="center"/>
          </w:tcPr>
          <w:p w14:paraId="18B9AA0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20142400030</w:t>
            </w:r>
          </w:p>
        </w:tc>
        <w:tc>
          <w:tcPr>
            <w:tcW w:w="425" w:type="dxa"/>
            <w:tcMar>
              <w:top w:w="10" w:type="dxa"/>
              <w:left w:w="10" w:type="dxa"/>
              <w:bottom w:w="10" w:type="dxa"/>
              <w:right w:w="10" w:type="dxa"/>
            </w:tcMar>
            <w:vAlign w:val="center"/>
          </w:tcPr>
          <w:p w14:paraId="5D84AB4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FE64C4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新鲜毛细血管全血、静脉全血、动脉全血中葡萄糖测试，可用于医疗机构快速血糖测试、糖尿病患者或其他人群进行自我血糖监测。本产品只用于血糖水平的监测及血糖异常的初筛，不适用于糖尿病的最终诊断。静脉全血、动脉全血的检测需由医务人员操作。本产品可由专业人员使用，也可由非专业用户自测使用。</w:t>
            </w:r>
          </w:p>
        </w:tc>
        <w:tc>
          <w:tcPr>
            <w:tcW w:w="992" w:type="dxa"/>
            <w:tcMar>
              <w:top w:w="10" w:type="dxa"/>
              <w:left w:w="10" w:type="dxa"/>
              <w:bottom w:w="10" w:type="dxa"/>
              <w:right w:w="10" w:type="dxa"/>
            </w:tcMar>
            <w:vAlign w:val="center"/>
          </w:tcPr>
          <w:p w14:paraId="6A58681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2029.11.07</w:t>
            </w:r>
          </w:p>
        </w:tc>
        <w:tc>
          <w:tcPr>
            <w:tcW w:w="1276" w:type="dxa"/>
            <w:tcMar>
              <w:top w:w="10" w:type="dxa"/>
              <w:left w:w="10" w:type="dxa"/>
              <w:bottom w:w="10" w:type="dxa"/>
              <w:right w:w="10" w:type="dxa"/>
            </w:tcMar>
            <w:vAlign w:val="center"/>
          </w:tcPr>
          <w:p w14:paraId="2BC3481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BAF1E6F" w14:textId="77777777" w:rsidTr="00C707CF">
        <w:trPr>
          <w:cantSplit/>
          <w:jc w:val="center"/>
        </w:trPr>
        <w:tc>
          <w:tcPr>
            <w:tcW w:w="418" w:type="dxa"/>
            <w:tcMar>
              <w:top w:w="10" w:type="dxa"/>
              <w:left w:w="10" w:type="dxa"/>
              <w:bottom w:w="10" w:type="dxa"/>
              <w:right w:w="10" w:type="dxa"/>
            </w:tcMar>
            <w:vAlign w:val="center"/>
          </w:tcPr>
          <w:p w14:paraId="4EB275D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w:t>
            </w:r>
          </w:p>
        </w:tc>
        <w:tc>
          <w:tcPr>
            <w:tcW w:w="1530" w:type="dxa"/>
            <w:tcMar>
              <w:top w:w="10" w:type="dxa"/>
              <w:left w:w="10" w:type="dxa"/>
              <w:bottom w:w="10" w:type="dxa"/>
              <w:right w:w="10" w:type="dxa"/>
            </w:tcMar>
            <w:vAlign w:val="center"/>
          </w:tcPr>
          <w:p w14:paraId="525F35C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726EDC2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20162220048</w:t>
            </w:r>
          </w:p>
        </w:tc>
        <w:tc>
          <w:tcPr>
            <w:tcW w:w="425" w:type="dxa"/>
            <w:tcMar>
              <w:top w:w="10" w:type="dxa"/>
              <w:left w:w="10" w:type="dxa"/>
              <w:bottom w:w="10" w:type="dxa"/>
              <w:right w:w="10" w:type="dxa"/>
            </w:tcMar>
            <w:vAlign w:val="center"/>
          </w:tcPr>
          <w:p w14:paraId="22E139F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BD5AF3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本产品与配套血糖试条配合使用，用于全血血样中葡萄糖测试，可用于医疗机构快速血糖测试、糖尿病患者或其他人群自我血糖监测。本产品只用于血糖水平的监测，不适用于糖尿病的最终诊断。</w:t>
            </w:r>
          </w:p>
        </w:tc>
        <w:tc>
          <w:tcPr>
            <w:tcW w:w="992" w:type="dxa"/>
            <w:tcMar>
              <w:top w:w="10" w:type="dxa"/>
              <w:left w:w="10" w:type="dxa"/>
              <w:bottom w:w="10" w:type="dxa"/>
              <w:right w:w="10" w:type="dxa"/>
            </w:tcMar>
            <w:vAlign w:val="center"/>
          </w:tcPr>
          <w:p w14:paraId="65C402D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2030.11.26</w:t>
            </w:r>
          </w:p>
        </w:tc>
        <w:tc>
          <w:tcPr>
            <w:tcW w:w="1276" w:type="dxa"/>
            <w:tcMar>
              <w:top w:w="10" w:type="dxa"/>
              <w:left w:w="10" w:type="dxa"/>
              <w:bottom w:w="10" w:type="dxa"/>
              <w:right w:w="10" w:type="dxa"/>
            </w:tcMar>
            <w:vAlign w:val="center"/>
          </w:tcPr>
          <w:p w14:paraId="5BF7319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2025.07.14</w:t>
            </w:r>
            <w:r>
              <w:rPr>
                <w:rFonts w:ascii="Times New Roman" w:hAnsi="Times New Roman" w:hint="eastAsia"/>
                <w:sz w:val="18"/>
                <w:szCs w:val="18"/>
              </w:rPr>
              <w:t>获批延续注册</w:t>
            </w:r>
          </w:p>
        </w:tc>
      </w:tr>
      <w:tr w:rsidR="00113A51" w14:paraId="4E26F830" w14:textId="77777777" w:rsidTr="00C707CF">
        <w:trPr>
          <w:cantSplit/>
          <w:jc w:val="center"/>
        </w:trPr>
        <w:tc>
          <w:tcPr>
            <w:tcW w:w="418" w:type="dxa"/>
            <w:tcMar>
              <w:top w:w="10" w:type="dxa"/>
              <w:left w:w="10" w:type="dxa"/>
              <w:bottom w:w="10" w:type="dxa"/>
              <w:right w:w="10" w:type="dxa"/>
            </w:tcMar>
            <w:vAlign w:val="center"/>
          </w:tcPr>
          <w:p w14:paraId="065E3FF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w:t>
            </w:r>
          </w:p>
        </w:tc>
        <w:tc>
          <w:tcPr>
            <w:tcW w:w="1530" w:type="dxa"/>
            <w:tcMar>
              <w:top w:w="10" w:type="dxa"/>
              <w:left w:w="10" w:type="dxa"/>
              <w:bottom w:w="10" w:type="dxa"/>
              <w:right w:w="10" w:type="dxa"/>
            </w:tcMar>
            <w:vAlign w:val="center"/>
          </w:tcPr>
          <w:p w14:paraId="5F3257A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4FFEC11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20162220082</w:t>
            </w:r>
          </w:p>
        </w:tc>
        <w:tc>
          <w:tcPr>
            <w:tcW w:w="425" w:type="dxa"/>
            <w:tcMar>
              <w:top w:w="10" w:type="dxa"/>
              <w:left w:w="10" w:type="dxa"/>
              <w:bottom w:w="10" w:type="dxa"/>
              <w:right w:w="10" w:type="dxa"/>
            </w:tcMar>
            <w:vAlign w:val="center"/>
          </w:tcPr>
          <w:p w14:paraId="3412519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9F7C0F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中的葡萄糖浓度，也可用于静脉全血葡萄糖浓度检测；本产品可以由专业人士或患有糖尿病的用户在家中或在医疗单位进行血糖监测。本产品只用于糖尿病患者血糖水平的监测，不能用于糖尿病的诊断和筛查。</w:t>
            </w:r>
          </w:p>
        </w:tc>
        <w:tc>
          <w:tcPr>
            <w:tcW w:w="992" w:type="dxa"/>
            <w:tcMar>
              <w:top w:w="10" w:type="dxa"/>
              <w:left w:w="10" w:type="dxa"/>
              <w:bottom w:w="10" w:type="dxa"/>
              <w:right w:w="10" w:type="dxa"/>
            </w:tcMar>
            <w:vAlign w:val="center"/>
          </w:tcPr>
          <w:p w14:paraId="29C85B7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2030.04.19</w:t>
            </w:r>
          </w:p>
        </w:tc>
        <w:tc>
          <w:tcPr>
            <w:tcW w:w="1276" w:type="dxa"/>
            <w:tcMar>
              <w:top w:w="10" w:type="dxa"/>
              <w:left w:w="10" w:type="dxa"/>
              <w:bottom w:w="10" w:type="dxa"/>
              <w:right w:w="10" w:type="dxa"/>
            </w:tcMar>
            <w:vAlign w:val="center"/>
          </w:tcPr>
          <w:p w14:paraId="486FF231" w14:textId="77777777" w:rsidR="00113A51" w:rsidRDefault="00766EC7">
            <w:pPr>
              <w:pStyle w:val="a9"/>
              <w:spacing w:before="0" w:beforeAutospacing="0" w:after="0" w:afterAutospacing="0"/>
              <w:jc w:val="center"/>
              <w:rPr>
                <w:rFonts w:ascii="Times New Roman" w:hAnsi="Times New Roman"/>
                <w:sz w:val="21"/>
                <w:szCs w:val="18"/>
              </w:rPr>
            </w:pPr>
            <w:r>
              <w:rPr>
                <w:rFonts w:ascii="Times New Roman" w:hAnsi="Times New Roman" w:cs="Times New Roman"/>
                <w:sz w:val="18"/>
                <w:szCs w:val="18"/>
              </w:rPr>
              <w:t>2025.06.13</w:t>
            </w:r>
            <w:r>
              <w:rPr>
                <w:rFonts w:ascii="Times New Roman" w:hAnsi="Times New Roman" w:hint="eastAsia"/>
                <w:sz w:val="18"/>
                <w:szCs w:val="18"/>
              </w:rPr>
              <w:t>获批变更注册</w:t>
            </w:r>
          </w:p>
          <w:p w14:paraId="611C3A9A" w14:textId="77777777" w:rsidR="00113A51" w:rsidRDefault="00766EC7">
            <w:pPr>
              <w:pStyle w:val="a9"/>
              <w:spacing w:before="0" w:beforeAutospacing="0" w:after="0" w:afterAutospacing="0"/>
              <w:jc w:val="center"/>
              <w:rPr>
                <w:rFonts w:ascii="Times New Roman" w:hAnsi="Times New Roman"/>
                <w:sz w:val="21"/>
                <w:szCs w:val="18"/>
              </w:rPr>
            </w:pPr>
            <w:r>
              <w:rPr>
                <w:rFonts w:ascii="Times New Roman" w:hAnsi="Times New Roman" w:cs="Times New Roman"/>
                <w:sz w:val="18"/>
                <w:szCs w:val="18"/>
              </w:rPr>
              <w:t>2025.09.24</w:t>
            </w:r>
            <w:r>
              <w:rPr>
                <w:rFonts w:ascii="Times New Roman" w:hAnsi="Times New Roman" w:hint="eastAsia"/>
                <w:sz w:val="18"/>
                <w:szCs w:val="18"/>
              </w:rPr>
              <w:t>获批变更注册</w:t>
            </w:r>
          </w:p>
        </w:tc>
      </w:tr>
      <w:tr w:rsidR="00113A51" w14:paraId="1A811227" w14:textId="77777777" w:rsidTr="00C707CF">
        <w:trPr>
          <w:cantSplit/>
          <w:jc w:val="center"/>
        </w:trPr>
        <w:tc>
          <w:tcPr>
            <w:tcW w:w="418" w:type="dxa"/>
            <w:tcMar>
              <w:top w:w="10" w:type="dxa"/>
              <w:left w:w="10" w:type="dxa"/>
              <w:bottom w:w="10" w:type="dxa"/>
              <w:right w:w="10" w:type="dxa"/>
            </w:tcMar>
            <w:vAlign w:val="center"/>
          </w:tcPr>
          <w:p w14:paraId="33C104E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w:t>
            </w:r>
          </w:p>
        </w:tc>
        <w:tc>
          <w:tcPr>
            <w:tcW w:w="1530" w:type="dxa"/>
            <w:tcMar>
              <w:top w:w="10" w:type="dxa"/>
              <w:left w:w="10" w:type="dxa"/>
              <w:bottom w:w="10" w:type="dxa"/>
              <w:right w:w="10" w:type="dxa"/>
            </w:tcMar>
            <w:vAlign w:val="center"/>
          </w:tcPr>
          <w:p w14:paraId="1F5ECC5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4F4913D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20162220205</w:t>
            </w:r>
          </w:p>
        </w:tc>
        <w:tc>
          <w:tcPr>
            <w:tcW w:w="425" w:type="dxa"/>
            <w:tcMar>
              <w:top w:w="10" w:type="dxa"/>
              <w:left w:w="10" w:type="dxa"/>
              <w:bottom w:w="10" w:type="dxa"/>
              <w:right w:w="10" w:type="dxa"/>
            </w:tcMar>
            <w:vAlign w:val="center"/>
          </w:tcPr>
          <w:p w14:paraId="2D2A45E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D174DD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本产品用于全血血样中葡萄糖测试，可用于医疗机构快速血糖测试、糖尿病患者或其他人群进行自我血糖监测。本产品只用于血糖水平的监测，不适用于糖尿病的最终诊断。</w:t>
            </w:r>
          </w:p>
        </w:tc>
        <w:tc>
          <w:tcPr>
            <w:tcW w:w="992" w:type="dxa"/>
            <w:tcMar>
              <w:top w:w="10" w:type="dxa"/>
              <w:left w:w="10" w:type="dxa"/>
              <w:bottom w:w="10" w:type="dxa"/>
              <w:right w:w="10" w:type="dxa"/>
            </w:tcMar>
            <w:vAlign w:val="center"/>
          </w:tcPr>
          <w:p w14:paraId="2467D24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2026.03.29</w:t>
            </w:r>
          </w:p>
        </w:tc>
        <w:tc>
          <w:tcPr>
            <w:tcW w:w="1276" w:type="dxa"/>
            <w:tcMar>
              <w:top w:w="10" w:type="dxa"/>
              <w:left w:w="10" w:type="dxa"/>
              <w:bottom w:w="10" w:type="dxa"/>
              <w:right w:w="10" w:type="dxa"/>
            </w:tcMar>
            <w:vAlign w:val="center"/>
          </w:tcPr>
          <w:p w14:paraId="0FC2A46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ECF4B1F" w14:textId="77777777" w:rsidTr="00C707CF">
        <w:trPr>
          <w:cantSplit/>
          <w:jc w:val="center"/>
        </w:trPr>
        <w:tc>
          <w:tcPr>
            <w:tcW w:w="418" w:type="dxa"/>
            <w:tcMar>
              <w:top w:w="10" w:type="dxa"/>
              <w:left w:w="10" w:type="dxa"/>
              <w:bottom w:w="10" w:type="dxa"/>
              <w:right w:w="10" w:type="dxa"/>
            </w:tcMar>
            <w:vAlign w:val="center"/>
          </w:tcPr>
          <w:p w14:paraId="50A2849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w:t>
            </w:r>
          </w:p>
        </w:tc>
        <w:tc>
          <w:tcPr>
            <w:tcW w:w="1530" w:type="dxa"/>
            <w:tcMar>
              <w:top w:w="10" w:type="dxa"/>
              <w:left w:w="10" w:type="dxa"/>
              <w:bottom w:w="10" w:type="dxa"/>
              <w:right w:w="10" w:type="dxa"/>
            </w:tcMar>
            <w:vAlign w:val="center"/>
          </w:tcPr>
          <w:p w14:paraId="1323185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智能血糖仪</w:t>
            </w:r>
          </w:p>
        </w:tc>
        <w:tc>
          <w:tcPr>
            <w:tcW w:w="1134" w:type="dxa"/>
            <w:tcMar>
              <w:top w:w="10" w:type="dxa"/>
              <w:left w:w="10" w:type="dxa"/>
              <w:bottom w:w="10" w:type="dxa"/>
              <w:right w:w="10" w:type="dxa"/>
            </w:tcMar>
            <w:vAlign w:val="center"/>
          </w:tcPr>
          <w:p w14:paraId="0B7AE39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20162220324</w:t>
            </w:r>
          </w:p>
        </w:tc>
        <w:tc>
          <w:tcPr>
            <w:tcW w:w="425" w:type="dxa"/>
            <w:tcMar>
              <w:top w:w="10" w:type="dxa"/>
              <w:left w:w="10" w:type="dxa"/>
              <w:bottom w:w="10" w:type="dxa"/>
              <w:right w:w="10" w:type="dxa"/>
            </w:tcMar>
            <w:vAlign w:val="center"/>
          </w:tcPr>
          <w:p w14:paraId="15ED5CA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5505A4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本产品与配套血糖试条配合使用，用于全血血样中葡萄糖测试。本产品只用于血糖水平的监测，不适用于糖尿病的最终诊断</w:t>
            </w:r>
          </w:p>
        </w:tc>
        <w:tc>
          <w:tcPr>
            <w:tcW w:w="992" w:type="dxa"/>
            <w:tcMar>
              <w:top w:w="10" w:type="dxa"/>
              <w:left w:w="10" w:type="dxa"/>
              <w:bottom w:w="10" w:type="dxa"/>
              <w:right w:w="10" w:type="dxa"/>
            </w:tcMar>
            <w:vAlign w:val="center"/>
          </w:tcPr>
          <w:p w14:paraId="0192118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2026.06.10</w:t>
            </w:r>
          </w:p>
        </w:tc>
        <w:tc>
          <w:tcPr>
            <w:tcW w:w="1276" w:type="dxa"/>
            <w:tcMar>
              <w:top w:w="10" w:type="dxa"/>
              <w:left w:w="10" w:type="dxa"/>
              <w:bottom w:w="10" w:type="dxa"/>
              <w:right w:w="10" w:type="dxa"/>
            </w:tcMar>
            <w:vAlign w:val="center"/>
          </w:tcPr>
          <w:p w14:paraId="43A37D1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2025.10.30</w:t>
            </w:r>
            <w:r>
              <w:rPr>
                <w:rFonts w:ascii="Times New Roman" w:hAnsi="Times New Roman" w:hint="eastAsia"/>
                <w:sz w:val="18"/>
                <w:szCs w:val="18"/>
              </w:rPr>
              <w:t>获批变更注册</w:t>
            </w:r>
          </w:p>
        </w:tc>
      </w:tr>
      <w:tr w:rsidR="00113A51" w14:paraId="54359E3F" w14:textId="77777777" w:rsidTr="00C707CF">
        <w:trPr>
          <w:cantSplit/>
          <w:jc w:val="center"/>
        </w:trPr>
        <w:tc>
          <w:tcPr>
            <w:tcW w:w="418" w:type="dxa"/>
            <w:tcMar>
              <w:top w:w="10" w:type="dxa"/>
              <w:left w:w="10" w:type="dxa"/>
              <w:bottom w:w="10" w:type="dxa"/>
              <w:right w:w="10" w:type="dxa"/>
            </w:tcMar>
            <w:vAlign w:val="center"/>
          </w:tcPr>
          <w:p w14:paraId="07FBE25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w:t>
            </w:r>
          </w:p>
        </w:tc>
        <w:tc>
          <w:tcPr>
            <w:tcW w:w="1530" w:type="dxa"/>
            <w:tcMar>
              <w:top w:w="10" w:type="dxa"/>
              <w:left w:w="10" w:type="dxa"/>
              <w:bottom w:w="10" w:type="dxa"/>
              <w:right w:w="10" w:type="dxa"/>
            </w:tcMar>
            <w:vAlign w:val="center"/>
          </w:tcPr>
          <w:p w14:paraId="65A4A50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3840185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20162220328</w:t>
            </w:r>
          </w:p>
        </w:tc>
        <w:tc>
          <w:tcPr>
            <w:tcW w:w="425" w:type="dxa"/>
            <w:tcMar>
              <w:top w:w="10" w:type="dxa"/>
              <w:left w:w="10" w:type="dxa"/>
              <w:bottom w:w="10" w:type="dxa"/>
              <w:right w:w="10" w:type="dxa"/>
            </w:tcMar>
            <w:vAlign w:val="center"/>
          </w:tcPr>
          <w:p w14:paraId="1F76AB1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B98568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本产品与配套血糖试条配合使用，用于全血血样中葡萄糖测试，可用于医疗机构快速血糖测试、糖尿病患者或者其他人群进行自我血糖监测。本产品只用于血糖水平的监测，不适用于糖尿病的最终诊断。</w:t>
            </w:r>
          </w:p>
        </w:tc>
        <w:tc>
          <w:tcPr>
            <w:tcW w:w="992" w:type="dxa"/>
            <w:tcMar>
              <w:top w:w="10" w:type="dxa"/>
              <w:left w:w="10" w:type="dxa"/>
              <w:bottom w:w="10" w:type="dxa"/>
              <w:right w:w="10" w:type="dxa"/>
            </w:tcMar>
            <w:vAlign w:val="center"/>
          </w:tcPr>
          <w:p w14:paraId="0ADE7A3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2026.05.30</w:t>
            </w:r>
          </w:p>
        </w:tc>
        <w:tc>
          <w:tcPr>
            <w:tcW w:w="1276" w:type="dxa"/>
            <w:tcMar>
              <w:top w:w="10" w:type="dxa"/>
              <w:left w:w="10" w:type="dxa"/>
              <w:bottom w:w="10" w:type="dxa"/>
              <w:right w:w="10" w:type="dxa"/>
            </w:tcMar>
            <w:vAlign w:val="center"/>
          </w:tcPr>
          <w:p w14:paraId="081D045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2025.06.13</w:t>
            </w:r>
            <w:r>
              <w:rPr>
                <w:rFonts w:ascii="Times New Roman" w:hAnsi="Times New Roman" w:hint="eastAsia"/>
                <w:sz w:val="18"/>
                <w:szCs w:val="18"/>
              </w:rPr>
              <w:t>获批变更注册</w:t>
            </w:r>
          </w:p>
          <w:p w14:paraId="53D676E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2025.9.23</w:t>
            </w:r>
            <w:r>
              <w:rPr>
                <w:rFonts w:ascii="Times New Roman" w:hAnsi="Times New Roman" w:hint="eastAsia"/>
                <w:sz w:val="18"/>
                <w:szCs w:val="18"/>
              </w:rPr>
              <w:t>获批变更注册</w:t>
            </w:r>
          </w:p>
        </w:tc>
      </w:tr>
      <w:tr w:rsidR="00113A51" w14:paraId="5C4CDC03" w14:textId="77777777" w:rsidTr="00C707CF">
        <w:trPr>
          <w:cantSplit/>
          <w:jc w:val="center"/>
        </w:trPr>
        <w:tc>
          <w:tcPr>
            <w:tcW w:w="418" w:type="dxa"/>
            <w:tcMar>
              <w:top w:w="10" w:type="dxa"/>
              <w:left w:w="10" w:type="dxa"/>
              <w:bottom w:w="10" w:type="dxa"/>
              <w:right w:w="10" w:type="dxa"/>
            </w:tcMar>
            <w:vAlign w:val="center"/>
          </w:tcPr>
          <w:p w14:paraId="005091B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w:t>
            </w:r>
          </w:p>
        </w:tc>
        <w:tc>
          <w:tcPr>
            <w:tcW w:w="1530" w:type="dxa"/>
            <w:tcMar>
              <w:top w:w="10" w:type="dxa"/>
              <w:left w:w="10" w:type="dxa"/>
              <w:bottom w:w="10" w:type="dxa"/>
              <w:right w:w="10" w:type="dxa"/>
            </w:tcMar>
            <w:vAlign w:val="center"/>
          </w:tcPr>
          <w:p w14:paraId="7C76BC1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荧光免疫分析仪</w:t>
            </w:r>
          </w:p>
        </w:tc>
        <w:tc>
          <w:tcPr>
            <w:tcW w:w="1134" w:type="dxa"/>
            <w:tcMar>
              <w:top w:w="10" w:type="dxa"/>
              <w:left w:w="10" w:type="dxa"/>
              <w:bottom w:w="10" w:type="dxa"/>
              <w:right w:w="10" w:type="dxa"/>
            </w:tcMar>
            <w:vAlign w:val="center"/>
          </w:tcPr>
          <w:p w14:paraId="5E829DC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20172220045</w:t>
            </w:r>
          </w:p>
        </w:tc>
        <w:tc>
          <w:tcPr>
            <w:tcW w:w="425" w:type="dxa"/>
            <w:tcMar>
              <w:top w:w="10" w:type="dxa"/>
              <w:left w:w="10" w:type="dxa"/>
              <w:bottom w:w="10" w:type="dxa"/>
              <w:right w:w="10" w:type="dxa"/>
            </w:tcMar>
            <w:vAlign w:val="center"/>
          </w:tcPr>
          <w:p w14:paraId="26286CE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51733B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与适配的基于荧光免疫层析法的特定干式试剂配套，供人体样本的免疫荧光检测用。</w:t>
            </w:r>
          </w:p>
        </w:tc>
        <w:tc>
          <w:tcPr>
            <w:tcW w:w="992" w:type="dxa"/>
            <w:tcMar>
              <w:top w:w="10" w:type="dxa"/>
              <w:left w:w="10" w:type="dxa"/>
              <w:bottom w:w="10" w:type="dxa"/>
              <w:right w:w="10" w:type="dxa"/>
            </w:tcMar>
            <w:vAlign w:val="center"/>
          </w:tcPr>
          <w:p w14:paraId="26283E8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2026.10.19</w:t>
            </w:r>
          </w:p>
        </w:tc>
        <w:tc>
          <w:tcPr>
            <w:tcW w:w="1276" w:type="dxa"/>
            <w:tcMar>
              <w:top w:w="10" w:type="dxa"/>
              <w:left w:w="10" w:type="dxa"/>
              <w:bottom w:w="10" w:type="dxa"/>
              <w:right w:w="10" w:type="dxa"/>
            </w:tcMar>
            <w:vAlign w:val="center"/>
          </w:tcPr>
          <w:p w14:paraId="48A0A3F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1E0D90D" w14:textId="77777777" w:rsidTr="00C707CF">
        <w:trPr>
          <w:cantSplit/>
          <w:jc w:val="center"/>
        </w:trPr>
        <w:tc>
          <w:tcPr>
            <w:tcW w:w="418" w:type="dxa"/>
            <w:tcMar>
              <w:top w:w="10" w:type="dxa"/>
              <w:left w:w="10" w:type="dxa"/>
              <w:bottom w:w="10" w:type="dxa"/>
              <w:right w:w="10" w:type="dxa"/>
            </w:tcMar>
            <w:vAlign w:val="center"/>
          </w:tcPr>
          <w:p w14:paraId="6511D0D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w:t>
            </w:r>
          </w:p>
        </w:tc>
        <w:tc>
          <w:tcPr>
            <w:tcW w:w="1530" w:type="dxa"/>
            <w:tcMar>
              <w:top w:w="10" w:type="dxa"/>
              <w:left w:w="10" w:type="dxa"/>
              <w:bottom w:w="10" w:type="dxa"/>
              <w:right w:w="10" w:type="dxa"/>
            </w:tcMar>
            <w:vAlign w:val="center"/>
          </w:tcPr>
          <w:p w14:paraId="0B31412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便携式全自动生化分析仪</w:t>
            </w:r>
          </w:p>
        </w:tc>
        <w:tc>
          <w:tcPr>
            <w:tcW w:w="1134" w:type="dxa"/>
            <w:tcMar>
              <w:top w:w="10" w:type="dxa"/>
              <w:left w:w="10" w:type="dxa"/>
              <w:bottom w:w="10" w:type="dxa"/>
              <w:right w:w="10" w:type="dxa"/>
            </w:tcMar>
            <w:vAlign w:val="center"/>
          </w:tcPr>
          <w:p w14:paraId="073AE66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20172220247</w:t>
            </w:r>
          </w:p>
        </w:tc>
        <w:tc>
          <w:tcPr>
            <w:tcW w:w="425" w:type="dxa"/>
            <w:tcMar>
              <w:top w:w="10" w:type="dxa"/>
              <w:left w:w="10" w:type="dxa"/>
              <w:bottom w:w="10" w:type="dxa"/>
              <w:right w:w="10" w:type="dxa"/>
            </w:tcMar>
            <w:vAlign w:val="center"/>
          </w:tcPr>
          <w:p w14:paraId="6CF548E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183BC9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该产品与配套尿微量白蛋白</w:t>
            </w:r>
            <w:r>
              <w:rPr>
                <w:rFonts w:ascii="Times New Roman" w:hAnsi="Times New Roman" w:cs="Times New Roman"/>
                <w:sz w:val="18"/>
                <w:szCs w:val="18"/>
              </w:rPr>
              <w:t>/</w:t>
            </w:r>
            <w:r>
              <w:rPr>
                <w:rFonts w:ascii="Times New Roman" w:hAnsi="Times New Roman" w:hint="eastAsia"/>
                <w:sz w:val="18"/>
                <w:szCs w:val="18"/>
              </w:rPr>
              <w:t>肌酐检测试剂盒配合使用，适用于定量测定人尿液中微量白蛋白、肌酐和尿微量白蛋白</w:t>
            </w:r>
            <w:r>
              <w:rPr>
                <w:rFonts w:ascii="Times New Roman" w:hAnsi="Times New Roman" w:cs="Times New Roman"/>
                <w:sz w:val="18"/>
                <w:szCs w:val="18"/>
              </w:rPr>
              <w:t>/</w:t>
            </w:r>
            <w:r>
              <w:rPr>
                <w:rFonts w:ascii="Times New Roman" w:hAnsi="Times New Roman" w:hint="eastAsia"/>
                <w:sz w:val="18"/>
                <w:szCs w:val="18"/>
              </w:rPr>
              <w:t>肌酐比值（</w:t>
            </w:r>
            <w:r>
              <w:rPr>
                <w:rFonts w:ascii="Times New Roman" w:hAnsi="Times New Roman" w:cs="Times New Roman"/>
                <w:sz w:val="18"/>
                <w:szCs w:val="18"/>
              </w:rPr>
              <w:t>ACR</w:t>
            </w:r>
            <w:r>
              <w:rPr>
                <w:rFonts w:ascii="Times New Roman" w:hAnsi="Times New Roman" w:hint="eastAsia"/>
                <w:sz w:val="18"/>
                <w:szCs w:val="18"/>
              </w:rPr>
              <w:t>）。临床上主要用于早期肾损伤的辅助诊断。</w:t>
            </w:r>
          </w:p>
        </w:tc>
        <w:tc>
          <w:tcPr>
            <w:tcW w:w="992" w:type="dxa"/>
            <w:tcMar>
              <w:top w:w="10" w:type="dxa"/>
              <w:left w:w="10" w:type="dxa"/>
              <w:bottom w:w="10" w:type="dxa"/>
              <w:right w:w="10" w:type="dxa"/>
            </w:tcMar>
            <w:vAlign w:val="center"/>
          </w:tcPr>
          <w:p w14:paraId="26785CD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2027.09.14</w:t>
            </w:r>
          </w:p>
        </w:tc>
        <w:tc>
          <w:tcPr>
            <w:tcW w:w="1276" w:type="dxa"/>
            <w:tcMar>
              <w:top w:w="10" w:type="dxa"/>
              <w:left w:w="10" w:type="dxa"/>
              <w:bottom w:w="10" w:type="dxa"/>
              <w:right w:w="10" w:type="dxa"/>
            </w:tcMar>
            <w:vAlign w:val="center"/>
          </w:tcPr>
          <w:p w14:paraId="181BF60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90D7382" w14:textId="77777777" w:rsidTr="00C707CF">
        <w:trPr>
          <w:cantSplit/>
          <w:jc w:val="center"/>
        </w:trPr>
        <w:tc>
          <w:tcPr>
            <w:tcW w:w="418" w:type="dxa"/>
            <w:tcMar>
              <w:top w:w="10" w:type="dxa"/>
              <w:left w:w="10" w:type="dxa"/>
              <w:bottom w:w="10" w:type="dxa"/>
              <w:right w:w="10" w:type="dxa"/>
            </w:tcMar>
            <w:vAlign w:val="center"/>
          </w:tcPr>
          <w:p w14:paraId="00635DB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w:t>
            </w:r>
          </w:p>
        </w:tc>
        <w:tc>
          <w:tcPr>
            <w:tcW w:w="1530" w:type="dxa"/>
            <w:tcMar>
              <w:top w:w="10" w:type="dxa"/>
              <w:left w:w="10" w:type="dxa"/>
              <w:bottom w:w="10" w:type="dxa"/>
              <w:right w:w="10" w:type="dxa"/>
            </w:tcMar>
            <w:vAlign w:val="center"/>
          </w:tcPr>
          <w:p w14:paraId="4D9D72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便携式糖化血红蛋白分析仪</w:t>
            </w:r>
          </w:p>
        </w:tc>
        <w:tc>
          <w:tcPr>
            <w:tcW w:w="1134" w:type="dxa"/>
            <w:tcMar>
              <w:top w:w="10" w:type="dxa"/>
              <w:left w:w="10" w:type="dxa"/>
              <w:bottom w:w="10" w:type="dxa"/>
              <w:right w:w="10" w:type="dxa"/>
            </w:tcMar>
            <w:vAlign w:val="center"/>
          </w:tcPr>
          <w:p w14:paraId="0F58F68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20172220249</w:t>
            </w:r>
          </w:p>
        </w:tc>
        <w:tc>
          <w:tcPr>
            <w:tcW w:w="425" w:type="dxa"/>
            <w:tcMar>
              <w:top w:w="10" w:type="dxa"/>
              <w:left w:w="10" w:type="dxa"/>
              <w:bottom w:w="10" w:type="dxa"/>
              <w:right w:w="10" w:type="dxa"/>
            </w:tcMar>
            <w:vAlign w:val="center"/>
          </w:tcPr>
          <w:p w14:paraId="1CE67F9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B3CB42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该产品与配套糖化血红蛋白检测试剂盒配合使用，适用于检测人体全血中糖化血红蛋白的含量。该产品只用于糖尿病的辅助诊断和血糖水平的监控，不适用于糖尿病的最终诊断。</w:t>
            </w:r>
          </w:p>
        </w:tc>
        <w:tc>
          <w:tcPr>
            <w:tcW w:w="992" w:type="dxa"/>
            <w:tcMar>
              <w:top w:w="10" w:type="dxa"/>
              <w:left w:w="10" w:type="dxa"/>
              <w:bottom w:w="10" w:type="dxa"/>
              <w:right w:w="10" w:type="dxa"/>
            </w:tcMar>
            <w:vAlign w:val="center"/>
          </w:tcPr>
          <w:p w14:paraId="6852C77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2027.09.14</w:t>
            </w:r>
          </w:p>
        </w:tc>
        <w:tc>
          <w:tcPr>
            <w:tcW w:w="1276" w:type="dxa"/>
            <w:tcMar>
              <w:top w:w="10" w:type="dxa"/>
              <w:left w:w="10" w:type="dxa"/>
              <w:bottom w:w="10" w:type="dxa"/>
              <w:right w:w="10" w:type="dxa"/>
            </w:tcMar>
            <w:vAlign w:val="center"/>
          </w:tcPr>
          <w:p w14:paraId="33C742F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5B112CE" w14:textId="77777777" w:rsidTr="00C707CF">
        <w:trPr>
          <w:cantSplit/>
          <w:jc w:val="center"/>
        </w:trPr>
        <w:tc>
          <w:tcPr>
            <w:tcW w:w="418" w:type="dxa"/>
            <w:tcMar>
              <w:top w:w="10" w:type="dxa"/>
              <w:left w:w="10" w:type="dxa"/>
              <w:bottom w:w="10" w:type="dxa"/>
              <w:right w:w="10" w:type="dxa"/>
            </w:tcMar>
            <w:vAlign w:val="center"/>
          </w:tcPr>
          <w:p w14:paraId="3E131B6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w:t>
            </w:r>
          </w:p>
        </w:tc>
        <w:tc>
          <w:tcPr>
            <w:tcW w:w="1530" w:type="dxa"/>
            <w:tcMar>
              <w:top w:w="10" w:type="dxa"/>
              <w:left w:w="10" w:type="dxa"/>
              <w:bottom w:w="10" w:type="dxa"/>
              <w:right w:w="10" w:type="dxa"/>
            </w:tcMar>
            <w:vAlign w:val="center"/>
          </w:tcPr>
          <w:p w14:paraId="2EC1773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血糖血酮测试仪</w:t>
            </w:r>
          </w:p>
        </w:tc>
        <w:tc>
          <w:tcPr>
            <w:tcW w:w="1134" w:type="dxa"/>
            <w:tcMar>
              <w:top w:w="10" w:type="dxa"/>
              <w:left w:w="10" w:type="dxa"/>
              <w:bottom w:w="10" w:type="dxa"/>
              <w:right w:w="10" w:type="dxa"/>
            </w:tcMar>
            <w:vAlign w:val="center"/>
          </w:tcPr>
          <w:p w14:paraId="76477A8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20172220248</w:t>
            </w:r>
          </w:p>
        </w:tc>
        <w:tc>
          <w:tcPr>
            <w:tcW w:w="425" w:type="dxa"/>
            <w:tcMar>
              <w:top w:w="10" w:type="dxa"/>
              <w:left w:w="10" w:type="dxa"/>
              <w:bottom w:w="10" w:type="dxa"/>
              <w:right w:w="10" w:type="dxa"/>
            </w:tcMar>
            <w:vAlign w:val="center"/>
          </w:tcPr>
          <w:p w14:paraId="1CBB847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C37148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本产品用于全血血样中的葡萄糖、β</w:t>
            </w:r>
            <w:r>
              <w:rPr>
                <w:rFonts w:ascii="Times New Roman" w:hAnsi="Times New Roman" w:cs="Times New Roman"/>
                <w:sz w:val="18"/>
                <w:szCs w:val="18"/>
              </w:rPr>
              <w:t>-</w:t>
            </w:r>
            <w:r>
              <w:rPr>
                <w:rFonts w:ascii="Times New Roman" w:hAnsi="Times New Roman" w:hint="eastAsia"/>
                <w:sz w:val="18"/>
                <w:szCs w:val="18"/>
              </w:rPr>
              <w:t>羟丁酸浓度测试，只用于血糖、血酮水平的监测，不适用于糖尿病以及</w:t>
            </w:r>
            <w:r>
              <w:rPr>
                <w:rFonts w:ascii="Times New Roman" w:hAnsi="Times New Roman" w:cs="Times New Roman"/>
                <w:sz w:val="18"/>
                <w:szCs w:val="18"/>
              </w:rPr>
              <w:t>DKA</w:t>
            </w:r>
            <w:r>
              <w:rPr>
                <w:rFonts w:ascii="Times New Roman" w:hAnsi="Times New Roman" w:hint="eastAsia"/>
                <w:sz w:val="18"/>
                <w:szCs w:val="18"/>
              </w:rPr>
              <w:t>患者的最终诊断。</w:t>
            </w:r>
          </w:p>
        </w:tc>
        <w:tc>
          <w:tcPr>
            <w:tcW w:w="992" w:type="dxa"/>
            <w:tcMar>
              <w:top w:w="10" w:type="dxa"/>
              <w:left w:w="10" w:type="dxa"/>
              <w:bottom w:w="10" w:type="dxa"/>
              <w:right w:w="10" w:type="dxa"/>
            </w:tcMar>
            <w:vAlign w:val="center"/>
          </w:tcPr>
          <w:p w14:paraId="07FD469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2027.09.14</w:t>
            </w:r>
          </w:p>
        </w:tc>
        <w:tc>
          <w:tcPr>
            <w:tcW w:w="1276" w:type="dxa"/>
            <w:tcMar>
              <w:top w:w="10" w:type="dxa"/>
              <w:left w:w="10" w:type="dxa"/>
              <w:bottom w:w="10" w:type="dxa"/>
              <w:right w:w="10" w:type="dxa"/>
            </w:tcMar>
            <w:vAlign w:val="center"/>
          </w:tcPr>
          <w:p w14:paraId="15BA52E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B475D99" w14:textId="77777777" w:rsidTr="00C707CF">
        <w:trPr>
          <w:cantSplit/>
          <w:jc w:val="center"/>
        </w:trPr>
        <w:tc>
          <w:tcPr>
            <w:tcW w:w="418" w:type="dxa"/>
            <w:tcMar>
              <w:top w:w="10" w:type="dxa"/>
              <w:left w:w="10" w:type="dxa"/>
              <w:bottom w:w="10" w:type="dxa"/>
              <w:right w:w="10" w:type="dxa"/>
            </w:tcMar>
            <w:vAlign w:val="center"/>
          </w:tcPr>
          <w:p w14:paraId="1A42EA4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17</w:t>
            </w:r>
          </w:p>
        </w:tc>
        <w:tc>
          <w:tcPr>
            <w:tcW w:w="1530" w:type="dxa"/>
            <w:tcMar>
              <w:top w:w="10" w:type="dxa"/>
              <w:left w:w="10" w:type="dxa"/>
              <w:bottom w:w="10" w:type="dxa"/>
              <w:right w:w="10" w:type="dxa"/>
            </w:tcMar>
            <w:vAlign w:val="center"/>
          </w:tcPr>
          <w:p w14:paraId="5B93624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2DA2BA0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20182220004</w:t>
            </w:r>
          </w:p>
        </w:tc>
        <w:tc>
          <w:tcPr>
            <w:tcW w:w="425" w:type="dxa"/>
            <w:tcMar>
              <w:top w:w="10" w:type="dxa"/>
              <w:left w:w="10" w:type="dxa"/>
              <w:bottom w:w="10" w:type="dxa"/>
              <w:right w:w="10" w:type="dxa"/>
            </w:tcMar>
            <w:vAlign w:val="center"/>
          </w:tcPr>
          <w:p w14:paraId="5861B9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7DFF7A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本产品与配套血糖试条配合使用，用于全血血样中葡萄糖测试，可用于医疗机构血糖测试、糖尿病患者或其他人群进行自我血糖监测。本产品只用于血糖水平的监测，不适用于糖尿病的最终诊断。</w:t>
            </w:r>
          </w:p>
        </w:tc>
        <w:tc>
          <w:tcPr>
            <w:tcW w:w="992" w:type="dxa"/>
            <w:tcMar>
              <w:top w:w="10" w:type="dxa"/>
              <w:left w:w="10" w:type="dxa"/>
              <w:bottom w:w="10" w:type="dxa"/>
              <w:right w:w="10" w:type="dxa"/>
            </w:tcMar>
            <w:vAlign w:val="center"/>
          </w:tcPr>
          <w:p w14:paraId="36F8584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2028.01.17</w:t>
            </w:r>
          </w:p>
        </w:tc>
        <w:tc>
          <w:tcPr>
            <w:tcW w:w="1276" w:type="dxa"/>
            <w:tcMar>
              <w:top w:w="10" w:type="dxa"/>
              <w:left w:w="10" w:type="dxa"/>
              <w:bottom w:w="10" w:type="dxa"/>
              <w:right w:w="10" w:type="dxa"/>
            </w:tcMar>
            <w:vAlign w:val="center"/>
          </w:tcPr>
          <w:p w14:paraId="784241D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092B1E5" w14:textId="77777777" w:rsidTr="00C707CF">
        <w:trPr>
          <w:cantSplit/>
          <w:jc w:val="center"/>
        </w:trPr>
        <w:tc>
          <w:tcPr>
            <w:tcW w:w="418" w:type="dxa"/>
            <w:tcMar>
              <w:top w:w="10" w:type="dxa"/>
              <w:left w:w="10" w:type="dxa"/>
              <w:bottom w:w="10" w:type="dxa"/>
              <w:right w:w="10" w:type="dxa"/>
            </w:tcMar>
            <w:vAlign w:val="center"/>
          </w:tcPr>
          <w:p w14:paraId="60F6B9B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18</w:t>
            </w:r>
          </w:p>
        </w:tc>
        <w:tc>
          <w:tcPr>
            <w:tcW w:w="1530" w:type="dxa"/>
            <w:tcMar>
              <w:top w:w="10" w:type="dxa"/>
              <w:left w:w="10" w:type="dxa"/>
              <w:bottom w:w="10" w:type="dxa"/>
              <w:right w:w="10" w:type="dxa"/>
            </w:tcMar>
            <w:vAlign w:val="center"/>
          </w:tcPr>
          <w:p w14:paraId="729C2D8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晚期糖基化终末产物荧光检测仪</w:t>
            </w:r>
          </w:p>
        </w:tc>
        <w:tc>
          <w:tcPr>
            <w:tcW w:w="1134" w:type="dxa"/>
            <w:tcMar>
              <w:top w:w="10" w:type="dxa"/>
              <w:left w:w="10" w:type="dxa"/>
              <w:bottom w:w="10" w:type="dxa"/>
              <w:right w:w="10" w:type="dxa"/>
            </w:tcMar>
            <w:vAlign w:val="center"/>
          </w:tcPr>
          <w:p w14:paraId="5721906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20192160052</w:t>
            </w:r>
          </w:p>
        </w:tc>
        <w:tc>
          <w:tcPr>
            <w:tcW w:w="425" w:type="dxa"/>
            <w:tcMar>
              <w:top w:w="10" w:type="dxa"/>
              <w:left w:w="10" w:type="dxa"/>
              <w:bottom w:w="10" w:type="dxa"/>
              <w:right w:w="10" w:type="dxa"/>
            </w:tcMar>
            <w:vAlign w:val="center"/>
          </w:tcPr>
          <w:p w14:paraId="1E85AC0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F17F64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用于检测人体眼睛晶状体中晚期糖基化终末产物积聚水平，临床用于糖尿病筛查。</w:t>
            </w:r>
          </w:p>
        </w:tc>
        <w:tc>
          <w:tcPr>
            <w:tcW w:w="992" w:type="dxa"/>
            <w:tcMar>
              <w:top w:w="10" w:type="dxa"/>
              <w:left w:w="10" w:type="dxa"/>
              <w:bottom w:w="10" w:type="dxa"/>
              <w:right w:w="10" w:type="dxa"/>
            </w:tcMar>
            <w:vAlign w:val="center"/>
          </w:tcPr>
          <w:p w14:paraId="12E6ECA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2029.03.31</w:t>
            </w:r>
          </w:p>
        </w:tc>
        <w:tc>
          <w:tcPr>
            <w:tcW w:w="1276" w:type="dxa"/>
            <w:tcMar>
              <w:top w:w="10" w:type="dxa"/>
              <w:left w:w="10" w:type="dxa"/>
              <w:bottom w:w="10" w:type="dxa"/>
              <w:right w:w="10" w:type="dxa"/>
            </w:tcMar>
            <w:vAlign w:val="center"/>
          </w:tcPr>
          <w:p w14:paraId="51BD8AB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EB4ADC2" w14:textId="77777777" w:rsidTr="00C707CF">
        <w:trPr>
          <w:cantSplit/>
          <w:jc w:val="center"/>
        </w:trPr>
        <w:tc>
          <w:tcPr>
            <w:tcW w:w="418" w:type="dxa"/>
            <w:tcMar>
              <w:top w:w="10" w:type="dxa"/>
              <w:left w:w="10" w:type="dxa"/>
              <w:bottom w:w="10" w:type="dxa"/>
              <w:right w:w="10" w:type="dxa"/>
            </w:tcMar>
            <w:vAlign w:val="center"/>
          </w:tcPr>
          <w:p w14:paraId="34C2E56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19</w:t>
            </w:r>
          </w:p>
        </w:tc>
        <w:tc>
          <w:tcPr>
            <w:tcW w:w="1530" w:type="dxa"/>
            <w:tcMar>
              <w:top w:w="10" w:type="dxa"/>
              <w:left w:w="10" w:type="dxa"/>
              <w:bottom w:w="10" w:type="dxa"/>
              <w:right w:w="10" w:type="dxa"/>
            </w:tcMar>
            <w:vAlign w:val="center"/>
          </w:tcPr>
          <w:p w14:paraId="7DC095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血脂血糖仪</w:t>
            </w:r>
            <w:r>
              <w:rPr>
                <w:rFonts w:ascii="Times New Roman" w:hAnsi="Times New Roman" w:cs="Times New Roman"/>
                <w:sz w:val="18"/>
                <w:szCs w:val="18"/>
              </w:rPr>
              <w:t xml:space="preserve"> </w:t>
            </w:r>
          </w:p>
        </w:tc>
        <w:tc>
          <w:tcPr>
            <w:tcW w:w="1134" w:type="dxa"/>
            <w:tcMar>
              <w:top w:w="10" w:type="dxa"/>
              <w:left w:w="10" w:type="dxa"/>
              <w:bottom w:w="10" w:type="dxa"/>
              <w:right w:w="10" w:type="dxa"/>
            </w:tcMar>
            <w:vAlign w:val="center"/>
          </w:tcPr>
          <w:p w14:paraId="75B06E1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20192220069</w:t>
            </w:r>
          </w:p>
        </w:tc>
        <w:tc>
          <w:tcPr>
            <w:tcW w:w="425" w:type="dxa"/>
            <w:tcMar>
              <w:top w:w="10" w:type="dxa"/>
              <w:left w:w="10" w:type="dxa"/>
              <w:bottom w:w="10" w:type="dxa"/>
              <w:right w:w="10" w:type="dxa"/>
            </w:tcMar>
            <w:vAlign w:val="center"/>
          </w:tcPr>
          <w:p w14:paraId="1EFA5B8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F915AE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本产品与配套血糖试条或血脂试条配合使用，用于全血的葡萄糖（</w:t>
            </w:r>
            <w:r>
              <w:rPr>
                <w:rFonts w:ascii="Times New Roman" w:hAnsi="Times New Roman" w:cs="Times New Roman"/>
                <w:sz w:val="18"/>
                <w:szCs w:val="18"/>
              </w:rPr>
              <w:t>GLU</w:t>
            </w:r>
            <w:r>
              <w:rPr>
                <w:rFonts w:ascii="Times New Roman" w:hAnsi="Times New Roman" w:hint="eastAsia"/>
                <w:sz w:val="18"/>
                <w:szCs w:val="18"/>
              </w:rPr>
              <w:t>）、血脂（</w:t>
            </w:r>
            <w:r>
              <w:rPr>
                <w:rFonts w:ascii="Times New Roman" w:hAnsi="Times New Roman" w:cs="Times New Roman"/>
                <w:sz w:val="18"/>
                <w:szCs w:val="18"/>
              </w:rPr>
              <w:t>Lipid</w:t>
            </w:r>
            <w:r>
              <w:rPr>
                <w:rFonts w:ascii="Times New Roman" w:hAnsi="Times New Roman" w:hint="eastAsia"/>
                <w:sz w:val="18"/>
                <w:szCs w:val="18"/>
              </w:rPr>
              <w:t>）浓度测试。血脂测定内容包含总胆固醇（</w:t>
            </w:r>
            <w:r>
              <w:rPr>
                <w:rFonts w:ascii="Times New Roman" w:hAnsi="Times New Roman" w:cs="Times New Roman"/>
                <w:sz w:val="18"/>
                <w:szCs w:val="18"/>
              </w:rPr>
              <w:t>TC</w:t>
            </w:r>
            <w:r>
              <w:rPr>
                <w:rFonts w:ascii="Times New Roman" w:hAnsi="Times New Roman" w:hint="eastAsia"/>
                <w:sz w:val="18"/>
                <w:szCs w:val="18"/>
              </w:rPr>
              <w:t>）、高密度脂蛋白胆固醇（</w:t>
            </w:r>
            <w:r>
              <w:rPr>
                <w:rFonts w:ascii="Times New Roman" w:hAnsi="Times New Roman" w:cs="Times New Roman"/>
                <w:sz w:val="18"/>
                <w:szCs w:val="18"/>
              </w:rPr>
              <w:t>HDL</w:t>
            </w:r>
            <w:r>
              <w:rPr>
                <w:rFonts w:ascii="Times New Roman" w:hAnsi="Times New Roman" w:hint="eastAsia"/>
                <w:sz w:val="18"/>
                <w:szCs w:val="18"/>
              </w:rPr>
              <w:t>）、甘油三酯（</w:t>
            </w:r>
            <w:r>
              <w:rPr>
                <w:rFonts w:ascii="Times New Roman" w:hAnsi="Times New Roman" w:cs="Times New Roman"/>
                <w:sz w:val="18"/>
                <w:szCs w:val="18"/>
              </w:rPr>
              <w:t>TG</w:t>
            </w:r>
            <w:r>
              <w:rPr>
                <w:rFonts w:ascii="Times New Roman" w:hAnsi="Times New Roman" w:hint="eastAsia"/>
                <w:sz w:val="18"/>
                <w:szCs w:val="18"/>
              </w:rPr>
              <w:t>）。低密度脂蛋白胆固醇（</w:t>
            </w:r>
            <w:r>
              <w:rPr>
                <w:rFonts w:ascii="Times New Roman" w:hAnsi="Times New Roman" w:cs="Times New Roman"/>
                <w:sz w:val="18"/>
                <w:szCs w:val="18"/>
              </w:rPr>
              <w:t>LDL</w:t>
            </w:r>
            <w:r>
              <w:rPr>
                <w:rFonts w:ascii="Times New Roman" w:hAnsi="Times New Roman" w:hint="eastAsia"/>
                <w:sz w:val="18"/>
                <w:szCs w:val="18"/>
              </w:rPr>
              <w:t>）、总胆固醇与高密度脂蛋白胆固醇比值（</w:t>
            </w:r>
            <w:r>
              <w:rPr>
                <w:rFonts w:ascii="Times New Roman" w:hAnsi="Times New Roman" w:cs="Times New Roman"/>
                <w:sz w:val="18"/>
                <w:szCs w:val="18"/>
              </w:rPr>
              <w:t>TC/HDL</w:t>
            </w:r>
            <w:r>
              <w:rPr>
                <w:rFonts w:ascii="Times New Roman" w:hAnsi="Times New Roman" w:hint="eastAsia"/>
                <w:sz w:val="18"/>
                <w:szCs w:val="18"/>
              </w:rPr>
              <w:t>）、低密度脂蛋白胆固醇与高密度脂蛋白胆固醇比值（</w:t>
            </w:r>
            <w:r>
              <w:rPr>
                <w:rFonts w:ascii="Times New Roman" w:hAnsi="Times New Roman" w:cs="Times New Roman"/>
                <w:sz w:val="18"/>
                <w:szCs w:val="18"/>
              </w:rPr>
              <w:t>LDL/HDL</w:t>
            </w:r>
            <w:r>
              <w:rPr>
                <w:rFonts w:ascii="Times New Roman" w:hAnsi="Times New Roman" w:hint="eastAsia"/>
                <w:sz w:val="18"/>
                <w:szCs w:val="18"/>
              </w:rPr>
              <w:t>）、</w:t>
            </w:r>
            <w:r>
              <w:rPr>
                <w:rFonts w:ascii="Times New Roman" w:hAnsi="Times New Roman" w:cs="Times New Roman"/>
                <w:sz w:val="18"/>
                <w:szCs w:val="18"/>
              </w:rPr>
              <w:t xml:space="preserve"> </w:t>
            </w:r>
            <w:r>
              <w:rPr>
                <w:rFonts w:ascii="Times New Roman" w:hAnsi="Times New Roman" w:hint="eastAsia"/>
                <w:sz w:val="18"/>
                <w:szCs w:val="18"/>
              </w:rPr>
              <w:t>非高密度脂蛋白胆固醇（</w:t>
            </w:r>
            <w:r>
              <w:rPr>
                <w:rFonts w:ascii="Times New Roman" w:hAnsi="Times New Roman" w:cs="Times New Roman"/>
                <w:sz w:val="18"/>
                <w:szCs w:val="18"/>
              </w:rPr>
              <w:t>NON-HDL</w:t>
            </w:r>
            <w:r>
              <w:rPr>
                <w:rFonts w:ascii="Times New Roman" w:hAnsi="Times New Roman" w:hint="eastAsia"/>
                <w:sz w:val="18"/>
                <w:szCs w:val="18"/>
              </w:rPr>
              <w:t>）由仪器计算得出。本产品可由专业人员使用，也可由非专业用户自测使用。</w:t>
            </w:r>
          </w:p>
        </w:tc>
        <w:tc>
          <w:tcPr>
            <w:tcW w:w="992" w:type="dxa"/>
            <w:tcMar>
              <w:top w:w="10" w:type="dxa"/>
              <w:left w:w="10" w:type="dxa"/>
              <w:bottom w:w="10" w:type="dxa"/>
              <w:right w:w="10" w:type="dxa"/>
            </w:tcMar>
            <w:vAlign w:val="center"/>
          </w:tcPr>
          <w:p w14:paraId="25B07EE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2029.04.18</w:t>
            </w:r>
          </w:p>
        </w:tc>
        <w:tc>
          <w:tcPr>
            <w:tcW w:w="1276" w:type="dxa"/>
            <w:tcMar>
              <w:top w:w="10" w:type="dxa"/>
              <w:left w:w="10" w:type="dxa"/>
              <w:bottom w:w="10" w:type="dxa"/>
              <w:right w:w="10" w:type="dxa"/>
            </w:tcMar>
            <w:vAlign w:val="center"/>
          </w:tcPr>
          <w:p w14:paraId="1BC1135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AAB56BA" w14:textId="77777777" w:rsidTr="00C707CF">
        <w:trPr>
          <w:cantSplit/>
          <w:jc w:val="center"/>
        </w:trPr>
        <w:tc>
          <w:tcPr>
            <w:tcW w:w="418" w:type="dxa"/>
            <w:tcMar>
              <w:top w:w="10" w:type="dxa"/>
              <w:left w:w="10" w:type="dxa"/>
              <w:bottom w:w="10" w:type="dxa"/>
              <w:right w:w="10" w:type="dxa"/>
            </w:tcMar>
            <w:vAlign w:val="center"/>
          </w:tcPr>
          <w:p w14:paraId="7F6083E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20</w:t>
            </w:r>
          </w:p>
        </w:tc>
        <w:tc>
          <w:tcPr>
            <w:tcW w:w="1530" w:type="dxa"/>
            <w:tcMar>
              <w:top w:w="10" w:type="dxa"/>
              <w:left w:w="10" w:type="dxa"/>
              <w:bottom w:w="10" w:type="dxa"/>
              <w:right w:w="10" w:type="dxa"/>
            </w:tcMar>
            <w:vAlign w:val="center"/>
          </w:tcPr>
          <w:p w14:paraId="1368497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便携式全自动多功能检测仪</w:t>
            </w:r>
          </w:p>
        </w:tc>
        <w:tc>
          <w:tcPr>
            <w:tcW w:w="1134" w:type="dxa"/>
            <w:tcMar>
              <w:top w:w="10" w:type="dxa"/>
              <w:left w:w="10" w:type="dxa"/>
              <w:bottom w:w="10" w:type="dxa"/>
              <w:right w:w="10" w:type="dxa"/>
            </w:tcMar>
            <w:vAlign w:val="center"/>
          </w:tcPr>
          <w:p w14:paraId="4A7108A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20192220186</w:t>
            </w:r>
          </w:p>
        </w:tc>
        <w:tc>
          <w:tcPr>
            <w:tcW w:w="425" w:type="dxa"/>
            <w:tcMar>
              <w:top w:w="10" w:type="dxa"/>
              <w:left w:w="10" w:type="dxa"/>
              <w:bottom w:w="10" w:type="dxa"/>
              <w:right w:w="10" w:type="dxa"/>
            </w:tcMar>
            <w:vAlign w:val="center"/>
          </w:tcPr>
          <w:p w14:paraId="236E143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033C5D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本仪器与配套试剂盒配合使用，适用于医疗机构检验科和临床科室进行全血、血清、血浆、尿液等样本的生化、凝血和其他生理指标的检测。</w:t>
            </w:r>
          </w:p>
        </w:tc>
        <w:tc>
          <w:tcPr>
            <w:tcW w:w="992" w:type="dxa"/>
            <w:tcMar>
              <w:top w:w="10" w:type="dxa"/>
              <w:left w:w="10" w:type="dxa"/>
              <w:bottom w:w="10" w:type="dxa"/>
              <w:right w:w="10" w:type="dxa"/>
            </w:tcMar>
            <w:vAlign w:val="center"/>
          </w:tcPr>
          <w:p w14:paraId="5C0FAD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6AEACAD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E877478" w14:textId="77777777" w:rsidTr="00C707CF">
        <w:trPr>
          <w:cantSplit/>
          <w:jc w:val="center"/>
        </w:trPr>
        <w:tc>
          <w:tcPr>
            <w:tcW w:w="418" w:type="dxa"/>
            <w:tcMar>
              <w:top w:w="10" w:type="dxa"/>
              <w:left w:w="10" w:type="dxa"/>
              <w:bottom w:w="10" w:type="dxa"/>
              <w:right w:w="10" w:type="dxa"/>
            </w:tcMar>
            <w:vAlign w:val="center"/>
          </w:tcPr>
          <w:p w14:paraId="238364D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21</w:t>
            </w:r>
          </w:p>
        </w:tc>
        <w:tc>
          <w:tcPr>
            <w:tcW w:w="1530" w:type="dxa"/>
            <w:tcMar>
              <w:top w:w="10" w:type="dxa"/>
              <w:left w:w="10" w:type="dxa"/>
              <w:bottom w:w="10" w:type="dxa"/>
              <w:right w:w="10" w:type="dxa"/>
            </w:tcMar>
            <w:vAlign w:val="center"/>
          </w:tcPr>
          <w:p w14:paraId="6709DEB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4441699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20192220293</w:t>
            </w:r>
          </w:p>
        </w:tc>
        <w:tc>
          <w:tcPr>
            <w:tcW w:w="425" w:type="dxa"/>
            <w:tcMar>
              <w:top w:w="10" w:type="dxa"/>
              <w:left w:w="10" w:type="dxa"/>
              <w:bottom w:w="10" w:type="dxa"/>
              <w:right w:w="10" w:type="dxa"/>
            </w:tcMar>
            <w:vAlign w:val="center"/>
          </w:tcPr>
          <w:p w14:paraId="1ED9D14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896069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新鲜毛细血管全血、静脉全血、动脉全血葡萄糖测试，可用于医疗机构快速血糖测试、糖尿病患者或其他人群进行自我血糖监测。本产品只用于血糖水平的监测，不适用于糖尿病的最终诊断。静脉全血、动脉全血检测需由医务人员操作。本产品可由专业人员使用，也可由非专业用户自测使用。</w:t>
            </w:r>
          </w:p>
        </w:tc>
        <w:tc>
          <w:tcPr>
            <w:tcW w:w="992" w:type="dxa"/>
            <w:tcMar>
              <w:top w:w="10" w:type="dxa"/>
              <w:left w:w="10" w:type="dxa"/>
              <w:bottom w:w="10" w:type="dxa"/>
              <w:right w:w="10" w:type="dxa"/>
            </w:tcMar>
            <w:vAlign w:val="center"/>
          </w:tcPr>
          <w:p w14:paraId="7E9B710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2029.09.29</w:t>
            </w:r>
          </w:p>
        </w:tc>
        <w:tc>
          <w:tcPr>
            <w:tcW w:w="1276" w:type="dxa"/>
            <w:tcMar>
              <w:top w:w="10" w:type="dxa"/>
              <w:left w:w="10" w:type="dxa"/>
              <w:bottom w:w="10" w:type="dxa"/>
              <w:right w:w="10" w:type="dxa"/>
            </w:tcMar>
            <w:vAlign w:val="center"/>
          </w:tcPr>
          <w:p w14:paraId="4370B56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3BA8B5D" w14:textId="77777777" w:rsidTr="00C707CF">
        <w:trPr>
          <w:cantSplit/>
          <w:jc w:val="center"/>
        </w:trPr>
        <w:tc>
          <w:tcPr>
            <w:tcW w:w="418" w:type="dxa"/>
            <w:tcMar>
              <w:top w:w="10" w:type="dxa"/>
              <w:left w:w="10" w:type="dxa"/>
              <w:bottom w:w="10" w:type="dxa"/>
              <w:right w:w="10" w:type="dxa"/>
            </w:tcMar>
            <w:vAlign w:val="center"/>
          </w:tcPr>
          <w:p w14:paraId="0ABAA7B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22</w:t>
            </w:r>
          </w:p>
        </w:tc>
        <w:tc>
          <w:tcPr>
            <w:tcW w:w="1530" w:type="dxa"/>
            <w:tcMar>
              <w:top w:w="10" w:type="dxa"/>
              <w:left w:w="10" w:type="dxa"/>
              <w:bottom w:w="10" w:type="dxa"/>
              <w:right w:w="10" w:type="dxa"/>
            </w:tcMar>
            <w:vAlign w:val="center"/>
          </w:tcPr>
          <w:p w14:paraId="4EA137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手机血糖尿酸测试仪</w:t>
            </w:r>
          </w:p>
        </w:tc>
        <w:tc>
          <w:tcPr>
            <w:tcW w:w="1134" w:type="dxa"/>
            <w:tcMar>
              <w:top w:w="10" w:type="dxa"/>
              <w:left w:w="10" w:type="dxa"/>
              <w:bottom w:w="10" w:type="dxa"/>
              <w:right w:w="10" w:type="dxa"/>
            </w:tcMar>
            <w:vAlign w:val="center"/>
          </w:tcPr>
          <w:p w14:paraId="4384C40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20202221173</w:t>
            </w:r>
          </w:p>
        </w:tc>
        <w:tc>
          <w:tcPr>
            <w:tcW w:w="425" w:type="dxa"/>
            <w:tcMar>
              <w:top w:w="10" w:type="dxa"/>
              <w:left w:w="10" w:type="dxa"/>
              <w:bottom w:w="10" w:type="dxa"/>
              <w:right w:w="10" w:type="dxa"/>
            </w:tcMar>
            <w:vAlign w:val="center"/>
          </w:tcPr>
          <w:p w14:paraId="6B3A787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42680B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测试条或尿酸测试条配合使用，用于体外检测新鲜毛细血管全血或静脉全血中的葡萄糖、尿酸浓度，可用于糖尿病患者或其他人群利用智能手机及其他智能设备的通信交互及数据管理功能进行血糖或尿酸浓度监测及实时管理，可以由专业人士或患有糖尿病、痛风病的患者在家中或在医疗单位进行血糖、尿酸浓度监测。本产品只用于血糖、尿酸水平的监测及数据管理，不适用于糖尿病以及痛风病患者的最终诊断。</w:t>
            </w:r>
          </w:p>
        </w:tc>
        <w:tc>
          <w:tcPr>
            <w:tcW w:w="992" w:type="dxa"/>
            <w:tcMar>
              <w:top w:w="10" w:type="dxa"/>
              <w:left w:w="10" w:type="dxa"/>
              <w:bottom w:w="10" w:type="dxa"/>
              <w:right w:w="10" w:type="dxa"/>
            </w:tcMar>
            <w:vAlign w:val="center"/>
          </w:tcPr>
          <w:p w14:paraId="32D4DF9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2030.06.17</w:t>
            </w:r>
          </w:p>
        </w:tc>
        <w:tc>
          <w:tcPr>
            <w:tcW w:w="1276" w:type="dxa"/>
            <w:tcMar>
              <w:top w:w="10" w:type="dxa"/>
              <w:left w:w="10" w:type="dxa"/>
              <w:bottom w:w="10" w:type="dxa"/>
              <w:right w:w="10" w:type="dxa"/>
            </w:tcMar>
            <w:vAlign w:val="center"/>
          </w:tcPr>
          <w:p w14:paraId="7B4626C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6B81EA9" w14:textId="77777777" w:rsidTr="00C707CF">
        <w:trPr>
          <w:cantSplit/>
          <w:jc w:val="center"/>
        </w:trPr>
        <w:tc>
          <w:tcPr>
            <w:tcW w:w="418" w:type="dxa"/>
            <w:tcMar>
              <w:top w:w="10" w:type="dxa"/>
              <w:left w:w="10" w:type="dxa"/>
              <w:bottom w:w="10" w:type="dxa"/>
              <w:right w:w="10" w:type="dxa"/>
            </w:tcMar>
            <w:vAlign w:val="center"/>
          </w:tcPr>
          <w:p w14:paraId="6A171EA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23</w:t>
            </w:r>
          </w:p>
        </w:tc>
        <w:tc>
          <w:tcPr>
            <w:tcW w:w="1530" w:type="dxa"/>
            <w:tcMar>
              <w:top w:w="10" w:type="dxa"/>
              <w:left w:w="10" w:type="dxa"/>
              <w:bottom w:w="10" w:type="dxa"/>
              <w:right w:w="10" w:type="dxa"/>
            </w:tcMar>
            <w:vAlign w:val="center"/>
          </w:tcPr>
          <w:p w14:paraId="2869495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糖化血红蛋白仪</w:t>
            </w:r>
          </w:p>
        </w:tc>
        <w:tc>
          <w:tcPr>
            <w:tcW w:w="1134" w:type="dxa"/>
            <w:tcMar>
              <w:top w:w="10" w:type="dxa"/>
              <w:left w:w="10" w:type="dxa"/>
              <w:bottom w:w="10" w:type="dxa"/>
              <w:right w:w="10" w:type="dxa"/>
            </w:tcMar>
            <w:vAlign w:val="center"/>
          </w:tcPr>
          <w:p w14:paraId="1253631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20202221245</w:t>
            </w:r>
          </w:p>
        </w:tc>
        <w:tc>
          <w:tcPr>
            <w:tcW w:w="425" w:type="dxa"/>
            <w:tcMar>
              <w:top w:w="10" w:type="dxa"/>
              <w:left w:w="10" w:type="dxa"/>
              <w:bottom w:w="10" w:type="dxa"/>
              <w:right w:w="10" w:type="dxa"/>
            </w:tcMar>
            <w:vAlign w:val="center"/>
          </w:tcPr>
          <w:p w14:paraId="7BCBA57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E4782B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基于免疫测试法和化学技术，与配套的糖化血红蛋白测试卡和糖化血红蛋白溶血剂共同使用，在临床上对来源于人体的全血样本中的糖化血红蛋白进行定量检测。可供医疗机构对糖尿病患者进行血糖监控或糖尿病患者和其他人员进行血糖自我监控。</w:t>
            </w:r>
          </w:p>
        </w:tc>
        <w:tc>
          <w:tcPr>
            <w:tcW w:w="992" w:type="dxa"/>
            <w:tcMar>
              <w:top w:w="10" w:type="dxa"/>
              <w:left w:w="10" w:type="dxa"/>
              <w:bottom w:w="10" w:type="dxa"/>
              <w:right w:w="10" w:type="dxa"/>
            </w:tcMar>
            <w:vAlign w:val="center"/>
          </w:tcPr>
          <w:p w14:paraId="7BCE6B5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2030.07.02</w:t>
            </w:r>
          </w:p>
        </w:tc>
        <w:tc>
          <w:tcPr>
            <w:tcW w:w="1276" w:type="dxa"/>
            <w:tcMar>
              <w:top w:w="10" w:type="dxa"/>
              <w:left w:w="10" w:type="dxa"/>
              <w:bottom w:w="10" w:type="dxa"/>
              <w:right w:w="10" w:type="dxa"/>
            </w:tcMar>
            <w:vAlign w:val="center"/>
          </w:tcPr>
          <w:p w14:paraId="00A5CF6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FE130F2" w14:textId="77777777" w:rsidTr="00C707CF">
        <w:trPr>
          <w:cantSplit/>
          <w:jc w:val="center"/>
        </w:trPr>
        <w:tc>
          <w:tcPr>
            <w:tcW w:w="418" w:type="dxa"/>
            <w:tcMar>
              <w:top w:w="10" w:type="dxa"/>
              <w:left w:w="10" w:type="dxa"/>
              <w:bottom w:w="10" w:type="dxa"/>
              <w:right w:w="10" w:type="dxa"/>
            </w:tcMar>
            <w:vAlign w:val="center"/>
          </w:tcPr>
          <w:p w14:paraId="494C54A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24</w:t>
            </w:r>
          </w:p>
        </w:tc>
        <w:tc>
          <w:tcPr>
            <w:tcW w:w="1530" w:type="dxa"/>
            <w:tcMar>
              <w:top w:w="10" w:type="dxa"/>
              <w:left w:w="10" w:type="dxa"/>
              <w:bottom w:w="10" w:type="dxa"/>
              <w:right w:w="10" w:type="dxa"/>
            </w:tcMar>
            <w:vAlign w:val="center"/>
          </w:tcPr>
          <w:p w14:paraId="5DBE63E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干式生化分析仪</w:t>
            </w:r>
          </w:p>
        </w:tc>
        <w:tc>
          <w:tcPr>
            <w:tcW w:w="1134" w:type="dxa"/>
            <w:tcMar>
              <w:top w:w="10" w:type="dxa"/>
              <w:left w:w="10" w:type="dxa"/>
              <w:bottom w:w="10" w:type="dxa"/>
              <w:right w:w="10" w:type="dxa"/>
            </w:tcMar>
            <w:vAlign w:val="center"/>
          </w:tcPr>
          <w:p w14:paraId="34BBAD0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20202221704</w:t>
            </w:r>
          </w:p>
        </w:tc>
        <w:tc>
          <w:tcPr>
            <w:tcW w:w="425" w:type="dxa"/>
            <w:tcMar>
              <w:top w:w="10" w:type="dxa"/>
              <w:left w:w="10" w:type="dxa"/>
              <w:bottom w:w="10" w:type="dxa"/>
              <w:right w:w="10" w:type="dxa"/>
            </w:tcMar>
            <w:vAlign w:val="center"/>
          </w:tcPr>
          <w:p w14:paraId="612734D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04F5D1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该产品利用反射式测光法，与配套的检测条一同使用，可对人全血样本中的相应血液成分进行检测。</w:t>
            </w:r>
          </w:p>
        </w:tc>
        <w:tc>
          <w:tcPr>
            <w:tcW w:w="992" w:type="dxa"/>
            <w:tcMar>
              <w:top w:w="10" w:type="dxa"/>
              <w:left w:w="10" w:type="dxa"/>
              <w:bottom w:w="10" w:type="dxa"/>
              <w:right w:w="10" w:type="dxa"/>
            </w:tcMar>
            <w:vAlign w:val="center"/>
          </w:tcPr>
          <w:p w14:paraId="760CA7F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2030.11.19</w:t>
            </w:r>
          </w:p>
        </w:tc>
        <w:tc>
          <w:tcPr>
            <w:tcW w:w="1276" w:type="dxa"/>
            <w:tcMar>
              <w:top w:w="10" w:type="dxa"/>
              <w:left w:w="10" w:type="dxa"/>
              <w:bottom w:w="10" w:type="dxa"/>
              <w:right w:w="10" w:type="dxa"/>
            </w:tcMar>
            <w:vAlign w:val="center"/>
          </w:tcPr>
          <w:p w14:paraId="347AFF4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2025.07.14</w:t>
            </w:r>
            <w:r>
              <w:rPr>
                <w:rFonts w:ascii="Times New Roman" w:hAnsi="Times New Roman" w:hint="eastAsia"/>
                <w:sz w:val="18"/>
                <w:szCs w:val="18"/>
              </w:rPr>
              <w:t>获批延续注册</w:t>
            </w:r>
            <w:r>
              <w:rPr>
                <w:rFonts w:ascii="Times New Roman" w:hAnsi="Times New Roman" w:cs="Times New Roman"/>
                <w:sz w:val="18"/>
                <w:szCs w:val="18"/>
              </w:rPr>
              <w:t xml:space="preserve"> </w:t>
            </w:r>
          </w:p>
        </w:tc>
      </w:tr>
      <w:tr w:rsidR="00113A51" w14:paraId="45AFC1D0" w14:textId="77777777" w:rsidTr="00C707CF">
        <w:trPr>
          <w:cantSplit/>
          <w:jc w:val="center"/>
        </w:trPr>
        <w:tc>
          <w:tcPr>
            <w:tcW w:w="418" w:type="dxa"/>
            <w:tcMar>
              <w:top w:w="10" w:type="dxa"/>
              <w:left w:w="10" w:type="dxa"/>
              <w:bottom w:w="10" w:type="dxa"/>
              <w:right w:w="10" w:type="dxa"/>
            </w:tcMar>
            <w:vAlign w:val="center"/>
          </w:tcPr>
          <w:p w14:paraId="7842709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25</w:t>
            </w:r>
          </w:p>
        </w:tc>
        <w:tc>
          <w:tcPr>
            <w:tcW w:w="1530" w:type="dxa"/>
            <w:tcMar>
              <w:top w:w="10" w:type="dxa"/>
              <w:left w:w="10" w:type="dxa"/>
              <w:bottom w:w="10" w:type="dxa"/>
              <w:right w:w="10" w:type="dxa"/>
            </w:tcMar>
            <w:vAlign w:val="center"/>
          </w:tcPr>
          <w:p w14:paraId="7170013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全自动化学发光免疫分析仪</w:t>
            </w:r>
          </w:p>
        </w:tc>
        <w:tc>
          <w:tcPr>
            <w:tcW w:w="1134" w:type="dxa"/>
            <w:tcMar>
              <w:top w:w="10" w:type="dxa"/>
              <w:left w:w="10" w:type="dxa"/>
              <w:bottom w:w="10" w:type="dxa"/>
              <w:right w:w="10" w:type="dxa"/>
            </w:tcMar>
            <w:vAlign w:val="center"/>
          </w:tcPr>
          <w:p w14:paraId="4C25C0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20212220164</w:t>
            </w:r>
          </w:p>
        </w:tc>
        <w:tc>
          <w:tcPr>
            <w:tcW w:w="425" w:type="dxa"/>
            <w:tcMar>
              <w:top w:w="10" w:type="dxa"/>
              <w:left w:w="10" w:type="dxa"/>
              <w:bottom w:w="10" w:type="dxa"/>
              <w:right w:w="10" w:type="dxa"/>
            </w:tcMar>
            <w:vAlign w:val="center"/>
          </w:tcPr>
          <w:p w14:paraId="2F4FBEC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3B0D81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采用基于</w:t>
            </w:r>
            <w:r>
              <w:rPr>
                <w:rFonts w:ascii="Times New Roman" w:hAnsi="Times New Roman" w:cs="Times New Roman"/>
                <w:sz w:val="18"/>
                <w:szCs w:val="18"/>
              </w:rPr>
              <w:t>AMPPD</w:t>
            </w:r>
            <w:r>
              <w:rPr>
                <w:rFonts w:ascii="Times New Roman" w:hAnsi="Times New Roman" w:hint="eastAsia"/>
                <w:sz w:val="18"/>
                <w:szCs w:val="18"/>
              </w:rPr>
              <w:t>和碱性磷酸酶的间接化学发光法，与配套的检测试剂共同使用，在临床上用于对来源于人体的血清、血浆样本中的被分析物进行定性或者定量检测，包括变应原相关项目测定、激素测定、自身抗体检测、肿瘤相关项目测定、感染性疾病实验检测、蛋白质及多肽类检验、肝病的实验诊断、免疫功能测定、维生素测定、心肌疾病的实验诊断、酶类和出凝血检查。</w:t>
            </w:r>
          </w:p>
        </w:tc>
        <w:tc>
          <w:tcPr>
            <w:tcW w:w="992" w:type="dxa"/>
            <w:tcMar>
              <w:top w:w="10" w:type="dxa"/>
              <w:left w:w="10" w:type="dxa"/>
              <w:bottom w:w="10" w:type="dxa"/>
              <w:right w:w="10" w:type="dxa"/>
            </w:tcMar>
            <w:vAlign w:val="center"/>
          </w:tcPr>
          <w:p w14:paraId="4CAEF3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2026.01.20</w:t>
            </w:r>
          </w:p>
        </w:tc>
        <w:tc>
          <w:tcPr>
            <w:tcW w:w="1276" w:type="dxa"/>
            <w:tcMar>
              <w:top w:w="10" w:type="dxa"/>
              <w:left w:w="10" w:type="dxa"/>
              <w:bottom w:w="10" w:type="dxa"/>
              <w:right w:w="10" w:type="dxa"/>
            </w:tcMar>
            <w:vAlign w:val="center"/>
          </w:tcPr>
          <w:p w14:paraId="339F332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507CE73" w14:textId="77777777" w:rsidTr="00C707CF">
        <w:trPr>
          <w:cantSplit/>
          <w:jc w:val="center"/>
        </w:trPr>
        <w:tc>
          <w:tcPr>
            <w:tcW w:w="418" w:type="dxa"/>
            <w:tcMar>
              <w:top w:w="10" w:type="dxa"/>
              <w:left w:w="10" w:type="dxa"/>
              <w:bottom w:w="10" w:type="dxa"/>
              <w:right w:w="10" w:type="dxa"/>
            </w:tcMar>
            <w:vAlign w:val="center"/>
          </w:tcPr>
          <w:p w14:paraId="1AE3DBA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26</w:t>
            </w:r>
          </w:p>
        </w:tc>
        <w:tc>
          <w:tcPr>
            <w:tcW w:w="1530" w:type="dxa"/>
            <w:tcMar>
              <w:top w:w="10" w:type="dxa"/>
              <w:left w:w="10" w:type="dxa"/>
              <w:bottom w:w="10" w:type="dxa"/>
              <w:right w:w="10" w:type="dxa"/>
            </w:tcMar>
            <w:vAlign w:val="center"/>
          </w:tcPr>
          <w:p w14:paraId="4337BF8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便携式糖化血红蛋白分析仪</w:t>
            </w:r>
          </w:p>
        </w:tc>
        <w:tc>
          <w:tcPr>
            <w:tcW w:w="1134" w:type="dxa"/>
            <w:tcMar>
              <w:top w:w="10" w:type="dxa"/>
              <w:left w:w="10" w:type="dxa"/>
              <w:bottom w:w="10" w:type="dxa"/>
              <w:right w:w="10" w:type="dxa"/>
            </w:tcMar>
            <w:vAlign w:val="center"/>
          </w:tcPr>
          <w:p w14:paraId="6D62B15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20212220400</w:t>
            </w:r>
          </w:p>
        </w:tc>
        <w:tc>
          <w:tcPr>
            <w:tcW w:w="425" w:type="dxa"/>
            <w:tcMar>
              <w:top w:w="10" w:type="dxa"/>
              <w:left w:w="10" w:type="dxa"/>
              <w:bottom w:w="10" w:type="dxa"/>
              <w:right w:w="10" w:type="dxa"/>
            </w:tcMar>
            <w:vAlign w:val="center"/>
          </w:tcPr>
          <w:p w14:paraId="0F63077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93482D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与配套糖化血红蛋白检测试剂盒配合使用，适用于检测人体全血中糖化血红蛋白的含量。该产品只用于糖尿病的辅助诊断和血糖水平的监控，不适用于糖尿病的最终诊断。可用于医学实验室使用，也可适用于专业人员在病房、急诊、基层医院、诊所、药店等非实验室环境下使用。</w:t>
            </w:r>
          </w:p>
        </w:tc>
        <w:tc>
          <w:tcPr>
            <w:tcW w:w="992" w:type="dxa"/>
            <w:tcMar>
              <w:top w:w="10" w:type="dxa"/>
              <w:left w:w="10" w:type="dxa"/>
              <w:bottom w:w="10" w:type="dxa"/>
              <w:right w:w="10" w:type="dxa"/>
            </w:tcMar>
            <w:vAlign w:val="center"/>
          </w:tcPr>
          <w:p w14:paraId="556672E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2031.03.21</w:t>
            </w:r>
          </w:p>
        </w:tc>
        <w:tc>
          <w:tcPr>
            <w:tcW w:w="1276" w:type="dxa"/>
            <w:tcMar>
              <w:top w:w="10" w:type="dxa"/>
              <w:left w:w="10" w:type="dxa"/>
              <w:bottom w:w="10" w:type="dxa"/>
              <w:right w:w="10" w:type="dxa"/>
            </w:tcMar>
            <w:vAlign w:val="center"/>
          </w:tcPr>
          <w:p w14:paraId="226F481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2025.10.30</w:t>
            </w:r>
            <w:r>
              <w:rPr>
                <w:rFonts w:ascii="Times New Roman" w:hAnsi="Times New Roman" w:hint="eastAsia"/>
                <w:sz w:val="18"/>
                <w:szCs w:val="18"/>
              </w:rPr>
              <w:t>获批延续注册</w:t>
            </w:r>
          </w:p>
        </w:tc>
      </w:tr>
      <w:tr w:rsidR="00113A51" w14:paraId="4B686BCF" w14:textId="77777777" w:rsidTr="00C707CF">
        <w:trPr>
          <w:cantSplit/>
          <w:jc w:val="center"/>
        </w:trPr>
        <w:tc>
          <w:tcPr>
            <w:tcW w:w="418" w:type="dxa"/>
            <w:tcMar>
              <w:top w:w="10" w:type="dxa"/>
              <w:left w:w="10" w:type="dxa"/>
              <w:bottom w:w="10" w:type="dxa"/>
              <w:right w:w="10" w:type="dxa"/>
            </w:tcMar>
            <w:vAlign w:val="center"/>
          </w:tcPr>
          <w:p w14:paraId="3094346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27</w:t>
            </w:r>
          </w:p>
        </w:tc>
        <w:tc>
          <w:tcPr>
            <w:tcW w:w="1530" w:type="dxa"/>
            <w:tcMar>
              <w:top w:w="10" w:type="dxa"/>
              <w:left w:w="10" w:type="dxa"/>
              <w:bottom w:w="10" w:type="dxa"/>
              <w:right w:w="10" w:type="dxa"/>
            </w:tcMar>
            <w:vAlign w:val="center"/>
          </w:tcPr>
          <w:p w14:paraId="26BB3FF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智能血糖仪</w:t>
            </w:r>
          </w:p>
        </w:tc>
        <w:tc>
          <w:tcPr>
            <w:tcW w:w="1134" w:type="dxa"/>
            <w:tcMar>
              <w:top w:w="10" w:type="dxa"/>
              <w:left w:w="10" w:type="dxa"/>
              <w:bottom w:w="10" w:type="dxa"/>
              <w:right w:w="10" w:type="dxa"/>
            </w:tcMar>
            <w:vAlign w:val="center"/>
          </w:tcPr>
          <w:p w14:paraId="477F3DC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20212221131</w:t>
            </w:r>
          </w:p>
        </w:tc>
        <w:tc>
          <w:tcPr>
            <w:tcW w:w="425" w:type="dxa"/>
            <w:tcMar>
              <w:top w:w="10" w:type="dxa"/>
              <w:left w:w="10" w:type="dxa"/>
              <w:bottom w:w="10" w:type="dxa"/>
              <w:right w:w="10" w:type="dxa"/>
            </w:tcMar>
            <w:vAlign w:val="center"/>
          </w:tcPr>
          <w:p w14:paraId="62B2289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2E31E8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本产品与配套血糖试条配合使用，用于全血血样中葡萄糖测试。本产品只用于血糖水平的监测，不适用于糖尿病的最终诊断。本产品可通过测量额头的热辐射来测量被测对象的体温。</w:t>
            </w:r>
          </w:p>
        </w:tc>
        <w:tc>
          <w:tcPr>
            <w:tcW w:w="992" w:type="dxa"/>
            <w:tcMar>
              <w:top w:w="10" w:type="dxa"/>
              <w:left w:w="10" w:type="dxa"/>
              <w:bottom w:w="10" w:type="dxa"/>
              <w:right w:w="10" w:type="dxa"/>
            </w:tcMar>
            <w:vAlign w:val="center"/>
          </w:tcPr>
          <w:p w14:paraId="2A6357A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2026.06.10</w:t>
            </w:r>
          </w:p>
        </w:tc>
        <w:tc>
          <w:tcPr>
            <w:tcW w:w="1276" w:type="dxa"/>
            <w:tcMar>
              <w:top w:w="10" w:type="dxa"/>
              <w:left w:w="10" w:type="dxa"/>
              <w:bottom w:w="10" w:type="dxa"/>
              <w:right w:w="10" w:type="dxa"/>
            </w:tcMar>
            <w:vAlign w:val="center"/>
          </w:tcPr>
          <w:p w14:paraId="369E80A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2947DE2" w14:textId="77777777" w:rsidTr="00C707CF">
        <w:trPr>
          <w:cantSplit/>
          <w:jc w:val="center"/>
        </w:trPr>
        <w:tc>
          <w:tcPr>
            <w:tcW w:w="418" w:type="dxa"/>
            <w:tcMar>
              <w:top w:w="10" w:type="dxa"/>
              <w:left w:w="10" w:type="dxa"/>
              <w:bottom w:w="10" w:type="dxa"/>
              <w:right w:w="10" w:type="dxa"/>
            </w:tcMar>
            <w:vAlign w:val="center"/>
          </w:tcPr>
          <w:p w14:paraId="03AD379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28</w:t>
            </w:r>
          </w:p>
        </w:tc>
        <w:tc>
          <w:tcPr>
            <w:tcW w:w="1530" w:type="dxa"/>
            <w:tcMar>
              <w:top w:w="10" w:type="dxa"/>
              <w:left w:w="10" w:type="dxa"/>
              <w:bottom w:w="10" w:type="dxa"/>
              <w:right w:w="10" w:type="dxa"/>
            </w:tcMar>
            <w:vAlign w:val="center"/>
          </w:tcPr>
          <w:p w14:paraId="597C73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糖尿病管理系统软件</w:t>
            </w:r>
          </w:p>
        </w:tc>
        <w:tc>
          <w:tcPr>
            <w:tcW w:w="1134" w:type="dxa"/>
            <w:tcMar>
              <w:top w:w="10" w:type="dxa"/>
              <w:left w:w="10" w:type="dxa"/>
              <w:bottom w:w="10" w:type="dxa"/>
              <w:right w:w="10" w:type="dxa"/>
            </w:tcMar>
            <w:vAlign w:val="center"/>
          </w:tcPr>
          <w:p w14:paraId="52869F0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20212211646</w:t>
            </w:r>
          </w:p>
        </w:tc>
        <w:tc>
          <w:tcPr>
            <w:tcW w:w="425" w:type="dxa"/>
            <w:tcMar>
              <w:top w:w="10" w:type="dxa"/>
              <w:left w:w="10" w:type="dxa"/>
              <w:bottom w:w="10" w:type="dxa"/>
              <w:right w:w="10" w:type="dxa"/>
            </w:tcMar>
            <w:vAlign w:val="center"/>
          </w:tcPr>
          <w:p w14:paraId="6076B48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ACC582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本产品可与适配的具备网络传输功能的智能检测设备配合使用进行数据传输，也支持用户手动记录患者糖尿病诊疗相关数据，并可存储和显示数据、统计分析、导出数据以及打印。</w:t>
            </w:r>
          </w:p>
        </w:tc>
        <w:tc>
          <w:tcPr>
            <w:tcW w:w="992" w:type="dxa"/>
            <w:tcMar>
              <w:top w:w="10" w:type="dxa"/>
              <w:left w:w="10" w:type="dxa"/>
              <w:bottom w:w="10" w:type="dxa"/>
              <w:right w:w="10" w:type="dxa"/>
            </w:tcMar>
            <w:vAlign w:val="center"/>
          </w:tcPr>
          <w:p w14:paraId="4BB991B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2026.09.02</w:t>
            </w:r>
          </w:p>
        </w:tc>
        <w:tc>
          <w:tcPr>
            <w:tcW w:w="1276" w:type="dxa"/>
            <w:tcMar>
              <w:top w:w="10" w:type="dxa"/>
              <w:left w:w="10" w:type="dxa"/>
              <w:bottom w:w="10" w:type="dxa"/>
              <w:right w:w="10" w:type="dxa"/>
            </w:tcMar>
            <w:vAlign w:val="center"/>
          </w:tcPr>
          <w:p w14:paraId="3700AF8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66E5578" w14:textId="77777777" w:rsidTr="00C707CF">
        <w:trPr>
          <w:cantSplit/>
          <w:jc w:val="center"/>
        </w:trPr>
        <w:tc>
          <w:tcPr>
            <w:tcW w:w="418" w:type="dxa"/>
            <w:tcMar>
              <w:top w:w="10" w:type="dxa"/>
              <w:left w:w="10" w:type="dxa"/>
              <w:bottom w:w="10" w:type="dxa"/>
              <w:right w:w="10" w:type="dxa"/>
            </w:tcMar>
            <w:vAlign w:val="center"/>
          </w:tcPr>
          <w:p w14:paraId="6AC3701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29</w:t>
            </w:r>
          </w:p>
        </w:tc>
        <w:tc>
          <w:tcPr>
            <w:tcW w:w="1530" w:type="dxa"/>
            <w:tcMar>
              <w:top w:w="10" w:type="dxa"/>
              <w:left w:w="10" w:type="dxa"/>
              <w:bottom w:w="10" w:type="dxa"/>
              <w:right w:w="10" w:type="dxa"/>
            </w:tcMar>
            <w:vAlign w:val="center"/>
          </w:tcPr>
          <w:p w14:paraId="1CB459D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血糖仪</w:t>
            </w:r>
          </w:p>
        </w:tc>
        <w:tc>
          <w:tcPr>
            <w:tcW w:w="1134" w:type="dxa"/>
            <w:tcMar>
              <w:top w:w="10" w:type="dxa"/>
              <w:left w:w="10" w:type="dxa"/>
              <w:bottom w:w="10" w:type="dxa"/>
              <w:right w:w="10" w:type="dxa"/>
            </w:tcMar>
            <w:vAlign w:val="center"/>
          </w:tcPr>
          <w:p w14:paraId="3D6D606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20212222344</w:t>
            </w:r>
          </w:p>
        </w:tc>
        <w:tc>
          <w:tcPr>
            <w:tcW w:w="425" w:type="dxa"/>
            <w:tcMar>
              <w:top w:w="10" w:type="dxa"/>
              <w:left w:w="10" w:type="dxa"/>
              <w:bottom w:w="10" w:type="dxa"/>
              <w:right w:w="10" w:type="dxa"/>
            </w:tcMar>
            <w:vAlign w:val="center"/>
          </w:tcPr>
          <w:p w14:paraId="7392056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277081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的血糖试条配合使用，用于定量检测新鲜毛细血管全血、静脉全血、动脉全血和／或新生儿全血中的葡萄糖浓度。可用于医疗机构和／或家庭对糖尿病患者、孕妇、肾透析患者或其他人群的快速血糖测试。本产品只用于血糖水平的监测及血糖异常的初筛，不适用于糖尿病的最终诊断。静脉全血、动脉全血和新生儿全血的检测需由医务人员操作。本产品不适用于新生儿脐带血样本的血糖测试。</w:t>
            </w:r>
          </w:p>
        </w:tc>
        <w:tc>
          <w:tcPr>
            <w:tcW w:w="992" w:type="dxa"/>
            <w:tcMar>
              <w:top w:w="10" w:type="dxa"/>
              <w:left w:w="10" w:type="dxa"/>
              <w:bottom w:w="10" w:type="dxa"/>
              <w:right w:w="10" w:type="dxa"/>
            </w:tcMar>
            <w:vAlign w:val="center"/>
          </w:tcPr>
          <w:p w14:paraId="3922489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60156D4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2025.03.12</w:t>
            </w:r>
            <w:r>
              <w:rPr>
                <w:rFonts w:ascii="Times New Roman" w:hAnsi="Times New Roman" w:hint="eastAsia"/>
                <w:sz w:val="18"/>
                <w:szCs w:val="18"/>
              </w:rPr>
              <w:t>获批变更注册</w:t>
            </w:r>
            <w:r>
              <w:rPr>
                <w:rFonts w:ascii="Times New Roman" w:hAnsi="Times New Roman" w:cs="Times New Roman"/>
                <w:sz w:val="18"/>
                <w:szCs w:val="18"/>
              </w:rPr>
              <w:t>2025.06.13</w:t>
            </w:r>
            <w:r>
              <w:rPr>
                <w:rFonts w:ascii="Times New Roman" w:hAnsi="Times New Roman" w:hint="eastAsia"/>
                <w:sz w:val="18"/>
                <w:szCs w:val="18"/>
              </w:rPr>
              <w:t>获批变更注册</w:t>
            </w:r>
          </w:p>
        </w:tc>
      </w:tr>
      <w:tr w:rsidR="00113A51" w14:paraId="6410C0EB" w14:textId="77777777" w:rsidTr="00C707CF">
        <w:trPr>
          <w:cantSplit/>
          <w:jc w:val="center"/>
        </w:trPr>
        <w:tc>
          <w:tcPr>
            <w:tcW w:w="418" w:type="dxa"/>
            <w:tcMar>
              <w:top w:w="10" w:type="dxa"/>
              <w:left w:w="10" w:type="dxa"/>
              <w:bottom w:w="10" w:type="dxa"/>
              <w:right w:w="10" w:type="dxa"/>
            </w:tcMar>
            <w:vAlign w:val="center"/>
          </w:tcPr>
          <w:p w14:paraId="2784442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30</w:t>
            </w:r>
          </w:p>
        </w:tc>
        <w:tc>
          <w:tcPr>
            <w:tcW w:w="1530" w:type="dxa"/>
            <w:tcMar>
              <w:top w:w="10" w:type="dxa"/>
              <w:left w:w="10" w:type="dxa"/>
              <w:bottom w:w="10" w:type="dxa"/>
              <w:right w:w="10" w:type="dxa"/>
            </w:tcMar>
            <w:vAlign w:val="center"/>
          </w:tcPr>
          <w:p w14:paraId="0553211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全自动化学发光免疫分析仪</w:t>
            </w:r>
          </w:p>
        </w:tc>
        <w:tc>
          <w:tcPr>
            <w:tcW w:w="1134" w:type="dxa"/>
            <w:tcMar>
              <w:top w:w="10" w:type="dxa"/>
              <w:left w:w="10" w:type="dxa"/>
              <w:bottom w:w="10" w:type="dxa"/>
              <w:right w:w="10" w:type="dxa"/>
            </w:tcMar>
            <w:vAlign w:val="center"/>
          </w:tcPr>
          <w:p w14:paraId="615D3C8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20222220530</w:t>
            </w:r>
          </w:p>
        </w:tc>
        <w:tc>
          <w:tcPr>
            <w:tcW w:w="425" w:type="dxa"/>
            <w:tcMar>
              <w:top w:w="10" w:type="dxa"/>
              <w:left w:w="10" w:type="dxa"/>
              <w:bottom w:w="10" w:type="dxa"/>
              <w:right w:w="10" w:type="dxa"/>
            </w:tcMar>
            <w:vAlign w:val="center"/>
          </w:tcPr>
          <w:p w14:paraId="79F97EC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FF78B5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本分析仪采用化学发光法，与配套的检测试剂共同使用，在临床上用于对来源于人体样本中的被分析物进行定性或定量检测。</w:t>
            </w:r>
          </w:p>
        </w:tc>
        <w:tc>
          <w:tcPr>
            <w:tcW w:w="992" w:type="dxa"/>
            <w:tcMar>
              <w:top w:w="10" w:type="dxa"/>
              <w:left w:w="10" w:type="dxa"/>
              <w:bottom w:w="10" w:type="dxa"/>
              <w:right w:w="10" w:type="dxa"/>
            </w:tcMar>
            <w:vAlign w:val="center"/>
          </w:tcPr>
          <w:p w14:paraId="7987ACD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2027.03.22</w:t>
            </w:r>
          </w:p>
        </w:tc>
        <w:tc>
          <w:tcPr>
            <w:tcW w:w="1276" w:type="dxa"/>
            <w:tcMar>
              <w:top w:w="10" w:type="dxa"/>
              <w:left w:w="10" w:type="dxa"/>
              <w:bottom w:w="10" w:type="dxa"/>
              <w:right w:w="10" w:type="dxa"/>
            </w:tcMar>
            <w:vAlign w:val="center"/>
          </w:tcPr>
          <w:p w14:paraId="771EC89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EC78ADA" w14:textId="77777777" w:rsidTr="00C707CF">
        <w:trPr>
          <w:cantSplit/>
          <w:jc w:val="center"/>
        </w:trPr>
        <w:tc>
          <w:tcPr>
            <w:tcW w:w="418" w:type="dxa"/>
            <w:tcMar>
              <w:top w:w="10" w:type="dxa"/>
              <w:left w:w="10" w:type="dxa"/>
              <w:bottom w:w="10" w:type="dxa"/>
              <w:right w:w="10" w:type="dxa"/>
            </w:tcMar>
            <w:vAlign w:val="center"/>
          </w:tcPr>
          <w:p w14:paraId="2C4F42E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31</w:t>
            </w:r>
          </w:p>
        </w:tc>
        <w:tc>
          <w:tcPr>
            <w:tcW w:w="1530" w:type="dxa"/>
            <w:tcMar>
              <w:top w:w="10" w:type="dxa"/>
              <w:left w:w="10" w:type="dxa"/>
              <w:bottom w:w="10" w:type="dxa"/>
              <w:right w:w="10" w:type="dxa"/>
            </w:tcMar>
            <w:vAlign w:val="center"/>
          </w:tcPr>
          <w:p w14:paraId="040E90C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尿酸测试仪</w:t>
            </w:r>
          </w:p>
        </w:tc>
        <w:tc>
          <w:tcPr>
            <w:tcW w:w="1134" w:type="dxa"/>
            <w:tcMar>
              <w:top w:w="10" w:type="dxa"/>
              <w:left w:w="10" w:type="dxa"/>
              <w:bottom w:w="10" w:type="dxa"/>
              <w:right w:w="10" w:type="dxa"/>
            </w:tcMar>
            <w:vAlign w:val="center"/>
          </w:tcPr>
          <w:p w14:paraId="0499474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20222220608</w:t>
            </w:r>
          </w:p>
        </w:tc>
        <w:tc>
          <w:tcPr>
            <w:tcW w:w="425" w:type="dxa"/>
            <w:tcMar>
              <w:top w:w="10" w:type="dxa"/>
              <w:left w:w="10" w:type="dxa"/>
              <w:bottom w:w="10" w:type="dxa"/>
              <w:right w:w="10" w:type="dxa"/>
            </w:tcMar>
            <w:vAlign w:val="center"/>
          </w:tcPr>
          <w:p w14:paraId="6E3865F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692E2C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本产品主要用于定量检测全血中的尿酸浓度；本产品可用于医院或其他医疗机构尿酸测试，以及高尿酸血症患者、痛风患者或其他人群进行自我尿酸监测。</w:t>
            </w:r>
          </w:p>
        </w:tc>
        <w:tc>
          <w:tcPr>
            <w:tcW w:w="992" w:type="dxa"/>
            <w:tcMar>
              <w:top w:w="10" w:type="dxa"/>
              <w:left w:w="10" w:type="dxa"/>
              <w:bottom w:w="10" w:type="dxa"/>
              <w:right w:w="10" w:type="dxa"/>
            </w:tcMar>
            <w:vAlign w:val="center"/>
          </w:tcPr>
          <w:p w14:paraId="285447C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2027.04.07</w:t>
            </w:r>
          </w:p>
        </w:tc>
        <w:tc>
          <w:tcPr>
            <w:tcW w:w="1276" w:type="dxa"/>
            <w:tcMar>
              <w:top w:w="10" w:type="dxa"/>
              <w:left w:w="10" w:type="dxa"/>
              <w:bottom w:w="10" w:type="dxa"/>
              <w:right w:w="10" w:type="dxa"/>
            </w:tcMar>
            <w:vAlign w:val="center"/>
          </w:tcPr>
          <w:p w14:paraId="72A6988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DCCABAF" w14:textId="77777777" w:rsidTr="00C707CF">
        <w:trPr>
          <w:cantSplit/>
          <w:jc w:val="center"/>
        </w:trPr>
        <w:tc>
          <w:tcPr>
            <w:tcW w:w="418" w:type="dxa"/>
            <w:tcMar>
              <w:top w:w="10" w:type="dxa"/>
              <w:left w:w="10" w:type="dxa"/>
              <w:bottom w:w="10" w:type="dxa"/>
              <w:right w:w="10" w:type="dxa"/>
            </w:tcMar>
            <w:vAlign w:val="center"/>
          </w:tcPr>
          <w:p w14:paraId="2560705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32</w:t>
            </w:r>
          </w:p>
        </w:tc>
        <w:tc>
          <w:tcPr>
            <w:tcW w:w="1530" w:type="dxa"/>
            <w:tcMar>
              <w:top w:w="10" w:type="dxa"/>
              <w:left w:w="10" w:type="dxa"/>
              <w:bottom w:w="10" w:type="dxa"/>
              <w:right w:w="10" w:type="dxa"/>
            </w:tcMar>
            <w:vAlign w:val="center"/>
          </w:tcPr>
          <w:p w14:paraId="4C535D8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血糖尿酸测试仪</w:t>
            </w:r>
          </w:p>
        </w:tc>
        <w:tc>
          <w:tcPr>
            <w:tcW w:w="1134" w:type="dxa"/>
            <w:tcMar>
              <w:top w:w="10" w:type="dxa"/>
              <w:left w:w="10" w:type="dxa"/>
              <w:bottom w:w="10" w:type="dxa"/>
              <w:right w:w="10" w:type="dxa"/>
            </w:tcMar>
            <w:vAlign w:val="center"/>
          </w:tcPr>
          <w:p w14:paraId="13E12F2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20222221804</w:t>
            </w:r>
          </w:p>
        </w:tc>
        <w:tc>
          <w:tcPr>
            <w:tcW w:w="425" w:type="dxa"/>
            <w:tcMar>
              <w:top w:w="10" w:type="dxa"/>
              <w:left w:w="10" w:type="dxa"/>
              <w:bottom w:w="10" w:type="dxa"/>
              <w:right w:w="10" w:type="dxa"/>
            </w:tcMar>
            <w:vAlign w:val="center"/>
          </w:tcPr>
          <w:p w14:paraId="1E2216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31FB7C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本产品与配套血糖试条或尿酸测试条配合使用，用于定量检测全血中的葡萄糖和尿酸浓度。</w:t>
            </w:r>
          </w:p>
        </w:tc>
        <w:tc>
          <w:tcPr>
            <w:tcW w:w="992" w:type="dxa"/>
            <w:tcMar>
              <w:top w:w="10" w:type="dxa"/>
              <w:left w:w="10" w:type="dxa"/>
              <w:bottom w:w="10" w:type="dxa"/>
              <w:right w:w="10" w:type="dxa"/>
            </w:tcMar>
            <w:vAlign w:val="center"/>
          </w:tcPr>
          <w:p w14:paraId="6EE2900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2027.09.21</w:t>
            </w:r>
          </w:p>
        </w:tc>
        <w:tc>
          <w:tcPr>
            <w:tcW w:w="1276" w:type="dxa"/>
            <w:tcMar>
              <w:top w:w="10" w:type="dxa"/>
              <w:left w:w="10" w:type="dxa"/>
              <w:bottom w:w="10" w:type="dxa"/>
              <w:right w:w="10" w:type="dxa"/>
            </w:tcMar>
            <w:vAlign w:val="center"/>
          </w:tcPr>
          <w:p w14:paraId="7B83BFE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2025.01.22</w:t>
            </w:r>
            <w:r>
              <w:rPr>
                <w:rFonts w:ascii="Times New Roman" w:hAnsi="Times New Roman" w:hint="eastAsia"/>
                <w:sz w:val="18"/>
                <w:szCs w:val="18"/>
              </w:rPr>
              <w:t>获批变更注册</w:t>
            </w:r>
          </w:p>
        </w:tc>
      </w:tr>
      <w:tr w:rsidR="00113A51" w14:paraId="0499A48B" w14:textId="77777777" w:rsidTr="00C707CF">
        <w:trPr>
          <w:cantSplit/>
          <w:jc w:val="center"/>
        </w:trPr>
        <w:tc>
          <w:tcPr>
            <w:tcW w:w="418" w:type="dxa"/>
            <w:tcMar>
              <w:top w:w="10" w:type="dxa"/>
              <w:left w:w="10" w:type="dxa"/>
              <w:bottom w:w="10" w:type="dxa"/>
              <w:right w:w="10" w:type="dxa"/>
            </w:tcMar>
            <w:vAlign w:val="center"/>
          </w:tcPr>
          <w:p w14:paraId="670B646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33</w:t>
            </w:r>
          </w:p>
        </w:tc>
        <w:tc>
          <w:tcPr>
            <w:tcW w:w="1530" w:type="dxa"/>
            <w:tcMar>
              <w:top w:w="10" w:type="dxa"/>
              <w:left w:w="10" w:type="dxa"/>
              <w:bottom w:w="10" w:type="dxa"/>
              <w:right w:w="10" w:type="dxa"/>
            </w:tcMar>
            <w:vAlign w:val="center"/>
          </w:tcPr>
          <w:p w14:paraId="2F74346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血压血糖尿酸测试仪</w:t>
            </w:r>
          </w:p>
        </w:tc>
        <w:tc>
          <w:tcPr>
            <w:tcW w:w="1134" w:type="dxa"/>
            <w:tcMar>
              <w:top w:w="10" w:type="dxa"/>
              <w:left w:w="10" w:type="dxa"/>
              <w:bottom w:w="10" w:type="dxa"/>
              <w:right w:w="10" w:type="dxa"/>
            </w:tcMar>
            <w:vAlign w:val="center"/>
          </w:tcPr>
          <w:p w14:paraId="746BBD0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20232070361</w:t>
            </w:r>
          </w:p>
        </w:tc>
        <w:tc>
          <w:tcPr>
            <w:tcW w:w="425" w:type="dxa"/>
            <w:tcMar>
              <w:top w:w="10" w:type="dxa"/>
              <w:left w:w="10" w:type="dxa"/>
              <w:bottom w:w="10" w:type="dxa"/>
              <w:right w:w="10" w:type="dxa"/>
            </w:tcMar>
            <w:vAlign w:val="center"/>
          </w:tcPr>
          <w:p w14:paraId="5215D31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A31A77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用于测量人体的收缩压、舒张压及脉率（</w:t>
            </w:r>
            <w:r>
              <w:rPr>
                <w:rFonts w:ascii="Times New Roman" w:hAnsi="Times New Roman" w:cs="Times New Roman"/>
                <w:sz w:val="18"/>
                <w:szCs w:val="18"/>
              </w:rPr>
              <w:t>12</w:t>
            </w:r>
            <w:r>
              <w:rPr>
                <w:rFonts w:ascii="Times New Roman" w:hAnsi="Times New Roman" w:hint="eastAsia"/>
                <w:sz w:val="18"/>
                <w:szCs w:val="18"/>
              </w:rPr>
              <w:t>周岁以上的人），其数值供诊断参考；与配套血糖测试条或者尿酸测试条配合使用，分别用于测试毛细血管全血或静脉全血的葡萄糖、尿酸浓度。</w:t>
            </w:r>
          </w:p>
        </w:tc>
        <w:tc>
          <w:tcPr>
            <w:tcW w:w="992" w:type="dxa"/>
            <w:tcMar>
              <w:top w:w="10" w:type="dxa"/>
              <w:left w:w="10" w:type="dxa"/>
              <w:bottom w:w="10" w:type="dxa"/>
              <w:right w:w="10" w:type="dxa"/>
            </w:tcMar>
            <w:vAlign w:val="center"/>
          </w:tcPr>
          <w:p w14:paraId="74A5B29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2028.04.23</w:t>
            </w:r>
          </w:p>
        </w:tc>
        <w:tc>
          <w:tcPr>
            <w:tcW w:w="1276" w:type="dxa"/>
            <w:tcMar>
              <w:top w:w="10" w:type="dxa"/>
              <w:left w:w="10" w:type="dxa"/>
              <w:bottom w:w="10" w:type="dxa"/>
              <w:right w:w="10" w:type="dxa"/>
            </w:tcMar>
            <w:vAlign w:val="center"/>
          </w:tcPr>
          <w:p w14:paraId="3878287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2025.04.07</w:t>
            </w:r>
            <w:r>
              <w:rPr>
                <w:rFonts w:ascii="Times New Roman" w:hAnsi="Times New Roman" w:hint="eastAsia"/>
                <w:sz w:val="18"/>
                <w:szCs w:val="18"/>
              </w:rPr>
              <w:t>获批变更注册</w:t>
            </w:r>
          </w:p>
        </w:tc>
      </w:tr>
      <w:tr w:rsidR="00113A51" w14:paraId="3B851F8B" w14:textId="77777777" w:rsidTr="00C707CF">
        <w:trPr>
          <w:cantSplit/>
          <w:jc w:val="center"/>
        </w:trPr>
        <w:tc>
          <w:tcPr>
            <w:tcW w:w="418" w:type="dxa"/>
            <w:tcMar>
              <w:top w:w="10" w:type="dxa"/>
              <w:left w:w="10" w:type="dxa"/>
              <w:bottom w:w="10" w:type="dxa"/>
              <w:right w:w="10" w:type="dxa"/>
            </w:tcMar>
            <w:vAlign w:val="center"/>
          </w:tcPr>
          <w:p w14:paraId="325C3A8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34</w:t>
            </w:r>
          </w:p>
        </w:tc>
        <w:tc>
          <w:tcPr>
            <w:tcW w:w="1530" w:type="dxa"/>
            <w:tcMar>
              <w:top w:w="10" w:type="dxa"/>
              <w:left w:w="10" w:type="dxa"/>
              <w:bottom w:w="10" w:type="dxa"/>
              <w:right w:w="10" w:type="dxa"/>
            </w:tcMar>
            <w:vAlign w:val="center"/>
          </w:tcPr>
          <w:p w14:paraId="765611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血糖尿酸血酮仪</w:t>
            </w:r>
          </w:p>
        </w:tc>
        <w:tc>
          <w:tcPr>
            <w:tcW w:w="1134" w:type="dxa"/>
            <w:tcMar>
              <w:top w:w="10" w:type="dxa"/>
              <w:left w:w="10" w:type="dxa"/>
              <w:bottom w:w="10" w:type="dxa"/>
              <w:right w:w="10" w:type="dxa"/>
            </w:tcMar>
            <w:vAlign w:val="center"/>
          </w:tcPr>
          <w:p w14:paraId="6747532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20232220493</w:t>
            </w:r>
          </w:p>
        </w:tc>
        <w:tc>
          <w:tcPr>
            <w:tcW w:w="425" w:type="dxa"/>
            <w:tcMar>
              <w:top w:w="10" w:type="dxa"/>
              <w:left w:w="10" w:type="dxa"/>
              <w:bottom w:w="10" w:type="dxa"/>
              <w:right w:w="10" w:type="dxa"/>
            </w:tcMar>
            <w:vAlign w:val="center"/>
          </w:tcPr>
          <w:p w14:paraId="2CC5352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08A452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本产品与配套试条配合使用，用于定量检测全血中血糖、尿酸和β</w:t>
            </w:r>
            <w:r>
              <w:rPr>
                <w:rFonts w:ascii="Times New Roman" w:hAnsi="Times New Roman" w:cs="Times New Roman"/>
                <w:sz w:val="18"/>
                <w:szCs w:val="18"/>
              </w:rPr>
              <w:t>-</w:t>
            </w:r>
            <w:r>
              <w:rPr>
                <w:rFonts w:ascii="Times New Roman" w:hAnsi="Times New Roman" w:hint="eastAsia"/>
                <w:sz w:val="18"/>
                <w:szCs w:val="18"/>
              </w:rPr>
              <w:t>羟丁酸浓度。</w:t>
            </w:r>
          </w:p>
        </w:tc>
        <w:tc>
          <w:tcPr>
            <w:tcW w:w="992" w:type="dxa"/>
            <w:tcMar>
              <w:top w:w="10" w:type="dxa"/>
              <w:left w:w="10" w:type="dxa"/>
              <w:bottom w:w="10" w:type="dxa"/>
              <w:right w:w="10" w:type="dxa"/>
            </w:tcMar>
            <w:vAlign w:val="center"/>
          </w:tcPr>
          <w:p w14:paraId="3A50262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2028.06.05</w:t>
            </w:r>
          </w:p>
        </w:tc>
        <w:tc>
          <w:tcPr>
            <w:tcW w:w="1276" w:type="dxa"/>
            <w:tcMar>
              <w:top w:w="10" w:type="dxa"/>
              <w:left w:w="10" w:type="dxa"/>
              <w:bottom w:w="10" w:type="dxa"/>
              <w:right w:w="10" w:type="dxa"/>
            </w:tcMar>
            <w:vAlign w:val="center"/>
          </w:tcPr>
          <w:p w14:paraId="188A6E1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0CAE8B5" w14:textId="77777777" w:rsidTr="00C707CF">
        <w:trPr>
          <w:cantSplit/>
          <w:jc w:val="center"/>
        </w:trPr>
        <w:tc>
          <w:tcPr>
            <w:tcW w:w="418" w:type="dxa"/>
            <w:tcMar>
              <w:top w:w="10" w:type="dxa"/>
              <w:left w:w="10" w:type="dxa"/>
              <w:bottom w:w="10" w:type="dxa"/>
              <w:right w:w="10" w:type="dxa"/>
            </w:tcMar>
            <w:vAlign w:val="center"/>
          </w:tcPr>
          <w:p w14:paraId="38D5361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35</w:t>
            </w:r>
          </w:p>
        </w:tc>
        <w:tc>
          <w:tcPr>
            <w:tcW w:w="1530" w:type="dxa"/>
            <w:tcMar>
              <w:top w:w="10" w:type="dxa"/>
              <w:left w:w="10" w:type="dxa"/>
              <w:bottom w:w="10" w:type="dxa"/>
              <w:right w:w="10" w:type="dxa"/>
            </w:tcMar>
            <w:vAlign w:val="center"/>
          </w:tcPr>
          <w:p w14:paraId="1C481F5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血红蛋白分析仪</w:t>
            </w:r>
          </w:p>
        </w:tc>
        <w:tc>
          <w:tcPr>
            <w:tcW w:w="1134" w:type="dxa"/>
            <w:tcMar>
              <w:top w:w="10" w:type="dxa"/>
              <w:left w:w="10" w:type="dxa"/>
              <w:bottom w:w="10" w:type="dxa"/>
              <w:right w:w="10" w:type="dxa"/>
            </w:tcMar>
            <w:vAlign w:val="center"/>
          </w:tcPr>
          <w:p w14:paraId="2A8C9CB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20232220775</w:t>
            </w:r>
          </w:p>
        </w:tc>
        <w:tc>
          <w:tcPr>
            <w:tcW w:w="425" w:type="dxa"/>
            <w:tcMar>
              <w:top w:w="10" w:type="dxa"/>
              <w:left w:w="10" w:type="dxa"/>
              <w:bottom w:w="10" w:type="dxa"/>
              <w:right w:w="10" w:type="dxa"/>
            </w:tcMar>
            <w:vAlign w:val="center"/>
          </w:tcPr>
          <w:p w14:paraId="6CE399A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4FFC10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本产品与配套的血红蛋白试条配合使用</w:t>
            </w:r>
            <w:r>
              <w:rPr>
                <w:rFonts w:ascii="Times New Roman" w:hAnsi="Times New Roman" w:cs="Times New Roman"/>
                <w:sz w:val="18"/>
                <w:szCs w:val="18"/>
              </w:rPr>
              <w:t>,</w:t>
            </w:r>
            <w:r>
              <w:rPr>
                <w:rFonts w:ascii="Times New Roman" w:hAnsi="Times New Roman" w:hint="eastAsia"/>
                <w:sz w:val="18"/>
                <w:szCs w:val="18"/>
              </w:rPr>
              <w:t>用于检测人体新鲜毛细血管全血、静脉全血中的血红蛋白浓度。本产品临床上主要用于各种贫血、失血等的辅助诊断。本产品可由专业人员使用，也可由非专业用户自测使用。</w:t>
            </w:r>
          </w:p>
        </w:tc>
        <w:tc>
          <w:tcPr>
            <w:tcW w:w="992" w:type="dxa"/>
            <w:tcMar>
              <w:top w:w="10" w:type="dxa"/>
              <w:left w:w="10" w:type="dxa"/>
              <w:bottom w:w="10" w:type="dxa"/>
              <w:right w:w="10" w:type="dxa"/>
            </w:tcMar>
            <w:vAlign w:val="center"/>
          </w:tcPr>
          <w:p w14:paraId="1198F5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2028.08.16</w:t>
            </w:r>
          </w:p>
        </w:tc>
        <w:tc>
          <w:tcPr>
            <w:tcW w:w="1276" w:type="dxa"/>
            <w:tcMar>
              <w:top w:w="10" w:type="dxa"/>
              <w:left w:w="10" w:type="dxa"/>
              <w:bottom w:w="10" w:type="dxa"/>
              <w:right w:w="10" w:type="dxa"/>
            </w:tcMar>
            <w:vAlign w:val="center"/>
          </w:tcPr>
          <w:p w14:paraId="68E8A23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9B859D0" w14:textId="77777777" w:rsidTr="00C707CF">
        <w:trPr>
          <w:cantSplit/>
          <w:jc w:val="center"/>
        </w:trPr>
        <w:tc>
          <w:tcPr>
            <w:tcW w:w="418" w:type="dxa"/>
            <w:tcMar>
              <w:top w:w="10" w:type="dxa"/>
              <w:left w:w="10" w:type="dxa"/>
              <w:bottom w:w="10" w:type="dxa"/>
              <w:right w:w="10" w:type="dxa"/>
            </w:tcMar>
            <w:vAlign w:val="center"/>
          </w:tcPr>
          <w:p w14:paraId="095B518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36</w:t>
            </w:r>
          </w:p>
        </w:tc>
        <w:tc>
          <w:tcPr>
            <w:tcW w:w="1530" w:type="dxa"/>
            <w:tcMar>
              <w:top w:w="10" w:type="dxa"/>
              <w:left w:w="10" w:type="dxa"/>
              <w:bottom w:w="10" w:type="dxa"/>
              <w:right w:w="10" w:type="dxa"/>
            </w:tcMar>
            <w:vAlign w:val="center"/>
          </w:tcPr>
          <w:p w14:paraId="2F018DE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血糖尿酸血脂仪</w:t>
            </w:r>
          </w:p>
        </w:tc>
        <w:tc>
          <w:tcPr>
            <w:tcW w:w="1134" w:type="dxa"/>
            <w:tcMar>
              <w:top w:w="10" w:type="dxa"/>
              <w:left w:w="10" w:type="dxa"/>
              <w:bottom w:w="10" w:type="dxa"/>
              <w:right w:w="10" w:type="dxa"/>
            </w:tcMar>
            <w:vAlign w:val="center"/>
          </w:tcPr>
          <w:p w14:paraId="0073175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20242221261</w:t>
            </w:r>
          </w:p>
        </w:tc>
        <w:tc>
          <w:tcPr>
            <w:tcW w:w="425" w:type="dxa"/>
            <w:tcMar>
              <w:top w:w="10" w:type="dxa"/>
              <w:left w:w="10" w:type="dxa"/>
              <w:bottom w:w="10" w:type="dxa"/>
              <w:right w:w="10" w:type="dxa"/>
            </w:tcMar>
            <w:vAlign w:val="center"/>
          </w:tcPr>
          <w:p w14:paraId="2875F42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C3F16D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本产品与配套试条配合使用，用于定量检测新鲜毛细血管全血、静脉全血和动脉全血中的葡萄糖浓度，新鲜毛细血管全血、静脉全血中的尿酸浓度</w:t>
            </w:r>
            <w:r>
              <w:rPr>
                <w:rFonts w:ascii="Times New Roman" w:hAnsi="Times New Roman" w:cs="Times New Roman"/>
                <w:sz w:val="18"/>
                <w:szCs w:val="18"/>
              </w:rPr>
              <w:t>,</w:t>
            </w:r>
            <w:r>
              <w:rPr>
                <w:rFonts w:ascii="Times New Roman" w:hAnsi="Times New Roman" w:hint="eastAsia"/>
                <w:sz w:val="18"/>
                <w:szCs w:val="18"/>
              </w:rPr>
              <w:t>以及新鲜毛细血管全血中的总胆固醇浓度。临床上主要用于糖代谢疾病、高尿酸血症和高胆固醇血症的辅助诊断。</w:t>
            </w:r>
          </w:p>
          <w:p w14:paraId="5C4AED8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本产品供各级医疗机构中专业人员检测及糖尿病患者、痛风患者、高尿酸血症患者、高胆固醇血症患者或其他人群进行自我监测，不能用于疾病的诊断和筛查，也不能作为治疗药物调整的依据。</w:t>
            </w:r>
          </w:p>
        </w:tc>
        <w:tc>
          <w:tcPr>
            <w:tcW w:w="992" w:type="dxa"/>
            <w:tcMar>
              <w:top w:w="10" w:type="dxa"/>
              <w:left w:w="10" w:type="dxa"/>
              <w:bottom w:w="10" w:type="dxa"/>
              <w:right w:w="10" w:type="dxa"/>
            </w:tcMar>
            <w:vAlign w:val="center"/>
          </w:tcPr>
          <w:p w14:paraId="1A621D3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2029.12.08</w:t>
            </w:r>
          </w:p>
        </w:tc>
        <w:tc>
          <w:tcPr>
            <w:tcW w:w="1276" w:type="dxa"/>
            <w:tcMar>
              <w:top w:w="10" w:type="dxa"/>
              <w:left w:w="10" w:type="dxa"/>
              <w:bottom w:w="10" w:type="dxa"/>
              <w:right w:w="10" w:type="dxa"/>
            </w:tcMar>
            <w:vAlign w:val="center"/>
          </w:tcPr>
          <w:p w14:paraId="7B9AD8B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0AE2906" w14:textId="77777777" w:rsidTr="00C707CF">
        <w:trPr>
          <w:cantSplit/>
          <w:jc w:val="center"/>
        </w:trPr>
        <w:tc>
          <w:tcPr>
            <w:tcW w:w="418" w:type="dxa"/>
            <w:tcMar>
              <w:top w:w="10" w:type="dxa"/>
              <w:left w:w="10" w:type="dxa"/>
              <w:bottom w:w="10" w:type="dxa"/>
              <w:right w:w="10" w:type="dxa"/>
            </w:tcMar>
            <w:vAlign w:val="center"/>
          </w:tcPr>
          <w:p w14:paraId="3B45427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37</w:t>
            </w:r>
          </w:p>
        </w:tc>
        <w:tc>
          <w:tcPr>
            <w:tcW w:w="1530" w:type="dxa"/>
            <w:tcMar>
              <w:top w:w="10" w:type="dxa"/>
              <w:left w:w="10" w:type="dxa"/>
              <w:bottom w:w="10" w:type="dxa"/>
              <w:right w:w="10" w:type="dxa"/>
            </w:tcMar>
            <w:vAlign w:val="center"/>
          </w:tcPr>
          <w:p w14:paraId="45818A6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肌酐测试仪</w:t>
            </w:r>
          </w:p>
        </w:tc>
        <w:tc>
          <w:tcPr>
            <w:tcW w:w="1134" w:type="dxa"/>
            <w:tcMar>
              <w:top w:w="10" w:type="dxa"/>
              <w:left w:w="10" w:type="dxa"/>
              <w:bottom w:w="10" w:type="dxa"/>
              <w:right w:w="10" w:type="dxa"/>
            </w:tcMar>
            <w:vAlign w:val="center"/>
          </w:tcPr>
          <w:p w14:paraId="0DF1B45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 20252220012</w:t>
            </w:r>
          </w:p>
        </w:tc>
        <w:tc>
          <w:tcPr>
            <w:tcW w:w="425" w:type="dxa"/>
            <w:tcMar>
              <w:top w:w="10" w:type="dxa"/>
              <w:left w:w="10" w:type="dxa"/>
              <w:bottom w:w="10" w:type="dxa"/>
              <w:right w:w="10" w:type="dxa"/>
            </w:tcMar>
            <w:vAlign w:val="center"/>
          </w:tcPr>
          <w:p w14:paraId="1251E4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E0A06F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肌酐测试仪与配套肌酐测试条配合使用，用于定量检测毛细血管全血或静脉全血中肌酐浓度，本产品可以由专业人士和肾病患者、肾透析患者、慢性肾脏病高风险人群等其他有需要人士在医疗机构和</w:t>
            </w:r>
            <w:r>
              <w:rPr>
                <w:rFonts w:ascii="Times New Roman" w:hAnsi="Times New Roman" w:cs="Times New Roman"/>
                <w:sz w:val="18"/>
                <w:szCs w:val="18"/>
              </w:rPr>
              <w:t>/</w:t>
            </w:r>
            <w:r>
              <w:rPr>
                <w:rFonts w:ascii="Times New Roman" w:hAnsi="Times New Roman" w:hint="eastAsia"/>
                <w:sz w:val="18"/>
                <w:szCs w:val="18"/>
              </w:rPr>
              <w:t>或家庭等非医疗环境进行肌酐浓度监测。本产品不适用于新生儿。</w:t>
            </w:r>
          </w:p>
        </w:tc>
        <w:tc>
          <w:tcPr>
            <w:tcW w:w="992" w:type="dxa"/>
            <w:tcMar>
              <w:top w:w="10" w:type="dxa"/>
              <w:left w:w="10" w:type="dxa"/>
              <w:bottom w:w="10" w:type="dxa"/>
              <w:right w:w="10" w:type="dxa"/>
            </w:tcMar>
            <w:vAlign w:val="center"/>
          </w:tcPr>
          <w:p w14:paraId="56638E9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2030.01.02</w:t>
            </w:r>
          </w:p>
        </w:tc>
        <w:tc>
          <w:tcPr>
            <w:tcW w:w="1276" w:type="dxa"/>
            <w:tcMar>
              <w:top w:w="10" w:type="dxa"/>
              <w:left w:w="10" w:type="dxa"/>
              <w:bottom w:w="10" w:type="dxa"/>
              <w:right w:w="10" w:type="dxa"/>
            </w:tcMar>
            <w:vAlign w:val="center"/>
          </w:tcPr>
          <w:p w14:paraId="1BFC878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2025.01.03</w:t>
            </w:r>
            <w:r>
              <w:rPr>
                <w:rFonts w:ascii="Times New Roman" w:hAnsi="Times New Roman" w:hint="eastAsia"/>
                <w:sz w:val="18"/>
                <w:szCs w:val="18"/>
              </w:rPr>
              <w:t>获批的新品注册证</w:t>
            </w:r>
          </w:p>
        </w:tc>
      </w:tr>
      <w:tr w:rsidR="00113A51" w14:paraId="4A632CDC" w14:textId="77777777" w:rsidTr="00C707CF">
        <w:trPr>
          <w:cantSplit/>
          <w:jc w:val="center"/>
        </w:trPr>
        <w:tc>
          <w:tcPr>
            <w:tcW w:w="418" w:type="dxa"/>
            <w:tcMar>
              <w:top w:w="10" w:type="dxa"/>
              <w:left w:w="10" w:type="dxa"/>
              <w:bottom w:w="10" w:type="dxa"/>
              <w:right w:w="10" w:type="dxa"/>
            </w:tcMar>
            <w:vAlign w:val="center"/>
          </w:tcPr>
          <w:p w14:paraId="04D44CC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38</w:t>
            </w:r>
          </w:p>
        </w:tc>
        <w:tc>
          <w:tcPr>
            <w:tcW w:w="1530" w:type="dxa"/>
            <w:tcMar>
              <w:top w:w="10" w:type="dxa"/>
              <w:left w:w="10" w:type="dxa"/>
              <w:bottom w:w="10" w:type="dxa"/>
              <w:right w:w="10" w:type="dxa"/>
            </w:tcMar>
            <w:vAlign w:val="center"/>
          </w:tcPr>
          <w:p w14:paraId="1983B52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血糖数据管理软件</w:t>
            </w:r>
          </w:p>
        </w:tc>
        <w:tc>
          <w:tcPr>
            <w:tcW w:w="1134" w:type="dxa"/>
            <w:tcMar>
              <w:top w:w="10" w:type="dxa"/>
              <w:left w:w="10" w:type="dxa"/>
              <w:bottom w:w="10" w:type="dxa"/>
              <w:right w:w="10" w:type="dxa"/>
            </w:tcMar>
            <w:vAlign w:val="center"/>
          </w:tcPr>
          <w:p w14:paraId="06B780C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20252210420</w:t>
            </w:r>
          </w:p>
        </w:tc>
        <w:tc>
          <w:tcPr>
            <w:tcW w:w="425" w:type="dxa"/>
            <w:tcMar>
              <w:top w:w="10" w:type="dxa"/>
              <w:left w:w="10" w:type="dxa"/>
              <w:bottom w:w="10" w:type="dxa"/>
              <w:right w:w="10" w:type="dxa"/>
            </w:tcMar>
            <w:vAlign w:val="center"/>
          </w:tcPr>
          <w:p w14:paraId="3DD5048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62C47C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可与兼容的血糖、血压、体格指标检测仪器配合使用，对糖尿病高危人群的血糖、血压、身高、体重、腰围、患者信息数据进行接收、处理和集中显示，辅助医务人员对患者进行干预、提醒和病情管理，无自动诊断功能，结果仅供参考，不作为糖尿病诊断和治疗的依据。</w:t>
            </w:r>
          </w:p>
        </w:tc>
        <w:tc>
          <w:tcPr>
            <w:tcW w:w="992" w:type="dxa"/>
            <w:tcMar>
              <w:top w:w="10" w:type="dxa"/>
              <w:left w:w="10" w:type="dxa"/>
              <w:bottom w:w="10" w:type="dxa"/>
              <w:right w:w="10" w:type="dxa"/>
            </w:tcMar>
            <w:vAlign w:val="center"/>
          </w:tcPr>
          <w:p w14:paraId="02FFA5D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2030.05.12</w:t>
            </w:r>
          </w:p>
        </w:tc>
        <w:tc>
          <w:tcPr>
            <w:tcW w:w="1276" w:type="dxa"/>
            <w:tcMar>
              <w:top w:w="10" w:type="dxa"/>
              <w:left w:w="10" w:type="dxa"/>
              <w:bottom w:w="10" w:type="dxa"/>
              <w:right w:w="10" w:type="dxa"/>
            </w:tcMar>
            <w:vAlign w:val="center"/>
          </w:tcPr>
          <w:p w14:paraId="3AD6A03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2025.05.13</w:t>
            </w:r>
            <w:r>
              <w:rPr>
                <w:rFonts w:ascii="Times New Roman" w:hAnsi="Times New Roman" w:hint="eastAsia"/>
                <w:sz w:val="18"/>
                <w:szCs w:val="18"/>
              </w:rPr>
              <w:t>获批的新品注册证</w:t>
            </w:r>
          </w:p>
        </w:tc>
      </w:tr>
      <w:tr w:rsidR="00113A51" w14:paraId="57524652" w14:textId="77777777" w:rsidTr="00C707CF">
        <w:trPr>
          <w:cantSplit/>
          <w:jc w:val="center"/>
        </w:trPr>
        <w:tc>
          <w:tcPr>
            <w:tcW w:w="418" w:type="dxa"/>
            <w:tcMar>
              <w:top w:w="10" w:type="dxa"/>
              <w:left w:w="10" w:type="dxa"/>
              <w:bottom w:w="10" w:type="dxa"/>
              <w:right w:w="10" w:type="dxa"/>
            </w:tcMar>
            <w:vAlign w:val="center"/>
          </w:tcPr>
          <w:p w14:paraId="79AC51D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39</w:t>
            </w:r>
          </w:p>
        </w:tc>
        <w:tc>
          <w:tcPr>
            <w:tcW w:w="1530" w:type="dxa"/>
            <w:tcMar>
              <w:top w:w="10" w:type="dxa"/>
              <w:left w:w="10" w:type="dxa"/>
              <w:bottom w:w="10" w:type="dxa"/>
              <w:right w:w="10" w:type="dxa"/>
            </w:tcMar>
            <w:vAlign w:val="center"/>
          </w:tcPr>
          <w:p w14:paraId="334EA1C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w:t>
            </w:r>
          </w:p>
        </w:tc>
        <w:tc>
          <w:tcPr>
            <w:tcW w:w="1134" w:type="dxa"/>
            <w:tcMar>
              <w:top w:w="10" w:type="dxa"/>
              <w:left w:w="10" w:type="dxa"/>
              <w:bottom w:w="10" w:type="dxa"/>
              <w:right w:w="10" w:type="dxa"/>
            </w:tcMar>
            <w:vAlign w:val="center"/>
          </w:tcPr>
          <w:p w14:paraId="3533FCF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20162400157</w:t>
            </w:r>
          </w:p>
        </w:tc>
        <w:tc>
          <w:tcPr>
            <w:tcW w:w="425" w:type="dxa"/>
            <w:tcMar>
              <w:top w:w="10" w:type="dxa"/>
              <w:left w:w="10" w:type="dxa"/>
              <w:bottom w:w="10" w:type="dxa"/>
              <w:right w:w="10" w:type="dxa"/>
            </w:tcMar>
            <w:vAlign w:val="center"/>
          </w:tcPr>
          <w:p w14:paraId="42F9E19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4AE340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产品主要用于体外检测末梢全血中的葡萄糖浓度，可用于医疗机构快速血糖测试，糖尿病患者或其他人群的血糖监测。本产品只用于血糖水平的监测，不能用于糖尿病的诊断和筛查。</w:t>
            </w:r>
          </w:p>
        </w:tc>
        <w:tc>
          <w:tcPr>
            <w:tcW w:w="992" w:type="dxa"/>
            <w:tcMar>
              <w:top w:w="10" w:type="dxa"/>
              <w:left w:w="10" w:type="dxa"/>
              <w:bottom w:w="10" w:type="dxa"/>
              <w:right w:w="10" w:type="dxa"/>
            </w:tcMar>
            <w:vAlign w:val="center"/>
          </w:tcPr>
          <w:p w14:paraId="2A7AC6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2031.04.14</w:t>
            </w:r>
          </w:p>
        </w:tc>
        <w:tc>
          <w:tcPr>
            <w:tcW w:w="1276" w:type="dxa"/>
            <w:tcMar>
              <w:top w:w="10" w:type="dxa"/>
              <w:left w:w="10" w:type="dxa"/>
              <w:bottom w:w="10" w:type="dxa"/>
              <w:right w:w="10" w:type="dxa"/>
            </w:tcMar>
            <w:vAlign w:val="center"/>
          </w:tcPr>
          <w:p w14:paraId="5A7641C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2025.12.08</w:t>
            </w:r>
            <w:r>
              <w:rPr>
                <w:rFonts w:ascii="Times New Roman" w:hAnsi="Times New Roman" w:hint="eastAsia"/>
                <w:sz w:val="18"/>
                <w:szCs w:val="18"/>
              </w:rPr>
              <w:t>获批延续注册</w:t>
            </w:r>
          </w:p>
        </w:tc>
      </w:tr>
      <w:tr w:rsidR="00113A51" w14:paraId="5646661F" w14:textId="77777777" w:rsidTr="00C707CF">
        <w:trPr>
          <w:cantSplit/>
          <w:jc w:val="center"/>
        </w:trPr>
        <w:tc>
          <w:tcPr>
            <w:tcW w:w="418" w:type="dxa"/>
            <w:tcMar>
              <w:top w:w="10" w:type="dxa"/>
              <w:left w:w="10" w:type="dxa"/>
              <w:bottom w:w="10" w:type="dxa"/>
              <w:right w:w="10" w:type="dxa"/>
            </w:tcMar>
            <w:vAlign w:val="center"/>
          </w:tcPr>
          <w:p w14:paraId="59BF76A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40</w:t>
            </w:r>
          </w:p>
        </w:tc>
        <w:tc>
          <w:tcPr>
            <w:tcW w:w="1530" w:type="dxa"/>
            <w:tcMar>
              <w:top w:w="10" w:type="dxa"/>
              <w:left w:w="10" w:type="dxa"/>
              <w:bottom w:w="10" w:type="dxa"/>
              <w:right w:w="10" w:type="dxa"/>
            </w:tcMar>
            <w:vAlign w:val="center"/>
          </w:tcPr>
          <w:p w14:paraId="6E87C73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w:t>
            </w:r>
          </w:p>
        </w:tc>
        <w:tc>
          <w:tcPr>
            <w:tcW w:w="1134" w:type="dxa"/>
            <w:tcMar>
              <w:top w:w="10" w:type="dxa"/>
              <w:left w:w="10" w:type="dxa"/>
              <w:bottom w:w="10" w:type="dxa"/>
              <w:right w:w="10" w:type="dxa"/>
            </w:tcMar>
            <w:vAlign w:val="center"/>
          </w:tcPr>
          <w:p w14:paraId="33D0FF3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20162400156</w:t>
            </w:r>
          </w:p>
        </w:tc>
        <w:tc>
          <w:tcPr>
            <w:tcW w:w="425" w:type="dxa"/>
            <w:tcMar>
              <w:top w:w="10" w:type="dxa"/>
              <w:left w:w="10" w:type="dxa"/>
              <w:bottom w:w="10" w:type="dxa"/>
              <w:right w:w="10" w:type="dxa"/>
            </w:tcMar>
            <w:vAlign w:val="center"/>
          </w:tcPr>
          <w:p w14:paraId="040E47F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03065E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新鲜毛细血管全血和静脉全血中葡萄糖测试，可用于医疗机构快速血糖测试，糖尿病患者或其他人群，以及医务人员在临床环境下的血糖监测。本产品只用于血糖水平的监测，不能用于糖尿病的诊断与筛查。</w:t>
            </w:r>
          </w:p>
        </w:tc>
        <w:tc>
          <w:tcPr>
            <w:tcW w:w="992" w:type="dxa"/>
            <w:tcMar>
              <w:top w:w="10" w:type="dxa"/>
              <w:left w:w="10" w:type="dxa"/>
              <w:bottom w:w="10" w:type="dxa"/>
              <w:right w:w="10" w:type="dxa"/>
            </w:tcMar>
            <w:vAlign w:val="center"/>
          </w:tcPr>
          <w:p w14:paraId="649E8D2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2031.04.14</w:t>
            </w:r>
          </w:p>
        </w:tc>
        <w:tc>
          <w:tcPr>
            <w:tcW w:w="1276" w:type="dxa"/>
            <w:tcMar>
              <w:top w:w="10" w:type="dxa"/>
              <w:left w:w="10" w:type="dxa"/>
              <w:bottom w:w="10" w:type="dxa"/>
              <w:right w:w="10" w:type="dxa"/>
            </w:tcMar>
            <w:vAlign w:val="center"/>
          </w:tcPr>
          <w:p w14:paraId="79858A6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2025.12.08</w:t>
            </w:r>
            <w:r>
              <w:rPr>
                <w:rFonts w:ascii="Times New Roman" w:hAnsi="Times New Roman" w:hint="eastAsia"/>
                <w:sz w:val="18"/>
                <w:szCs w:val="18"/>
              </w:rPr>
              <w:t>获批延续注册</w:t>
            </w:r>
          </w:p>
        </w:tc>
      </w:tr>
      <w:tr w:rsidR="00113A51" w14:paraId="4BE63D6C" w14:textId="77777777" w:rsidTr="00C707CF">
        <w:trPr>
          <w:cantSplit/>
          <w:jc w:val="center"/>
        </w:trPr>
        <w:tc>
          <w:tcPr>
            <w:tcW w:w="418" w:type="dxa"/>
            <w:tcMar>
              <w:top w:w="10" w:type="dxa"/>
              <w:left w:w="10" w:type="dxa"/>
              <w:bottom w:w="10" w:type="dxa"/>
              <w:right w:w="10" w:type="dxa"/>
            </w:tcMar>
            <w:vAlign w:val="center"/>
          </w:tcPr>
          <w:p w14:paraId="219FEC5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41</w:t>
            </w:r>
          </w:p>
        </w:tc>
        <w:tc>
          <w:tcPr>
            <w:tcW w:w="1530" w:type="dxa"/>
            <w:tcMar>
              <w:top w:w="10" w:type="dxa"/>
              <w:left w:w="10" w:type="dxa"/>
              <w:bottom w:w="10" w:type="dxa"/>
              <w:right w:w="10" w:type="dxa"/>
            </w:tcMar>
            <w:vAlign w:val="center"/>
          </w:tcPr>
          <w:p w14:paraId="5BA3F3C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血糖测试条</w:t>
            </w:r>
          </w:p>
        </w:tc>
        <w:tc>
          <w:tcPr>
            <w:tcW w:w="1134" w:type="dxa"/>
            <w:tcMar>
              <w:top w:w="10" w:type="dxa"/>
              <w:left w:w="10" w:type="dxa"/>
              <w:bottom w:w="10" w:type="dxa"/>
              <w:right w:w="10" w:type="dxa"/>
            </w:tcMar>
            <w:vAlign w:val="center"/>
          </w:tcPr>
          <w:p w14:paraId="6A7989C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20192400151</w:t>
            </w:r>
          </w:p>
        </w:tc>
        <w:tc>
          <w:tcPr>
            <w:tcW w:w="425" w:type="dxa"/>
            <w:tcMar>
              <w:top w:w="10" w:type="dxa"/>
              <w:left w:w="10" w:type="dxa"/>
              <w:bottom w:w="10" w:type="dxa"/>
              <w:right w:w="10" w:type="dxa"/>
            </w:tcMar>
            <w:vAlign w:val="center"/>
          </w:tcPr>
          <w:p w14:paraId="0B9C28F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12C1D9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新鲜毛细血管和静脉全血中葡萄糖测试，可用于医疗机构快速血糖测试，糖尿病患者或其他人群，以及医务人员在临床环境下的血糖监测。本产品只用于血糖水平的监测，不能用于糖尿病的诊断和筛查。</w:t>
            </w:r>
          </w:p>
        </w:tc>
        <w:tc>
          <w:tcPr>
            <w:tcW w:w="992" w:type="dxa"/>
            <w:tcMar>
              <w:top w:w="10" w:type="dxa"/>
              <w:left w:w="10" w:type="dxa"/>
              <w:bottom w:w="10" w:type="dxa"/>
              <w:right w:w="10" w:type="dxa"/>
            </w:tcMar>
            <w:vAlign w:val="center"/>
          </w:tcPr>
          <w:p w14:paraId="159B99F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2029.05.29</w:t>
            </w:r>
          </w:p>
        </w:tc>
        <w:tc>
          <w:tcPr>
            <w:tcW w:w="1276" w:type="dxa"/>
            <w:tcMar>
              <w:top w:w="10" w:type="dxa"/>
              <w:left w:w="10" w:type="dxa"/>
              <w:bottom w:w="10" w:type="dxa"/>
              <w:right w:w="10" w:type="dxa"/>
            </w:tcMar>
            <w:vAlign w:val="center"/>
          </w:tcPr>
          <w:p w14:paraId="7466879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DE2DA8F" w14:textId="77777777" w:rsidTr="00C707CF">
        <w:trPr>
          <w:cantSplit/>
          <w:jc w:val="center"/>
        </w:trPr>
        <w:tc>
          <w:tcPr>
            <w:tcW w:w="418" w:type="dxa"/>
            <w:tcMar>
              <w:top w:w="10" w:type="dxa"/>
              <w:left w:w="10" w:type="dxa"/>
              <w:bottom w:w="10" w:type="dxa"/>
              <w:right w:w="10" w:type="dxa"/>
            </w:tcMar>
            <w:vAlign w:val="center"/>
          </w:tcPr>
          <w:p w14:paraId="06D6E81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42</w:t>
            </w:r>
          </w:p>
        </w:tc>
        <w:tc>
          <w:tcPr>
            <w:tcW w:w="1530" w:type="dxa"/>
            <w:tcMar>
              <w:top w:w="10" w:type="dxa"/>
              <w:left w:w="10" w:type="dxa"/>
              <w:bottom w:w="10" w:type="dxa"/>
              <w:right w:w="10" w:type="dxa"/>
            </w:tcMar>
            <w:vAlign w:val="center"/>
          </w:tcPr>
          <w:p w14:paraId="2C52A68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w:t>
            </w:r>
          </w:p>
        </w:tc>
        <w:tc>
          <w:tcPr>
            <w:tcW w:w="1134" w:type="dxa"/>
            <w:tcMar>
              <w:top w:w="10" w:type="dxa"/>
              <w:left w:w="10" w:type="dxa"/>
              <w:bottom w:w="10" w:type="dxa"/>
              <w:right w:w="10" w:type="dxa"/>
            </w:tcMar>
            <w:vAlign w:val="center"/>
          </w:tcPr>
          <w:p w14:paraId="73DE64C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20142400054</w:t>
            </w:r>
          </w:p>
        </w:tc>
        <w:tc>
          <w:tcPr>
            <w:tcW w:w="425" w:type="dxa"/>
            <w:tcMar>
              <w:top w:w="10" w:type="dxa"/>
              <w:left w:w="10" w:type="dxa"/>
              <w:bottom w:w="10" w:type="dxa"/>
              <w:right w:w="10" w:type="dxa"/>
            </w:tcMar>
            <w:vAlign w:val="center"/>
          </w:tcPr>
          <w:p w14:paraId="60A3BC9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162D12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用于新鲜毛细血管全血和静脉全血中葡萄糖测试，可用于糖尿病患者或其他人群的快速血糖测试，及医务人员在临床环境下的血糖监测。本产品只用于血糖水平的监测</w:t>
            </w:r>
            <w:r>
              <w:rPr>
                <w:rFonts w:ascii="Times New Roman" w:hAnsi="Times New Roman" w:cs="Times New Roman"/>
                <w:sz w:val="18"/>
                <w:szCs w:val="18"/>
              </w:rPr>
              <w:t>,</w:t>
            </w:r>
            <w:r>
              <w:rPr>
                <w:rFonts w:ascii="Times New Roman" w:hAnsi="Times New Roman" w:hint="eastAsia"/>
                <w:sz w:val="18"/>
                <w:szCs w:val="18"/>
              </w:rPr>
              <w:t>不能用于糖尿病的诊断和筛查。</w:t>
            </w:r>
          </w:p>
        </w:tc>
        <w:tc>
          <w:tcPr>
            <w:tcW w:w="992" w:type="dxa"/>
            <w:tcMar>
              <w:top w:w="10" w:type="dxa"/>
              <w:left w:w="10" w:type="dxa"/>
              <w:bottom w:w="10" w:type="dxa"/>
              <w:right w:w="10" w:type="dxa"/>
            </w:tcMar>
            <w:vAlign w:val="center"/>
          </w:tcPr>
          <w:p w14:paraId="3D555D8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2029.09.15</w:t>
            </w:r>
          </w:p>
        </w:tc>
        <w:tc>
          <w:tcPr>
            <w:tcW w:w="1276" w:type="dxa"/>
            <w:tcMar>
              <w:top w:w="10" w:type="dxa"/>
              <w:left w:w="10" w:type="dxa"/>
              <w:bottom w:w="10" w:type="dxa"/>
              <w:right w:w="10" w:type="dxa"/>
            </w:tcMar>
            <w:vAlign w:val="center"/>
          </w:tcPr>
          <w:p w14:paraId="40B14A1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593C5E6" w14:textId="77777777" w:rsidTr="00C707CF">
        <w:trPr>
          <w:cantSplit/>
          <w:jc w:val="center"/>
        </w:trPr>
        <w:tc>
          <w:tcPr>
            <w:tcW w:w="418" w:type="dxa"/>
            <w:tcMar>
              <w:top w:w="10" w:type="dxa"/>
              <w:left w:w="10" w:type="dxa"/>
              <w:bottom w:w="10" w:type="dxa"/>
              <w:right w:w="10" w:type="dxa"/>
            </w:tcMar>
            <w:vAlign w:val="center"/>
          </w:tcPr>
          <w:p w14:paraId="2361B6E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43</w:t>
            </w:r>
          </w:p>
        </w:tc>
        <w:tc>
          <w:tcPr>
            <w:tcW w:w="1530" w:type="dxa"/>
            <w:tcMar>
              <w:top w:w="10" w:type="dxa"/>
              <w:left w:w="10" w:type="dxa"/>
              <w:bottom w:w="10" w:type="dxa"/>
              <w:right w:w="10" w:type="dxa"/>
            </w:tcMar>
            <w:vAlign w:val="center"/>
          </w:tcPr>
          <w:p w14:paraId="72DE93E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血糖测试条</w:t>
            </w:r>
          </w:p>
        </w:tc>
        <w:tc>
          <w:tcPr>
            <w:tcW w:w="1134" w:type="dxa"/>
            <w:tcMar>
              <w:top w:w="10" w:type="dxa"/>
              <w:left w:w="10" w:type="dxa"/>
              <w:bottom w:w="10" w:type="dxa"/>
              <w:right w:w="10" w:type="dxa"/>
            </w:tcMar>
            <w:vAlign w:val="center"/>
          </w:tcPr>
          <w:p w14:paraId="34B6BC2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20152400113</w:t>
            </w:r>
          </w:p>
        </w:tc>
        <w:tc>
          <w:tcPr>
            <w:tcW w:w="425" w:type="dxa"/>
            <w:tcMar>
              <w:top w:w="10" w:type="dxa"/>
              <w:left w:w="10" w:type="dxa"/>
              <w:bottom w:w="10" w:type="dxa"/>
              <w:right w:w="10" w:type="dxa"/>
            </w:tcMar>
            <w:vAlign w:val="center"/>
          </w:tcPr>
          <w:p w14:paraId="6949A03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FD1A93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手指新鲜毛细血管全血中的葡萄糖浓度，也可用于静脉全血葡萄糖浓度检测；本产品可以由专业人士或患有糖尿病的用户在家中或在医疗单位进行血糖监测。本产品只用于糖尿病患者血糖水平的监测，不能用于糖尿病的诊断和筛查。临床上主要用于反映血糖水平。</w:t>
            </w:r>
          </w:p>
        </w:tc>
        <w:tc>
          <w:tcPr>
            <w:tcW w:w="992" w:type="dxa"/>
            <w:tcMar>
              <w:top w:w="10" w:type="dxa"/>
              <w:left w:w="10" w:type="dxa"/>
              <w:bottom w:w="10" w:type="dxa"/>
              <w:right w:w="10" w:type="dxa"/>
            </w:tcMar>
            <w:vAlign w:val="center"/>
          </w:tcPr>
          <w:p w14:paraId="356FF34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2030.04.27</w:t>
            </w:r>
          </w:p>
        </w:tc>
        <w:tc>
          <w:tcPr>
            <w:tcW w:w="1276" w:type="dxa"/>
            <w:tcMar>
              <w:top w:w="10" w:type="dxa"/>
              <w:left w:w="10" w:type="dxa"/>
              <w:bottom w:w="10" w:type="dxa"/>
              <w:right w:w="10" w:type="dxa"/>
            </w:tcMar>
            <w:vAlign w:val="center"/>
          </w:tcPr>
          <w:p w14:paraId="5C7C4D6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2025.06.13</w:t>
            </w:r>
            <w:r>
              <w:rPr>
                <w:rFonts w:ascii="Times New Roman" w:hAnsi="Times New Roman" w:hint="eastAsia"/>
                <w:sz w:val="18"/>
                <w:szCs w:val="18"/>
              </w:rPr>
              <w:t>获批变更注册</w:t>
            </w:r>
          </w:p>
          <w:p w14:paraId="1E045B4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2025.10.17</w:t>
            </w:r>
            <w:r>
              <w:rPr>
                <w:rFonts w:ascii="Times New Roman" w:hAnsi="Times New Roman" w:hint="eastAsia"/>
                <w:sz w:val="18"/>
                <w:szCs w:val="18"/>
              </w:rPr>
              <w:t>获批变更注册</w:t>
            </w:r>
          </w:p>
        </w:tc>
      </w:tr>
      <w:tr w:rsidR="00113A51" w14:paraId="424D9671" w14:textId="77777777" w:rsidTr="00C707CF">
        <w:trPr>
          <w:cantSplit/>
          <w:jc w:val="center"/>
        </w:trPr>
        <w:tc>
          <w:tcPr>
            <w:tcW w:w="418" w:type="dxa"/>
            <w:tcMar>
              <w:top w:w="10" w:type="dxa"/>
              <w:left w:w="10" w:type="dxa"/>
              <w:bottom w:w="10" w:type="dxa"/>
              <w:right w:w="10" w:type="dxa"/>
            </w:tcMar>
            <w:vAlign w:val="center"/>
          </w:tcPr>
          <w:p w14:paraId="03B8423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44</w:t>
            </w:r>
          </w:p>
        </w:tc>
        <w:tc>
          <w:tcPr>
            <w:tcW w:w="1530" w:type="dxa"/>
            <w:tcMar>
              <w:top w:w="10" w:type="dxa"/>
              <w:left w:w="10" w:type="dxa"/>
              <w:bottom w:w="10" w:type="dxa"/>
              <w:right w:w="10" w:type="dxa"/>
            </w:tcMar>
            <w:vAlign w:val="center"/>
          </w:tcPr>
          <w:p w14:paraId="44EE64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尿酸测试条</w:t>
            </w:r>
          </w:p>
        </w:tc>
        <w:tc>
          <w:tcPr>
            <w:tcW w:w="1134" w:type="dxa"/>
            <w:tcMar>
              <w:top w:w="10" w:type="dxa"/>
              <w:left w:w="10" w:type="dxa"/>
              <w:bottom w:w="10" w:type="dxa"/>
              <w:right w:w="10" w:type="dxa"/>
            </w:tcMar>
            <w:vAlign w:val="center"/>
          </w:tcPr>
          <w:p w14:paraId="364AA70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20152400112</w:t>
            </w:r>
          </w:p>
        </w:tc>
        <w:tc>
          <w:tcPr>
            <w:tcW w:w="425" w:type="dxa"/>
            <w:tcMar>
              <w:top w:w="10" w:type="dxa"/>
              <w:left w:w="10" w:type="dxa"/>
              <w:bottom w:w="10" w:type="dxa"/>
              <w:right w:w="10" w:type="dxa"/>
            </w:tcMar>
            <w:vAlign w:val="center"/>
          </w:tcPr>
          <w:p w14:paraId="0235CF0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A3AC8F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本产品主要用于定量检测毛细血管全血、静脉全血中的尿酸浓度；本产品可以由专业人士或痛风病患者在家中或在医疗单位进行尿酸浓度监测。临床上主要用于高尿酸血症的辅助诊断。</w:t>
            </w:r>
          </w:p>
        </w:tc>
        <w:tc>
          <w:tcPr>
            <w:tcW w:w="992" w:type="dxa"/>
            <w:tcMar>
              <w:top w:w="10" w:type="dxa"/>
              <w:left w:w="10" w:type="dxa"/>
              <w:bottom w:w="10" w:type="dxa"/>
              <w:right w:w="10" w:type="dxa"/>
            </w:tcMar>
            <w:vAlign w:val="center"/>
          </w:tcPr>
          <w:p w14:paraId="4392418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2030.04.27</w:t>
            </w:r>
          </w:p>
        </w:tc>
        <w:tc>
          <w:tcPr>
            <w:tcW w:w="1276" w:type="dxa"/>
            <w:tcMar>
              <w:top w:w="10" w:type="dxa"/>
              <w:left w:w="10" w:type="dxa"/>
              <w:bottom w:w="10" w:type="dxa"/>
              <w:right w:w="10" w:type="dxa"/>
            </w:tcMar>
            <w:vAlign w:val="center"/>
          </w:tcPr>
          <w:p w14:paraId="1ACA8CD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DCD6C73" w14:textId="77777777" w:rsidTr="00C707CF">
        <w:trPr>
          <w:cantSplit/>
          <w:jc w:val="center"/>
        </w:trPr>
        <w:tc>
          <w:tcPr>
            <w:tcW w:w="418" w:type="dxa"/>
            <w:tcMar>
              <w:top w:w="10" w:type="dxa"/>
              <w:left w:w="10" w:type="dxa"/>
              <w:bottom w:w="10" w:type="dxa"/>
              <w:right w:w="10" w:type="dxa"/>
            </w:tcMar>
            <w:vAlign w:val="center"/>
          </w:tcPr>
          <w:p w14:paraId="3D4EE67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45</w:t>
            </w:r>
          </w:p>
        </w:tc>
        <w:tc>
          <w:tcPr>
            <w:tcW w:w="1530" w:type="dxa"/>
            <w:tcMar>
              <w:top w:w="10" w:type="dxa"/>
              <w:left w:w="10" w:type="dxa"/>
              <w:bottom w:w="10" w:type="dxa"/>
              <w:right w:w="10" w:type="dxa"/>
            </w:tcMar>
            <w:vAlign w:val="center"/>
          </w:tcPr>
          <w:p w14:paraId="74EC6B8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尿微量白蛋白检测试条（胶体金法）</w:t>
            </w:r>
          </w:p>
        </w:tc>
        <w:tc>
          <w:tcPr>
            <w:tcW w:w="1134" w:type="dxa"/>
            <w:tcMar>
              <w:top w:w="10" w:type="dxa"/>
              <w:left w:w="10" w:type="dxa"/>
              <w:bottom w:w="10" w:type="dxa"/>
              <w:right w:w="10" w:type="dxa"/>
            </w:tcMar>
            <w:vAlign w:val="center"/>
          </w:tcPr>
          <w:p w14:paraId="3827547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20152400109</w:t>
            </w:r>
          </w:p>
        </w:tc>
        <w:tc>
          <w:tcPr>
            <w:tcW w:w="425" w:type="dxa"/>
            <w:tcMar>
              <w:top w:w="10" w:type="dxa"/>
              <w:left w:w="10" w:type="dxa"/>
              <w:bottom w:w="10" w:type="dxa"/>
              <w:right w:w="10" w:type="dxa"/>
            </w:tcMar>
            <w:vAlign w:val="center"/>
          </w:tcPr>
          <w:p w14:paraId="3E82BC1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0A6783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尿液中微量白蛋白的定性筛检，适用于糖尿病、高血压、有肾脏病家族史、自身免疫病或某些药物使用史等高危人群的肾功能损害筛查，适合大量标本的初次筛查。临床上主要用于肾脏疾病的辅助诊断。</w:t>
            </w:r>
          </w:p>
        </w:tc>
        <w:tc>
          <w:tcPr>
            <w:tcW w:w="992" w:type="dxa"/>
            <w:tcMar>
              <w:top w:w="10" w:type="dxa"/>
              <w:left w:w="10" w:type="dxa"/>
              <w:bottom w:w="10" w:type="dxa"/>
              <w:right w:w="10" w:type="dxa"/>
            </w:tcMar>
            <w:vAlign w:val="center"/>
          </w:tcPr>
          <w:p w14:paraId="3A40997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2030.03.12</w:t>
            </w:r>
          </w:p>
        </w:tc>
        <w:tc>
          <w:tcPr>
            <w:tcW w:w="1276" w:type="dxa"/>
            <w:tcMar>
              <w:top w:w="10" w:type="dxa"/>
              <w:left w:w="10" w:type="dxa"/>
              <w:bottom w:w="10" w:type="dxa"/>
              <w:right w:w="10" w:type="dxa"/>
            </w:tcMar>
            <w:vAlign w:val="center"/>
          </w:tcPr>
          <w:p w14:paraId="05DD37E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19AD975" w14:textId="77777777" w:rsidTr="00C707CF">
        <w:trPr>
          <w:cantSplit/>
          <w:jc w:val="center"/>
        </w:trPr>
        <w:tc>
          <w:tcPr>
            <w:tcW w:w="418" w:type="dxa"/>
            <w:tcMar>
              <w:top w:w="10" w:type="dxa"/>
              <w:left w:w="10" w:type="dxa"/>
              <w:bottom w:w="10" w:type="dxa"/>
              <w:right w:w="10" w:type="dxa"/>
            </w:tcMar>
            <w:vAlign w:val="center"/>
          </w:tcPr>
          <w:p w14:paraId="2F23F03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46</w:t>
            </w:r>
          </w:p>
        </w:tc>
        <w:tc>
          <w:tcPr>
            <w:tcW w:w="1530" w:type="dxa"/>
            <w:tcMar>
              <w:top w:w="10" w:type="dxa"/>
              <w:left w:w="10" w:type="dxa"/>
              <w:bottom w:w="10" w:type="dxa"/>
              <w:right w:w="10" w:type="dxa"/>
            </w:tcMar>
            <w:vAlign w:val="center"/>
          </w:tcPr>
          <w:p w14:paraId="249EA4B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血糖质控液</w:t>
            </w:r>
          </w:p>
        </w:tc>
        <w:tc>
          <w:tcPr>
            <w:tcW w:w="1134" w:type="dxa"/>
            <w:tcMar>
              <w:top w:w="10" w:type="dxa"/>
              <w:left w:w="10" w:type="dxa"/>
              <w:bottom w:w="10" w:type="dxa"/>
              <w:right w:w="10" w:type="dxa"/>
            </w:tcMar>
            <w:vAlign w:val="center"/>
          </w:tcPr>
          <w:p w14:paraId="69ABBFE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20192400141</w:t>
            </w:r>
          </w:p>
        </w:tc>
        <w:tc>
          <w:tcPr>
            <w:tcW w:w="425" w:type="dxa"/>
            <w:tcMar>
              <w:top w:w="10" w:type="dxa"/>
              <w:left w:w="10" w:type="dxa"/>
              <w:bottom w:w="10" w:type="dxa"/>
              <w:right w:w="10" w:type="dxa"/>
            </w:tcMar>
            <w:vAlign w:val="center"/>
          </w:tcPr>
          <w:p w14:paraId="10A5197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459BA1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用于血糖测试系统检测过程中的质量控制。</w:t>
            </w:r>
          </w:p>
        </w:tc>
        <w:tc>
          <w:tcPr>
            <w:tcW w:w="992" w:type="dxa"/>
            <w:tcMar>
              <w:top w:w="10" w:type="dxa"/>
              <w:left w:w="10" w:type="dxa"/>
              <w:bottom w:w="10" w:type="dxa"/>
              <w:right w:w="10" w:type="dxa"/>
            </w:tcMar>
            <w:vAlign w:val="center"/>
          </w:tcPr>
          <w:p w14:paraId="534C889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2029.05.13</w:t>
            </w:r>
          </w:p>
        </w:tc>
        <w:tc>
          <w:tcPr>
            <w:tcW w:w="1276" w:type="dxa"/>
            <w:tcMar>
              <w:top w:w="10" w:type="dxa"/>
              <w:left w:w="10" w:type="dxa"/>
              <w:bottom w:w="10" w:type="dxa"/>
              <w:right w:w="10" w:type="dxa"/>
            </w:tcMar>
            <w:vAlign w:val="center"/>
          </w:tcPr>
          <w:p w14:paraId="6BAB003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8EE9801" w14:textId="77777777" w:rsidTr="00C707CF">
        <w:trPr>
          <w:cantSplit/>
          <w:jc w:val="center"/>
        </w:trPr>
        <w:tc>
          <w:tcPr>
            <w:tcW w:w="418" w:type="dxa"/>
            <w:tcMar>
              <w:top w:w="10" w:type="dxa"/>
              <w:left w:w="10" w:type="dxa"/>
              <w:bottom w:w="10" w:type="dxa"/>
              <w:right w:w="10" w:type="dxa"/>
            </w:tcMar>
            <w:vAlign w:val="center"/>
          </w:tcPr>
          <w:p w14:paraId="3DDDDF1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47</w:t>
            </w:r>
          </w:p>
        </w:tc>
        <w:tc>
          <w:tcPr>
            <w:tcW w:w="1530" w:type="dxa"/>
            <w:tcMar>
              <w:top w:w="10" w:type="dxa"/>
              <w:left w:w="10" w:type="dxa"/>
              <w:bottom w:w="10" w:type="dxa"/>
              <w:right w:w="10" w:type="dxa"/>
            </w:tcMar>
            <w:vAlign w:val="center"/>
          </w:tcPr>
          <w:p w14:paraId="6556F69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p>
        </w:tc>
        <w:tc>
          <w:tcPr>
            <w:tcW w:w="1134" w:type="dxa"/>
            <w:tcMar>
              <w:top w:w="10" w:type="dxa"/>
              <w:left w:w="10" w:type="dxa"/>
              <w:bottom w:w="10" w:type="dxa"/>
              <w:right w:w="10" w:type="dxa"/>
            </w:tcMar>
            <w:vAlign w:val="center"/>
          </w:tcPr>
          <w:p w14:paraId="2BF8135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20142400031</w:t>
            </w:r>
          </w:p>
        </w:tc>
        <w:tc>
          <w:tcPr>
            <w:tcW w:w="425" w:type="dxa"/>
            <w:tcMar>
              <w:top w:w="10" w:type="dxa"/>
              <w:left w:w="10" w:type="dxa"/>
              <w:bottom w:w="10" w:type="dxa"/>
              <w:right w:w="10" w:type="dxa"/>
            </w:tcMar>
            <w:vAlign w:val="center"/>
          </w:tcPr>
          <w:p w14:paraId="585F103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731BCF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用于新鲜毛细血管血、静脉血、动脉血中葡萄糖测试，可用于医疗机构快速血糖测试、糖尿病患者或其他人群进行自我血糖监测。本产品只用于血糖水平的监测及血糖异常的初筛</w:t>
            </w:r>
            <w:r>
              <w:rPr>
                <w:rFonts w:ascii="Times New Roman" w:hAnsi="Times New Roman" w:cs="Times New Roman"/>
                <w:sz w:val="18"/>
                <w:szCs w:val="18"/>
              </w:rPr>
              <w:t>,</w:t>
            </w:r>
            <w:r>
              <w:rPr>
                <w:rFonts w:ascii="Times New Roman" w:hAnsi="Times New Roman" w:hint="eastAsia"/>
                <w:sz w:val="18"/>
                <w:szCs w:val="18"/>
              </w:rPr>
              <w:t>不适用于糖尿病的最终诊断。静脉血、动脉血的检测需由医务人员操作。</w:t>
            </w:r>
          </w:p>
        </w:tc>
        <w:tc>
          <w:tcPr>
            <w:tcW w:w="992" w:type="dxa"/>
            <w:tcMar>
              <w:top w:w="10" w:type="dxa"/>
              <w:left w:w="10" w:type="dxa"/>
              <w:bottom w:w="10" w:type="dxa"/>
              <w:right w:w="10" w:type="dxa"/>
            </w:tcMar>
            <w:vAlign w:val="center"/>
          </w:tcPr>
          <w:p w14:paraId="2E7BD9F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2029.08.08</w:t>
            </w:r>
          </w:p>
        </w:tc>
        <w:tc>
          <w:tcPr>
            <w:tcW w:w="1276" w:type="dxa"/>
            <w:tcMar>
              <w:top w:w="10" w:type="dxa"/>
              <w:left w:w="10" w:type="dxa"/>
              <w:bottom w:w="10" w:type="dxa"/>
              <w:right w:w="10" w:type="dxa"/>
            </w:tcMar>
            <w:vAlign w:val="center"/>
          </w:tcPr>
          <w:p w14:paraId="3D9A81B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2025.09.04</w:t>
            </w:r>
            <w:r>
              <w:rPr>
                <w:rFonts w:ascii="Times New Roman" w:hAnsi="Times New Roman" w:hint="eastAsia"/>
                <w:sz w:val="18"/>
                <w:szCs w:val="18"/>
              </w:rPr>
              <w:t>获批变更注册</w:t>
            </w:r>
          </w:p>
        </w:tc>
      </w:tr>
      <w:tr w:rsidR="00113A51" w14:paraId="53C7D653" w14:textId="77777777" w:rsidTr="00C707CF">
        <w:trPr>
          <w:cantSplit/>
          <w:jc w:val="center"/>
        </w:trPr>
        <w:tc>
          <w:tcPr>
            <w:tcW w:w="418" w:type="dxa"/>
            <w:tcMar>
              <w:top w:w="10" w:type="dxa"/>
              <w:left w:w="10" w:type="dxa"/>
              <w:bottom w:w="10" w:type="dxa"/>
              <w:right w:w="10" w:type="dxa"/>
            </w:tcMar>
            <w:vAlign w:val="center"/>
          </w:tcPr>
          <w:p w14:paraId="28FA769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48</w:t>
            </w:r>
          </w:p>
        </w:tc>
        <w:tc>
          <w:tcPr>
            <w:tcW w:w="1530" w:type="dxa"/>
            <w:tcMar>
              <w:top w:w="10" w:type="dxa"/>
              <w:left w:w="10" w:type="dxa"/>
              <w:bottom w:w="10" w:type="dxa"/>
              <w:right w:w="10" w:type="dxa"/>
            </w:tcMar>
            <w:vAlign w:val="center"/>
          </w:tcPr>
          <w:p w14:paraId="0C7ED6B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血糖测试条（干化学法）</w:t>
            </w:r>
          </w:p>
        </w:tc>
        <w:tc>
          <w:tcPr>
            <w:tcW w:w="1134" w:type="dxa"/>
            <w:tcMar>
              <w:top w:w="10" w:type="dxa"/>
              <w:left w:w="10" w:type="dxa"/>
              <w:bottom w:w="10" w:type="dxa"/>
              <w:right w:w="10" w:type="dxa"/>
            </w:tcMar>
            <w:vAlign w:val="center"/>
          </w:tcPr>
          <w:p w14:paraId="5E05A25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20172400245</w:t>
            </w:r>
          </w:p>
        </w:tc>
        <w:tc>
          <w:tcPr>
            <w:tcW w:w="425" w:type="dxa"/>
            <w:tcMar>
              <w:top w:w="10" w:type="dxa"/>
              <w:left w:w="10" w:type="dxa"/>
              <w:bottom w:w="10" w:type="dxa"/>
              <w:right w:w="10" w:type="dxa"/>
            </w:tcMar>
            <w:vAlign w:val="center"/>
          </w:tcPr>
          <w:p w14:paraId="10277C2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D78CC3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中的葡萄糖浓度，也可用于静脉全血葡萄糖浓度检测；本产品可以由专业人士或患有糖尿病的用户在家中或在医疗单位进行血糖监测。本产品只用于糖尿病患者血糖水平的监测，不能用于糖尿病的诊断和筛查。临床上主要用于反映血糖水平。</w:t>
            </w:r>
          </w:p>
        </w:tc>
        <w:tc>
          <w:tcPr>
            <w:tcW w:w="992" w:type="dxa"/>
            <w:tcMar>
              <w:top w:w="10" w:type="dxa"/>
              <w:left w:w="10" w:type="dxa"/>
              <w:bottom w:w="10" w:type="dxa"/>
              <w:right w:w="10" w:type="dxa"/>
            </w:tcMar>
            <w:vAlign w:val="center"/>
          </w:tcPr>
          <w:p w14:paraId="25FD607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2027.09.14</w:t>
            </w:r>
          </w:p>
        </w:tc>
        <w:tc>
          <w:tcPr>
            <w:tcW w:w="1276" w:type="dxa"/>
            <w:tcMar>
              <w:top w:w="10" w:type="dxa"/>
              <w:left w:w="10" w:type="dxa"/>
              <w:bottom w:w="10" w:type="dxa"/>
              <w:right w:w="10" w:type="dxa"/>
            </w:tcMar>
            <w:vAlign w:val="center"/>
          </w:tcPr>
          <w:p w14:paraId="614BC5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8260A3A" w14:textId="77777777" w:rsidTr="00C707CF">
        <w:trPr>
          <w:cantSplit/>
          <w:jc w:val="center"/>
        </w:trPr>
        <w:tc>
          <w:tcPr>
            <w:tcW w:w="418" w:type="dxa"/>
            <w:tcMar>
              <w:top w:w="10" w:type="dxa"/>
              <w:left w:w="10" w:type="dxa"/>
              <w:bottom w:w="10" w:type="dxa"/>
              <w:right w:w="10" w:type="dxa"/>
            </w:tcMar>
            <w:vAlign w:val="center"/>
          </w:tcPr>
          <w:p w14:paraId="7BD1E0D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49</w:t>
            </w:r>
          </w:p>
        </w:tc>
        <w:tc>
          <w:tcPr>
            <w:tcW w:w="1530" w:type="dxa"/>
            <w:tcMar>
              <w:top w:w="10" w:type="dxa"/>
              <w:left w:w="10" w:type="dxa"/>
              <w:bottom w:w="10" w:type="dxa"/>
              <w:right w:w="10" w:type="dxa"/>
            </w:tcMar>
            <w:vAlign w:val="center"/>
          </w:tcPr>
          <w:p w14:paraId="501579C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β</w:t>
            </w:r>
            <w:r>
              <w:rPr>
                <w:rFonts w:ascii="Times New Roman" w:hAnsi="Times New Roman" w:cs="Times New Roman"/>
                <w:sz w:val="18"/>
                <w:szCs w:val="18"/>
              </w:rPr>
              <w:t>-</w:t>
            </w:r>
            <w:r>
              <w:rPr>
                <w:rFonts w:ascii="Times New Roman" w:hAnsi="Times New Roman" w:hint="eastAsia"/>
                <w:sz w:val="18"/>
                <w:szCs w:val="18"/>
              </w:rPr>
              <w:t>羟丁酸测试条（电化学法）</w:t>
            </w:r>
          </w:p>
        </w:tc>
        <w:tc>
          <w:tcPr>
            <w:tcW w:w="1134" w:type="dxa"/>
            <w:tcMar>
              <w:top w:w="10" w:type="dxa"/>
              <w:left w:w="10" w:type="dxa"/>
              <w:bottom w:w="10" w:type="dxa"/>
              <w:right w:w="10" w:type="dxa"/>
            </w:tcMar>
            <w:vAlign w:val="center"/>
          </w:tcPr>
          <w:p w14:paraId="5A130A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20172400246</w:t>
            </w:r>
          </w:p>
        </w:tc>
        <w:tc>
          <w:tcPr>
            <w:tcW w:w="425" w:type="dxa"/>
            <w:tcMar>
              <w:top w:w="10" w:type="dxa"/>
              <w:left w:w="10" w:type="dxa"/>
              <w:bottom w:w="10" w:type="dxa"/>
              <w:right w:w="10" w:type="dxa"/>
            </w:tcMar>
            <w:vAlign w:val="center"/>
          </w:tcPr>
          <w:p w14:paraId="76584F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AC1AD3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本测试条需与</w:t>
            </w:r>
            <w:r>
              <w:rPr>
                <w:rFonts w:ascii="Times New Roman" w:hAnsi="Times New Roman" w:cs="Times New Roman"/>
                <w:sz w:val="18"/>
                <w:szCs w:val="18"/>
              </w:rPr>
              <w:t>KA-11</w:t>
            </w:r>
            <w:r>
              <w:rPr>
                <w:rFonts w:ascii="Times New Roman" w:hAnsi="Times New Roman" w:hint="eastAsia"/>
                <w:sz w:val="18"/>
                <w:szCs w:val="18"/>
              </w:rPr>
              <w:t>血糖血酮测试仪配套使用，用于体外定量检测新鲜毛细血管全血或静脉全血样本中的β</w:t>
            </w:r>
            <w:r>
              <w:rPr>
                <w:rFonts w:ascii="Times New Roman" w:hAnsi="Times New Roman" w:cs="Times New Roman"/>
                <w:sz w:val="18"/>
                <w:szCs w:val="18"/>
              </w:rPr>
              <w:t>-</w:t>
            </w:r>
            <w:r>
              <w:rPr>
                <w:rFonts w:ascii="Times New Roman" w:hAnsi="Times New Roman" w:hint="eastAsia"/>
                <w:sz w:val="18"/>
                <w:szCs w:val="18"/>
              </w:rPr>
              <w:t>羟丁酸浓度，临床上β</w:t>
            </w:r>
            <w:r>
              <w:rPr>
                <w:rFonts w:ascii="Times New Roman" w:hAnsi="Times New Roman" w:cs="Times New Roman"/>
                <w:sz w:val="18"/>
                <w:szCs w:val="18"/>
              </w:rPr>
              <w:t>-</w:t>
            </w:r>
            <w:r>
              <w:rPr>
                <w:rFonts w:ascii="Times New Roman" w:hAnsi="Times New Roman" w:hint="eastAsia"/>
                <w:sz w:val="18"/>
                <w:szCs w:val="18"/>
              </w:rPr>
              <w:t>羟丁酸的测定主要用于酮症酸中毒的辅助诊断。本产品仅供体外诊断使用，可供糖尿病患者或者专业医护人员在家中或者医疗单位进行血酮监测，而不能用于酮症酸中毒的诊断和筛查。</w:t>
            </w:r>
          </w:p>
        </w:tc>
        <w:tc>
          <w:tcPr>
            <w:tcW w:w="992" w:type="dxa"/>
            <w:tcMar>
              <w:top w:w="10" w:type="dxa"/>
              <w:left w:w="10" w:type="dxa"/>
              <w:bottom w:w="10" w:type="dxa"/>
              <w:right w:w="10" w:type="dxa"/>
            </w:tcMar>
            <w:vAlign w:val="center"/>
          </w:tcPr>
          <w:p w14:paraId="018646C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2027.09.14</w:t>
            </w:r>
          </w:p>
        </w:tc>
        <w:tc>
          <w:tcPr>
            <w:tcW w:w="1276" w:type="dxa"/>
            <w:tcMar>
              <w:top w:w="10" w:type="dxa"/>
              <w:left w:w="10" w:type="dxa"/>
              <w:bottom w:w="10" w:type="dxa"/>
              <w:right w:w="10" w:type="dxa"/>
            </w:tcMar>
            <w:vAlign w:val="center"/>
          </w:tcPr>
          <w:p w14:paraId="7D9A50E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5D46B86" w14:textId="77777777" w:rsidTr="00C707CF">
        <w:trPr>
          <w:cantSplit/>
          <w:jc w:val="center"/>
        </w:trPr>
        <w:tc>
          <w:tcPr>
            <w:tcW w:w="418" w:type="dxa"/>
            <w:tcMar>
              <w:top w:w="10" w:type="dxa"/>
              <w:left w:w="10" w:type="dxa"/>
              <w:bottom w:w="10" w:type="dxa"/>
              <w:right w:w="10" w:type="dxa"/>
            </w:tcMar>
            <w:vAlign w:val="center"/>
          </w:tcPr>
          <w:p w14:paraId="46B2F08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50</w:t>
            </w:r>
          </w:p>
        </w:tc>
        <w:tc>
          <w:tcPr>
            <w:tcW w:w="1530" w:type="dxa"/>
            <w:tcMar>
              <w:top w:w="10" w:type="dxa"/>
              <w:left w:w="10" w:type="dxa"/>
              <w:bottom w:w="10" w:type="dxa"/>
              <w:right w:w="10" w:type="dxa"/>
            </w:tcMar>
            <w:vAlign w:val="center"/>
          </w:tcPr>
          <w:p w14:paraId="5F34101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尿微量白蛋白</w:t>
            </w:r>
            <w:r>
              <w:rPr>
                <w:rFonts w:ascii="Times New Roman" w:hAnsi="Times New Roman" w:cs="Times New Roman"/>
                <w:sz w:val="18"/>
                <w:szCs w:val="18"/>
              </w:rPr>
              <w:t>/</w:t>
            </w:r>
            <w:r>
              <w:rPr>
                <w:rFonts w:ascii="Times New Roman" w:hAnsi="Times New Roman" w:hint="eastAsia"/>
                <w:sz w:val="18"/>
                <w:szCs w:val="18"/>
              </w:rPr>
              <w:t>肌酐检测试剂盒</w:t>
            </w:r>
            <w:r>
              <w:rPr>
                <w:rFonts w:ascii="Times New Roman" w:hAnsi="Times New Roman" w:cs="Times New Roman"/>
                <w:sz w:val="18"/>
                <w:szCs w:val="18"/>
              </w:rPr>
              <w:t>(</w:t>
            </w:r>
            <w:r>
              <w:rPr>
                <w:rFonts w:ascii="Times New Roman" w:hAnsi="Times New Roman" w:hint="eastAsia"/>
                <w:sz w:val="18"/>
                <w:szCs w:val="18"/>
              </w:rPr>
              <w:t>荧光法和</w:t>
            </w:r>
            <w:r>
              <w:rPr>
                <w:rFonts w:ascii="Times New Roman" w:hAnsi="Times New Roman" w:cs="Times New Roman"/>
                <w:sz w:val="18"/>
                <w:szCs w:val="18"/>
              </w:rPr>
              <w:t>Benedict-Behre</w:t>
            </w:r>
            <w:r>
              <w:rPr>
                <w:rFonts w:ascii="Times New Roman" w:hAnsi="Times New Roman" w:hint="eastAsia"/>
                <w:sz w:val="18"/>
                <w:szCs w:val="18"/>
              </w:rPr>
              <w:t>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18D719A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20172400312</w:t>
            </w:r>
          </w:p>
        </w:tc>
        <w:tc>
          <w:tcPr>
            <w:tcW w:w="425" w:type="dxa"/>
            <w:tcMar>
              <w:top w:w="10" w:type="dxa"/>
              <w:left w:w="10" w:type="dxa"/>
              <w:bottom w:w="10" w:type="dxa"/>
              <w:right w:w="10" w:type="dxa"/>
            </w:tcMar>
            <w:vAlign w:val="center"/>
          </w:tcPr>
          <w:p w14:paraId="1B2F5E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C4814D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尿微量白蛋白</w:t>
            </w:r>
            <w:r>
              <w:rPr>
                <w:rFonts w:ascii="Times New Roman" w:hAnsi="Times New Roman" w:cs="Times New Roman"/>
                <w:sz w:val="18"/>
                <w:szCs w:val="18"/>
              </w:rPr>
              <w:t>/</w:t>
            </w:r>
            <w:r>
              <w:rPr>
                <w:rFonts w:ascii="Times New Roman" w:hAnsi="Times New Roman" w:hint="eastAsia"/>
                <w:sz w:val="18"/>
                <w:szCs w:val="18"/>
              </w:rPr>
              <w:t>肌酐检测试剂盒可用于定量测定人尿液中微量白蛋白、肌酐和尿微量白蛋白</w:t>
            </w:r>
            <w:r>
              <w:rPr>
                <w:rFonts w:ascii="Times New Roman" w:hAnsi="Times New Roman" w:cs="Times New Roman"/>
                <w:sz w:val="18"/>
                <w:szCs w:val="18"/>
              </w:rPr>
              <w:t>/</w:t>
            </w:r>
            <w:r>
              <w:rPr>
                <w:rFonts w:ascii="Times New Roman" w:hAnsi="Times New Roman" w:hint="eastAsia"/>
                <w:sz w:val="18"/>
                <w:szCs w:val="18"/>
              </w:rPr>
              <w:t>肌酐比值（</w:t>
            </w:r>
            <w:r>
              <w:rPr>
                <w:rFonts w:ascii="Times New Roman" w:hAnsi="Times New Roman" w:cs="Times New Roman"/>
                <w:sz w:val="18"/>
                <w:szCs w:val="18"/>
              </w:rPr>
              <w:t>ACR</w:t>
            </w:r>
            <w:r>
              <w:rPr>
                <w:rFonts w:ascii="Times New Roman" w:hAnsi="Times New Roman" w:hint="eastAsia"/>
                <w:sz w:val="18"/>
                <w:szCs w:val="18"/>
              </w:rPr>
              <w:t>）。尿微量白蛋白、肌酐和尿微量白蛋白</w:t>
            </w:r>
            <w:r>
              <w:rPr>
                <w:rFonts w:ascii="Times New Roman" w:hAnsi="Times New Roman" w:cs="Times New Roman"/>
                <w:sz w:val="18"/>
                <w:szCs w:val="18"/>
              </w:rPr>
              <w:t>/</w:t>
            </w:r>
            <w:r>
              <w:rPr>
                <w:rFonts w:ascii="Times New Roman" w:hAnsi="Times New Roman" w:hint="eastAsia"/>
                <w:sz w:val="18"/>
                <w:szCs w:val="18"/>
              </w:rPr>
              <w:t>肌酐比值（</w:t>
            </w:r>
            <w:r>
              <w:rPr>
                <w:rFonts w:ascii="Times New Roman" w:hAnsi="Times New Roman" w:cs="Times New Roman"/>
                <w:sz w:val="18"/>
                <w:szCs w:val="18"/>
              </w:rPr>
              <w:t>ACR</w:t>
            </w:r>
            <w:r>
              <w:rPr>
                <w:rFonts w:ascii="Times New Roman" w:hAnsi="Times New Roman" w:hint="eastAsia"/>
                <w:sz w:val="18"/>
                <w:szCs w:val="18"/>
              </w:rPr>
              <w:t>）是临床上主要反应早期肾损伤的指标。</w:t>
            </w:r>
          </w:p>
        </w:tc>
        <w:tc>
          <w:tcPr>
            <w:tcW w:w="992" w:type="dxa"/>
            <w:tcMar>
              <w:top w:w="10" w:type="dxa"/>
              <w:left w:w="10" w:type="dxa"/>
              <w:bottom w:w="10" w:type="dxa"/>
              <w:right w:w="10" w:type="dxa"/>
            </w:tcMar>
            <w:vAlign w:val="center"/>
          </w:tcPr>
          <w:p w14:paraId="736A637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2027.09.21</w:t>
            </w:r>
          </w:p>
        </w:tc>
        <w:tc>
          <w:tcPr>
            <w:tcW w:w="1276" w:type="dxa"/>
            <w:tcMar>
              <w:top w:w="10" w:type="dxa"/>
              <w:left w:w="10" w:type="dxa"/>
              <w:bottom w:w="10" w:type="dxa"/>
              <w:right w:w="10" w:type="dxa"/>
            </w:tcMar>
            <w:vAlign w:val="center"/>
          </w:tcPr>
          <w:p w14:paraId="6E5AB33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5A46BEE" w14:textId="77777777" w:rsidTr="00C707CF">
        <w:trPr>
          <w:cantSplit/>
          <w:jc w:val="center"/>
        </w:trPr>
        <w:tc>
          <w:tcPr>
            <w:tcW w:w="418" w:type="dxa"/>
            <w:tcMar>
              <w:top w:w="10" w:type="dxa"/>
              <w:left w:w="10" w:type="dxa"/>
              <w:bottom w:w="10" w:type="dxa"/>
              <w:right w:w="10" w:type="dxa"/>
            </w:tcMar>
            <w:vAlign w:val="center"/>
          </w:tcPr>
          <w:p w14:paraId="5EB9272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51</w:t>
            </w:r>
          </w:p>
        </w:tc>
        <w:tc>
          <w:tcPr>
            <w:tcW w:w="1530" w:type="dxa"/>
            <w:tcMar>
              <w:top w:w="10" w:type="dxa"/>
              <w:left w:w="10" w:type="dxa"/>
              <w:bottom w:w="10" w:type="dxa"/>
              <w:right w:w="10" w:type="dxa"/>
            </w:tcMar>
            <w:vAlign w:val="center"/>
          </w:tcPr>
          <w:p w14:paraId="3F5DE59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糖化血红蛋白检测试剂盒</w:t>
            </w:r>
            <w:r>
              <w:rPr>
                <w:rFonts w:ascii="Times New Roman" w:hAnsi="Times New Roman" w:cs="Times New Roman"/>
                <w:sz w:val="18"/>
                <w:szCs w:val="18"/>
              </w:rPr>
              <w:t>(</w:t>
            </w:r>
            <w:r>
              <w:rPr>
                <w:rFonts w:ascii="Times New Roman" w:hAnsi="Times New Roman" w:hint="eastAsia"/>
                <w:sz w:val="18"/>
                <w:szCs w:val="18"/>
              </w:rPr>
              <w:t>硼酸亲和液相层析</w:t>
            </w:r>
            <w:r>
              <w:rPr>
                <w:rFonts w:ascii="Times New Roman" w:hAnsi="Times New Roman" w:cs="Times New Roman"/>
                <w:sz w:val="18"/>
                <w:szCs w:val="18"/>
              </w:rPr>
              <w:t>/</w:t>
            </w:r>
            <w:r>
              <w:rPr>
                <w:rFonts w:ascii="Times New Roman" w:hAnsi="Times New Roman" w:hint="eastAsia"/>
                <w:sz w:val="18"/>
                <w:szCs w:val="18"/>
              </w:rPr>
              <w:t>色谱法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0E1304C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20172400313</w:t>
            </w:r>
          </w:p>
        </w:tc>
        <w:tc>
          <w:tcPr>
            <w:tcW w:w="425" w:type="dxa"/>
            <w:tcMar>
              <w:top w:w="10" w:type="dxa"/>
              <w:left w:w="10" w:type="dxa"/>
              <w:bottom w:w="10" w:type="dxa"/>
              <w:right w:w="10" w:type="dxa"/>
            </w:tcMar>
            <w:vAlign w:val="center"/>
          </w:tcPr>
          <w:p w14:paraId="34DE125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DC8DD0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糖化血红蛋白检测试剂盒用于定量检测人体全血中的糖化血红蛋白（</w:t>
            </w:r>
            <w:r>
              <w:rPr>
                <w:rFonts w:ascii="Times New Roman" w:hAnsi="Times New Roman" w:cs="Times New Roman"/>
                <w:sz w:val="18"/>
                <w:szCs w:val="18"/>
              </w:rPr>
              <w:t>HbA1c</w:t>
            </w:r>
            <w:r>
              <w:rPr>
                <w:rFonts w:ascii="Times New Roman" w:hAnsi="Times New Roman" w:hint="eastAsia"/>
                <w:sz w:val="18"/>
                <w:szCs w:val="18"/>
              </w:rPr>
              <w:t>）的浓度。临床上主要用于糖尿病的辅助诊断和血糖水平的监控。</w:t>
            </w:r>
          </w:p>
        </w:tc>
        <w:tc>
          <w:tcPr>
            <w:tcW w:w="992" w:type="dxa"/>
            <w:tcMar>
              <w:top w:w="10" w:type="dxa"/>
              <w:left w:w="10" w:type="dxa"/>
              <w:bottom w:w="10" w:type="dxa"/>
              <w:right w:w="10" w:type="dxa"/>
            </w:tcMar>
            <w:vAlign w:val="center"/>
          </w:tcPr>
          <w:p w14:paraId="22C6AF0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2027.09.25</w:t>
            </w:r>
          </w:p>
        </w:tc>
        <w:tc>
          <w:tcPr>
            <w:tcW w:w="1276" w:type="dxa"/>
            <w:tcMar>
              <w:top w:w="10" w:type="dxa"/>
              <w:left w:w="10" w:type="dxa"/>
              <w:bottom w:w="10" w:type="dxa"/>
              <w:right w:w="10" w:type="dxa"/>
            </w:tcMar>
            <w:vAlign w:val="center"/>
          </w:tcPr>
          <w:p w14:paraId="4F13DF0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7F1552A" w14:textId="77777777" w:rsidTr="00C707CF">
        <w:trPr>
          <w:cantSplit/>
          <w:jc w:val="center"/>
        </w:trPr>
        <w:tc>
          <w:tcPr>
            <w:tcW w:w="418" w:type="dxa"/>
            <w:tcMar>
              <w:top w:w="10" w:type="dxa"/>
              <w:left w:w="10" w:type="dxa"/>
              <w:bottom w:w="10" w:type="dxa"/>
              <w:right w:w="10" w:type="dxa"/>
            </w:tcMar>
            <w:vAlign w:val="center"/>
          </w:tcPr>
          <w:p w14:paraId="7426AFC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52</w:t>
            </w:r>
          </w:p>
        </w:tc>
        <w:tc>
          <w:tcPr>
            <w:tcW w:w="1530" w:type="dxa"/>
            <w:tcMar>
              <w:top w:w="10" w:type="dxa"/>
              <w:left w:w="10" w:type="dxa"/>
              <w:bottom w:w="10" w:type="dxa"/>
              <w:right w:w="10" w:type="dxa"/>
            </w:tcMar>
            <w:vAlign w:val="center"/>
          </w:tcPr>
          <w:p w14:paraId="46BBCFB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血酮质控液</w:t>
            </w:r>
          </w:p>
        </w:tc>
        <w:tc>
          <w:tcPr>
            <w:tcW w:w="1134" w:type="dxa"/>
            <w:tcMar>
              <w:top w:w="10" w:type="dxa"/>
              <w:left w:w="10" w:type="dxa"/>
              <w:bottom w:w="10" w:type="dxa"/>
              <w:right w:w="10" w:type="dxa"/>
            </w:tcMar>
            <w:vAlign w:val="center"/>
          </w:tcPr>
          <w:p w14:paraId="33D596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20172400326</w:t>
            </w:r>
          </w:p>
        </w:tc>
        <w:tc>
          <w:tcPr>
            <w:tcW w:w="425" w:type="dxa"/>
            <w:tcMar>
              <w:top w:w="10" w:type="dxa"/>
              <w:left w:w="10" w:type="dxa"/>
              <w:bottom w:w="10" w:type="dxa"/>
              <w:right w:w="10" w:type="dxa"/>
            </w:tcMar>
            <w:vAlign w:val="center"/>
          </w:tcPr>
          <w:p w14:paraId="5D0D31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53AF9C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用于血酮测试系统检测过程中的质量控制。</w:t>
            </w:r>
          </w:p>
        </w:tc>
        <w:tc>
          <w:tcPr>
            <w:tcW w:w="992" w:type="dxa"/>
            <w:tcMar>
              <w:top w:w="10" w:type="dxa"/>
              <w:left w:w="10" w:type="dxa"/>
              <w:bottom w:w="10" w:type="dxa"/>
              <w:right w:w="10" w:type="dxa"/>
            </w:tcMar>
            <w:vAlign w:val="center"/>
          </w:tcPr>
          <w:p w14:paraId="2962DBE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2027.10.24</w:t>
            </w:r>
          </w:p>
        </w:tc>
        <w:tc>
          <w:tcPr>
            <w:tcW w:w="1276" w:type="dxa"/>
            <w:tcMar>
              <w:top w:w="10" w:type="dxa"/>
              <w:left w:w="10" w:type="dxa"/>
              <w:bottom w:w="10" w:type="dxa"/>
              <w:right w:w="10" w:type="dxa"/>
            </w:tcMar>
            <w:vAlign w:val="center"/>
          </w:tcPr>
          <w:p w14:paraId="472E3C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84C8F43" w14:textId="77777777" w:rsidTr="00C707CF">
        <w:trPr>
          <w:cantSplit/>
          <w:jc w:val="center"/>
        </w:trPr>
        <w:tc>
          <w:tcPr>
            <w:tcW w:w="418" w:type="dxa"/>
            <w:tcMar>
              <w:top w:w="10" w:type="dxa"/>
              <w:left w:w="10" w:type="dxa"/>
              <w:bottom w:w="10" w:type="dxa"/>
              <w:right w:w="10" w:type="dxa"/>
            </w:tcMar>
            <w:vAlign w:val="center"/>
          </w:tcPr>
          <w:p w14:paraId="582E29D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53</w:t>
            </w:r>
          </w:p>
        </w:tc>
        <w:tc>
          <w:tcPr>
            <w:tcW w:w="1530" w:type="dxa"/>
            <w:tcMar>
              <w:top w:w="10" w:type="dxa"/>
              <w:left w:w="10" w:type="dxa"/>
              <w:bottom w:w="10" w:type="dxa"/>
              <w:right w:w="10" w:type="dxa"/>
            </w:tcMar>
            <w:vAlign w:val="center"/>
          </w:tcPr>
          <w:p w14:paraId="7CA8135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血脂试条（干化学法）</w:t>
            </w:r>
          </w:p>
        </w:tc>
        <w:tc>
          <w:tcPr>
            <w:tcW w:w="1134" w:type="dxa"/>
            <w:tcMar>
              <w:top w:w="10" w:type="dxa"/>
              <w:left w:w="10" w:type="dxa"/>
              <w:bottom w:w="10" w:type="dxa"/>
              <w:right w:w="10" w:type="dxa"/>
            </w:tcMar>
            <w:vAlign w:val="center"/>
          </w:tcPr>
          <w:p w14:paraId="45EE84F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20192400063</w:t>
            </w:r>
          </w:p>
        </w:tc>
        <w:tc>
          <w:tcPr>
            <w:tcW w:w="425" w:type="dxa"/>
            <w:tcMar>
              <w:top w:w="10" w:type="dxa"/>
              <w:left w:w="10" w:type="dxa"/>
              <w:bottom w:w="10" w:type="dxa"/>
              <w:right w:w="10" w:type="dxa"/>
            </w:tcMar>
            <w:vAlign w:val="center"/>
          </w:tcPr>
          <w:p w14:paraId="6751E4C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CD3727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新鲜毛细血管全血和静脉全血中的总胆固醇、高密度脂蛋白胆固醇和甘油三酯。血脂测定临床上主要用于高胆固醇血症、冠心病、动脉粥样硬化和高甘油三酯的辅助诊断。本产品可由专业人员使用，也可由非专业用户自测使用。</w:t>
            </w:r>
          </w:p>
        </w:tc>
        <w:tc>
          <w:tcPr>
            <w:tcW w:w="992" w:type="dxa"/>
            <w:tcMar>
              <w:top w:w="10" w:type="dxa"/>
              <w:left w:w="10" w:type="dxa"/>
              <w:bottom w:w="10" w:type="dxa"/>
              <w:right w:w="10" w:type="dxa"/>
            </w:tcMar>
            <w:vAlign w:val="center"/>
          </w:tcPr>
          <w:p w14:paraId="4A9D1E5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2029.04.18</w:t>
            </w:r>
          </w:p>
        </w:tc>
        <w:tc>
          <w:tcPr>
            <w:tcW w:w="1276" w:type="dxa"/>
            <w:tcMar>
              <w:top w:w="10" w:type="dxa"/>
              <w:left w:w="10" w:type="dxa"/>
              <w:bottom w:w="10" w:type="dxa"/>
              <w:right w:w="10" w:type="dxa"/>
            </w:tcMar>
            <w:vAlign w:val="center"/>
          </w:tcPr>
          <w:p w14:paraId="15CABA7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C297E77" w14:textId="77777777" w:rsidTr="00C707CF">
        <w:trPr>
          <w:cantSplit/>
          <w:jc w:val="center"/>
        </w:trPr>
        <w:tc>
          <w:tcPr>
            <w:tcW w:w="418" w:type="dxa"/>
            <w:tcMar>
              <w:top w:w="10" w:type="dxa"/>
              <w:left w:w="10" w:type="dxa"/>
              <w:bottom w:w="10" w:type="dxa"/>
              <w:right w:w="10" w:type="dxa"/>
            </w:tcMar>
            <w:vAlign w:val="center"/>
          </w:tcPr>
          <w:p w14:paraId="7A27798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54</w:t>
            </w:r>
          </w:p>
        </w:tc>
        <w:tc>
          <w:tcPr>
            <w:tcW w:w="1530" w:type="dxa"/>
            <w:tcMar>
              <w:top w:w="10" w:type="dxa"/>
              <w:left w:w="10" w:type="dxa"/>
              <w:bottom w:w="10" w:type="dxa"/>
              <w:right w:w="10" w:type="dxa"/>
            </w:tcMar>
            <w:vAlign w:val="center"/>
          </w:tcPr>
          <w:p w14:paraId="2B3B693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血脂质控液</w:t>
            </w:r>
          </w:p>
        </w:tc>
        <w:tc>
          <w:tcPr>
            <w:tcW w:w="1134" w:type="dxa"/>
            <w:tcMar>
              <w:top w:w="10" w:type="dxa"/>
              <w:left w:w="10" w:type="dxa"/>
              <w:bottom w:w="10" w:type="dxa"/>
              <w:right w:w="10" w:type="dxa"/>
            </w:tcMar>
            <w:vAlign w:val="center"/>
          </w:tcPr>
          <w:p w14:paraId="014F06F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20192400062</w:t>
            </w:r>
          </w:p>
        </w:tc>
        <w:tc>
          <w:tcPr>
            <w:tcW w:w="425" w:type="dxa"/>
            <w:tcMar>
              <w:top w:w="10" w:type="dxa"/>
              <w:left w:w="10" w:type="dxa"/>
              <w:bottom w:w="10" w:type="dxa"/>
              <w:right w:w="10" w:type="dxa"/>
            </w:tcMar>
            <w:vAlign w:val="center"/>
          </w:tcPr>
          <w:p w14:paraId="3DF1348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CADF0F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作为质控材料与血脂试条一起使用，用于血脂测试系统检测过程中的质量控制。</w:t>
            </w:r>
          </w:p>
        </w:tc>
        <w:tc>
          <w:tcPr>
            <w:tcW w:w="992" w:type="dxa"/>
            <w:tcMar>
              <w:top w:w="10" w:type="dxa"/>
              <w:left w:w="10" w:type="dxa"/>
              <w:bottom w:w="10" w:type="dxa"/>
              <w:right w:w="10" w:type="dxa"/>
            </w:tcMar>
            <w:vAlign w:val="center"/>
          </w:tcPr>
          <w:p w14:paraId="29D9EA5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2029.04.18</w:t>
            </w:r>
          </w:p>
        </w:tc>
        <w:tc>
          <w:tcPr>
            <w:tcW w:w="1276" w:type="dxa"/>
            <w:tcMar>
              <w:top w:w="10" w:type="dxa"/>
              <w:left w:w="10" w:type="dxa"/>
              <w:bottom w:w="10" w:type="dxa"/>
              <w:right w:w="10" w:type="dxa"/>
            </w:tcMar>
            <w:vAlign w:val="center"/>
          </w:tcPr>
          <w:p w14:paraId="75F5330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9C2E501" w14:textId="77777777" w:rsidTr="00C707CF">
        <w:trPr>
          <w:cantSplit/>
          <w:jc w:val="center"/>
        </w:trPr>
        <w:tc>
          <w:tcPr>
            <w:tcW w:w="418" w:type="dxa"/>
            <w:tcMar>
              <w:top w:w="10" w:type="dxa"/>
              <w:left w:w="10" w:type="dxa"/>
              <w:bottom w:w="10" w:type="dxa"/>
              <w:right w:w="10" w:type="dxa"/>
            </w:tcMar>
            <w:vAlign w:val="center"/>
          </w:tcPr>
          <w:p w14:paraId="2B5F766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55</w:t>
            </w:r>
          </w:p>
        </w:tc>
        <w:tc>
          <w:tcPr>
            <w:tcW w:w="1530" w:type="dxa"/>
            <w:tcMar>
              <w:top w:w="10" w:type="dxa"/>
              <w:left w:w="10" w:type="dxa"/>
              <w:bottom w:w="10" w:type="dxa"/>
              <w:right w:w="10" w:type="dxa"/>
            </w:tcMar>
            <w:vAlign w:val="center"/>
          </w:tcPr>
          <w:p w14:paraId="2635B3A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谷丙转氨酶</w:t>
            </w:r>
            <w:r>
              <w:rPr>
                <w:rFonts w:ascii="Times New Roman" w:hAnsi="Times New Roman" w:cs="Times New Roman"/>
                <w:sz w:val="18"/>
                <w:szCs w:val="18"/>
              </w:rPr>
              <w:t>/</w:t>
            </w:r>
            <w:r>
              <w:rPr>
                <w:rFonts w:ascii="Times New Roman" w:hAnsi="Times New Roman" w:hint="eastAsia"/>
                <w:sz w:val="18"/>
                <w:szCs w:val="18"/>
              </w:rPr>
              <w:t>谷草转氨酶</w:t>
            </w:r>
            <w:r>
              <w:rPr>
                <w:rFonts w:ascii="Times New Roman" w:hAnsi="Times New Roman" w:cs="Times New Roman"/>
                <w:sz w:val="18"/>
                <w:szCs w:val="18"/>
              </w:rPr>
              <w:t>/</w:t>
            </w:r>
            <w:r>
              <w:rPr>
                <w:rFonts w:ascii="Times New Roman" w:hAnsi="Times New Roman" w:hint="eastAsia"/>
                <w:sz w:val="18"/>
                <w:szCs w:val="18"/>
              </w:rPr>
              <w:t>总胆红素</w:t>
            </w:r>
            <w:r>
              <w:rPr>
                <w:rFonts w:ascii="Times New Roman" w:hAnsi="Times New Roman" w:cs="Times New Roman"/>
                <w:sz w:val="18"/>
                <w:szCs w:val="18"/>
              </w:rPr>
              <w:t>/</w:t>
            </w:r>
            <w:r>
              <w:rPr>
                <w:rFonts w:ascii="Times New Roman" w:hAnsi="Times New Roman" w:hint="eastAsia"/>
                <w:sz w:val="18"/>
                <w:szCs w:val="18"/>
              </w:rPr>
              <w:t>白蛋白检测试剂盒（速率法</w:t>
            </w:r>
            <w:r>
              <w:rPr>
                <w:rFonts w:ascii="Times New Roman" w:hAnsi="Times New Roman" w:cs="Times New Roman"/>
                <w:sz w:val="18"/>
                <w:szCs w:val="18"/>
              </w:rPr>
              <w:t>/</w:t>
            </w:r>
            <w:r>
              <w:rPr>
                <w:rFonts w:ascii="Times New Roman" w:hAnsi="Times New Roman" w:hint="eastAsia"/>
                <w:sz w:val="18"/>
                <w:szCs w:val="18"/>
              </w:rPr>
              <w:t>终点法）</w:t>
            </w:r>
          </w:p>
        </w:tc>
        <w:tc>
          <w:tcPr>
            <w:tcW w:w="1134" w:type="dxa"/>
            <w:tcMar>
              <w:top w:w="10" w:type="dxa"/>
              <w:left w:w="10" w:type="dxa"/>
              <w:bottom w:w="10" w:type="dxa"/>
              <w:right w:w="10" w:type="dxa"/>
            </w:tcMar>
            <w:vAlign w:val="center"/>
          </w:tcPr>
          <w:p w14:paraId="50DD222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20192400169</w:t>
            </w:r>
          </w:p>
        </w:tc>
        <w:tc>
          <w:tcPr>
            <w:tcW w:w="425" w:type="dxa"/>
            <w:tcMar>
              <w:top w:w="10" w:type="dxa"/>
              <w:left w:w="10" w:type="dxa"/>
              <w:bottom w:w="10" w:type="dxa"/>
              <w:right w:w="10" w:type="dxa"/>
            </w:tcMar>
            <w:vAlign w:val="center"/>
          </w:tcPr>
          <w:p w14:paraId="0FE233B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A5B5B35"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本产品用于定量检测人体血清中的谷丙转氨酶（</w:t>
            </w:r>
            <w:r>
              <w:rPr>
                <w:rFonts w:ascii="Times New Roman" w:hAnsi="Times New Roman" w:cs="Times New Roman"/>
                <w:sz w:val="18"/>
                <w:szCs w:val="18"/>
              </w:rPr>
              <w:t>ALT</w:t>
            </w:r>
            <w:r>
              <w:rPr>
                <w:rFonts w:ascii="Times New Roman" w:hAnsi="Times New Roman" w:hint="eastAsia"/>
                <w:sz w:val="18"/>
                <w:szCs w:val="18"/>
              </w:rPr>
              <w:t>）、谷草转氨酶（</w:t>
            </w:r>
            <w:r>
              <w:rPr>
                <w:rFonts w:ascii="Times New Roman" w:hAnsi="Times New Roman" w:cs="Times New Roman"/>
                <w:sz w:val="18"/>
                <w:szCs w:val="18"/>
              </w:rPr>
              <w:t>AST</w:t>
            </w:r>
            <w:r>
              <w:rPr>
                <w:rFonts w:ascii="Times New Roman" w:hAnsi="Times New Roman" w:hint="eastAsia"/>
                <w:sz w:val="18"/>
                <w:szCs w:val="18"/>
              </w:rPr>
              <w:t>）的活性、总胆红素（</w:t>
            </w:r>
            <w:r>
              <w:rPr>
                <w:rFonts w:ascii="Times New Roman" w:hAnsi="Times New Roman" w:cs="Times New Roman"/>
                <w:sz w:val="18"/>
                <w:szCs w:val="18"/>
              </w:rPr>
              <w:t>TB</w:t>
            </w:r>
            <w:r>
              <w:rPr>
                <w:rFonts w:ascii="Times New Roman" w:hAnsi="Times New Roman" w:hint="eastAsia"/>
                <w:sz w:val="18"/>
                <w:szCs w:val="18"/>
              </w:rPr>
              <w:t>）、白蛋白（</w:t>
            </w:r>
            <w:r>
              <w:rPr>
                <w:rFonts w:ascii="Times New Roman" w:hAnsi="Times New Roman" w:cs="Times New Roman"/>
                <w:sz w:val="18"/>
                <w:szCs w:val="18"/>
              </w:rPr>
              <w:t>ALB</w:t>
            </w:r>
            <w:r>
              <w:rPr>
                <w:rFonts w:ascii="Times New Roman" w:hAnsi="Times New Roman" w:hint="eastAsia"/>
                <w:sz w:val="18"/>
                <w:szCs w:val="18"/>
              </w:rPr>
              <w:t>）的含量，临床上主要用于肝脏疾病的辅助诊断。</w:t>
            </w:r>
          </w:p>
        </w:tc>
        <w:tc>
          <w:tcPr>
            <w:tcW w:w="992" w:type="dxa"/>
            <w:tcMar>
              <w:top w:w="10" w:type="dxa"/>
              <w:left w:w="10" w:type="dxa"/>
              <w:bottom w:w="10" w:type="dxa"/>
              <w:right w:w="10" w:type="dxa"/>
            </w:tcMar>
            <w:vAlign w:val="center"/>
          </w:tcPr>
          <w:p w14:paraId="1D306E9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2029.06.17</w:t>
            </w:r>
          </w:p>
        </w:tc>
        <w:tc>
          <w:tcPr>
            <w:tcW w:w="1276" w:type="dxa"/>
            <w:tcMar>
              <w:top w:w="10" w:type="dxa"/>
              <w:left w:w="10" w:type="dxa"/>
              <w:bottom w:w="10" w:type="dxa"/>
              <w:right w:w="10" w:type="dxa"/>
            </w:tcMar>
            <w:vAlign w:val="center"/>
          </w:tcPr>
          <w:p w14:paraId="5A0DA60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743D9FF" w14:textId="77777777" w:rsidTr="00C707CF">
        <w:trPr>
          <w:cantSplit/>
          <w:jc w:val="center"/>
        </w:trPr>
        <w:tc>
          <w:tcPr>
            <w:tcW w:w="418" w:type="dxa"/>
            <w:tcMar>
              <w:top w:w="10" w:type="dxa"/>
              <w:left w:w="10" w:type="dxa"/>
              <w:bottom w:w="10" w:type="dxa"/>
              <w:right w:w="10" w:type="dxa"/>
            </w:tcMar>
            <w:vAlign w:val="center"/>
          </w:tcPr>
          <w:p w14:paraId="408E6B2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56</w:t>
            </w:r>
          </w:p>
        </w:tc>
        <w:tc>
          <w:tcPr>
            <w:tcW w:w="1530" w:type="dxa"/>
            <w:tcMar>
              <w:top w:w="10" w:type="dxa"/>
              <w:left w:w="10" w:type="dxa"/>
              <w:bottom w:w="10" w:type="dxa"/>
              <w:right w:w="10" w:type="dxa"/>
            </w:tcMar>
            <w:vAlign w:val="center"/>
          </w:tcPr>
          <w:p w14:paraId="2D98CFB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凝血酶原时间检测试剂盒（凝固法）</w:t>
            </w:r>
          </w:p>
        </w:tc>
        <w:tc>
          <w:tcPr>
            <w:tcW w:w="1134" w:type="dxa"/>
            <w:tcMar>
              <w:top w:w="10" w:type="dxa"/>
              <w:left w:w="10" w:type="dxa"/>
              <w:bottom w:w="10" w:type="dxa"/>
              <w:right w:w="10" w:type="dxa"/>
            </w:tcMar>
            <w:vAlign w:val="center"/>
          </w:tcPr>
          <w:p w14:paraId="21F0A0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20192400170</w:t>
            </w:r>
          </w:p>
        </w:tc>
        <w:tc>
          <w:tcPr>
            <w:tcW w:w="425" w:type="dxa"/>
            <w:tcMar>
              <w:top w:w="10" w:type="dxa"/>
              <w:left w:w="10" w:type="dxa"/>
              <w:bottom w:w="10" w:type="dxa"/>
              <w:right w:w="10" w:type="dxa"/>
            </w:tcMar>
            <w:vAlign w:val="center"/>
          </w:tcPr>
          <w:p w14:paraId="4C31CC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584AE8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本产品用于定量检测人体血浆的凝血酶原时间（</w:t>
            </w:r>
            <w:r>
              <w:rPr>
                <w:rFonts w:ascii="Times New Roman" w:hAnsi="Times New Roman" w:cs="Times New Roman"/>
                <w:sz w:val="18"/>
                <w:szCs w:val="18"/>
              </w:rPr>
              <w:t>PT</w:t>
            </w:r>
            <w:r>
              <w:rPr>
                <w:rFonts w:ascii="Times New Roman" w:hAnsi="Times New Roman" w:hint="eastAsia"/>
                <w:sz w:val="18"/>
                <w:szCs w:val="18"/>
              </w:rPr>
              <w:t>），临床上主要用于外源性凝血系统功能缺陷的筛查及口服抗凝药治疗的监测。</w:t>
            </w:r>
          </w:p>
        </w:tc>
        <w:tc>
          <w:tcPr>
            <w:tcW w:w="992" w:type="dxa"/>
            <w:tcMar>
              <w:top w:w="10" w:type="dxa"/>
              <w:left w:w="10" w:type="dxa"/>
              <w:bottom w:w="10" w:type="dxa"/>
              <w:right w:w="10" w:type="dxa"/>
            </w:tcMar>
            <w:vAlign w:val="center"/>
          </w:tcPr>
          <w:p w14:paraId="1A8BBC4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2029.06.17</w:t>
            </w:r>
          </w:p>
        </w:tc>
        <w:tc>
          <w:tcPr>
            <w:tcW w:w="1276" w:type="dxa"/>
            <w:tcMar>
              <w:top w:w="10" w:type="dxa"/>
              <w:left w:w="10" w:type="dxa"/>
              <w:bottom w:w="10" w:type="dxa"/>
              <w:right w:w="10" w:type="dxa"/>
            </w:tcMar>
            <w:vAlign w:val="center"/>
          </w:tcPr>
          <w:p w14:paraId="4E8E1B9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87A41CB" w14:textId="77777777" w:rsidTr="00C707CF">
        <w:trPr>
          <w:cantSplit/>
          <w:jc w:val="center"/>
        </w:trPr>
        <w:tc>
          <w:tcPr>
            <w:tcW w:w="418" w:type="dxa"/>
            <w:tcMar>
              <w:top w:w="10" w:type="dxa"/>
              <w:left w:w="10" w:type="dxa"/>
              <w:bottom w:w="10" w:type="dxa"/>
              <w:right w:w="10" w:type="dxa"/>
            </w:tcMar>
            <w:vAlign w:val="center"/>
          </w:tcPr>
          <w:p w14:paraId="13E290F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57</w:t>
            </w:r>
          </w:p>
        </w:tc>
        <w:tc>
          <w:tcPr>
            <w:tcW w:w="1530" w:type="dxa"/>
            <w:tcMar>
              <w:top w:w="10" w:type="dxa"/>
              <w:left w:w="10" w:type="dxa"/>
              <w:bottom w:w="10" w:type="dxa"/>
              <w:right w:w="10" w:type="dxa"/>
            </w:tcMar>
            <w:vAlign w:val="center"/>
          </w:tcPr>
          <w:p w14:paraId="466BA51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葡萄糖</w:t>
            </w:r>
            <w:r>
              <w:rPr>
                <w:rFonts w:ascii="Times New Roman" w:hAnsi="Times New Roman" w:cs="Times New Roman"/>
                <w:sz w:val="18"/>
                <w:szCs w:val="18"/>
              </w:rPr>
              <w:t>/</w:t>
            </w:r>
            <w:r>
              <w:rPr>
                <w:rFonts w:ascii="Times New Roman" w:hAnsi="Times New Roman" w:hint="eastAsia"/>
                <w:sz w:val="18"/>
                <w:szCs w:val="18"/>
              </w:rPr>
              <w:t>糖化血清白蛋白检测试剂盒（酶法）</w:t>
            </w:r>
          </w:p>
        </w:tc>
        <w:tc>
          <w:tcPr>
            <w:tcW w:w="1134" w:type="dxa"/>
            <w:tcMar>
              <w:top w:w="10" w:type="dxa"/>
              <w:left w:w="10" w:type="dxa"/>
              <w:bottom w:w="10" w:type="dxa"/>
              <w:right w:w="10" w:type="dxa"/>
            </w:tcMar>
            <w:vAlign w:val="center"/>
          </w:tcPr>
          <w:p w14:paraId="3996334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20192400171</w:t>
            </w:r>
          </w:p>
        </w:tc>
        <w:tc>
          <w:tcPr>
            <w:tcW w:w="425" w:type="dxa"/>
            <w:tcMar>
              <w:top w:w="10" w:type="dxa"/>
              <w:left w:w="10" w:type="dxa"/>
              <w:bottom w:w="10" w:type="dxa"/>
              <w:right w:w="10" w:type="dxa"/>
            </w:tcMar>
            <w:vAlign w:val="center"/>
          </w:tcPr>
          <w:p w14:paraId="68E2B9B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77E8CC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本产品用于定量检测人体血清中葡萄糖（</w:t>
            </w:r>
            <w:r>
              <w:rPr>
                <w:rFonts w:ascii="Times New Roman" w:hAnsi="Times New Roman" w:cs="Times New Roman"/>
                <w:sz w:val="18"/>
                <w:szCs w:val="18"/>
              </w:rPr>
              <w:t>Glu</w:t>
            </w:r>
            <w:r>
              <w:rPr>
                <w:rFonts w:ascii="Times New Roman" w:hAnsi="Times New Roman" w:hint="eastAsia"/>
                <w:sz w:val="18"/>
                <w:szCs w:val="18"/>
              </w:rPr>
              <w:t>）浓度，糖化血清白蛋白（</w:t>
            </w:r>
            <w:r>
              <w:rPr>
                <w:rFonts w:ascii="Times New Roman" w:hAnsi="Times New Roman" w:cs="Times New Roman"/>
                <w:sz w:val="18"/>
                <w:szCs w:val="18"/>
              </w:rPr>
              <w:t>GA</w:t>
            </w:r>
            <w:r>
              <w:rPr>
                <w:rFonts w:ascii="Times New Roman" w:hAnsi="Times New Roman" w:hint="eastAsia"/>
                <w:sz w:val="18"/>
                <w:szCs w:val="18"/>
              </w:rPr>
              <w:t>）和白蛋白（</w:t>
            </w:r>
            <w:r>
              <w:rPr>
                <w:rFonts w:ascii="Times New Roman" w:hAnsi="Times New Roman" w:cs="Times New Roman"/>
                <w:sz w:val="18"/>
                <w:szCs w:val="18"/>
              </w:rPr>
              <w:t>ALB</w:t>
            </w:r>
            <w:r>
              <w:rPr>
                <w:rFonts w:ascii="Times New Roman" w:hAnsi="Times New Roman" w:hint="eastAsia"/>
                <w:sz w:val="18"/>
                <w:szCs w:val="18"/>
              </w:rPr>
              <w:t>）测量浓度的比值，临床上主要用于血糖短期控制水平的监控。</w:t>
            </w:r>
          </w:p>
        </w:tc>
        <w:tc>
          <w:tcPr>
            <w:tcW w:w="992" w:type="dxa"/>
            <w:tcMar>
              <w:top w:w="10" w:type="dxa"/>
              <w:left w:w="10" w:type="dxa"/>
              <w:bottom w:w="10" w:type="dxa"/>
              <w:right w:w="10" w:type="dxa"/>
            </w:tcMar>
            <w:vAlign w:val="center"/>
          </w:tcPr>
          <w:p w14:paraId="6FDBFC7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2029.06.17</w:t>
            </w:r>
          </w:p>
        </w:tc>
        <w:tc>
          <w:tcPr>
            <w:tcW w:w="1276" w:type="dxa"/>
            <w:tcMar>
              <w:top w:w="10" w:type="dxa"/>
              <w:left w:w="10" w:type="dxa"/>
              <w:bottom w:w="10" w:type="dxa"/>
              <w:right w:w="10" w:type="dxa"/>
            </w:tcMar>
            <w:vAlign w:val="center"/>
          </w:tcPr>
          <w:p w14:paraId="5F39D85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39D137C" w14:textId="77777777" w:rsidTr="00C707CF">
        <w:trPr>
          <w:cantSplit/>
          <w:jc w:val="center"/>
        </w:trPr>
        <w:tc>
          <w:tcPr>
            <w:tcW w:w="418" w:type="dxa"/>
            <w:tcMar>
              <w:top w:w="10" w:type="dxa"/>
              <w:left w:w="10" w:type="dxa"/>
              <w:bottom w:w="10" w:type="dxa"/>
              <w:right w:w="10" w:type="dxa"/>
            </w:tcMar>
            <w:vAlign w:val="center"/>
          </w:tcPr>
          <w:p w14:paraId="4CBD3C2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58</w:t>
            </w:r>
          </w:p>
        </w:tc>
        <w:tc>
          <w:tcPr>
            <w:tcW w:w="1530" w:type="dxa"/>
            <w:tcMar>
              <w:top w:w="10" w:type="dxa"/>
              <w:left w:w="10" w:type="dxa"/>
              <w:bottom w:w="10" w:type="dxa"/>
              <w:right w:w="10" w:type="dxa"/>
            </w:tcMar>
            <w:vAlign w:val="center"/>
          </w:tcPr>
          <w:p w14:paraId="615EBB2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心肌酶四项联检试剂盒（速率法）</w:t>
            </w:r>
          </w:p>
        </w:tc>
        <w:tc>
          <w:tcPr>
            <w:tcW w:w="1134" w:type="dxa"/>
            <w:tcMar>
              <w:top w:w="10" w:type="dxa"/>
              <w:left w:w="10" w:type="dxa"/>
              <w:bottom w:w="10" w:type="dxa"/>
              <w:right w:w="10" w:type="dxa"/>
            </w:tcMar>
            <w:vAlign w:val="center"/>
          </w:tcPr>
          <w:p w14:paraId="05F8B82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20192400172</w:t>
            </w:r>
          </w:p>
        </w:tc>
        <w:tc>
          <w:tcPr>
            <w:tcW w:w="425" w:type="dxa"/>
            <w:tcMar>
              <w:top w:w="10" w:type="dxa"/>
              <w:left w:w="10" w:type="dxa"/>
              <w:bottom w:w="10" w:type="dxa"/>
              <w:right w:w="10" w:type="dxa"/>
            </w:tcMar>
            <w:vAlign w:val="center"/>
          </w:tcPr>
          <w:p w14:paraId="0DA237A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6699A8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本产品用于定量检测人体血清中肌酸激酶</w:t>
            </w:r>
            <w:r>
              <w:rPr>
                <w:rFonts w:ascii="Times New Roman" w:hAnsi="Times New Roman" w:cs="Times New Roman"/>
                <w:sz w:val="18"/>
                <w:szCs w:val="18"/>
              </w:rPr>
              <w:t>(CK)</w:t>
            </w:r>
            <w:r>
              <w:rPr>
                <w:rFonts w:ascii="Times New Roman" w:hAnsi="Times New Roman" w:hint="eastAsia"/>
                <w:sz w:val="18"/>
                <w:szCs w:val="18"/>
              </w:rPr>
              <w:t>、肌酸激酶</w:t>
            </w:r>
            <w:r>
              <w:rPr>
                <w:rFonts w:ascii="Times New Roman" w:hAnsi="Times New Roman" w:cs="Times New Roman"/>
                <w:sz w:val="18"/>
                <w:szCs w:val="18"/>
              </w:rPr>
              <w:t>MB</w:t>
            </w:r>
            <w:r>
              <w:rPr>
                <w:rFonts w:ascii="Times New Roman" w:hAnsi="Times New Roman" w:hint="eastAsia"/>
                <w:sz w:val="18"/>
                <w:szCs w:val="18"/>
              </w:rPr>
              <w:t>同工酶</w:t>
            </w:r>
            <w:r>
              <w:rPr>
                <w:rFonts w:ascii="Times New Roman" w:hAnsi="Times New Roman" w:cs="Times New Roman"/>
                <w:sz w:val="18"/>
                <w:szCs w:val="18"/>
              </w:rPr>
              <w:t>(CKMB)</w:t>
            </w:r>
            <w:r>
              <w:rPr>
                <w:rFonts w:ascii="Times New Roman" w:hAnsi="Times New Roman" w:hint="eastAsia"/>
                <w:sz w:val="18"/>
                <w:szCs w:val="18"/>
              </w:rPr>
              <w:t>、乳酸脱氢酶</w:t>
            </w:r>
            <w:r>
              <w:rPr>
                <w:rFonts w:ascii="Times New Roman" w:hAnsi="Times New Roman" w:cs="Times New Roman"/>
                <w:sz w:val="18"/>
                <w:szCs w:val="18"/>
              </w:rPr>
              <w:t>(LDH)</w:t>
            </w:r>
            <w:r>
              <w:rPr>
                <w:rFonts w:ascii="Times New Roman" w:hAnsi="Times New Roman" w:hint="eastAsia"/>
                <w:sz w:val="18"/>
                <w:szCs w:val="18"/>
              </w:rPr>
              <w:t>、α</w:t>
            </w:r>
            <w:r>
              <w:rPr>
                <w:rFonts w:ascii="Times New Roman" w:hAnsi="Times New Roman" w:cs="Times New Roman"/>
                <w:sz w:val="18"/>
                <w:szCs w:val="18"/>
              </w:rPr>
              <w:t>-</w:t>
            </w:r>
            <w:r>
              <w:rPr>
                <w:rFonts w:ascii="Times New Roman" w:hAnsi="Times New Roman" w:hint="eastAsia"/>
                <w:sz w:val="18"/>
                <w:szCs w:val="18"/>
              </w:rPr>
              <w:t>羟丁酸脱氢酶</w:t>
            </w:r>
            <w:r>
              <w:rPr>
                <w:rFonts w:ascii="Times New Roman" w:hAnsi="Times New Roman" w:cs="Times New Roman"/>
                <w:sz w:val="18"/>
                <w:szCs w:val="18"/>
              </w:rPr>
              <w:t>(</w:t>
            </w:r>
            <w:r>
              <w:rPr>
                <w:rFonts w:ascii="Times New Roman" w:hAnsi="Times New Roman" w:hint="eastAsia"/>
                <w:sz w:val="18"/>
                <w:szCs w:val="18"/>
              </w:rPr>
              <w:t>α</w:t>
            </w:r>
            <w:r>
              <w:rPr>
                <w:rFonts w:ascii="Times New Roman" w:hAnsi="Times New Roman" w:cs="Times New Roman"/>
                <w:sz w:val="18"/>
                <w:szCs w:val="18"/>
              </w:rPr>
              <w:t>-HBDH)</w:t>
            </w:r>
            <w:r>
              <w:rPr>
                <w:rFonts w:ascii="Times New Roman" w:hAnsi="Times New Roman" w:hint="eastAsia"/>
                <w:sz w:val="18"/>
                <w:szCs w:val="18"/>
              </w:rPr>
              <w:t>的活性，临床上主要用于病毒性心肌炎、心肌梗死的辅助诊断。</w:t>
            </w:r>
          </w:p>
        </w:tc>
        <w:tc>
          <w:tcPr>
            <w:tcW w:w="992" w:type="dxa"/>
            <w:tcMar>
              <w:top w:w="10" w:type="dxa"/>
              <w:left w:w="10" w:type="dxa"/>
              <w:bottom w:w="10" w:type="dxa"/>
              <w:right w:w="10" w:type="dxa"/>
            </w:tcMar>
            <w:vAlign w:val="center"/>
          </w:tcPr>
          <w:p w14:paraId="2A3751E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2029.06.17</w:t>
            </w:r>
          </w:p>
        </w:tc>
        <w:tc>
          <w:tcPr>
            <w:tcW w:w="1276" w:type="dxa"/>
            <w:tcMar>
              <w:top w:w="10" w:type="dxa"/>
              <w:left w:w="10" w:type="dxa"/>
              <w:bottom w:w="10" w:type="dxa"/>
              <w:right w:w="10" w:type="dxa"/>
            </w:tcMar>
            <w:vAlign w:val="center"/>
          </w:tcPr>
          <w:p w14:paraId="65EAC03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2C1752C" w14:textId="77777777" w:rsidTr="00C707CF">
        <w:trPr>
          <w:cantSplit/>
          <w:jc w:val="center"/>
        </w:trPr>
        <w:tc>
          <w:tcPr>
            <w:tcW w:w="418" w:type="dxa"/>
            <w:tcMar>
              <w:top w:w="10" w:type="dxa"/>
              <w:left w:w="10" w:type="dxa"/>
              <w:bottom w:w="10" w:type="dxa"/>
              <w:right w:w="10" w:type="dxa"/>
            </w:tcMar>
            <w:vAlign w:val="center"/>
          </w:tcPr>
          <w:p w14:paraId="7C61AD0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59</w:t>
            </w:r>
          </w:p>
        </w:tc>
        <w:tc>
          <w:tcPr>
            <w:tcW w:w="1530" w:type="dxa"/>
            <w:tcMar>
              <w:top w:w="10" w:type="dxa"/>
              <w:left w:w="10" w:type="dxa"/>
              <w:bottom w:w="10" w:type="dxa"/>
              <w:right w:w="10" w:type="dxa"/>
            </w:tcMar>
            <w:vAlign w:val="center"/>
          </w:tcPr>
          <w:p w14:paraId="2C9F0F6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尿素</w:t>
            </w:r>
            <w:r>
              <w:rPr>
                <w:rFonts w:ascii="Times New Roman" w:hAnsi="Times New Roman" w:cs="Times New Roman"/>
                <w:sz w:val="18"/>
                <w:szCs w:val="18"/>
              </w:rPr>
              <w:t>/</w:t>
            </w:r>
            <w:r>
              <w:rPr>
                <w:rFonts w:ascii="Times New Roman" w:hAnsi="Times New Roman" w:hint="eastAsia"/>
                <w:sz w:val="18"/>
                <w:szCs w:val="18"/>
              </w:rPr>
              <w:t>肌酐</w:t>
            </w:r>
            <w:r>
              <w:rPr>
                <w:rFonts w:ascii="Times New Roman" w:hAnsi="Times New Roman" w:cs="Times New Roman"/>
                <w:sz w:val="18"/>
                <w:szCs w:val="18"/>
              </w:rPr>
              <w:t>/</w:t>
            </w:r>
            <w:r>
              <w:rPr>
                <w:rFonts w:ascii="Times New Roman" w:hAnsi="Times New Roman" w:hint="eastAsia"/>
                <w:sz w:val="18"/>
                <w:szCs w:val="18"/>
              </w:rPr>
              <w:t>尿酸检测试剂盒（酶动力法</w:t>
            </w:r>
            <w:r>
              <w:rPr>
                <w:rFonts w:ascii="Times New Roman" w:hAnsi="Times New Roman" w:cs="Times New Roman"/>
                <w:sz w:val="18"/>
                <w:szCs w:val="18"/>
              </w:rPr>
              <w:t>/</w:t>
            </w:r>
            <w:r>
              <w:rPr>
                <w:rFonts w:ascii="Times New Roman" w:hAnsi="Times New Roman" w:hint="eastAsia"/>
                <w:sz w:val="18"/>
                <w:szCs w:val="18"/>
              </w:rPr>
              <w:t>终点法）</w:t>
            </w:r>
          </w:p>
        </w:tc>
        <w:tc>
          <w:tcPr>
            <w:tcW w:w="1134" w:type="dxa"/>
            <w:tcMar>
              <w:top w:w="10" w:type="dxa"/>
              <w:left w:w="10" w:type="dxa"/>
              <w:bottom w:w="10" w:type="dxa"/>
              <w:right w:w="10" w:type="dxa"/>
            </w:tcMar>
            <w:vAlign w:val="center"/>
          </w:tcPr>
          <w:p w14:paraId="4D45B99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20192400173</w:t>
            </w:r>
          </w:p>
        </w:tc>
        <w:tc>
          <w:tcPr>
            <w:tcW w:w="425" w:type="dxa"/>
            <w:tcMar>
              <w:top w:w="10" w:type="dxa"/>
              <w:left w:w="10" w:type="dxa"/>
              <w:bottom w:w="10" w:type="dxa"/>
              <w:right w:w="10" w:type="dxa"/>
            </w:tcMar>
            <w:vAlign w:val="center"/>
          </w:tcPr>
          <w:p w14:paraId="5559876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670B95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本产品用于定量检测人体血清中尿素（</w:t>
            </w:r>
            <w:r>
              <w:rPr>
                <w:rFonts w:ascii="Times New Roman" w:hAnsi="Times New Roman" w:cs="Times New Roman"/>
                <w:sz w:val="18"/>
                <w:szCs w:val="18"/>
              </w:rPr>
              <w:t>Urea</w:t>
            </w:r>
            <w:r>
              <w:rPr>
                <w:rFonts w:ascii="Times New Roman" w:hAnsi="Times New Roman" w:hint="eastAsia"/>
                <w:sz w:val="18"/>
                <w:szCs w:val="18"/>
              </w:rPr>
              <w:t>）、肌酐（</w:t>
            </w:r>
            <w:r>
              <w:rPr>
                <w:rFonts w:ascii="Times New Roman" w:hAnsi="Times New Roman" w:cs="Times New Roman"/>
                <w:sz w:val="18"/>
                <w:szCs w:val="18"/>
              </w:rPr>
              <w:t>Crea</w:t>
            </w:r>
            <w:r>
              <w:rPr>
                <w:rFonts w:ascii="Times New Roman" w:hAnsi="Times New Roman" w:hint="eastAsia"/>
                <w:sz w:val="18"/>
                <w:szCs w:val="18"/>
              </w:rPr>
              <w:t>）、尿酸（</w:t>
            </w:r>
            <w:r>
              <w:rPr>
                <w:rFonts w:ascii="Times New Roman" w:hAnsi="Times New Roman" w:cs="Times New Roman"/>
                <w:sz w:val="18"/>
                <w:szCs w:val="18"/>
              </w:rPr>
              <w:t>UA</w:t>
            </w:r>
            <w:r>
              <w:rPr>
                <w:rFonts w:ascii="Times New Roman" w:hAnsi="Times New Roman" w:hint="eastAsia"/>
                <w:sz w:val="18"/>
                <w:szCs w:val="18"/>
              </w:rPr>
              <w:t>）的含量，主要作为肾功能监测指标。</w:t>
            </w:r>
          </w:p>
        </w:tc>
        <w:tc>
          <w:tcPr>
            <w:tcW w:w="992" w:type="dxa"/>
            <w:tcMar>
              <w:top w:w="10" w:type="dxa"/>
              <w:left w:w="10" w:type="dxa"/>
              <w:bottom w:w="10" w:type="dxa"/>
              <w:right w:w="10" w:type="dxa"/>
            </w:tcMar>
            <w:vAlign w:val="center"/>
          </w:tcPr>
          <w:p w14:paraId="7F84DBF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2029.06.17</w:t>
            </w:r>
          </w:p>
        </w:tc>
        <w:tc>
          <w:tcPr>
            <w:tcW w:w="1276" w:type="dxa"/>
            <w:tcMar>
              <w:top w:w="10" w:type="dxa"/>
              <w:left w:w="10" w:type="dxa"/>
              <w:bottom w:w="10" w:type="dxa"/>
              <w:right w:w="10" w:type="dxa"/>
            </w:tcMar>
            <w:vAlign w:val="center"/>
          </w:tcPr>
          <w:p w14:paraId="35CBF6B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0E87D2D" w14:textId="77777777" w:rsidTr="00C707CF">
        <w:trPr>
          <w:cantSplit/>
          <w:jc w:val="center"/>
        </w:trPr>
        <w:tc>
          <w:tcPr>
            <w:tcW w:w="418" w:type="dxa"/>
            <w:tcMar>
              <w:top w:w="10" w:type="dxa"/>
              <w:left w:w="10" w:type="dxa"/>
              <w:bottom w:w="10" w:type="dxa"/>
              <w:right w:w="10" w:type="dxa"/>
            </w:tcMar>
            <w:vAlign w:val="center"/>
          </w:tcPr>
          <w:p w14:paraId="3BBC4DC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60</w:t>
            </w:r>
          </w:p>
        </w:tc>
        <w:tc>
          <w:tcPr>
            <w:tcW w:w="1530" w:type="dxa"/>
            <w:tcMar>
              <w:top w:w="10" w:type="dxa"/>
              <w:left w:w="10" w:type="dxa"/>
              <w:bottom w:w="10" w:type="dxa"/>
              <w:right w:w="10" w:type="dxa"/>
            </w:tcMar>
            <w:vAlign w:val="center"/>
          </w:tcPr>
          <w:p w14:paraId="158D4D3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葡萄糖</w:t>
            </w:r>
            <w:r>
              <w:rPr>
                <w:rFonts w:ascii="Times New Roman" w:hAnsi="Times New Roman" w:cs="Times New Roman"/>
                <w:sz w:val="18"/>
                <w:szCs w:val="18"/>
              </w:rPr>
              <w:t>/</w:t>
            </w:r>
            <w:r>
              <w:rPr>
                <w:rFonts w:ascii="Times New Roman" w:hAnsi="Times New Roman" w:hint="eastAsia"/>
                <w:sz w:val="18"/>
                <w:szCs w:val="18"/>
              </w:rPr>
              <w:t>同型半胱氨酸</w:t>
            </w:r>
            <w:r>
              <w:rPr>
                <w:rFonts w:ascii="Times New Roman" w:hAnsi="Times New Roman" w:cs="Times New Roman"/>
                <w:sz w:val="18"/>
                <w:szCs w:val="18"/>
              </w:rPr>
              <w:t>/</w:t>
            </w:r>
            <w:r>
              <w:rPr>
                <w:rFonts w:ascii="Times New Roman" w:hAnsi="Times New Roman" w:hint="eastAsia"/>
                <w:sz w:val="18"/>
                <w:szCs w:val="18"/>
              </w:rPr>
              <w:t>尿酸</w:t>
            </w:r>
            <w:r>
              <w:rPr>
                <w:rFonts w:ascii="Times New Roman" w:hAnsi="Times New Roman" w:cs="Times New Roman"/>
                <w:sz w:val="18"/>
                <w:szCs w:val="18"/>
              </w:rPr>
              <w:t>/</w:t>
            </w:r>
            <w:r>
              <w:rPr>
                <w:rFonts w:ascii="Times New Roman" w:hAnsi="Times New Roman" w:hint="eastAsia"/>
                <w:sz w:val="18"/>
                <w:szCs w:val="18"/>
              </w:rPr>
              <w:t>低密度脂蛋白胆固醇检测试剂盒（酶法）</w:t>
            </w:r>
          </w:p>
        </w:tc>
        <w:tc>
          <w:tcPr>
            <w:tcW w:w="1134" w:type="dxa"/>
            <w:tcMar>
              <w:top w:w="10" w:type="dxa"/>
              <w:left w:w="10" w:type="dxa"/>
              <w:bottom w:w="10" w:type="dxa"/>
              <w:right w:w="10" w:type="dxa"/>
            </w:tcMar>
            <w:vAlign w:val="center"/>
          </w:tcPr>
          <w:p w14:paraId="4A83C20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20192400174</w:t>
            </w:r>
          </w:p>
        </w:tc>
        <w:tc>
          <w:tcPr>
            <w:tcW w:w="425" w:type="dxa"/>
            <w:tcMar>
              <w:top w:w="10" w:type="dxa"/>
              <w:left w:w="10" w:type="dxa"/>
              <w:bottom w:w="10" w:type="dxa"/>
              <w:right w:w="10" w:type="dxa"/>
            </w:tcMar>
            <w:vAlign w:val="center"/>
          </w:tcPr>
          <w:p w14:paraId="3AF9F4D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87B5C0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用于定量检测人体血清中的葡萄糖（</w:t>
            </w:r>
            <w:r>
              <w:rPr>
                <w:rFonts w:ascii="Times New Roman" w:hAnsi="Times New Roman" w:cs="Times New Roman"/>
                <w:sz w:val="18"/>
                <w:szCs w:val="18"/>
              </w:rPr>
              <w:t>Glu</w:t>
            </w:r>
            <w:r>
              <w:rPr>
                <w:rFonts w:ascii="Times New Roman" w:hAnsi="Times New Roman" w:hint="eastAsia"/>
                <w:sz w:val="18"/>
                <w:szCs w:val="18"/>
              </w:rPr>
              <w:t>）、同型半胱氨酸（</w:t>
            </w:r>
            <w:r>
              <w:rPr>
                <w:rFonts w:ascii="Times New Roman" w:hAnsi="Times New Roman" w:cs="Times New Roman"/>
                <w:sz w:val="18"/>
                <w:szCs w:val="18"/>
              </w:rPr>
              <w:t>HCY</w:t>
            </w:r>
            <w:r>
              <w:rPr>
                <w:rFonts w:ascii="Times New Roman" w:hAnsi="Times New Roman" w:hint="eastAsia"/>
                <w:sz w:val="18"/>
                <w:szCs w:val="18"/>
              </w:rPr>
              <w:t>）、尿酸（</w:t>
            </w:r>
            <w:r>
              <w:rPr>
                <w:rFonts w:ascii="Times New Roman" w:hAnsi="Times New Roman" w:cs="Times New Roman"/>
                <w:sz w:val="18"/>
                <w:szCs w:val="18"/>
              </w:rPr>
              <w:t>UA</w:t>
            </w:r>
            <w:r>
              <w:rPr>
                <w:rFonts w:ascii="Times New Roman" w:hAnsi="Times New Roman" w:hint="eastAsia"/>
                <w:sz w:val="18"/>
                <w:szCs w:val="18"/>
              </w:rPr>
              <w:t>）、低密度脂蛋白胆固醇（</w:t>
            </w:r>
            <w:r>
              <w:rPr>
                <w:rFonts w:ascii="Times New Roman" w:hAnsi="Times New Roman" w:cs="Times New Roman"/>
                <w:sz w:val="18"/>
                <w:szCs w:val="18"/>
              </w:rPr>
              <w:t>LDL-C</w:t>
            </w:r>
            <w:r>
              <w:rPr>
                <w:rFonts w:ascii="Times New Roman" w:hAnsi="Times New Roman" w:hint="eastAsia"/>
                <w:sz w:val="18"/>
                <w:szCs w:val="18"/>
              </w:rPr>
              <w:t>）的含量，临床上主要用于血糖水平的监测，高同型半胱氨酸血症、高尿酸血症、高胆固醇血症、冠心病和动脉粥样硬化的辅助诊断及心血管疾病的风险评价。</w:t>
            </w:r>
          </w:p>
        </w:tc>
        <w:tc>
          <w:tcPr>
            <w:tcW w:w="992" w:type="dxa"/>
            <w:tcMar>
              <w:top w:w="10" w:type="dxa"/>
              <w:left w:w="10" w:type="dxa"/>
              <w:bottom w:w="10" w:type="dxa"/>
              <w:right w:w="10" w:type="dxa"/>
            </w:tcMar>
            <w:vAlign w:val="center"/>
          </w:tcPr>
          <w:p w14:paraId="4A0C55F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2029.06.24</w:t>
            </w:r>
          </w:p>
        </w:tc>
        <w:tc>
          <w:tcPr>
            <w:tcW w:w="1276" w:type="dxa"/>
            <w:tcMar>
              <w:top w:w="10" w:type="dxa"/>
              <w:left w:w="10" w:type="dxa"/>
              <w:bottom w:w="10" w:type="dxa"/>
              <w:right w:w="10" w:type="dxa"/>
            </w:tcMar>
            <w:vAlign w:val="center"/>
          </w:tcPr>
          <w:p w14:paraId="2E8F2B0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DBE5005" w14:textId="77777777" w:rsidTr="00C707CF">
        <w:trPr>
          <w:cantSplit/>
          <w:jc w:val="center"/>
        </w:trPr>
        <w:tc>
          <w:tcPr>
            <w:tcW w:w="418" w:type="dxa"/>
            <w:tcMar>
              <w:top w:w="10" w:type="dxa"/>
              <w:left w:w="10" w:type="dxa"/>
              <w:bottom w:w="10" w:type="dxa"/>
              <w:right w:w="10" w:type="dxa"/>
            </w:tcMar>
            <w:vAlign w:val="center"/>
          </w:tcPr>
          <w:p w14:paraId="45EB748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61</w:t>
            </w:r>
          </w:p>
        </w:tc>
        <w:tc>
          <w:tcPr>
            <w:tcW w:w="1530" w:type="dxa"/>
            <w:tcMar>
              <w:top w:w="10" w:type="dxa"/>
              <w:left w:w="10" w:type="dxa"/>
              <w:bottom w:w="10" w:type="dxa"/>
              <w:right w:w="10" w:type="dxa"/>
            </w:tcMar>
            <w:vAlign w:val="center"/>
          </w:tcPr>
          <w:p w14:paraId="6C9A4C8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凝血四项检测试剂盒（凝固法）</w:t>
            </w:r>
          </w:p>
        </w:tc>
        <w:tc>
          <w:tcPr>
            <w:tcW w:w="1134" w:type="dxa"/>
            <w:tcMar>
              <w:top w:w="10" w:type="dxa"/>
              <w:left w:w="10" w:type="dxa"/>
              <w:bottom w:w="10" w:type="dxa"/>
              <w:right w:w="10" w:type="dxa"/>
            </w:tcMar>
            <w:vAlign w:val="center"/>
          </w:tcPr>
          <w:p w14:paraId="4740AEF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20192400175</w:t>
            </w:r>
          </w:p>
        </w:tc>
        <w:tc>
          <w:tcPr>
            <w:tcW w:w="425" w:type="dxa"/>
            <w:tcMar>
              <w:top w:w="10" w:type="dxa"/>
              <w:left w:w="10" w:type="dxa"/>
              <w:bottom w:w="10" w:type="dxa"/>
              <w:right w:w="10" w:type="dxa"/>
            </w:tcMar>
            <w:vAlign w:val="center"/>
          </w:tcPr>
          <w:p w14:paraId="3042276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223B48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用于定量检测人体血浆的活化部分凝血活酶时间（</w:t>
            </w:r>
            <w:r>
              <w:rPr>
                <w:rFonts w:ascii="Times New Roman" w:hAnsi="Times New Roman" w:cs="Times New Roman"/>
                <w:sz w:val="18"/>
                <w:szCs w:val="18"/>
              </w:rPr>
              <w:t>APTT</w:t>
            </w:r>
            <w:r>
              <w:rPr>
                <w:rFonts w:ascii="Times New Roman" w:hAnsi="Times New Roman" w:hint="eastAsia"/>
                <w:sz w:val="18"/>
                <w:szCs w:val="18"/>
              </w:rPr>
              <w:t>）、凝血酶原时间（</w:t>
            </w:r>
            <w:r>
              <w:rPr>
                <w:rFonts w:ascii="Times New Roman" w:hAnsi="Times New Roman" w:cs="Times New Roman"/>
                <w:sz w:val="18"/>
                <w:szCs w:val="18"/>
              </w:rPr>
              <w:t>PT</w:t>
            </w:r>
            <w:r>
              <w:rPr>
                <w:rFonts w:ascii="Times New Roman" w:hAnsi="Times New Roman" w:hint="eastAsia"/>
                <w:sz w:val="18"/>
                <w:szCs w:val="18"/>
              </w:rPr>
              <w:t>）、凝血酶时间（</w:t>
            </w:r>
            <w:r>
              <w:rPr>
                <w:rFonts w:ascii="Times New Roman" w:hAnsi="Times New Roman" w:cs="Times New Roman"/>
                <w:sz w:val="18"/>
                <w:szCs w:val="18"/>
              </w:rPr>
              <w:t>TT</w:t>
            </w:r>
            <w:r>
              <w:rPr>
                <w:rFonts w:ascii="Times New Roman" w:hAnsi="Times New Roman" w:hint="eastAsia"/>
                <w:sz w:val="18"/>
                <w:szCs w:val="18"/>
              </w:rPr>
              <w:t>）、纤维蛋白原（</w:t>
            </w:r>
            <w:r>
              <w:rPr>
                <w:rFonts w:ascii="Times New Roman" w:hAnsi="Times New Roman" w:cs="Times New Roman"/>
                <w:sz w:val="18"/>
                <w:szCs w:val="18"/>
              </w:rPr>
              <w:t>FIB</w:t>
            </w:r>
            <w:r>
              <w:rPr>
                <w:rFonts w:ascii="Times New Roman" w:hAnsi="Times New Roman" w:hint="eastAsia"/>
                <w:sz w:val="18"/>
                <w:szCs w:val="18"/>
              </w:rPr>
              <w:t>），临床上主要用于内源性、外源性凝血系统功能缺陷的筛查，反映血浆纤维蛋白原含量或结构异常、纤溶系统功能，还可用于弥散性血管内凝血、原发性纤溶症的辅助诊断，以及口服抗凝剂治疗、肝素抗凝治疗和溶栓疗效的监测。</w:t>
            </w:r>
          </w:p>
        </w:tc>
        <w:tc>
          <w:tcPr>
            <w:tcW w:w="992" w:type="dxa"/>
            <w:tcMar>
              <w:top w:w="10" w:type="dxa"/>
              <w:left w:w="10" w:type="dxa"/>
              <w:bottom w:w="10" w:type="dxa"/>
              <w:right w:w="10" w:type="dxa"/>
            </w:tcMar>
            <w:vAlign w:val="center"/>
          </w:tcPr>
          <w:p w14:paraId="0EDEF60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2029.06.24</w:t>
            </w:r>
          </w:p>
        </w:tc>
        <w:tc>
          <w:tcPr>
            <w:tcW w:w="1276" w:type="dxa"/>
            <w:tcMar>
              <w:top w:w="10" w:type="dxa"/>
              <w:left w:w="10" w:type="dxa"/>
              <w:bottom w:w="10" w:type="dxa"/>
              <w:right w:w="10" w:type="dxa"/>
            </w:tcMar>
            <w:vAlign w:val="center"/>
          </w:tcPr>
          <w:p w14:paraId="6028138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BE75E56" w14:textId="77777777" w:rsidTr="00C707CF">
        <w:trPr>
          <w:cantSplit/>
          <w:jc w:val="center"/>
        </w:trPr>
        <w:tc>
          <w:tcPr>
            <w:tcW w:w="418" w:type="dxa"/>
            <w:tcMar>
              <w:top w:w="10" w:type="dxa"/>
              <w:left w:w="10" w:type="dxa"/>
              <w:bottom w:w="10" w:type="dxa"/>
              <w:right w:w="10" w:type="dxa"/>
            </w:tcMar>
            <w:vAlign w:val="center"/>
          </w:tcPr>
          <w:p w14:paraId="58F50F8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62</w:t>
            </w:r>
          </w:p>
        </w:tc>
        <w:tc>
          <w:tcPr>
            <w:tcW w:w="1530" w:type="dxa"/>
            <w:tcMar>
              <w:top w:w="10" w:type="dxa"/>
              <w:left w:w="10" w:type="dxa"/>
              <w:bottom w:w="10" w:type="dxa"/>
              <w:right w:w="10" w:type="dxa"/>
            </w:tcMar>
            <w:vAlign w:val="center"/>
          </w:tcPr>
          <w:p w14:paraId="17D6E50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血脂四项联检试剂盒（酶法）</w:t>
            </w:r>
          </w:p>
        </w:tc>
        <w:tc>
          <w:tcPr>
            <w:tcW w:w="1134" w:type="dxa"/>
            <w:tcMar>
              <w:top w:w="10" w:type="dxa"/>
              <w:left w:w="10" w:type="dxa"/>
              <w:bottom w:w="10" w:type="dxa"/>
              <w:right w:w="10" w:type="dxa"/>
            </w:tcMar>
            <w:vAlign w:val="center"/>
          </w:tcPr>
          <w:p w14:paraId="0ECA003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20192400176</w:t>
            </w:r>
          </w:p>
        </w:tc>
        <w:tc>
          <w:tcPr>
            <w:tcW w:w="425" w:type="dxa"/>
            <w:tcMar>
              <w:top w:w="10" w:type="dxa"/>
              <w:left w:w="10" w:type="dxa"/>
              <w:bottom w:w="10" w:type="dxa"/>
              <w:right w:w="10" w:type="dxa"/>
            </w:tcMar>
            <w:vAlign w:val="center"/>
          </w:tcPr>
          <w:p w14:paraId="3931FC9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A668A4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用于定量检测人体血清中的血脂四项（总胆固醇</w:t>
            </w:r>
            <w:r>
              <w:rPr>
                <w:rFonts w:ascii="Times New Roman" w:hAnsi="Times New Roman" w:cs="Times New Roman"/>
                <w:sz w:val="18"/>
                <w:szCs w:val="18"/>
              </w:rPr>
              <w:t>TC</w:t>
            </w:r>
            <w:r>
              <w:rPr>
                <w:rFonts w:ascii="Times New Roman" w:hAnsi="Times New Roman" w:hint="eastAsia"/>
                <w:sz w:val="18"/>
                <w:szCs w:val="18"/>
              </w:rPr>
              <w:t>、甘油三酯</w:t>
            </w:r>
            <w:r>
              <w:rPr>
                <w:rFonts w:ascii="Times New Roman" w:hAnsi="Times New Roman" w:cs="Times New Roman"/>
                <w:sz w:val="18"/>
                <w:szCs w:val="18"/>
              </w:rPr>
              <w:t>TG</w:t>
            </w:r>
            <w:r>
              <w:rPr>
                <w:rFonts w:ascii="Times New Roman" w:hAnsi="Times New Roman" w:hint="eastAsia"/>
                <w:sz w:val="18"/>
                <w:szCs w:val="18"/>
              </w:rPr>
              <w:t>、高密度脂蛋白胆固醇</w:t>
            </w:r>
            <w:r>
              <w:rPr>
                <w:rFonts w:ascii="Times New Roman" w:hAnsi="Times New Roman" w:cs="Times New Roman"/>
                <w:sz w:val="18"/>
                <w:szCs w:val="18"/>
              </w:rPr>
              <w:t>HDL-C</w:t>
            </w:r>
            <w:r>
              <w:rPr>
                <w:rFonts w:ascii="Times New Roman" w:hAnsi="Times New Roman" w:hint="eastAsia"/>
                <w:sz w:val="18"/>
                <w:szCs w:val="18"/>
              </w:rPr>
              <w:t>、低密度脂蛋白胆固醇</w:t>
            </w:r>
            <w:r>
              <w:rPr>
                <w:rFonts w:ascii="Times New Roman" w:hAnsi="Times New Roman" w:cs="Times New Roman"/>
                <w:sz w:val="18"/>
                <w:szCs w:val="18"/>
              </w:rPr>
              <w:t>LDL-C</w:t>
            </w:r>
            <w:r>
              <w:rPr>
                <w:rFonts w:ascii="Times New Roman" w:hAnsi="Times New Roman" w:hint="eastAsia"/>
                <w:sz w:val="18"/>
                <w:szCs w:val="18"/>
              </w:rPr>
              <w:t>）的含量，临床上主要用于高胆固醇血症、高甘油三酯血症、冠心病和动脉粥样硬化的辅助诊断。</w:t>
            </w:r>
          </w:p>
        </w:tc>
        <w:tc>
          <w:tcPr>
            <w:tcW w:w="992" w:type="dxa"/>
            <w:tcMar>
              <w:top w:w="10" w:type="dxa"/>
              <w:left w:w="10" w:type="dxa"/>
              <w:bottom w:w="10" w:type="dxa"/>
              <w:right w:w="10" w:type="dxa"/>
            </w:tcMar>
            <w:vAlign w:val="center"/>
          </w:tcPr>
          <w:p w14:paraId="65A6BC1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2029.06.24</w:t>
            </w:r>
          </w:p>
        </w:tc>
        <w:tc>
          <w:tcPr>
            <w:tcW w:w="1276" w:type="dxa"/>
            <w:tcMar>
              <w:top w:w="10" w:type="dxa"/>
              <w:left w:w="10" w:type="dxa"/>
              <w:bottom w:w="10" w:type="dxa"/>
              <w:right w:w="10" w:type="dxa"/>
            </w:tcMar>
            <w:vAlign w:val="center"/>
          </w:tcPr>
          <w:p w14:paraId="616FE5E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D25D8F7" w14:textId="77777777" w:rsidTr="00C707CF">
        <w:trPr>
          <w:cantSplit/>
          <w:jc w:val="center"/>
        </w:trPr>
        <w:tc>
          <w:tcPr>
            <w:tcW w:w="418" w:type="dxa"/>
            <w:tcMar>
              <w:top w:w="10" w:type="dxa"/>
              <w:left w:w="10" w:type="dxa"/>
              <w:bottom w:w="10" w:type="dxa"/>
              <w:right w:w="10" w:type="dxa"/>
            </w:tcMar>
            <w:vAlign w:val="center"/>
          </w:tcPr>
          <w:p w14:paraId="4DB9FEB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63</w:t>
            </w:r>
          </w:p>
        </w:tc>
        <w:tc>
          <w:tcPr>
            <w:tcW w:w="1530" w:type="dxa"/>
            <w:tcMar>
              <w:top w:w="10" w:type="dxa"/>
              <w:left w:w="10" w:type="dxa"/>
              <w:bottom w:w="10" w:type="dxa"/>
              <w:right w:w="10" w:type="dxa"/>
            </w:tcMar>
            <w:vAlign w:val="center"/>
          </w:tcPr>
          <w:p w14:paraId="0681FE4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糖化血红蛋白检测试剂盒（酶法）</w:t>
            </w:r>
          </w:p>
        </w:tc>
        <w:tc>
          <w:tcPr>
            <w:tcW w:w="1134" w:type="dxa"/>
            <w:tcMar>
              <w:top w:w="10" w:type="dxa"/>
              <w:left w:w="10" w:type="dxa"/>
              <w:bottom w:w="10" w:type="dxa"/>
              <w:right w:w="10" w:type="dxa"/>
            </w:tcMar>
            <w:vAlign w:val="center"/>
          </w:tcPr>
          <w:p w14:paraId="21330D6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20192400177</w:t>
            </w:r>
          </w:p>
        </w:tc>
        <w:tc>
          <w:tcPr>
            <w:tcW w:w="425" w:type="dxa"/>
            <w:tcMar>
              <w:top w:w="10" w:type="dxa"/>
              <w:left w:w="10" w:type="dxa"/>
              <w:bottom w:w="10" w:type="dxa"/>
              <w:right w:w="10" w:type="dxa"/>
            </w:tcMar>
            <w:vAlign w:val="center"/>
          </w:tcPr>
          <w:p w14:paraId="13AC89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85D730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用于定量检测人体全血中糖化血红蛋白（</w:t>
            </w:r>
            <w:r>
              <w:rPr>
                <w:rFonts w:ascii="Times New Roman" w:hAnsi="Times New Roman" w:cs="Times New Roman"/>
                <w:sz w:val="18"/>
                <w:szCs w:val="18"/>
              </w:rPr>
              <w:t>HbA1c</w:t>
            </w:r>
            <w:r>
              <w:rPr>
                <w:rFonts w:ascii="Times New Roman" w:hAnsi="Times New Roman" w:hint="eastAsia"/>
                <w:sz w:val="18"/>
                <w:szCs w:val="18"/>
              </w:rPr>
              <w:t>）的含量。临床上主要用于糖尿病的辅助诊断和血糖水平的监控。</w:t>
            </w:r>
          </w:p>
        </w:tc>
        <w:tc>
          <w:tcPr>
            <w:tcW w:w="992" w:type="dxa"/>
            <w:tcMar>
              <w:top w:w="10" w:type="dxa"/>
              <w:left w:w="10" w:type="dxa"/>
              <w:bottom w:w="10" w:type="dxa"/>
              <w:right w:w="10" w:type="dxa"/>
            </w:tcMar>
            <w:vAlign w:val="center"/>
          </w:tcPr>
          <w:p w14:paraId="24053A3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5A16C74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3969206" w14:textId="77777777" w:rsidTr="00C707CF">
        <w:trPr>
          <w:cantSplit/>
          <w:jc w:val="center"/>
        </w:trPr>
        <w:tc>
          <w:tcPr>
            <w:tcW w:w="418" w:type="dxa"/>
            <w:tcMar>
              <w:top w:w="10" w:type="dxa"/>
              <w:left w:w="10" w:type="dxa"/>
              <w:bottom w:w="10" w:type="dxa"/>
              <w:right w:w="10" w:type="dxa"/>
            </w:tcMar>
            <w:vAlign w:val="center"/>
          </w:tcPr>
          <w:p w14:paraId="3E0F1CA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64</w:t>
            </w:r>
          </w:p>
        </w:tc>
        <w:tc>
          <w:tcPr>
            <w:tcW w:w="1530" w:type="dxa"/>
            <w:tcMar>
              <w:top w:w="10" w:type="dxa"/>
              <w:left w:w="10" w:type="dxa"/>
              <w:bottom w:w="10" w:type="dxa"/>
              <w:right w:w="10" w:type="dxa"/>
            </w:tcMar>
            <w:vAlign w:val="center"/>
          </w:tcPr>
          <w:p w14:paraId="1F09325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直接胆红素</w:t>
            </w:r>
            <w:r>
              <w:rPr>
                <w:rFonts w:ascii="Times New Roman" w:hAnsi="Times New Roman" w:cs="Times New Roman"/>
                <w:sz w:val="18"/>
                <w:szCs w:val="18"/>
              </w:rPr>
              <w:t>/</w:t>
            </w:r>
            <w:r>
              <w:rPr>
                <w:rFonts w:ascii="Times New Roman" w:hAnsi="Times New Roman" w:hint="eastAsia"/>
                <w:sz w:val="18"/>
                <w:szCs w:val="18"/>
              </w:rPr>
              <w:t>总蛋白</w:t>
            </w:r>
            <w:r>
              <w:rPr>
                <w:rFonts w:ascii="Times New Roman" w:hAnsi="Times New Roman" w:cs="Times New Roman"/>
                <w:sz w:val="18"/>
                <w:szCs w:val="18"/>
              </w:rPr>
              <w:t>/</w:t>
            </w:r>
            <w:r>
              <w:rPr>
                <w:rFonts w:ascii="Times New Roman" w:hAnsi="Times New Roman" w:hint="eastAsia"/>
                <w:sz w:val="18"/>
                <w:szCs w:val="18"/>
              </w:rPr>
              <w:t>碱性磷酸酶</w:t>
            </w:r>
            <w:r>
              <w:rPr>
                <w:rFonts w:ascii="Times New Roman" w:hAnsi="Times New Roman" w:cs="Times New Roman"/>
                <w:sz w:val="18"/>
                <w:szCs w:val="18"/>
              </w:rPr>
              <w:t>/</w:t>
            </w:r>
            <w:r>
              <w:rPr>
                <w:rFonts w:ascii="Times New Roman" w:hAnsi="Times New Roman" w:hint="eastAsia"/>
                <w:sz w:val="18"/>
                <w:szCs w:val="18"/>
              </w:rPr>
              <w:t>谷氨酰转移酶检测试剂盒（终点法</w:t>
            </w:r>
            <w:r>
              <w:rPr>
                <w:rFonts w:ascii="Times New Roman" w:hAnsi="Times New Roman" w:cs="Times New Roman"/>
                <w:sz w:val="18"/>
                <w:szCs w:val="18"/>
              </w:rPr>
              <w:t>/</w:t>
            </w:r>
            <w:r>
              <w:rPr>
                <w:rFonts w:ascii="Times New Roman" w:hAnsi="Times New Roman" w:hint="eastAsia"/>
                <w:sz w:val="18"/>
                <w:szCs w:val="18"/>
              </w:rPr>
              <w:t>速率法）</w:t>
            </w:r>
          </w:p>
        </w:tc>
        <w:tc>
          <w:tcPr>
            <w:tcW w:w="1134" w:type="dxa"/>
            <w:tcMar>
              <w:top w:w="10" w:type="dxa"/>
              <w:left w:w="10" w:type="dxa"/>
              <w:bottom w:w="10" w:type="dxa"/>
              <w:right w:w="10" w:type="dxa"/>
            </w:tcMar>
            <w:vAlign w:val="center"/>
          </w:tcPr>
          <w:p w14:paraId="0950F39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20192400178</w:t>
            </w:r>
          </w:p>
        </w:tc>
        <w:tc>
          <w:tcPr>
            <w:tcW w:w="425" w:type="dxa"/>
            <w:tcMar>
              <w:top w:w="10" w:type="dxa"/>
              <w:left w:w="10" w:type="dxa"/>
              <w:bottom w:w="10" w:type="dxa"/>
              <w:right w:w="10" w:type="dxa"/>
            </w:tcMar>
            <w:vAlign w:val="center"/>
          </w:tcPr>
          <w:p w14:paraId="76EB0D8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F90264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用于定量检测人体血清中直接胆红素（</w:t>
            </w:r>
            <w:r>
              <w:rPr>
                <w:rFonts w:ascii="Times New Roman" w:hAnsi="Times New Roman" w:cs="Times New Roman"/>
                <w:sz w:val="18"/>
                <w:szCs w:val="18"/>
              </w:rPr>
              <w:t>DB</w:t>
            </w:r>
            <w:r>
              <w:rPr>
                <w:rFonts w:ascii="Times New Roman" w:hAnsi="Times New Roman" w:hint="eastAsia"/>
                <w:sz w:val="18"/>
                <w:szCs w:val="18"/>
              </w:rPr>
              <w:t>）、总蛋白（</w:t>
            </w:r>
            <w:r>
              <w:rPr>
                <w:rFonts w:ascii="Times New Roman" w:hAnsi="Times New Roman" w:cs="Times New Roman"/>
                <w:sz w:val="18"/>
                <w:szCs w:val="18"/>
              </w:rPr>
              <w:t>TP</w:t>
            </w:r>
            <w:r>
              <w:rPr>
                <w:rFonts w:ascii="Times New Roman" w:hAnsi="Times New Roman" w:hint="eastAsia"/>
                <w:sz w:val="18"/>
                <w:szCs w:val="18"/>
              </w:rPr>
              <w:t>）的浓度、碱性磷酸酶（</w:t>
            </w:r>
            <w:r>
              <w:rPr>
                <w:rFonts w:ascii="Times New Roman" w:hAnsi="Times New Roman" w:cs="Times New Roman"/>
                <w:sz w:val="18"/>
                <w:szCs w:val="18"/>
              </w:rPr>
              <w:t>ALP</w:t>
            </w:r>
            <w:r>
              <w:rPr>
                <w:rFonts w:ascii="Times New Roman" w:hAnsi="Times New Roman" w:hint="eastAsia"/>
                <w:sz w:val="18"/>
                <w:szCs w:val="18"/>
              </w:rPr>
              <w:t>）、γ</w:t>
            </w:r>
            <w:r>
              <w:rPr>
                <w:rFonts w:ascii="Times New Roman" w:hAnsi="Times New Roman" w:cs="Times New Roman"/>
                <w:sz w:val="18"/>
                <w:szCs w:val="18"/>
              </w:rPr>
              <w:t>-</w:t>
            </w:r>
            <w:r>
              <w:rPr>
                <w:rFonts w:ascii="Times New Roman" w:hAnsi="Times New Roman" w:hint="eastAsia"/>
                <w:sz w:val="18"/>
                <w:szCs w:val="18"/>
              </w:rPr>
              <w:t>谷氨酰转移酶（</w:t>
            </w:r>
            <w:r>
              <w:rPr>
                <w:rFonts w:ascii="Times New Roman" w:hAnsi="Times New Roman" w:cs="Times New Roman"/>
                <w:sz w:val="18"/>
                <w:szCs w:val="18"/>
              </w:rPr>
              <w:t>GGT</w:t>
            </w:r>
            <w:r>
              <w:rPr>
                <w:rFonts w:ascii="Times New Roman" w:hAnsi="Times New Roman" w:hint="eastAsia"/>
                <w:sz w:val="18"/>
                <w:szCs w:val="18"/>
              </w:rPr>
              <w:t>）的活性。临床上主要用于肝脏疾病的辅助诊断。</w:t>
            </w:r>
          </w:p>
        </w:tc>
        <w:tc>
          <w:tcPr>
            <w:tcW w:w="992" w:type="dxa"/>
            <w:tcMar>
              <w:top w:w="10" w:type="dxa"/>
              <w:left w:w="10" w:type="dxa"/>
              <w:bottom w:w="10" w:type="dxa"/>
              <w:right w:w="10" w:type="dxa"/>
            </w:tcMar>
            <w:vAlign w:val="center"/>
          </w:tcPr>
          <w:p w14:paraId="2F542BA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2C6FFC2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5C8BED1" w14:textId="77777777" w:rsidTr="00C707CF">
        <w:trPr>
          <w:cantSplit/>
          <w:jc w:val="center"/>
        </w:trPr>
        <w:tc>
          <w:tcPr>
            <w:tcW w:w="418" w:type="dxa"/>
            <w:tcMar>
              <w:top w:w="10" w:type="dxa"/>
              <w:left w:w="10" w:type="dxa"/>
              <w:bottom w:w="10" w:type="dxa"/>
              <w:right w:w="10" w:type="dxa"/>
            </w:tcMar>
            <w:vAlign w:val="center"/>
          </w:tcPr>
          <w:p w14:paraId="5D7AC72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65</w:t>
            </w:r>
          </w:p>
        </w:tc>
        <w:tc>
          <w:tcPr>
            <w:tcW w:w="1530" w:type="dxa"/>
            <w:tcMar>
              <w:top w:w="10" w:type="dxa"/>
              <w:left w:w="10" w:type="dxa"/>
              <w:bottom w:w="10" w:type="dxa"/>
              <w:right w:w="10" w:type="dxa"/>
            </w:tcMar>
            <w:vAlign w:val="center"/>
          </w:tcPr>
          <w:p w14:paraId="4616689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全程</w:t>
            </w:r>
            <w:r>
              <w:rPr>
                <w:rFonts w:ascii="Times New Roman" w:hAnsi="Times New Roman" w:cs="Times New Roman"/>
                <w:sz w:val="18"/>
                <w:szCs w:val="18"/>
              </w:rPr>
              <w:t>C</w:t>
            </w:r>
            <w:r>
              <w:rPr>
                <w:rFonts w:ascii="Times New Roman" w:hAnsi="Times New Roman" w:hint="eastAsia"/>
                <w:sz w:val="18"/>
                <w:szCs w:val="18"/>
              </w:rPr>
              <w:t>反应蛋白</w:t>
            </w:r>
            <w:r>
              <w:rPr>
                <w:rFonts w:ascii="Times New Roman" w:hAnsi="Times New Roman" w:cs="Times New Roman"/>
                <w:sz w:val="18"/>
                <w:szCs w:val="18"/>
              </w:rPr>
              <w:t>/</w:t>
            </w:r>
            <w:r>
              <w:rPr>
                <w:rFonts w:ascii="Times New Roman" w:hAnsi="Times New Roman" w:hint="eastAsia"/>
                <w:sz w:val="18"/>
                <w:szCs w:val="18"/>
              </w:rPr>
              <w:t>血清淀粉样蛋白</w:t>
            </w:r>
            <w:r>
              <w:rPr>
                <w:rFonts w:ascii="Times New Roman" w:hAnsi="Times New Roman" w:cs="Times New Roman"/>
                <w:sz w:val="18"/>
                <w:szCs w:val="18"/>
              </w:rPr>
              <w:t>A</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2D12CD5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20192400179</w:t>
            </w:r>
          </w:p>
        </w:tc>
        <w:tc>
          <w:tcPr>
            <w:tcW w:w="425" w:type="dxa"/>
            <w:tcMar>
              <w:top w:w="10" w:type="dxa"/>
              <w:left w:w="10" w:type="dxa"/>
              <w:bottom w:w="10" w:type="dxa"/>
              <w:right w:w="10" w:type="dxa"/>
            </w:tcMar>
            <w:vAlign w:val="center"/>
          </w:tcPr>
          <w:p w14:paraId="6AFC61E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B0B2C9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用于定量检测人体血清中的</w:t>
            </w:r>
            <w:r>
              <w:rPr>
                <w:rFonts w:ascii="Times New Roman" w:hAnsi="Times New Roman" w:cs="Times New Roman"/>
                <w:sz w:val="18"/>
                <w:szCs w:val="18"/>
              </w:rPr>
              <w:t>C</w:t>
            </w:r>
            <w:r>
              <w:rPr>
                <w:rFonts w:ascii="Times New Roman" w:hAnsi="Times New Roman" w:hint="eastAsia"/>
                <w:sz w:val="18"/>
                <w:szCs w:val="18"/>
              </w:rPr>
              <w:t>反应蛋白（</w:t>
            </w:r>
            <w:r>
              <w:rPr>
                <w:rFonts w:ascii="Times New Roman" w:hAnsi="Times New Roman" w:cs="Times New Roman"/>
                <w:sz w:val="18"/>
                <w:szCs w:val="18"/>
              </w:rPr>
              <w:t>CRP</w:t>
            </w:r>
            <w:r>
              <w:rPr>
                <w:rFonts w:ascii="Times New Roman" w:hAnsi="Times New Roman" w:hint="eastAsia"/>
                <w:sz w:val="18"/>
                <w:szCs w:val="18"/>
              </w:rPr>
              <w:t>）及血清淀粉样蛋白</w:t>
            </w:r>
            <w:r>
              <w:rPr>
                <w:rFonts w:ascii="Times New Roman" w:hAnsi="Times New Roman" w:cs="Times New Roman"/>
                <w:sz w:val="18"/>
                <w:szCs w:val="18"/>
              </w:rPr>
              <w:t>A</w:t>
            </w:r>
            <w:r>
              <w:rPr>
                <w:rFonts w:ascii="Times New Roman" w:hAnsi="Times New Roman" w:hint="eastAsia"/>
                <w:sz w:val="18"/>
                <w:szCs w:val="18"/>
              </w:rPr>
              <w:t>（</w:t>
            </w:r>
            <w:r>
              <w:rPr>
                <w:rFonts w:ascii="Times New Roman" w:hAnsi="Times New Roman" w:cs="Times New Roman"/>
                <w:sz w:val="18"/>
                <w:szCs w:val="18"/>
              </w:rPr>
              <w:t>SAA</w:t>
            </w:r>
            <w:r>
              <w:rPr>
                <w:rFonts w:ascii="Times New Roman" w:hAnsi="Times New Roman" w:hint="eastAsia"/>
                <w:sz w:val="18"/>
                <w:szCs w:val="18"/>
              </w:rPr>
              <w:t>）的含量。临床上主要作为炎症指标。</w:t>
            </w:r>
          </w:p>
        </w:tc>
        <w:tc>
          <w:tcPr>
            <w:tcW w:w="992" w:type="dxa"/>
            <w:tcMar>
              <w:top w:w="10" w:type="dxa"/>
              <w:left w:w="10" w:type="dxa"/>
              <w:bottom w:w="10" w:type="dxa"/>
              <w:right w:w="10" w:type="dxa"/>
            </w:tcMar>
            <w:vAlign w:val="center"/>
          </w:tcPr>
          <w:p w14:paraId="664258F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0A38BD2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D69FC03" w14:textId="77777777" w:rsidTr="00C707CF">
        <w:trPr>
          <w:cantSplit/>
          <w:jc w:val="center"/>
        </w:trPr>
        <w:tc>
          <w:tcPr>
            <w:tcW w:w="418" w:type="dxa"/>
            <w:tcMar>
              <w:top w:w="10" w:type="dxa"/>
              <w:left w:w="10" w:type="dxa"/>
              <w:bottom w:w="10" w:type="dxa"/>
              <w:right w:w="10" w:type="dxa"/>
            </w:tcMar>
            <w:vAlign w:val="center"/>
          </w:tcPr>
          <w:p w14:paraId="0D6F79B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66</w:t>
            </w:r>
          </w:p>
        </w:tc>
        <w:tc>
          <w:tcPr>
            <w:tcW w:w="1530" w:type="dxa"/>
            <w:tcMar>
              <w:top w:w="10" w:type="dxa"/>
              <w:left w:w="10" w:type="dxa"/>
              <w:bottom w:w="10" w:type="dxa"/>
              <w:right w:w="10" w:type="dxa"/>
            </w:tcMar>
            <w:vAlign w:val="center"/>
          </w:tcPr>
          <w:p w14:paraId="0D214D7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1,5-</w:t>
            </w:r>
            <w:r>
              <w:rPr>
                <w:rFonts w:ascii="Times New Roman" w:hAnsi="Times New Roman" w:hint="eastAsia"/>
                <w:sz w:val="18"/>
                <w:szCs w:val="18"/>
              </w:rPr>
              <w:t>脱水</w:t>
            </w:r>
            <w:r>
              <w:rPr>
                <w:rFonts w:ascii="Times New Roman" w:hAnsi="Times New Roman" w:cs="Times New Roman"/>
                <w:sz w:val="18"/>
                <w:szCs w:val="18"/>
              </w:rPr>
              <w:t>-D-</w:t>
            </w:r>
            <w:r>
              <w:rPr>
                <w:rFonts w:ascii="Times New Roman" w:hAnsi="Times New Roman" w:hint="eastAsia"/>
                <w:sz w:val="18"/>
                <w:szCs w:val="18"/>
              </w:rPr>
              <w:t>山梨醇检测试剂盒（酶法）</w:t>
            </w:r>
          </w:p>
        </w:tc>
        <w:tc>
          <w:tcPr>
            <w:tcW w:w="1134" w:type="dxa"/>
            <w:tcMar>
              <w:top w:w="10" w:type="dxa"/>
              <w:left w:w="10" w:type="dxa"/>
              <w:bottom w:w="10" w:type="dxa"/>
              <w:right w:w="10" w:type="dxa"/>
            </w:tcMar>
            <w:vAlign w:val="center"/>
          </w:tcPr>
          <w:p w14:paraId="25BAAA3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20192400180</w:t>
            </w:r>
          </w:p>
        </w:tc>
        <w:tc>
          <w:tcPr>
            <w:tcW w:w="425" w:type="dxa"/>
            <w:tcMar>
              <w:top w:w="10" w:type="dxa"/>
              <w:left w:w="10" w:type="dxa"/>
              <w:bottom w:w="10" w:type="dxa"/>
              <w:right w:w="10" w:type="dxa"/>
            </w:tcMar>
            <w:vAlign w:val="center"/>
          </w:tcPr>
          <w:p w14:paraId="306FCC0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DA7793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用于定量检测人体血清中的</w:t>
            </w:r>
            <w:r>
              <w:rPr>
                <w:rFonts w:ascii="Times New Roman" w:hAnsi="Times New Roman" w:cs="Times New Roman"/>
                <w:sz w:val="18"/>
                <w:szCs w:val="18"/>
              </w:rPr>
              <w:t>1,5-</w:t>
            </w:r>
            <w:r>
              <w:rPr>
                <w:rFonts w:ascii="Times New Roman" w:hAnsi="Times New Roman" w:hint="eastAsia"/>
                <w:sz w:val="18"/>
                <w:szCs w:val="18"/>
              </w:rPr>
              <w:t>脱水</w:t>
            </w:r>
            <w:r>
              <w:rPr>
                <w:rFonts w:ascii="Times New Roman" w:hAnsi="Times New Roman" w:cs="Times New Roman"/>
                <w:sz w:val="18"/>
                <w:szCs w:val="18"/>
              </w:rPr>
              <w:t>-D-</w:t>
            </w:r>
            <w:r>
              <w:rPr>
                <w:rFonts w:ascii="Times New Roman" w:hAnsi="Times New Roman" w:hint="eastAsia"/>
                <w:sz w:val="18"/>
                <w:szCs w:val="18"/>
              </w:rPr>
              <w:t>山梨醇（</w:t>
            </w:r>
            <w:r>
              <w:rPr>
                <w:rFonts w:ascii="Times New Roman" w:hAnsi="Times New Roman" w:cs="Times New Roman"/>
                <w:sz w:val="18"/>
                <w:szCs w:val="18"/>
              </w:rPr>
              <w:t>1,5-AG</w:t>
            </w:r>
            <w:r>
              <w:rPr>
                <w:rFonts w:ascii="Times New Roman" w:hAnsi="Times New Roman" w:hint="eastAsia"/>
                <w:sz w:val="18"/>
                <w:szCs w:val="18"/>
              </w:rPr>
              <w:t>）浓度。临床上主要用于血糖短期控制水平的监控。</w:t>
            </w:r>
          </w:p>
        </w:tc>
        <w:tc>
          <w:tcPr>
            <w:tcW w:w="992" w:type="dxa"/>
            <w:tcMar>
              <w:top w:w="10" w:type="dxa"/>
              <w:left w:w="10" w:type="dxa"/>
              <w:bottom w:w="10" w:type="dxa"/>
              <w:right w:w="10" w:type="dxa"/>
            </w:tcMar>
            <w:vAlign w:val="center"/>
          </w:tcPr>
          <w:p w14:paraId="3EDD081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34D5250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3B18803" w14:textId="77777777" w:rsidTr="00C707CF">
        <w:trPr>
          <w:cantSplit/>
          <w:jc w:val="center"/>
        </w:trPr>
        <w:tc>
          <w:tcPr>
            <w:tcW w:w="418" w:type="dxa"/>
            <w:tcMar>
              <w:top w:w="10" w:type="dxa"/>
              <w:left w:w="10" w:type="dxa"/>
              <w:bottom w:w="10" w:type="dxa"/>
              <w:right w:w="10" w:type="dxa"/>
            </w:tcMar>
            <w:vAlign w:val="center"/>
          </w:tcPr>
          <w:p w14:paraId="225E9BE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67</w:t>
            </w:r>
          </w:p>
        </w:tc>
        <w:tc>
          <w:tcPr>
            <w:tcW w:w="1530" w:type="dxa"/>
            <w:tcMar>
              <w:top w:w="10" w:type="dxa"/>
              <w:left w:w="10" w:type="dxa"/>
              <w:bottom w:w="10" w:type="dxa"/>
              <w:right w:w="10" w:type="dxa"/>
            </w:tcMar>
            <w:vAlign w:val="center"/>
          </w:tcPr>
          <w:p w14:paraId="4D7898A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全程</w:t>
            </w:r>
            <w:r>
              <w:rPr>
                <w:rFonts w:ascii="Times New Roman" w:hAnsi="Times New Roman" w:cs="Times New Roman"/>
                <w:sz w:val="18"/>
                <w:szCs w:val="18"/>
              </w:rPr>
              <w:t>C</w:t>
            </w:r>
            <w:r>
              <w:rPr>
                <w:rFonts w:ascii="Times New Roman" w:hAnsi="Times New Roman" w:hint="eastAsia"/>
                <w:sz w:val="18"/>
                <w:szCs w:val="18"/>
              </w:rPr>
              <w:t>反应蛋白检测试剂盒（胶乳免疫比浊法）</w:t>
            </w:r>
          </w:p>
        </w:tc>
        <w:tc>
          <w:tcPr>
            <w:tcW w:w="1134" w:type="dxa"/>
            <w:tcMar>
              <w:top w:w="10" w:type="dxa"/>
              <w:left w:w="10" w:type="dxa"/>
              <w:bottom w:w="10" w:type="dxa"/>
              <w:right w:w="10" w:type="dxa"/>
            </w:tcMar>
            <w:vAlign w:val="center"/>
          </w:tcPr>
          <w:p w14:paraId="169D340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20192400181</w:t>
            </w:r>
          </w:p>
        </w:tc>
        <w:tc>
          <w:tcPr>
            <w:tcW w:w="425" w:type="dxa"/>
            <w:tcMar>
              <w:top w:w="10" w:type="dxa"/>
              <w:left w:w="10" w:type="dxa"/>
              <w:bottom w:w="10" w:type="dxa"/>
              <w:right w:w="10" w:type="dxa"/>
            </w:tcMar>
            <w:vAlign w:val="center"/>
          </w:tcPr>
          <w:p w14:paraId="57118F9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157C89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用于定量检测人体血清或静脉全血或毛细血管全血中的</w:t>
            </w:r>
            <w:r>
              <w:rPr>
                <w:rFonts w:ascii="Times New Roman" w:hAnsi="Times New Roman" w:cs="Times New Roman"/>
                <w:sz w:val="18"/>
                <w:szCs w:val="18"/>
              </w:rPr>
              <w:t>C</w:t>
            </w:r>
            <w:r>
              <w:rPr>
                <w:rFonts w:ascii="Times New Roman" w:hAnsi="Times New Roman" w:hint="eastAsia"/>
                <w:sz w:val="18"/>
                <w:szCs w:val="18"/>
              </w:rPr>
              <w:t>反应蛋白的含量。</w:t>
            </w:r>
          </w:p>
        </w:tc>
        <w:tc>
          <w:tcPr>
            <w:tcW w:w="992" w:type="dxa"/>
            <w:tcMar>
              <w:top w:w="10" w:type="dxa"/>
              <w:left w:w="10" w:type="dxa"/>
              <w:bottom w:w="10" w:type="dxa"/>
              <w:right w:w="10" w:type="dxa"/>
            </w:tcMar>
            <w:vAlign w:val="center"/>
          </w:tcPr>
          <w:p w14:paraId="7A343C2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35FA425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C5E344E" w14:textId="77777777" w:rsidTr="00C707CF">
        <w:trPr>
          <w:cantSplit/>
          <w:jc w:val="center"/>
        </w:trPr>
        <w:tc>
          <w:tcPr>
            <w:tcW w:w="418" w:type="dxa"/>
            <w:tcMar>
              <w:top w:w="10" w:type="dxa"/>
              <w:left w:w="10" w:type="dxa"/>
              <w:bottom w:w="10" w:type="dxa"/>
              <w:right w:w="10" w:type="dxa"/>
            </w:tcMar>
            <w:vAlign w:val="center"/>
          </w:tcPr>
          <w:p w14:paraId="67C0FF8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68</w:t>
            </w:r>
          </w:p>
        </w:tc>
        <w:tc>
          <w:tcPr>
            <w:tcW w:w="1530" w:type="dxa"/>
            <w:tcMar>
              <w:top w:w="10" w:type="dxa"/>
              <w:left w:w="10" w:type="dxa"/>
              <w:bottom w:w="10" w:type="dxa"/>
              <w:right w:w="10" w:type="dxa"/>
            </w:tcMar>
            <w:vAlign w:val="center"/>
          </w:tcPr>
          <w:p w14:paraId="37874E9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尿微量白蛋白</w:t>
            </w:r>
            <w:r>
              <w:rPr>
                <w:rFonts w:ascii="Times New Roman" w:hAnsi="Times New Roman" w:cs="Times New Roman"/>
                <w:sz w:val="18"/>
                <w:szCs w:val="18"/>
              </w:rPr>
              <w:t>/</w:t>
            </w:r>
            <w:r>
              <w:rPr>
                <w:rFonts w:ascii="Times New Roman" w:hAnsi="Times New Roman" w:hint="eastAsia"/>
                <w:sz w:val="18"/>
                <w:szCs w:val="18"/>
              </w:rPr>
              <w:t>肌酐检测试剂盒（比浊法</w:t>
            </w:r>
            <w:r>
              <w:rPr>
                <w:rFonts w:ascii="Times New Roman" w:hAnsi="Times New Roman" w:cs="Times New Roman"/>
                <w:sz w:val="18"/>
                <w:szCs w:val="18"/>
              </w:rPr>
              <w:t>/</w:t>
            </w:r>
            <w:r>
              <w:rPr>
                <w:rFonts w:ascii="Times New Roman" w:hAnsi="Times New Roman" w:hint="eastAsia"/>
                <w:sz w:val="18"/>
                <w:szCs w:val="18"/>
              </w:rPr>
              <w:t>酶法）</w:t>
            </w:r>
          </w:p>
        </w:tc>
        <w:tc>
          <w:tcPr>
            <w:tcW w:w="1134" w:type="dxa"/>
            <w:tcMar>
              <w:top w:w="10" w:type="dxa"/>
              <w:left w:w="10" w:type="dxa"/>
              <w:bottom w:w="10" w:type="dxa"/>
              <w:right w:w="10" w:type="dxa"/>
            </w:tcMar>
            <w:vAlign w:val="center"/>
          </w:tcPr>
          <w:p w14:paraId="39F9EFE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20192400182</w:t>
            </w:r>
          </w:p>
        </w:tc>
        <w:tc>
          <w:tcPr>
            <w:tcW w:w="425" w:type="dxa"/>
            <w:tcMar>
              <w:top w:w="10" w:type="dxa"/>
              <w:left w:w="10" w:type="dxa"/>
              <w:bottom w:w="10" w:type="dxa"/>
              <w:right w:w="10" w:type="dxa"/>
            </w:tcMar>
            <w:vAlign w:val="center"/>
          </w:tcPr>
          <w:p w14:paraId="60734DC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6C4CCD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用于定量检测人体尿液中微量白蛋白（</w:t>
            </w:r>
            <w:r>
              <w:rPr>
                <w:rFonts w:ascii="Times New Roman" w:hAnsi="Times New Roman" w:cs="Times New Roman"/>
                <w:sz w:val="18"/>
                <w:szCs w:val="18"/>
              </w:rPr>
              <w:t>mALB</w:t>
            </w:r>
            <w:r>
              <w:rPr>
                <w:rFonts w:ascii="Times New Roman" w:hAnsi="Times New Roman" w:hint="eastAsia"/>
                <w:sz w:val="18"/>
                <w:szCs w:val="18"/>
              </w:rPr>
              <w:t>）、肌酐（</w:t>
            </w:r>
            <w:r>
              <w:rPr>
                <w:rFonts w:ascii="Times New Roman" w:hAnsi="Times New Roman" w:cs="Times New Roman"/>
                <w:sz w:val="18"/>
                <w:szCs w:val="18"/>
              </w:rPr>
              <w:t>UCr</w:t>
            </w:r>
            <w:r>
              <w:rPr>
                <w:rFonts w:ascii="Times New Roman" w:hAnsi="Times New Roman" w:hint="eastAsia"/>
                <w:sz w:val="18"/>
                <w:szCs w:val="18"/>
              </w:rPr>
              <w:t>）和尿微量白蛋白</w:t>
            </w:r>
            <w:r>
              <w:rPr>
                <w:rFonts w:ascii="Times New Roman" w:hAnsi="Times New Roman" w:cs="Times New Roman"/>
                <w:sz w:val="18"/>
                <w:szCs w:val="18"/>
              </w:rPr>
              <w:t>/</w:t>
            </w:r>
            <w:r>
              <w:rPr>
                <w:rFonts w:ascii="Times New Roman" w:hAnsi="Times New Roman" w:hint="eastAsia"/>
                <w:sz w:val="18"/>
                <w:szCs w:val="18"/>
              </w:rPr>
              <w:t>肌酐比值（</w:t>
            </w:r>
            <w:r>
              <w:rPr>
                <w:rFonts w:ascii="Times New Roman" w:hAnsi="Times New Roman" w:cs="Times New Roman"/>
                <w:sz w:val="18"/>
                <w:szCs w:val="18"/>
              </w:rPr>
              <w:t>ACR</w:t>
            </w:r>
            <w:r>
              <w:rPr>
                <w:rFonts w:ascii="Times New Roman" w:hAnsi="Times New Roman" w:hint="eastAsia"/>
                <w:sz w:val="18"/>
                <w:szCs w:val="18"/>
              </w:rPr>
              <w:t>）。临床上用于早期肾损伤的辅助诊断和筛查。</w:t>
            </w:r>
          </w:p>
        </w:tc>
        <w:tc>
          <w:tcPr>
            <w:tcW w:w="992" w:type="dxa"/>
            <w:tcMar>
              <w:top w:w="10" w:type="dxa"/>
              <w:left w:w="10" w:type="dxa"/>
              <w:bottom w:w="10" w:type="dxa"/>
              <w:right w:w="10" w:type="dxa"/>
            </w:tcMar>
            <w:vAlign w:val="center"/>
          </w:tcPr>
          <w:p w14:paraId="0DEA34E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27E0B6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2025.03.20</w:t>
            </w:r>
            <w:r>
              <w:rPr>
                <w:rFonts w:ascii="Times New Roman" w:hAnsi="Times New Roman" w:hint="eastAsia"/>
                <w:sz w:val="18"/>
                <w:szCs w:val="18"/>
              </w:rPr>
              <w:t>获批变更注册</w:t>
            </w:r>
          </w:p>
        </w:tc>
      </w:tr>
      <w:tr w:rsidR="00113A51" w14:paraId="1E087A24" w14:textId="77777777" w:rsidTr="00C707CF">
        <w:trPr>
          <w:cantSplit/>
          <w:jc w:val="center"/>
        </w:trPr>
        <w:tc>
          <w:tcPr>
            <w:tcW w:w="418" w:type="dxa"/>
            <w:tcMar>
              <w:top w:w="10" w:type="dxa"/>
              <w:left w:w="10" w:type="dxa"/>
              <w:bottom w:w="10" w:type="dxa"/>
              <w:right w:w="10" w:type="dxa"/>
            </w:tcMar>
            <w:vAlign w:val="center"/>
          </w:tcPr>
          <w:p w14:paraId="3732EC9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69</w:t>
            </w:r>
          </w:p>
        </w:tc>
        <w:tc>
          <w:tcPr>
            <w:tcW w:w="1530" w:type="dxa"/>
            <w:tcMar>
              <w:top w:w="10" w:type="dxa"/>
              <w:left w:w="10" w:type="dxa"/>
              <w:bottom w:w="10" w:type="dxa"/>
              <w:right w:w="10" w:type="dxa"/>
            </w:tcMar>
            <w:vAlign w:val="center"/>
          </w:tcPr>
          <w:p w14:paraId="4984F0F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β</w:t>
            </w:r>
            <w:r>
              <w:rPr>
                <w:rFonts w:ascii="Times New Roman" w:hAnsi="Times New Roman" w:cs="Times New Roman"/>
                <w:sz w:val="18"/>
                <w:szCs w:val="18"/>
              </w:rPr>
              <w:t>2-</w:t>
            </w:r>
            <w:r>
              <w:rPr>
                <w:rFonts w:ascii="Times New Roman" w:hAnsi="Times New Roman" w:hint="eastAsia"/>
                <w:sz w:val="18"/>
                <w:szCs w:val="18"/>
              </w:rPr>
              <w:t>微球蛋白</w:t>
            </w:r>
            <w:r>
              <w:rPr>
                <w:rFonts w:ascii="Times New Roman" w:hAnsi="Times New Roman" w:cs="Times New Roman"/>
                <w:sz w:val="18"/>
                <w:szCs w:val="18"/>
              </w:rPr>
              <w:t>/</w:t>
            </w:r>
            <w:r>
              <w:rPr>
                <w:rFonts w:ascii="Times New Roman" w:hAnsi="Times New Roman" w:hint="eastAsia"/>
                <w:sz w:val="18"/>
                <w:szCs w:val="18"/>
              </w:rPr>
              <w:t>胱抑素</w:t>
            </w:r>
            <w:r>
              <w:rPr>
                <w:rFonts w:ascii="Times New Roman" w:hAnsi="Times New Roman" w:cs="Times New Roman"/>
                <w:sz w:val="18"/>
                <w:szCs w:val="18"/>
              </w:rPr>
              <w:t>C</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3C4F28A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20192400183</w:t>
            </w:r>
          </w:p>
        </w:tc>
        <w:tc>
          <w:tcPr>
            <w:tcW w:w="425" w:type="dxa"/>
            <w:tcMar>
              <w:top w:w="10" w:type="dxa"/>
              <w:left w:w="10" w:type="dxa"/>
              <w:bottom w:w="10" w:type="dxa"/>
              <w:right w:w="10" w:type="dxa"/>
            </w:tcMar>
            <w:vAlign w:val="center"/>
          </w:tcPr>
          <w:p w14:paraId="3B53A1B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136648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用于定量检测人体血清中的β</w:t>
            </w:r>
            <w:r>
              <w:rPr>
                <w:rFonts w:ascii="Times New Roman" w:hAnsi="Times New Roman" w:cs="Times New Roman"/>
                <w:sz w:val="18"/>
                <w:szCs w:val="18"/>
              </w:rPr>
              <w:t>2-</w:t>
            </w:r>
            <w:r>
              <w:rPr>
                <w:rFonts w:ascii="Times New Roman" w:hAnsi="Times New Roman" w:hint="eastAsia"/>
                <w:sz w:val="18"/>
                <w:szCs w:val="18"/>
              </w:rPr>
              <w:t>微球蛋白及胱抑素</w:t>
            </w:r>
            <w:r>
              <w:rPr>
                <w:rFonts w:ascii="Times New Roman" w:hAnsi="Times New Roman" w:cs="Times New Roman"/>
                <w:sz w:val="18"/>
                <w:szCs w:val="18"/>
              </w:rPr>
              <w:t>C</w:t>
            </w:r>
            <w:r>
              <w:rPr>
                <w:rFonts w:ascii="Times New Roman" w:hAnsi="Times New Roman" w:hint="eastAsia"/>
                <w:sz w:val="18"/>
                <w:szCs w:val="18"/>
              </w:rPr>
              <w:t>含量，临床上主要用于肾脏疾病的辅助诊断。</w:t>
            </w:r>
          </w:p>
        </w:tc>
        <w:tc>
          <w:tcPr>
            <w:tcW w:w="992" w:type="dxa"/>
            <w:tcMar>
              <w:top w:w="10" w:type="dxa"/>
              <w:left w:w="10" w:type="dxa"/>
              <w:bottom w:w="10" w:type="dxa"/>
              <w:right w:w="10" w:type="dxa"/>
            </w:tcMar>
            <w:vAlign w:val="center"/>
          </w:tcPr>
          <w:p w14:paraId="3A057C9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2EAE623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550A8D0" w14:textId="77777777" w:rsidTr="00C707CF">
        <w:trPr>
          <w:cantSplit/>
          <w:jc w:val="center"/>
        </w:trPr>
        <w:tc>
          <w:tcPr>
            <w:tcW w:w="418" w:type="dxa"/>
            <w:tcMar>
              <w:top w:w="10" w:type="dxa"/>
              <w:left w:w="10" w:type="dxa"/>
              <w:bottom w:w="10" w:type="dxa"/>
              <w:right w:w="10" w:type="dxa"/>
            </w:tcMar>
            <w:vAlign w:val="center"/>
          </w:tcPr>
          <w:p w14:paraId="6CA482B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70</w:t>
            </w:r>
          </w:p>
        </w:tc>
        <w:tc>
          <w:tcPr>
            <w:tcW w:w="1530" w:type="dxa"/>
            <w:tcMar>
              <w:top w:w="10" w:type="dxa"/>
              <w:left w:w="10" w:type="dxa"/>
              <w:bottom w:w="10" w:type="dxa"/>
              <w:right w:w="10" w:type="dxa"/>
            </w:tcMar>
            <w:vAlign w:val="center"/>
          </w:tcPr>
          <w:p w14:paraId="65289CB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总胆汁酸</w:t>
            </w:r>
            <w:r>
              <w:rPr>
                <w:rFonts w:ascii="Times New Roman" w:hAnsi="Times New Roman" w:cs="Times New Roman"/>
                <w:sz w:val="18"/>
                <w:szCs w:val="18"/>
              </w:rPr>
              <w:t>/</w:t>
            </w:r>
            <w:r>
              <w:rPr>
                <w:rFonts w:ascii="Times New Roman" w:hAnsi="Times New Roman" w:hint="eastAsia"/>
                <w:sz w:val="18"/>
                <w:szCs w:val="18"/>
              </w:rPr>
              <w:t>胆碱酯酶</w:t>
            </w:r>
            <w:r>
              <w:rPr>
                <w:rFonts w:ascii="Times New Roman" w:hAnsi="Times New Roman" w:cs="Times New Roman"/>
                <w:sz w:val="18"/>
                <w:szCs w:val="18"/>
              </w:rPr>
              <w:t>/a-</w:t>
            </w:r>
            <w:r>
              <w:rPr>
                <w:rFonts w:ascii="Times New Roman" w:hAnsi="Times New Roman" w:hint="eastAsia"/>
                <w:sz w:val="18"/>
                <w:szCs w:val="18"/>
              </w:rPr>
              <w:t>淀粉酶检测试剂盒（速率法）</w:t>
            </w:r>
          </w:p>
        </w:tc>
        <w:tc>
          <w:tcPr>
            <w:tcW w:w="1134" w:type="dxa"/>
            <w:tcMar>
              <w:top w:w="10" w:type="dxa"/>
              <w:left w:w="10" w:type="dxa"/>
              <w:bottom w:w="10" w:type="dxa"/>
              <w:right w:w="10" w:type="dxa"/>
            </w:tcMar>
            <w:vAlign w:val="center"/>
          </w:tcPr>
          <w:p w14:paraId="17D1A0D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20192400184</w:t>
            </w:r>
          </w:p>
        </w:tc>
        <w:tc>
          <w:tcPr>
            <w:tcW w:w="425" w:type="dxa"/>
            <w:tcMar>
              <w:top w:w="10" w:type="dxa"/>
              <w:left w:w="10" w:type="dxa"/>
              <w:bottom w:w="10" w:type="dxa"/>
              <w:right w:w="10" w:type="dxa"/>
            </w:tcMar>
            <w:vAlign w:val="center"/>
          </w:tcPr>
          <w:p w14:paraId="4C1230B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922C8E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用于体外定量检测人体静脉血清中总胆汁酸（</w:t>
            </w:r>
            <w:r>
              <w:rPr>
                <w:rFonts w:ascii="Times New Roman" w:hAnsi="Times New Roman" w:cs="Times New Roman"/>
                <w:sz w:val="18"/>
                <w:szCs w:val="18"/>
              </w:rPr>
              <w:t>TBA</w:t>
            </w:r>
            <w:r>
              <w:rPr>
                <w:rFonts w:ascii="Times New Roman" w:hAnsi="Times New Roman" w:hint="eastAsia"/>
                <w:sz w:val="18"/>
                <w:szCs w:val="18"/>
              </w:rPr>
              <w:t>）的浓度，以及胆碱酯酶（</w:t>
            </w:r>
            <w:r>
              <w:rPr>
                <w:rFonts w:ascii="Times New Roman" w:hAnsi="Times New Roman" w:cs="Times New Roman"/>
                <w:sz w:val="18"/>
                <w:szCs w:val="18"/>
              </w:rPr>
              <w:t>CHE</w:t>
            </w:r>
            <w:r>
              <w:rPr>
                <w:rFonts w:ascii="Times New Roman" w:hAnsi="Times New Roman" w:hint="eastAsia"/>
                <w:sz w:val="18"/>
                <w:szCs w:val="18"/>
              </w:rPr>
              <w:t>）和α</w:t>
            </w:r>
            <w:r>
              <w:rPr>
                <w:rFonts w:ascii="Times New Roman" w:hAnsi="Times New Roman" w:cs="Times New Roman"/>
                <w:sz w:val="18"/>
                <w:szCs w:val="18"/>
              </w:rPr>
              <w:t>-</w:t>
            </w:r>
            <w:r>
              <w:rPr>
                <w:rFonts w:ascii="Times New Roman" w:hAnsi="Times New Roman" w:hint="eastAsia"/>
                <w:sz w:val="18"/>
                <w:szCs w:val="18"/>
              </w:rPr>
              <w:t>淀粉酶（α</w:t>
            </w:r>
            <w:r>
              <w:rPr>
                <w:rFonts w:ascii="Times New Roman" w:hAnsi="Times New Roman" w:cs="Times New Roman"/>
                <w:sz w:val="18"/>
                <w:szCs w:val="18"/>
              </w:rPr>
              <w:t>-AMY</w:t>
            </w:r>
            <w:r>
              <w:rPr>
                <w:rFonts w:ascii="Times New Roman" w:hAnsi="Times New Roman" w:hint="eastAsia"/>
                <w:sz w:val="18"/>
                <w:szCs w:val="18"/>
              </w:rPr>
              <w:t>）的活力。临床上主要用于肝胆疾病或损伤、有机磷中毒、胰腺疾病的辅助诊断。</w:t>
            </w:r>
          </w:p>
        </w:tc>
        <w:tc>
          <w:tcPr>
            <w:tcW w:w="992" w:type="dxa"/>
            <w:tcMar>
              <w:top w:w="10" w:type="dxa"/>
              <w:left w:w="10" w:type="dxa"/>
              <w:bottom w:w="10" w:type="dxa"/>
              <w:right w:w="10" w:type="dxa"/>
            </w:tcMar>
            <w:vAlign w:val="center"/>
          </w:tcPr>
          <w:p w14:paraId="14D1E46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2029.06.27</w:t>
            </w:r>
          </w:p>
        </w:tc>
        <w:tc>
          <w:tcPr>
            <w:tcW w:w="1276" w:type="dxa"/>
            <w:tcMar>
              <w:top w:w="10" w:type="dxa"/>
              <w:left w:w="10" w:type="dxa"/>
              <w:bottom w:w="10" w:type="dxa"/>
              <w:right w:w="10" w:type="dxa"/>
            </w:tcMar>
            <w:vAlign w:val="center"/>
          </w:tcPr>
          <w:p w14:paraId="52F6E1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356B9A5" w14:textId="77777777" w:rsidTr="00C707CF">
        <w:trPr>
          <w:cantSplit/>
          <w:jc w:val="center"/>
        </w:trPr>
        <w:tc>
          <w:tcPr>
            <w:tcW w:w="418" w:type="dxa"/>
            <w:tcMar>
              <w:top w:w="10" w:type="dxa"/>
              <w:left w:w="10" w:type="dxa"/>
              <w:bottom w:w="10" w:type="dxa"/>
              <w:right w:w="10" w:type="dxa"/>
            </w:tcMar>
            <w:vAlign w:val="center"/>
          </w:tcPr>
          <w:p w14:paraId="4535388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71</w:t>
            </w:r>
          </w:p>
        </w:tc>
        <w:tc>
          <w:tcPr>
            <w:tcW w:w="1530" w:type="dxa"/>
            <w:tcMar>
              <w:top w:w="10" w:type="dxa"/>
              <w:left w:w="10" w:type="dxa"/>
              <w:bottom w:w="10" w:type="dxa"/>
              <w:right w:w="10" w:type="dxa"/>
            </w:tcMar>
            <w:vAlign w:val="center"/>
          </w:tcPr>
          <w:p w14:paraId="13F8B88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糖化血红蛋白试剂盒（干化学检测法）</w:t>
            </w:r>
          </w:p>
        </w:tc>
        <w:tc>
          <w:tcPr>
            <w:tcW w:w="1134" w:type="dxa"/>
            <w:tcMar>
              <w:top w:w="10" w:type="dxa"/>
              <w:left w:w="10" w:type="dxa"/>
              <w:bottom w:w="10" w:type="dxa"/>
              <w:right w:w="10" w:type="dxa"/>
            </w:tcMar>
            <w:vAlign w:val="center"/>
          </w:tcPr>
          <w:p w14:paraId="25CA0B3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20202401174</w:t>
            </w:r>
          </w:p>
        </w:tc>
        <w:tc>
          <w:tcPr>
            <w:tcW w:w="425" w:type="dxa"/>
            <w:tcMar>
              <w:top w:w="10" w:type="dxa"/>
              <w:left w:w="10" w:type="dxa"/>
              <w:bottom w:w="10" w:type="dxa"/>
              <w:right w:w="10" w:type="dxa"/>
            </w:tcMar>
            <w:vAlign w:val="center"/>
          </w:tcPr>
          <w:p w14:paraId="6C72267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60FED1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本产品用于定量检测指尖血和静脉全血中糖化血红蛋白的百分比（</w:t>
            </w:r>
            <w:r>
              <w:rPr>
                <w:rFonts w:ascii="Times New Roman" w:hAnsi="Times New Roman" w:cs="Times New Roman"/>
                <w:sz w:val="18"/>
                <w:szCs w:val="18"/>
              </w:rPr>
              <w:t>%A1C</w:t>
            </w:r>
            <w:r>
              <w:rPr>
                <w:rFonts w:ascii="Times New Roman" w:hAnsi="Times New Roman" w:hint="eastAsia"/>
                <w:sz w:val="18"/>
                <w:szCs w:val="18"/>
              </w:rPr>
              <w:t>），可由专业人员使用，也可由非专业用户自测使用。</w:t>
            </w:r>
          </w:p>
        </w:tc>
        <w:tc>
          <w:tcPr>
            <w:tcW w:w="992" w:type="dxa"/>
            <w:tcMar>
              <w:top w:w="10" w:type="dxa"/>
              <w:left w:w="10" w:type="dxa"/>
              <w:bottom w:w="10" w:type="dxa"/>
              <w:right w:w="10" w:type="dxa"/>
            </w:tcMar>
            <w:vAlign w:val="center"/>
          </w:tcPr>
          <w:p w14:paraId="20B459B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2030.06.17</w:t>
            </w:r>
          </w:p>
        </w:tc>
        <w:tc>
          <w:tcPr>
            <w:tcW w:w="1276" w:type="dxa"/>
            <w:tcMar>
              <w:top w:w="10" w:type="dxa"/>
              <w:left w:w="10" w:type="dxa"/>
              <w:bottom w:w="10" w:type="dxa"/>
              <w:right w:w="10" w:type="dxa"/>
            </w:tcMar>
            <w:vAlign w:val="center"/>
          </w:tcPr>
          <w:p w14:paraId="1DF1CF8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DC94387" w14:textId="77777777" w:rsidTr="00C707CF">
        <w:trPr>
          <w:cantSplit/>
          <w:jc w:val="center"/>
        </w:trPr>
        <w:tc>
          <w:tcPr>
            <w:tcW w:w="418" w:type="dxa"/>
            <w:tcMar>
              <w:top w:w="10" w:type="dxa"/>
              <w:left w:w="10" w:type="dxa"/>
              <w:bottom w:w="10" w:type="dxa"/>
              <w:right w:w="10" w:type="dxa"/>
            </w:tcMar>
            <w:vAlign w:val="center"/>
          </w:tcPr>
          <w:p w14:paraId="10EE788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72</w:t>
            </w:r>
          </w:p>
        </w:tc>
        <w:tc>
          <w:tcPr>
            <w:tcW w:w="1530" w:type="dxa"/>
            <w:tcMar>
              <w:top w:w="10" w:type="dxa"/>
              <w:left w:w="10" w:type="dxa"/>
              <w:bottom w:w="10" w:type="dxa"/>
              <w:right w:w="10" w:type="dxa"/>
            </w:tcMar>
            <w:vAlign w:val="center"/>
          </w:tcPr>
          <w:p w14:paraId="3FB6E7A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血糖试纸（葡萄糖脱氢酶法）</w:t>
            </w:r>
          </w:p>
        </w:tc>
        <w:tc>
          <w:tcPr>
            <w:tcW w:w="1134" w:type="dxa"/>
            <w:tcMar>
              <w:top w:w="10" w:type="dxa"/>
              <w:left w:w="10" w:type="dxa"/>
              <w:bottom w:w="10" w:type="dxa"/>
              <w:right w:w="10" w:type="dxa"/>
            </w:tcMar>
            <w:vAlign w:val="center"/>
          </w:tcPr>
          <w:p w14:paraId="33574EB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20202401383</w:t>
            </w:r>
          </w:p>
        </w:tc>
        <w:tc>
          <w:tcPr>
            <w:tcW w:w="425" w:type="dxa"/>
            <w:tcMar>
              <w:top w:w="10" w:type="dxa"/>
              <w:left w:w="10" w:type="dxa"/>
              <w:bottom w:w="10" w:type="dxa"/>
              <w:right w:w="10" w:type="dxa"/>
            </w:tcMar>
            <w:vAlign w:val="center"/>
          </w:tcPr>
          <w:p w14:paraId="6EB1E59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54E7F6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w:t>
            </w:r>
            <w:r>
              <w:rPr>
                <w:rFonts w:ascii="Times New Roman" w:hAnsi="Times New Roman" w:cs="Times New Roman"/>
                <w:sz w:val="18"/>
                <w:szCs w:val="18"/>
              </w:rPr>
              <w:t>TRUE METRIX</w:t>
            </w:r>
            <w:r>
              <w:rPr>
                <w:rFonts w:ascii="Times New Roman" w:hAnsi="Times New Roman" w:hint="eastAsia"/>
                <w:sz w:val="18"/>
                <w:szCs w:val="18"/>
              </w:rPr>
              <w:t>血糖仪，</w:t>
            </w:r>
            <w:r>
              <w:rPr>
                <w:rFonts w:ascii="Times New Roman" w:hAnsi="Times New Roman" w:cs="Times New Roman"/>
                <w:sz w:val="18"/>
                <w:szCs w:val="18"/>
              </w:rPr>
              <w:t>TRUE METRIX AIR</w:t>
            </w:r>
            <w:r>
              <w:rPr>
                <w:rFonts w:ascii="Times New Roman" w:hAnsi="Times New Roman" w:hint="eastAsia"/>
                <w:sz w:val="18"/>
                <w:szCs w:val="18"/>
              </w:rPr>
              <w:t>血糖仪、真睿</w:t>
            </w:r>
            <w:r>
              <w:rPr>
                <w:rFonts w:ascii="Times New Roman" w:hAnsi="Times New Roman" w:cs="Times New Roman"/>
                <w:sz w:val="18"/>
                <w:szCs w:val="18"/>
              </w:rPr>
              <w:t>TRUE METRIX</w:t>
            </w:r>
            <w:r>
              <w:rPr>
                <w:rFonts w:ascii="Times New Roman" w:hAnsi="Times New Roman" w:hint="eastAsia"/>
                <w:sz w:val="18"/>
                <w:szCs w:val="18"/>
              </w:rPr>
              <w:t>血糖仪、真睿</w:t>
            </w:r>
            <w:r>
              <w:rPr>
                <w:rFonts w:ascii="Times New Roman" w:hAnsi="Times New Roman" w:cs="Times New Roman"/>
                <w:sz w:val="18"/>
                <w:szCs w:val="18"/>
              </w:rPr>
              <w:t>TRUE METRIX AIR</w:t>
            </w:r>
            <w:r>
              <w:rPr>
                <w:rFonts w:ascii="Times New Roman" w:hAnsi="Times New Roman" w:hint="eastAsia"/>
                <w:sz w:val="18"/>
                <w:szCs w:val="18"/>
              </w:rPr>
              <w:t>血糖仪配套使用，可用于定量检测新鲜静脉全血和来自手指、前臂的毛细血管全血中葡萄糖含量。本产品与</w:t>
            </w:r>
            <w:r>
              <w:rPr>
                <w:rFonts w:ascii="Times New Roman" w:hAnsi="Times New Roman" w:cs="Times New Roman"/>
                <w:sz w:val="18"/>
                <w:szCs w:val="18"/>
              </w:rPr>
              <w:t>TRUE METRIX GO</w:t>
            </w:r>
            <w:r>
              <w:rPr>
                <w:rFonts w:ascii="Times New Roman" w:hAnsi="Times New Roman" w:hint="eastAsia"/>
                <w:sz w:val="18"/>
                <w:szCs w:val="18"/>
              </w:rPr>
              <w:t>血糖仪，真睿</w:t>
            </w:r>
            <w:r>
              <w:rPr>
                <w:rFonts w:ascii="Times New Roman" w:hAnsi="Times New Roman" w:cs="Times New Roman"/>
                <w:sz w:val="18"/>
                <w:szCs w:val="18"/>
              </w:rPr>
              <w:t>TRUE METRIX GO</w:t>
            </w:r>
            <w:r>
              <w:rPr>
                <w:rFonts w:ascii="Times New Roman" w:hAnsi="Times New Roman" w:hint="eastAsia"/>
                <w:sz w:val="18"/>
                <w:szCs w:val="18"/>
              </w:rPr>
              <w:t>血糖仪配套使用，可用于定量检测手指毛细血管全血中葡萄糖含量。</w:t>
            </w:r>
          </w:p>
        </w:tc>
        <w:tc>
          <w:tcPr>
            <w:tcW w:w="992" w:type="dxa"/>
            <w:tcMar>
              <w:top w:w="10" w:type="dxa"/>
              <w:left w:w="10" w:type="dxa"/>
              <w:bottom w:w="10" w:type="dxa"/>
              <w:right w:w="10" w:type="dxa"/>
            </w:tcMar>
            <w:vAlign w:val="center"/>
          </w:tcPr>
          <w:p w14:paraId="724643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2030.08.09</w:t>
            </w:r>
          </w:p>
        </w:tc>
        <w:tc>
          <w:tcPr>
            <w:tcW w:w="1276" w:type="dxa"/>
            <w:tcMar>
              <w:top w:w="10" w:type="dxa"/>
              <w:left w:w="10" w:type="dxa"/>
              <w:bottom w:w="10" w:type="dxa"/>
              <w:right w:w="10" w:type="dxa"/>
            </w:tcMar>
            <w:vAlign w:val="center"/>
          </w:tcPr>
          <w:p w14:paraId="4DE124F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2025.04.07</w:t>
            </w:r>
            <w:r>
              <w:rPr>
                <w:rFonts w:ascii="Times New Roman" w:hAnsi="Times New Roman" w:hint="eastAsia"/>
                <w:sz w:val="18"/>
                <w:szCs w:val="18"/>
              </w:rPr>
              <w:t>获批延续注册</w:t>
            </w:r>
          </w:p>
        </w:tc>
      </w:tr>
      <w:tr w:rsidR="00113A51" w14:paraId="0BD1CA0B" w14:textId="77777777" w:rsidTr="00C707CF">
        <w:trPr>
          <w:cantSplit/>
          <w:jc w:val="center"/>
        </w:trPr>
        <w:tc>
          <w:tcPr>
            <w:tcW w:w="418" w:type="dxa"/>
            <w:tcMar>
              <w:top w:w="10" w:type="dxa"/>
              <w:left w:w="10" w:type="dxa"/>
              <w:bottom w:w="10" w:type="dxa"/>
              <w:right w:w="10" w:type="dxa"/>
            </w:tcMar>
            <w:vAlign w:val="center"/>
          </w:tcPr>
          <w:p w14:paraId="1F3DF00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73</w:t>
            </w:r>
          </w:p>
        </w:tc>
        <w:tc>
          <w:tcPr>
            <w:tcW w:w="1530" w:type="dxa"/>
            <w:tcMar>
              <w:top w:w="10" w:type="dxa"/>
              <w:left w:w="10" w:type="dxa"/>
              <w:bottom w:w="10" w:type="dxa"/>
              <w:right w:w="10" w:type="dxa"/>
            </w:tcMar>
            <w:vAlign w:val="center"/>
          </w:tcPr>
          <w:p w14:paraId="7DE472C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脂类检测条（干化学法）</w:t>
            </w:r>
          </w:p>
        </w:tc>
        <w:tc>
          <w:tcPr>
            <w:tcW w:w="1134" w:type="dxa"/>
            <w:tcMar>
              <w:top w:w="10" w:type="dxa"/>
              <w:left w:w="10" w:type="dxa"/>
              <w:bottom w:w="10" w:type="dxa"/>
              <w:right w:w="10" w:type="dxa"/>
            </w:tcMar>
            <w:vAlign w:val="center"/>
          </w:tcPr>
          <w:p w14:paraId="4E098E7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20202401621</w:t>
            </w:r>
          </w:p>
        </w:tc>
        <w:tc>
          <w:tcPr>
            <w:tcW w:w="425" w:type="dxa"/>
            <w:tcMar>
              <w:top w:w="10" w:type="dxa"/>
              <w:left w:w="10" w:type="dxa"/>
              <w:bottom w:w="10" w:type="dxa"/>
              <w:right w:w="10" w:type="dxa"/>
            </w:tcMar>
            <w:vAlign w:val="center"/>
          </w:tcPr>
          <w:p w14:paraId="387F5B6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813EFF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本产品用于体外定量检测全血中的总胆固醇、高密度脂蛋白胆固醇（</w:t>
            </w:r>
            <w:r>
              <w:rPr>
                <w:rFonts w:ascii="Times New Roman" w:hAnsi="Times New Roman" w:cs="Times New Roman"/>
                <w:sz w:val="18"/>
                <w:szCs w:val="18"/>
              </w:rPr>
              <w:t>HDL</w:t>
            </w:r>
            <w:r>
              <w:rPr>
                <w:rFonts w:ascii="Times New Roman" w:hAnsi="Times New Roman" w:hint="eastAsia"/>
                <w:sz w:val="18"/>
                <w:szCs w:val="18"/>
              </w:rPr>
              <w:t>胆固醇）和甘油三酯的浓度。</w:t>
            </w:r>
          </w:p>
        </w:tc>
        <w:tc>
          <w:tcPr>
            <w:tcW w:w="992" w:type="dxa"/>
            <w:tcMar>
              <w:top w:w="10" w:type="dxa"/>
              <w:left w:w="10" w:type="dxa"/>
              <w:bottom w:w="10" w:type="dxa"/>
              <w:right w:w="10" w:type="dxa"/>
            </w:tcMar>
            <w:vAlign w:val="center"/>
          </w:tcPr>
          <w:p w14:paraId="414532D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2030.10.22</w:t>
            </w:r>
          </w:p>
        </w:tc>
        <w:tc>
          <w:tcPr>
            <w:tcW w:w="1276" w:type="dxa"/>
            <w:tcMar>
              <w:top w:w="10" w:type="dxa"/>
              <w:left w:w="10" w:type="dxa"/>
              <w:bottom w:w="10" w:type="dxa"/>
              <w:right w:w="10" w:type="dxa"/>
            </w:tcMar>
            <w:vAlign w:val="center"/>
          </w:tcPr>
          <w:p w14:paraId="3889B5A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2025.06.30</w:t>
            </w:r>
            <w:r>
              <w:rPr>
                <w:rFonts w:ascii="Times New Roman" w:hAnsi="Times New Roman" w:hint="eastAsia"/>
                <w:sz w:val="18"/>
                <w:szCs w:val="18"/>
              </w:rPr>
              <w:t>获批延续注册</w:t>
            </w:r>
          </w:p>
        </w:tc>
      </w:tr>
      <w:tr w:rsidR="00113A51" w14:paraId="4CE720B5" w14:textId="77777777" w:rsidTr="00C707CF">
        <w:trPr>
          <w:cantSplit/>
          <w:jc w:val="center"/>
        </w:trPr>
        <w:tc>
          <w:tcPr>
            <w:tcW w:w="418" w:type="dxa"/>
            <w:tcMar>
              <w:top w:w="10" w:type="dxa"/>
              <w:left w:w="10" w:type="dxa"/>
              <w:bottom w:w="10" w:type="dxa"/>
              <w:right w:w="10" w:type="dxa"/>
            </w:tcMar>
            <w:vAlign w:val="center"/>
          </w:tcPr>
          <w:p w14:paraId="6868D7E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74</w:t>
            </w:r>
          </w:p>
        </w:tc>
        <w:tc>
          <w:tcPr>
            <w:tcW w:w="1530" w:type="dxa"/>
            <w:tcMar>
              <w:top w:w="10" w:type="dxa"/>
              <w:left w:w="10" w:type="dxa"/>
              <w:bottom w:w="10" w:type="dxa"/>
              <w:right w:w="10" w:type="dxa"/>
            </w:tcMar>
            <w:vAlign w:val="center"/>
          </w:tcPr>
          <w:p w14:paraId="499C9AA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甘油三酯检测条（干化学法）</w:t>
            </w:r>
          </w:p>
        </w:tc>
        <w:tc>
          <w:tcPr>
            <w:tcW w:w="1134" w:type="dxa"/>
            <w:tcMar>
              <w:top w:w="10" w:type="dxa"/>
              <w:left w:w="10" w:type="dxa"/>
              <w:bottom w:w="10" w:type="dxa"/>
              <w:right w:w="10" w:type="dxa"/>
            </w:tcMar>
            <w:vAlign w:val="center"/>
          </w:tcPr>
          <w:p w14:paraId="1B1338F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20202401622</w:t>
            </w:r>
          </w:p>
        </w:tc>
        <w:tc>
          <w:tcPr>
            <w:tcW w:w="425" w:type="dxa"/>
            <w:tcMar>
              <w:top w:w="10" w:type="dxa"/>
              <w:left w:w="10" w:type="dxa"/>
              <w:bottom w:w="10" w:type="dxa"/>
              <w:right w:w="10" w:type="dxa"/>
            </w:tcMar>
            <w:vAlign w:val="center"/>
          </w:tcPr>
          <w:p w14:paraId="11E9664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350752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本产品用于体外定量检测指尖全血中甘油三酯的浓度。</w:t>
            </w:r>
          </w:p>
        </w:tc>
        <w:tc>
          <w:tcPr>
            <w:tcW w:w="992" w:type="dxa"/>
            <w:tcMar>
              <w:top w:w="10" w:type="dxa"/>
              <w:left w:w="10" w:type="dxa"/>
              <w:bottom w:w="10" w:type="dxa"/>
              <w:right w:w="10" w:type="dxa"/>
            </w:tcMar>
            <w:vAlign w:val="center"/>
          </w:tcPr>
          <w:p w14:paraId="2CF611A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2030.10.22</w:t>
            </w:r>
          </w:p>
        </w:tc>
        <w:tc>
          <w:tcPr>
            <w:tcW w:w="1276" w:type="dxa"/>
            <w:tcMar>
              <w:top w:w="10" w:type="dxa"/>
              <w:left w:w="10" w:type="dxa"/>
              <w:bottom w:w="10" w:type="dxa"/>
              <w:right w:w="10" w:type="dxa"/>
            </w:tcMar>
            <w:vAlign w:val="center"/>
          </w:tcPr>
          <w:p w14:paraId="050E804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2025.06.30</w:t>
            </w:r>
            <w:r>
              <w:rPr>
                <w:rFonts w:ascii="Times New Roman" w:hAnsi="Times New Roman" w:hint="eastAsia"/>
                <w:sz w:val="18"/>
                <w:szCs w:val="18"/>
              </w:rPr>
              <w:t>获批延续注册</w:t>
            </w:r>
          </w:p>
        </w:tc>
      </w:tr>
      <w:tr w:rsidR="00113A51" w14:paraId="658FB0AD" w14:textId="77777777" w:rsidTr="00C707CF">
        <w:trPr>
          <w:cantSplit/>
          <w:jc w:val="center"/>
        </w:trPr>
        <w:tc>
          <w:tcPr>
            <w:tcW w:w="418" w:type="dxa"/>
            <w:tcMar>
              <w:top w:w="10" w:type="dxa"/>
              <w:left w:w="10" w:type="dxa"/>
              <w:bottom w:w="10" w:type="dxa"/>
              <w:right w:w="10" w:type="dxa"/>
            </w:tcMar>
            <w:vAlign w:val="center"/>
          </w:tcPr>
          <w:p w14:paraId="2405B36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75</w:t>
            </w:r>
          </w:p>
        </w:tc>
        <w:tc>
          <w:tcPr>
            <w:tcW w:w="1530" w:type="dxa"/>
            <w:tcMar>
              <w:top w:w="10" w:type="dxa"/>
              <w:left w:w="10" w:type="dxa"/>
              <w:bottom w:w="10" w:type="dxa"/>
              <w:right w:w="10" w:type="dxa"/>
            </w:tcMar>
            <w:vAlign w:val="center"/>
          </w:tcPr>
          <w:p w14:paraId="696E71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谷丙转氨酶</w:t>
            </w:r>
            <w:r>
              <w:rPr>
                <w:rFonts w:ascii="Times New Roman" w:hAnsi="Times New Roman" w:cs="Times New Roman"/>
                <w:sz w:val="18"/>
                <w:szCs w:val="18"/>
              </w:rPr>
              <w:t>/</w:t>
            </w:r>
            <w:r>
              <w:rPr>
                <w:rFonts w:ascii="Times New Roman" w:hAnsi="Times New Roman" w:hint="eastAsia"/>
                <w:sz w:val="18"/>
                <w:szCs w:val="18"/>
              </w:rPr>
              <w:t>谷草转氨酶</w:t>
            </w:r>
            <w:r>
              <w:rPr>
                <w:rFonts w:ascii="Times New Roman" w:hAnsi="Times New Roman" w:cs="Times New Roman"/>
                <w:sz w:val="18"/>
                <w:szCs w:val="18"/>
              </w:rPr>
              <w:t>/</w:t>
            </w:r>
            <w:r>
              <w:rPr>
                <w:rFonts w:ascii="Times New Roman" w:hAnsi="Times New Roman" w:hint="eastAsia"/>
                <w:sz w:val="18"/>
                <w:szCs w:val="18"/>
              </w:rPr>
              <w:t>尿素</w:t>
            </w:r>
            <w:r>
              <w:rPr>
                <w:rFonts w:ascii="Times New Roman" w:hAnsi="Times New Roman" w:cs="Times New Roman"/>
                <w:sz w:val="18"/>
                <w:szCs w:val="18"/>
              </w:rPr>
              <w:t>/</w:t>
            </w:r>
            <w:r>
              <w:rPr>
                <w:rFonts w:ascii="Times New Roman" w:hAnsi="Times New Roman" w:hint="eastAsia"/>
                <w:sz w:val="18"/>
                <w:szCs w:val="18"/>
              </w:rPr>
              <w:t>肌酐检测试剂盒（速率法</w:t>
            </w:r>
            <w:r>
              <w:rPr>
                <w:rFonts w:ascii="Times New Roman" w:hAnsi="Times New Roman" w:cs="Times New Roman"/>
                <w:sz w:val="18"/>
                <w:szCs w:val="18"/>
              </w:rPr>
              <w:t>/</w:t>
            </w:r>
            <w:r>
              <w:rPr>
                <w:rFonts w:ascii="Times New Roman" w:hAnsi="Times New Roman" w:hint="eastAsia"/>
                <w:sz w:val="18"/>
                <w:szCs w:val="18"/>
              </w:rPr>
              <w:t>终点法）</w:t>
            </w:r>
          </w:p>
        </w:tc>
        <w:tc>
          <w:tcPr>
            <w:tcW w:w="1134" w:type="dxa"/>
            <w:tcMar>
              <w:top w:w="10" w:type="dxa"/>
              <w:left w:w="10" w:type="dxa"/>
              <w:bottom w:w="10" w:type="dxa"/>
              <w:right w:w="10" w:type="dxa"/>
            </w:tcMar>
            <w:vAlign w:val="center"/>
          </w:tcPr>
          <w:p w14:paraId="708F0A6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20212400290</w:t>
            </w:r>
          </w:p>
        </w:tc>
        <w:tc>
          <w:tcPr>
            <w:tcW w:w="425" w:type="dxa"/>
            <w:tcMar>
              <w:top w:w="10" w:type="dxa"/>
              <w:left w:w="10" w:type="dxa"/>
              <w:bottom w:w="10" w:type="dxa"/>
              <w:right w:w="10" w:type="dxa"/>
            </w:tcMar>
            <w:vAlign w:val="center"/>
          </w:tcPr>
          <w:p w14:paraId="4178722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3276C4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用于体外定量检测人体血清中的谷丙转氨酶（</w:t>
            </w:r>
            <w:r>
              <w:rPr>
                <w:rFonts w:ascii="Times New Roman" w:hAnsi="Times New Roman" w:cs="Times New Roman"/>
                <w:sz w:val="18"/>
                <w:szCs w:val="18"/>
              </w:rPr>
              <w:t>ALT</w:t>
            </w:r>
            <w:r>
              <w:rPr>
                <w:rFonts w:ascii="Times New Roman" w:hAnsi="Times New Roman" w:hint="eastAsia"/>
                <w:sz w:val="18"/>
                <w:szCs w:val="18"/>
              </w:rPr>
              <w:t>）和谷草转氨酶（</w:t>
            </w:r>
            <w:r>
              <w:rPr>
                <w:rFonts w:ascii="Times New Roman" w:hAnsi="Times New Roman" w:cs="Times New Roman"/>
                <w:sz w:val="18"/>
                <w:szCs w:val="18"/>
              </w:rPr>
              <w:t>AST</w:t>
            </w:r>
            <w:r>
              <w:rPr>
                <w:rFonts w:ascii="Times New Roman" w:hAnsi="Times New Roman" w:hint="eastAsia"/>
                <w:sz w:val="18"/>
                <w:szCs w:val="18"/>
              </w:rPr>
              <w:t>）的活性和尿素（</w:t>
            </w:r>
            <w:r>
              <w:rPr>
                <w:rFonts w:ascii="Times New Roman" w:hAnsi="Times New Roman" w:cs="Times New Roman"/>
                <w:sz w:val="18"/>
                <w:szCs w:val="18"/>
              </w:rPr>
              <w:t>Urea</w:t>
            </w:r>
            <w:r>
              <w:rPr>
                <w:rFonts w:ascii="Times New Roman" w:hAnsi="Times New Roman" w:hint="eastAsia"/>
                <w:sz w:val="18"/>
                <w:szCs w:val="18"/>
              </w:rPr>
              <w:t>）、肌酐（</w:t>
            </w:r>
            <w:r>
              <w:rPr>
                <w:rFonts w:ascii="Times New Roman" w:hAnsi="Times New Roman" w:cs="Times New Roman"/>
                <w:sz w:val="18"/>
                <w:szCs w:val="18"/>
              </w:rPr>
              <w:t>Crea</w:t>
            </w:r>
            <w:r>
              <w:rPr>
                <w:rFonts w:ascii="Times New Roman" w:hAnsi="Times New Roman" w:hint="eastAsia"/>
                <w:sz w:val="18"/>
                <w:szCs w:val="18"/>
              </w:rPr>
              <w:t>）的含量，临床上主要作为肝肾功能监测指标。</w:t>
            </w:r>
          </w:p>
        </w:tc>
        <w:tc>
          <w:tcPr>
            <w:tcW w:w="992" w:type="dxa"/>
            <w:tcMar>
              <w:top w:w="10" w:type="dxa"/>
              <w:left w:w="10" w:type="dxa"/>
              <w:bottom w:w="10" w:type="dxa"/>
              <w:right w:w="10" w:type="dxa"/>
            </w:tcMar>
            <w:vAlign w:val="center"/>
          </w:tcPr>
          <w:p w14:paraId="0C8FB11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2031.02.08</w:t>
            </w:r>
          </w:p>
        </w:tc>
        <w:tc>
          <w:tcPr>
            <w:tcW w:w="1276" w:type="dxa"/>
            <w:tcMar>
              <w:top w:w="10" w:type="dxa"/>
              <w:left w:w="10" w:type="dxa"/>
              <w:bottom w:w="10" w:type="dxa"/>
              <w:right w:w="10" w:type="dxa"/>
            </w:tcMar>
            <w:vAlign w:val="center"/>
          </w:tcPr>
          <w:p w14:paraId="015B963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2025.11.10</w:t>
            </w:r>
            <w:r>
              <w:rPr>
                <w:rFonts w:ascii="Times New Roman" w:hAnsi="Times New Roman" w:hint="eastAsia"/>
                <w:sz w:val="18"/>
                <w:szCs w:val="18"/>
              </w:rPr>
              <w:t>获批延续注册</w:t>
            </w:r>
          </w:p>
        </w:tc>
      </w:tr>
      <w:tr w:rsidR="00113A51" w14:paraId="38E1568E" w14:textId="77777777" w:rsidTr="00C707CF">
        <w:trPr>
          <w:cantSplit/>
          <w:jc w:val="center"/>
        </w:trPr>
        <w:tc>
          <w:tcPr>
            <w:tcW w:w="418" w:type="dxa"/>
            <w:tcMar>
              <w:top w:w="10" w:type="dxa"/>
              <w:left w:w="10" w:type="dxa"/>
              <w:bottom w:w="10" w:type="dxa"/>
              <w:right w:w="10" w:type="dxa"/>
            </w:tcMar>
            <w:vAlign w:val="center"/>
          </w:tcPr>
          <w:p w14:paraId="1D0D252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76</w:t>
            </w:r>
          </w:p>
        </w:tc>
        <w:tc>
          <w:tcPr>
            <w:tcW w:w="1530" w:type="dxa"/>
            <w:tcMar>
              <w:top w:w="10" w:type="dxa"/>
              <w:left w:w="10" w:type="dxa"/>
              <w:bottom w:w="10" w:type="dxa"/>
              <w:right w:w="10" w:type="dxa"/>
            </w:tcMar>
            <w:vAlign w:val="center"/>
          </w:tcPr>
          <w:p w14:paraId="19F7793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C</w:t>
            </w:r>
            <w:r>
              <w:rPr>
                <w:rFonts w:ascii="Times New Roman" w:hAnsi="Times New Roman" w:hint="eastAsia"/>
                <w:sz w:val="18"/>
                <w:szCs w:val="18"/>
              </w:rPr>
              <w:t>肽检测试剂盒（荧光免疫层析法）</w:t>
            </w:r>
          </w:p>
        </w:tc>
        <w:tc>
          <w:tcPr>
            <w:tcW w:w="1134" w:type="dxa"/>
            <w:tcMar>
              <w:top w:w="10" w:type="dxa"/>
              <w:left w:w="10" w:type="dxa"/>
              <w:bottom w:w="10" w:type="dxa"/>
              <w:right w:w="10" w:type="dxa"/>
            </w:tcMar>
            <w:vAlign w:val="center"/>
          </w:tcPr>
          <w:p w14:paraId="63BBDA8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20212400322</w:t>
            </w:r>
          </w:p>
        </w:tc>
        <w:tc>
          <w:tcPr>
            <w:tcW w:w="425" w:type="dxa"/>
            <w:tcMar>
              <w:top w:w="10" w:type="dxa"/>
              <w:left w:w="10" w:type="dxa"/>
              <w:bottom w:w="10" w:type="dxa"/>
              <w:right w:w="10" w:type="dxa"/>
            </w:tcMar>
            <w:vAlign w:val="center"/>
          </w:tcPr>
          <w:p w14:paraId="2910D82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0BC933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本产品用于体外定量检测人体血清、血浆中</w:t>
            </w:r>
            <w:r>
              <w:rPr>
                <w:rFonts w:ascii="Times New Roman" w:hAnsi="Times New Roman" w:cs="Times New Roman"/>
                <w:sz w:val="18"/>
                <w:szCs w:val="18"/>
              </w:rPr>
              <w:t>C</w:t>
            </w:r>
            <w:r>
              <w:rPr>
                <w:rFonts w:ascii="Times New Roman" w:hAnsi="Times New Roman" w:hint="eastAsia"/>
                <w:sz w:val="18"/>
                <w:szCs w:val="18"/>
              </w:rPr>
              <w:t>肽（</w:t>
            </w:r>
            <w:r>
              <w:rPr>
                <w:rFonts w:ascii="Times New Roman" w:hAnsi="Times New Roman" w:cs="Times New Roman"/>
                <w:sz w:val="18"/>
                <w:szCs w:val="18"/>
              </w:rPr>
              <w:t>C-peptide</w:t>
            </w:r>
            <w:r>
              <w:rPr>
                <w:rFonts w:ascii="Times New Roman" w:hAnsi="Times New Roman" w:hint="eastAsia"/>
                <w:sz w:val="18"/>
                <w:szCs w:val="18"/>
              </w:rPr>
              <w:t>）的含量，临床上主要用于评价胰岛功能</w:t>
            </w:r>
            <w:r>
              <w:rPr>
                <w:rFonts w:ascii="Times New Roman" w:hAnsi="Times New Roman" w:cs="Times New Roman"/>
                <w:sz w:val="18"/>
                <w:szCs w:val="18"/>
              </w:rPr>
              <w:t>.</w:t>
            </w:r>
          </w:p>
        </w:tc>
        <w:tc>
          <w:tcPr>
            <w:tcW w:w="992" w:type="dxa"/>
            <w:tcMar>
              <w:top w:w="10" w:type="dxa"/>
              <w:left w:w="10" w:type="dxa"/>
              <w:bottom w:w="10" w:type="dxa"/>
              <w:right w:w="10" w:type="dxa"/>
            </w:tcMar>
            <w:vAlign w:val="center"/>
          </w:tcPr>
          <w:p w14:paraId="49A366E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2026.03.01</w:t>
            </w:r>
          </w:p>
        </w:tc>
        <w:tc>
          <w:tcPr>
            <w:tcW w:w="1276" w:type="dxa"/>
            <w:tcMar>
              <w:top w:w="10" w:type="dxa"/>
              <w:left w:w="10" w:type="dxa"/>
              <w:bottom w:w="10" w:type="dxa"/>
              <w:right w:w="10" w:type="dxa"/>
            </w:tcMar>
            <w:vAlign w:val="center"/>
          </w:tcPr>
          <w:p w14:paraId="313E987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AECB046" w14:textId="77777777" w:rsidTr="00C707CF">
        <w:trPr>
          <w:cantSplit/>
          <w:jc w:val="center"/>
        </w:trPr>
        <w:tc>
          <w:tcPr>
            <w:tcW w:w="418" w:type="dxa"/>
            <w:tcMar>
              <w:top w:w="10" w:type="dxa"/>
              <w:left w:w="10" w:type="dxa"/>
              <w:bottom w:w="10" w:type="dxa"/>
              <w:right w:w="10" w:type="dxa"/>
            </w:tcMar>
            <w:vAlign w:val="center"/>
          </w:tcPr>
          <w:p w14:paraId="3F5B914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77</w:t>
            </w:r>
          </w:p>
        </w:tc>
        <w:tc>
          <w:tcPr>
            <w:tcW w:w="1530" w:type="dxa"/>
            <w:tcMar>
              <w:top w:w="10" w:type="dxa"/>
              <w:left w:w="10" w:type="dxa"/>
              <w:bottom w:w="10" w:type="dxa"/>
              <w:right w:w="10" w:type="dxa"/>
            </w:tcMar>
            <w:vAlign w:val="center"/>
          </w:tcPr>
          <w:p w14:paraId="4C112D1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C</w:t>
            </w:r>
            <w:r>
              <w:rPr>
                <w:rFonts w:ascii="Times New Roman" w:hAnsi="Times New Roman" w:hint="eastAsia"/>
                <w:sz w:val="18"/>
                <w:szCs w:val="18"/>
              </w:rPr>
              <w:t>肽</w:t>
            </w:r>
            <w:r>
              <w:rPr>
                <w:rFonts w:ascii="Times New Roman" w:hAnsi="Times New Roman" w:cs="Times New Roman"/>
                <w:sz w:val="18"/>
                <w:szCs w:val="18"/>
              </w:rPr>
              <w:t>/</w:t>
            </w:r>
            <w:r>
              <w:rPr>
                <w:rFonts w:ascii="Times New Roman" w:hAnsi="Times New Roman" w:hint="eastAsia"/>
                <w:sz w:val="18"/>
                <w:szCs w:val="18"/>
              </w:rPr>
              <w:t>胰岛素检测试剂盒（荧光免疫层析法）</w:t>
            </w:r>
          </w:p>
        </w:tc>
        <w:tc>
          <w:tcPr>
            <w:tcW w:w="1134" w:type="dxa"/>
            <w:tcMar>
              <w:top w:w="10" w:type="dxa"/>
              <w:left w:w="10" w:type="dxa"/>
              <w:bottom w:w="10" w:type="dxa"/>
              <w:right w:w="10" w:type="dxa"/>
            </w:tcMar>
            <w:vAlign w:val="center"/>
          </w:tcPr>
          <w:p w14:paraId="79FA9D8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20212400323</w:t>
            </w:r>
          </w:p>
        </w:tc>
        <w:tc>
          <w:tcPr>
            <w:tcW w:w="425" w:type="dxa"/>
            <w:tcMar>
              <w:top w:w="10" w:type="dxa"/>
              <w:left w:w="10" w:type="dxa"/>
              <w:bottom w:w="10" w:type="dxa"/>
              <w:right w:w="10" w:type="dxa"/>
            </w:tcMar>
            <w:vAlign w:val="center"/>
          </w:tcPr>
          <w:p w14:paraId="00AD8C5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23F9F2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本产品用于体外定量检测人体血清中</w:t>
            </w:r>
            <w:r>
              <w:rPr>
                <w:rFonts w:ascii="Times New Roman" w:hAnsi="Times New Roman" w:cs="Times New Roman"/>
                <w:sz w:val="18"/>
                <w:szCs w:val="18"/>
              </w:rPr>
              <w:t>C</w:t>
            </w:r>
            <w:r>
              <w:rPr>
                <w:rFonts w:ascii="Times New Roman" w:hAnsi="Times New Roman" w:hint="eastAsia"/>
                <w:sz w:val="18"/>
                <w:szCs w:val="18"/>
              </w:rPr>
              <w:t>肽</w:t>
            </w:r>
            <w:r>
              <w:rPr>
                <w:rFonts w:ascii="Times New Roman" w:hAnsi="Times New Roman" w:cs="Times New Roman"/>
                <w:sz w:val="18"/>
                <w:szCs w:val="18"/>
              </w:rPr>
              <w:t>/</w:t>
            </w:r>
            <w:r>
              <w:rPr>
                <w:rFonts w:ascii="Times New Roman" w:hAnsi="Times New Roman" w:hint="eastAsia"/>
                <w:sz w:val="18"/>
                <w:szCs w:val="18"/>
              </w:rPr>
              <w:t>胰岛素（</w:t>
            </w:r>
            <w:r>
              <w:rPr>
                <w:rFonts w:ascii="Times New Roman" w:hAnsi="Times New Roman" w:cs="Times New Roman"/>
                <w:sz w:val="18"/>
                <w:szCs w:val="18"/>
              </w:rPr>
              <w:t>C-peptide/Insulin</w:t>
            </w:r>
            <w:r>
              <w:rPr>
                <w:rFonts w:ascii="Times New Roman" w:hAnsi="Times New Roman" w:hint="eastAsia"/>
                <w:sz w:val="18"/>
                <w:szCs w:val="18"/>
              </w:rPr>
              <w:t>）的含量，临床上主要用于评价胰岛功能。</w:t>
            </w:r>
          </w:p>
        </w:tc>
        <w:tc>
          <w:tcPr>
            <w:tcW w:w="992" w:type="dxa"/>
            <w:tcMar>
              <w:top w:w="10" w:type="dxa"/>
              <w:left w:w="10" w:type="dxa"/>
              <w:bottom w:w="10" w:type="dxa"/>
              <w:right w:w="10" w:type="dxa"/>
            </w:tcMar>
            <w:vAlign w:val="center"/>
          </w:tcPr>
          <w:p w14:paraId="26CC465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2026.03.01</w:t>
            </w:r>
          </w:p>
        </w:tc>
        <w:tc>
          <w:tcPr>
            <w:tcW w:w="1276" w:type="dxa"/>
            <w:tcMar>
              <w:top w:w="10" w:type="dxa"/>
              <w:left w:w="10" w:type="dxa"/>
              <w:bottom w:w="10" w:type="dxa"/>
              <w:right w:w="10" w:type="dxa"/>
            </w:tcMar>
            <w:vAlign w:val="center"/>
          </w:tcPr>
          <w:p w14:paraId="3F7799E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1C20C40" w14:textId="77777777" w:rsidTr="00C707CF">
        <w:trPr>
          <w:cantSplit/>
          <w:jc w:val="center"/>
        </w:trPr>
        <w:tc>
          <w:tcPr>
            <w:tcW w:w="418" w:type="dxa"/>
            <w:tcMar>
              <w:top w:w="10" w:type="dxa"/>
              <w:left w:w="10" w:type="dxa"/>
              <w:bottom w:w="10" w:type="dxa"/>
              <w:right w:w="10" w:type="dxa"/>
            </w:tcMar>
            <w:vAlign w:val="center"/>
          </w:tcPr>
          <w:p w14:paraId="20D812F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78</w:t>
            </w:r>
          </w:p>
        </w:tc>
        <w:tc>
          <w:tcPr>
            <w:tcW w:w="1530" w:type="dxa"/>
            <w:tcMar>
              <w:top w:w="10" w:type="dxa"/>
              <w:left w:w="10" w:type="dxa"/>
              <w:bottom w:w="10" w:type="dxa"/>
              <w:right w:w="10" w:type="dxa"/>
            </w:tcMar>
            <w:vAlign w:val="center"/>
          </w:tcPr>
          <w:p w14:paraId="4F2B3D2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胰岛素检测试剂盒（荧光免疫层析法）</w:t>
            </w:r>
          </w:p>
        </w:tc>
        <w:tc>
          <w:tcPr>
            <w:tcW w:w="1134" w:type="dxa"/>
            <w:tcMar>
              <w:top w:w="10" w:type="dxa"/>
              <w:left w:w="10" w:type="dxa"/>
              <w:bottom w:w="10" w:type="dxa"/>
              <w:right w:w="10" w:type="dxa"/>
            </w:tcMar>
            <w:vAlign w:val="center"/>
          </w:tcPr>
          <w:p w14:paraId="74BC38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20212400318</w:t>
            </w:r>
          </w:p>
        </w:tc>
        <w:tc>
          <w:tcPr>
            <w:tcW w:w="425" w:type="dxa"/>
            <w:tcMar>
              <w:top w:w="10" w:type="dxa"/>
              <w:left w:w="10" w:type="dxa"/>
              <w:bottom w:w="10" w:type="dxa"/>
              <w:right w:w="10" w:type="dxa"/>
            </w:tcMar>
            <w:vAlign w:val="center"/>
          </w:tcPr>
          <w:p w14:paraId="2923A1F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E335BF5"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本产品用于体外定量检测人体血清中胰岛素（</w:t>
            </w:r>
            <w:r>
              <w:rPr>
                <w:rFonts w:ascii="Times New Roman" w:hAnsi="Times New Roman" w:cs="Times New Roman"/>
                <w:sz w:val="18"/>
                <w:szCs w:val="18"/>
              </w:rPr>
              <w:t>Insulin</w:t>
            </w:r>
            <w:r>
              <w:rPr>
                <w:rFonts w:ascii="Times New Roman" w:hAnsi="Times New Roman" w:hint="eastAsia"/>
                <w:sz w:val="18"/>
                <w:szCs w:val="18"/>
              </w:rPr>
              <w:t>）的含量，临床上主要用于评价胰岛功能。</w:t>
            </w:r>
          </w:p>
        </w:tc>
        <w:tc>
          <w:tcPr>
            <w:tcW w:w="992" w:type="dxa"/>
            <w:tcMar>
              <w:top w:w="10" w:type="dxa"/>
              <w:left w:w="10" w:type="dxa"/>
              <w:bottom w:w="10" w:type="dxa"/>
              <w:right w:w="10" w:type="dxa"/>
            </w:tcMar>
            <w:vAlign w:val="center"/>
          </w:tcPr>
          <w:p w14:paraId="65D105F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2026.03.01</w:t>
            </w:r>
          </w:p>
        </w:tc>
        <w:tc>
          <w:tcPr>
            <w:tcW w:w="1276" w:type="dxa"/>
            <w:tcMar>
              <w:top w:w="10" w:type="dxa"/>
              <w:left w:w="10" w:type="dxa"/>
              <w:bottom w:w="10" w:type="dxa"/>
              <w:right w:w="10" w:type="dxa"/>
            </w:tcMar>
            <w:vAlign w:val="center"/>
          </w:tcPr>
          <w:p w14:paraId="4611E51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DC8FEC3" w14:textId="77777777" w:rsidTr="00C707CF">
        <w:trPr>
          <w:cantSplit/>
          <w:jc w:val="center"/>
        </w:trPr>
        <w:tc>
          <w:tcPr>
            <w:tcW w:w="418" w:type="dxa"/>
            <w:tcMar>
              <w:top w:w="10" w:type="dxa"/>
              <w:left w:w="10" w:type="dxa"/>
              <w:bottom w:w="10" w:type="dxa"/>
              <w:right w:w="10" w:type="dxa"/>
            </w:tcMar>
            <w:vAlign w:val="center"/>
          </w:tcPr>
          <w:p w14:paraId="5978A6D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79</w:t>
            </w:r>
          </w:p>
        </w:tc>
        <w:tc>
          <w:tcPr>
            <w:tcW w:w="1530" w:type="dxa"/>
            <w:tcMar>
              <w:top w:w="10" w:type="dxa"/>
              <w:left w:w="10" w:type="dxa"/>
              <w:bottom w:w="10" w:type="dxa"/>
              <w:right w:w="10" w:type="dxa"/>
            </w:tcMar>
            <w:vAlign w:val="center"/>
          </w:tcPr>
          <w:p w14:paraId="4FE5D6E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C</w:t>
            </w:r>
            <w:r>
              <w:rPr>
                <w:rFonts w:ascii="Times New Roman" w:hAnsi="Times New Roman" w:hint="eastAsia"/>
                <w:sz w:val="18"/>
                <w:szCs w:val="18"/>
              </w:rPr>
              <w:t>肽</w:t>
            </w:r>
            <w:r>
              <w:rPr>
                <w:rFonts w:ascii="Times New Roman" w:hAnsi="Times New Roman" w:cs="Times New Roman"/>
                <w:sz w:val="18"/>
                <w:szCs w:val="18"/>
              </w:rPr>
              <w:t>/</w:t>
            </w:r>
            <w:r>
              <w:rPr>
                <w:rFonts w:ascii="Times New Roman" w:hAnsi="Times New Roman" w:hint="eastAsia"/>
                <w:sz w:val="18"/>
                <w:szCs w:val="18"/>
              </w:rPr>
              <w:t>胰岛素复合质控品</w:t>
            </w:r>
          </w:p>
        </w:tc>
        <w:tc>
          <w:tcPr>
            <w:tcW w:w="1134" w:type="dxa"/>
            <w:tcMar>
              <w:top w:w="10" w:type="dxa"/>
              <w:left w:w="10" w:type="dxa"/>
              <w:bottom w:w="10" w:type="dxa"/>
              <w:right w:w="10" w:type="dxa"/>
            </w:tcMar>
            <w:vAlign w:val="center"/>
          </w:tcPr>
          <w:p w14:paraId="69F7118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20212400321</w:t>
            </w:r>
          </w:p>
        </w:tc>
        <w:tc>
          <w:tcPr>
            <w:tcW w:w="425" w:type="dxa"/>
            <w:tcMar>
              <w:top w:w="10" w:type="dxa"/>
              <w:left w:w="10" w:type="dxa"/>
              <w:bottom w:w="10" w:type="dxa"/>
              <w:right w:w="10" w:type="dxa"/>
            </w:tcMar>
            <w:vAlign w:val="center"/>
          </w:tcPr>
          <w:p w14:paraId="27DF9D6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2EE88F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本产品适用于</w:t>
            </w:r>
            <w:r>
              <w:rPr>
                <w:rFonts w:ascii="Times New Roman" w:hAnsi="Times New Roman" w:cs="Times New Roman"/>
                <w:sz w:val="18"/>
                <w:szCs w:val="18"/>
              </w:rPr>
              <w:t>IFM-100</w:t>
            </w:r>
            <w:r>
              <w:rPr>
                <w:rFonts w:ascii="Times New Roman" w:hAnsi="Times New Roman" w:hint="eastAsia"/>
                <w:sz w:val="18"/>
                <w:szCs w:val="18"/>
              </w:rPr>
              <w:t>荧光免疫分析仪及配套试剂卡组成的检测系统，对相应项目检测时进行质量控制</w:t>
            </w:r>
          </w:p>
        </w:tc>
        <w:tc>
          <w:tcPr>
            <w:tcW w:w="992" w:type="dxa"/>
            <w:tcMar>
              <w:top w:w="10" w:type="dxa"/>
              <w:left w:w="10" w:type="dxa"/>
              <w:bottom w:w="10" w:type="dxa"/>
              <w:right w:w="10" w:type="dxa"/>
            </w:tcMar>
            <w:vAlign w:val="center"/>
          </w:tcPr>
          <w:p w14:paraId="1D09F78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2026.03.01</w:t>
            </w:r>
          </w:p>
        </w:tc>
        <w:tc>
          <w:tcPr>
            <w:tcW w:w="1276" w:type="dxa"/>
            <w:tcMar>
              <w:top w:w="10" w:type="dxa"/>
              <w:left w:w="10" w:type="dxa"/>
              <w:bottom w:w="10" w:type="dxa"/>
              <w:right w:w="10" w:type="dxa"/>
            </w:tcMar>
            <w:vAlign w:val="center"/>
          </w:tcPr>
          <w:p w14:paraId="3BC4144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763A271" w14:textId="77777777" w:rsidTr="00C707CF">
        <w:trPr>
          <w:cantSplit/>
          <w:jc w:val="center"/>
        </w:trPr>
        <w:tc>
          <w:tcPr>
            <w:tcW w:w="418" w:type="dxa"/>
            <w:tcMar>
              <w:top w:w="10" w:type="dxa"/>
              <w:left w:w="10" w:type="dxa"/>
              <w:bottom w:w="10" w:type="dxa"/>
              <w:right w:w="10" w:type="dxa"/>
            </w:tcMar>
            <w:vAlign w:val="center"/>
          </w:tcPr>
          <w:p w14:paraId="504739D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80</w:t>
            </w:r>
          </w:p>
        </w:tc>
        <w:tc>
          <w:tcPr>
            <w:tcW w:w="1530" w:type="dxa"/>
            <w:tcMar>
              <w:top w:w="10" w:type="dxa"/>
              <w:left w:w="10" w:type="dxa"/>
              <w:bottom w:w="10" w:type="dxa"/>
              <w:right w:w="10" w:type="dxa"/>
            </w:tcMar>
            <w:vAlign w:val="center"/>
          </w:tcPr>
          <w:p w14:paraId="2E0D2BE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载脂蛋白</w:t>
            </w:r>
            <w:r>
              <w:rPr>
                <w:rFonts w:ascii="Times New Roman" w:hAnsi="Times New Roman" w:cs="Times New Roman"/>
                <w:sz w:val="18"/>
                <w:szCs w:val="18"/>
              </w:rPr>
              <w:t>A1/</w:t>
            </w:r>
            <w:r>
              <w:rPr>
                <w:rFonts w:ascii="Times New Roman" w:hAnsi="Times New Roman" w:hint="eastAsia"/>
                <w:sz w:val="18"/>
                <w:szCs w:val="18"/>
              </w:rPr>
              <w:t>载脂蛋白</w:t>
            </w:r>
            <w:r>
              <w:rPr>
                <w:rFonts w:ascii="Times New Roman" w:hAnsi="Times New Roman" w:cs="Times New Roman"/>
                <w:sz w:val="18"/>
                <w:szCs w:val="18"/>
              </w:rPr>
              <w:t>B/</w:t>
            </w:r>
            <w:r>
              <w:rPr>
                <w:rFonts w:ascii="Times New Roman" w:hAnsi="Times New Roman" w:hint="eastAsia"/>
                <w:sz w:val="18"/>
                <w:szCs w:val="18"/>
              </w:rPr>
              <w:t>肌酸激酶</w:t>
            </w:r>
            <w:r>
              <w:rPr>
                <w:rFonts w:ascii="Times New Roman" w:hAnsi="Times New Roman" w:cs="Times New Roman"/>
                <w:sz w:val="18"/>
                <w:szCs w:val="18"/>
              </w:rPr>
              <w:t>/</w:t>
            </w:r>
            <w:r>
              <w:rPr>
                <w:rFonts w:ascii="Times New Roman" w:hAnsi="Times New Roman" w:hint="eastAsia"/>
                <w:sz w:val="18"/>
                <w:szCs w:val="18"/>
              </w:rPr>
              <w:t>肌酸激酶</w:t>
            </w:r>
            <w:r>
              <w:rPr>
                <w:rFonts w:ascii="Times New Roman" w:hAnsi="Times New Roman" w:cs="Times New Roman"/>
                <w:sz w:val="18"/>
                <w:szCs w:val="18"/>
              </w:rPr>
              <w:t>MB</w:t>
            </w:r>
            <w:r>
              <w:rPr>
                <w:rFonts w:ascii="Times New Roman" w:hAnsi="Times New Roman" w:hint="eastAsia"/>
                <w:sz w:val="18"/>
                <w:szCs w:val="18"/>
              </w:rPr>
              <w:t>同工酶检测试剂盒（免疫比浊法</w:t>
            </w:r>
            <w:r>
              <w:rPr>
                <w:rFonts w:ascii="Times New Roman" w:hAnsi="Times New Roman" w:cs="Times New Roman"/>
                <w:sz w:val="18"/>
                <w:szCs w:val="18"/>
              </w:rPr>
              <w:t>/</w:t>
            </w:r>
            <w:r>
              <w:rPr>
                <w:rFonts w:ascii="Times New Roman" w:hAnsi="Times New Roman" w:hint="eastAsia"/>
                <w:sz w:val="18"/>
                <w:szCs w:val="18"/>
              </w:rPr>
              <w:t>速率法）</w:t>
            </w:r>
          </w:p>
        </w:tc>
        <w:tc>
          <w:tcPr>
            <w:tcW w:w="1134" w:type="dxa"/>
            <w:tcMar>
              <w:top w:w="10" w:type="dxa"/>
              <w:left w:w="10" w:type="dxa"/>
              <w:bottom w:w="10" w:type="dxa"/>
              <w:right w:w="10" w:type="dxa"/>
            </w:tcMar>
            <w:vAlign w:val="center"/>
          </w:tcPr>
          <w:p w14:paraId="3D7377B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20212400522</w:t>
            </w:r>
          </w:p>
        </w:tc>
        <w:tc>
          <w:tcPr>
            <w:tcW w:w="425" w:type="dxa"/>
            <w:tcMar>
              <w:top w:w="10" w:type="dxa"/>
              <w:left w:w="10" w:type="dxa"/>
              <w:bottom w:w="10" w:type="dxa"/>
              <w:right w:w="10" w:type="dxa"/>
            </w:tcMar>
            <w:vAlign w:val="center"/>
          </w:tcPr>
          <w:p w14:paraId="244AB1A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BC9F40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用于体外定量检测人体血清中的载脂蛋白</w:t>
            </w:r>
            <w:r>
              <w:rPr>
                <w:rFonts w:ascii="Times New Roman" w:hAnsi="Times New Roman" w:cs="Times New Roman"/>
                <w:sz w:val="18"/>
                <w:szCs w:val="18"/>
              </w:rPr>
              <w:t>A1</w:t>
            </w:r>
            <w:r>
              <w:rPr>
                <w:rFonts w:ascii="Times New Roman" w:hAnsi="Times New Roman" w:hint="eastAsia"/>
                <w:sz w:val="18"/>
                <w:szCs w:val="18"/>
              </w:rPr>
              <w:t>（</w:t>
            </w:r>
            <w:r>
              <w:rPr>
                <w:rFonts w:ascii="Times New Roman" w:hAnsi="Times New Roman" w:cs="Times New Roman"/>
                <w:sz w:val="18"/>
                <w:szCs w:val="18"/>
              </w:rPr>
              <w:t>ApoA1</w:t>
            </w:r>
            <w:r>
              <w:rPr>
                <w:rFonts w:ascii="Times New Roman" w:hAnsi="Times New Roman" w:hint="eastAsia"/>
                <w:sz w:val="18"/>
                <w:szCs w:val="18"/>
              </w:rPr>
              <w:t>）与载脂蛋白</w:t>
            </w:r>
            <w:r>
              <w:rPr>
                <w:rFonts w:ascii="Times New Roman" w:hAnsi="Times New Roman" w:cs="Times New Roman"/>
                <w:sz w:val="18"/>
                <w:szCs w:val="18"/>
              </w:rPr>
              <w:t>B</w:t>
            </w:r>
            <w:r>
              <w:rPr>
                <w:rFonts w:ascii="Times New Roman" w:hAnsi="Times New Roman" w:hint="eastAsia"/>
                <w:sz w:val="18"/>
                <w:szCs w:val="18"/>
              </w:rPr>
              <w:t>（</w:t>
            </w:r>
            <w:r>
              <w:rPr>
                <w:rFonts w:ascii="Times New Roman" w:hAnsi="Times New Roman" w:cs="Times New Roman"/>
                <w:sz w:val="18"/>
                <w:szCs w:val="18"/>
              </w:rPr>
              <w:t>ApoB</w:t>
            </w:r>
            <w:r>
              <w:rPr>
                <w:rFonts w:ascii="Times New Roman" w:hAnsi="Times New Roman" w:hint="eastAsia"/>
                <w:sz w:val="18"/>
                <w:szCs w:val="18"/>
              </w:rPr>
              <w:t>）的含量，肌酸激酶（</w:t>
            </w:r>
            <w:r>
              <w:rPr>
                <w:rFonts w:ascii="Times New Roman" w:hAnsi="Times New Roman" w:cs="Times New Roman"/>
                <w:sz w:val="18"/>
                <w:szCs w:val="18"/>
              </w:rPr>
              <w:t>CK</w:t>
            </w:r>
            <w:r>
              <w:rPr>
                <w:rFonts w:ascii="Times New Roman" w:hAnsi="Times New Roman" w:hint="eastAsia"/>
                <w:sz w:val="18"/>
                <w:szCs w:val="18"/>
              </w:rPr>
              <w:t>）与肌酸激酶</w:t>
            </w:r>
            <w:r>
              <w:rPr>
                <w:rFonts w:ascii="Times New Roman" w:hAnsi="Times New Roman" w:cs="Times New Roman"/>
                <w:sz w:val="18"/>
                <w:szCs w:val="18"/>
              </w:rPr>
              <w:t>MB</w:t>
            </w:r>
            <w:r>
              <w:rPr>
                <w:rFonts w:ascii="Times New Roman" w:hAnsi="Times New Roman" w:hint="eastAsia"/>
                <w:sz w:val="18"/>
                <w:szCs w:val="18"/>
              </w:rPr>
              <w:t>同工酶（</w:t>
            </w:r>
            <w:r>
              <w:rPr>
                <w:rFonts w:ascii="Times New Roman" w:hAnsi="Times New Roman" w:cs="Times New Roman"/>
                <w:sz w:val="18"/>
                <w:szCs w:val="18"/>
              </w:rPr>
              <w:t>CKMB</w:t>
            </w:r>
            <w:r>
              <w:rPr>
                <w:rFonts w:ascii="Times New Roman" w:hAnsi="Times New Roman" w:hint="eastAsia"/>
                <w:sz w:val="18"/>
                <w:szCs w:val="18"/>
              </w:rPr>
              <w:t>）的活性。</w:t>
            </w:r>
          </w:p>
        </w:tc>
        <w:tc>
          <w:tcPr>
            <w:tcW w:w="992" w:type="dxa"/>
            <w:tcMar>
              <w:top w:w="10" w:type="dxa"/>
              <w:left w:w="10" w:type="dxa"/>
              <w:bottom w:w="10" w:type="dxa"/>
              <w:right w:w="10" w:type="dxa"/>
            </w:tcMar>
            <w:vAlign w:val="center"/>
          </w:tcPr>
          <w:p w14:paraId="5AE8792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2031.04.20</w:t>
            </w:r>
          </w:p>
        </w:tc>
        <w:tc>
          <w:tcPr>
            <w:tcW w:w="1276" w:type="dxa"/>
            <w:tcMar>
              <w:top w:w="10" w:type="dxa"/>
              <w:left w:w="10" w:type="dxa"/>
              <w:bottom w:w="10" w:type="dxa"/>
              <w:right w:w="10" w:type="dxa"/>
            </w:tcMar>
            <w:vAlign w:val="center"/>
          </w:tcPr>
          <w:p w14:paraId="5295B31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2025.11.25</w:t>
            </w:r>
            <w:r>
              <w:rPr>
                <w:rFonts w:ascii="Times New Roman" w:hAnsi="Times New Roman" w:hint="eastAsia"/>
                <w:sz w:val="18"/>
                <w:szCs w:val="18"/>
              </w:rPr>
              <w:t>获批延续注册</w:t>
            </w:r>
          </w:p>
        </w:tc>
      </w:tr>
      <w:tr w:rsidR="00113A51" w14:paraId="1BAFE7BD" w14:textId="77777777" w:rsidTr="00C707CF">
        <w:trPr>
          <w:cantSplit/>
          <w:jc w:val="center"/>
        </w:trPr>
        <w:tc>
          <w:tcPr>
            <w:tcW w:w="418" w:type="dxa"/>
            <w:tcMar>
              <w:top w:w="10" w:type="dxa"/>
              <w:left w:w="10" w:type="dxa"/>
              <w:bottom w:w="10" w:type="dxa"/>
              <w:right w:w="10" w:type="dxa"/>
            </w:tcMar>
            <w:vAlign w:val="center"/>
          </w:tcPr>
          <w:p w14:paraId="7AE2283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81</w:t>
            </w:r>
          </w:p>
        </w:tc>
        <w:tc>
          <w:tcPr>
            <w:tcW w:w="1530" w:type="dxa"/>
            <w:tcMar>
              <w:top w:w="10" w:type="dxa"/>
              <w:left w:w="10" w:type="dxa"/>
              <w:bottom w:w="10" w:type="dxa"/>
              <w:right w:w="10" w:type="dxa"/>
            </w:tcMar>
            <w:vAlign w:val="center"/>
          </w:tcPr>
          <w:p w14:paraId="250F418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D-</w:t>
            </w:r>
            <w:r>
              <w:rPr>
                <w:rFonts w:ascii="Times New Roman" w:hAnsi="Times New Roman" w:hint="eastAsia"/>
                <w:sz w:val="18"/>
                <w:szCs w:val="18"/>
              </w:rPr>
              <w:t>二聚体（</w:t>
            </w:r>
            <w:r>
              <w:rPr>
                <w:rFonts w:ascii="Times New Roman" w:hAnsi="Times New Roman" w:cs="Times New Roman"/>
                <w:sz w:val="18"/>
                <w:szCs w:val="18"/>
              </w:rPr>
              <w:t>D-Dimer</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1A6BE4B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20212400850</w:t>
            </w:r>
          </w:p>
        </w:tc>
        <w:tc>
          <w:tcPr>
            <w:tcW w:w="425" w:type="dxa"/>
            <w:tcMar>
              <w:top w:w="10" w:type="dxa"/>
              <w:left w:w="10" w:type="dxa"/>
              <w:bottom w:w="10" w:type="dxa"/>
              <w:right w:w="10" w:type="dxa"/>
            </w:tcMar>
            <w:vAlign w:val="center"/>
          </w:tcPr>
          <w:p w14:paraId="0B755B4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0A4DB2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用于体外定量检测人血浆中的</w:t>
            </w:r>
            <w:r>
              <w:rPr>
                <w:rFonts w:ascii="Times New Roman" w:hAnsi="Times New Roman" w:cs="Times New Roman"/>
                <w:sz w:val="18"/>
                <w:szCs w:val="18"/>
              </w:rPr>
              <w:t>D-</w:t>
            </w:r>
            <w:r>
              <w:rPr>
                <w:rFonts w:ascii="Times New Roman" w:hAnsi="Times New Roman" w:hint="eastAsia"/>
                <w:sz w:val="18"/>
                <w:szCs w:val="18"/>
              </w:rPr>
              <w:t>二聚体的含量。</w:t>
            </w:r>
          </w:p>
        </w:tc>
        <w:tc>
          <w:tcPr>
            <w:tcW w:w="992" w:type="dxa"/>
            <w:tcMar>
              <w:top w:w="10" w:type="dxa"/>
              <w:left w:w="10" w:type="dxa"/>
              <w:bottom w:w="10" w:type="dxa"/>
              <w:right w:w="10" w:type="dxa"/>
            </w:tcMar>
            <w:vAlign w:val="center"/>
          </w:tcPr>
          <w:p w14:paraId="743CD83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2026.05.25</w:t>
            </w:r>
          </w:p>
        </w:tc>
        <w:tc>
          <w:tcPr>
            <w:tcW w:w="1276" w:type="dxa"/>
            <w:tcMar>
              <w:top w:w="10" w:type="dxa"/>
              <w:left w:w="10" w:type="dxa"/>
              <w:bottom w:w="10" w:type="dxa"/>
              <w:right w:w="10" w:type="dxa"/>
            </w:tcMar>
            <w:vAlign w:val="center"/>
          </w:tcPr>
          <w:p w14:paraId="07D7E9C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0EA054D" w14:textId="77777777" w:rsidTr="00C707CF">
        <w:trPr>
          <w:cantSplit/>
          <w:jc w:val="center"/>
        </w:trPr>
        <w:tc>
          <w:tcPr>
            <w:tcW w:w="418" w:type="dxa"/>
            <w:tcMar>
              <w:top w:w="10" w:type="dxa"/>
              <w:left w:w="10" w:type="dxa"/>
              <w:bottom w:w="10" w:type="dxa"/>
              <w:right w:w="10" w:type="dxa"/>
            </w:tcMar>
            <w:vAlign w:val="center"/>
          </w:tcPr>
          <w:p w14:paraId="675ACC6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82</w:t>
            </w:r>
          </w:p>
        </w:tc>
        <w:tc>
          <w:tcPr>
            <w:tcW w:w="1530" w:type="dxa"/>
            <w:tcMar>
              <w:top w:w="10" w:type="dxa"/>
              <w:left w:w="10" w:type="dxa"/>
              <w:bottom w:w="10" w:type="dxa"/>
              <w:right w:w="10" w:type="dxa"/>
            </w:tcMar>
            <w:vAlign w:val="center"/>
          </w:tcPr>
          <w:p w14:paraId="41A84B8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同型半胱氨酸（</w:t>
            </w:r>
            <w:r>
              <w:rPr>
                <w:rFonts w:ascii="Times New Roman" w:hAnsi="Times New Roman" w:cs="Times New Roman"/>
                <w:sz w:val="18"/>
                <w:szCs w:val="18"/>
              </w:rPr>
              <w:t>HCY</w:t>
            </w:r>
            <w:r>
              <w:rPr>
                <w:rFonts w:ascii="Times New Roman" w:hAnsi="Times New Roman" w:hint="eastAsia"/>
                <w:sz w:val="18"/>
                <w:szCs w:val="18"/>
              </w:rPr>
              <w:t>）检测试剂盒（循环酶法）</w:t>
            </w:r>
          </w:p>
        </w:tc>
        <w:tc>
          <w:tcPr>
            <w:tcW w:w="1134" w:type="dxa"/>
            <w:tcMar>
              <w:top w:w="10" w:type="dxa"/>
              <w:left w:w="10" w:type="dxa"/>
              <w:bottom w:w="10" w:type="dxa"/>
              <w:right w:w="10" w:type="dxa"/>
            </w:tcMar>
            <w:vAlign w:val="center"/>
          </w:tcPr>
          <w:p w14:paraId="542DC9E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20212400849</w:t>
            </w:r>
          </w:p>
        </w:tc>
        <w:tc>
          <w:tcPr>
            <w:tcW w:w="425" w:type="dxa"/>
            <w:tcMar>
              <w:top w:w="10" w:type="dxa"/>
              <w:left w:w="10" w:type="dxa"/>
              <w:bottom w:w="10" w:type="dxa"/>
              <w:right w:w="10" w:type="dxa"/>
            </w:tcMar>
            <w:vAlign w:val="center"/>
          </w:tcPr>
          <w:p w14:paraId="10E8959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416CCF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本产品用于体外定量检测人体血清中的同型半胱氨酸（</w:t>
            </w:r>
            <w:r>
              <w:rPr>
                <w:rFonts w:ascii="Times New Roman" w:hAnsi="Times New Roman" w:cs="Times New Roman"/>
                <w:sz w:val="18"/>
                <w:szCs w:val="18"/>
              </w:rPr>
              <w:t>HCY</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26FDBE4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2026.05.25</w:t>
            </w:r>
          </w:p>
        </w:tc>
        <w:tc>
          <w:tcPr>
            <w:tcW w:w="1276" w:type="dxa"/>
            <w:tcMar>
              <w:top w:w="10" w:type="dxa"/>
              <w:left w:w="10" w:type="dxa"/>
              <w:bottom w:w="10" w:type="dxa"/>
              <w:right w:w="10" w:type="dxa"/>
            </w:tcMar>
            <w:vAlign w:val="center"/>
          </w:tcPr>
          <w:p w14:paraId="67E980C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ABDD6D4" w14:textId="77777777" w:rsidTr="00C707CF">
        <w:trPr>
          <w:cantSplit/>
          <w:jc w:val="center"/>
        </w:trPr>
        <w:tc>
          <w:tcPr>
            <w:tcW w:w="418" w:type="dxa"/>
            <w:tcMar>
              <w:top w:w="10" w:type="dxa"/>
              <w:left w:w="10" w:type="dxa"/>
              <w:bottom w:w="10" w:type="dxa"/>
              <w:right w:w="10" w:type="dxa"/>
            </w:tcMar>
            <w:vAlign w:val="center"/>
          </w:tcPr>
          <w:p w14:paraId="31C55F7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83</w:t>
            </w:r>
          </w:p>
        </w:tc>
        <w:tc>
          <w:tcPr>
            <w:tcW w:w="1530" w:type="dxa"/>
            <w:tcMar>
              <w:top w:w="10" w:type="dxa"/>
              <w:left w:w="10" w:type="dxa"/>
              <w:bottom w:w="10" w:type="dxa"/>
              <w:right w:w="10" w:type="dxa"/>
            </w:tcMar>
            <w:vAlign w:val="center"/>
          </w:tcPr>
          <w:p w14:paraId="093A3AF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中性粒细胞明胶酶相关脂质运载蛋白（</w:t>
            </w:r>
            <w:r>
              <w:rPr>
                <w:rFonts w:ascii="Times New Roman" w:hAnsi="Times New Roman" w:cs="Times New Roman"/>
                <w:sz w:val="18"/>
                <w:szCs w:val="18"/>
              </w:rPr>
              <w:t>NGAL</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42AB5E8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20212400848</w:t>
            </w:r>
          </w:p>
        </w:tc>
        <w:tc>
          <w:tcPr>
            <w:tcW w:w="425" w:type="dxa"/>
            <w:tcMar>
              <w:top w:w="10" w:type="dxa"/>
              <w:left w:w="10" w:type="dxa"/>
              <w:bottom w:w="10" w:type="dxa"/>
              <w:right w:w="10" w:type="dxa"/>
            </w:tcMar>
            <w:vAlign w:val="center"/>
          </w:tcPr>
          <w:p w14:paraId="62FC4D6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7F2E92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用于体外定量检测人体血浆中的中性粒细胞明胶酶相关脂质运载蛋白（</w:t>
            </w:r>
            <w:r>
              <w:rPr>
                <w:rFonts w:ascii="Times New Roman" w:hAnsi="Times New Roman" w:cs="Times New Roman"/>
                <w:sz w:val="18"/>
                <w:szCs w:val="18"/>
              </w:rPr>
              <w:t>NGAL</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04B60D7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2026.05.25</w:t>
            </w:r>
          </w:p>
        </w:tc>
        <w:tc>
          <w:tcPr>
            <w:tcW w:w="1276" w:type="dxa"/>
            <w:tcMar>
              <w:top w:w="10" w:type="dxa"/>
              <w:left w:w="10" w:type="dxa"/>
              <w:bottom w:w="10" w:type="dxa"/>
              <w:right w:w="10" w:type="dxa"/>
            </w:tcMar>
            <w:vAlign w:val="center"/>
          </w:tcPr>
          <w:p w14:paraId="455655C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3BCAFEF" w14:textId="77777777" w:rsidTr="00C707CF">
        <w:trPr>
          <w:cantSplit/>
          <w:jc w:val="center"/>
        </w:trPr>
        <w:tc>
          <w:tcPr>
            <w:tcW w:w="418" w:type="dxa"/>
            <w:tcMar>
              <w:top w:w="10" w:type="dxa"/>
              <w:left w:w="10" w:type="dxa"/>
              <w:bottom w:w="10" w:type="dxa"/>
              <w:right w:w="10" w:type="dxa"/>
            </w:tcMar>
            <w:vAlign w:val="center"/>
          </w:tcPr>
          <w:p w14:paraId="0BFD615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84</w:t>
            </w:r>
          </w:p>
        </w:tc>
        <w:tc>
          <w:tcPr>
            <w:tcW w:w="1530" w:type="dxa"/>
            <w:tcMar>
              <w:top w:w="10" w:type="dxa"/>
              <w:left w:w="10" w:type="dxa"/>
              <w:bottom w:w="10" w:type="dxa"/>
              <w:right w:w="10" w:type="dxa"/>
            </w:tcMar>
            <w:vAlign w:val="center"/>
          </w:tcPr>
          <w:p w14:paraId="0D91ACA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电解质（</w:t>
            </w:r>
            <w:r>
              <w:rPr>
                <w:rFonts w:ascii="Times New Roman" w:hAnsi="Times New Roman" w:cs="Times New Roman"/>
                <w:sz w:val="18"/>
                <w:szCs w:val="18"/>
              </w:rPr>
              <w:t>CO2/Mg/P/Fe</w:t>
            </w:r>
            <w:r>
              <w:rPr>
                <w:rFonts w:ascii="Times New Roman" w:hAnsi="Times New Roman" w:hint="eastAsia"/>
                <w:sz w:val="18"/>
                <w:szCs w:val="18"/>
              </w:rPr>
              <w:t>）检测试剂盒</w:t>
            </w:r>
            <w:r>
              <w:rPr>
                <w:rFonts w:ascii="Times New Roman" w:hAnsi="Times New Roman" w:cs="Times New Roman"/>
                <w:sz w:val="18"/>
                <w:szCs w:val="18"/>
              </w:rPr>
              <w:t>(</w:t>
            </w:r>
            <w:r>
              <w:rPr>
                <w:rFonts w:ascii="Times New Roman" w:hAnsi="Times New Roman" w:hint="eastAsia"/>
                <w:sz w:val="18"/>
                <w:szCs w:val="18"/>
              </w:rPr>
              <w:t>速率法</w:t>
            </w:r>
            <w:r>
              <w:rPr>
                <w:rFonts w:ascii="Times New Roman" w:hAnsi="Times New Roman" w:cs="Times New Roman"/>
                <w:sz w:val="18"/>
                <w:szCs w:val="18"/>
              </w:rPr>
              <w:t>/</w:t>
            </w:r>
            <w:r>
              <w:rPr>
                <w:rFonts w:ascii="Times New Roman" w:hAnsi="Times New Roman" w:hint="eastAsia"/>
                <w:sz w:val="18"/>
                <w:szCs w:val="18"/>
              </w:rPr>
              <w:t>终点法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508291E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20212400923</w:t>
            </w:r>
          </w:p>
        </w:tc>
        <w:tc>
          <w:tcPr>
            <w:tcW w:w="425" w:type="dxa"/>
            <w:tcMar>
              <w:top w:w="10" w:type="dxa"/>
              <w:left w:w="10" w:type="dxa"/>
              <w:bottom w:w="10" w:type="dxa"/>
              <w:right w:w="10" w:type="dxa"/>
            </w:tcMar>
            <w:vAlign w:val="center"/>
          </w:tcPr>
          <w:p w14:paraId="7E0C503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FFC48B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用于体外定量检测人体血清中二氧化碳（</w:t>
            </w:r>
            <w:r>
              <w:rPr>
                <w:rFonts w:ascii="Times New Roman" w:hAnsi="Times New Roman" w:cs="Times New Roman"/>
                <w:sz w:val="18"/>
                <w:szCs w:val="18"/>
              </w:rPr>
              <w:t>CO</w:t>
            </w:r>
            <w:r>
              <w:rPr>
                <w:rFonts w:ascii="Times New Roman" w:hAnsi="Times New Roman"/>
                <w:sz w:val="18"/>
                <w:szCs w:val="18"/>
              </w:rPr>
              <w:t>₂</w:t>
            </w:r>
            <w:r>
              <w:rPr>
                <w:rFonts w:ascii="Times New Roman" w:hAnsi="Times New Roman" w:hint="eastAsia"/>
                <w:sz w:val="18"/>
                <w:szCs w:val="18"/>
              </w:rPr>
              <w:t>）、镁（</w:t>
            </w:r>
            <w:r>
              <w:rPr>
                <w:rFonts w:ascii="Times New Roman" w:hAnsi="Times New Roman" w:cs="Times New Roman"/>
                <w:sz w:val="18"/>
                <w:szCs w:val="18"/>
              </w:rPr>
              <w:t>Mg</w:t>
            </w:r>
            <w:r>
              <w:rPr>
                <w:rFonts w:ascii="Times New Roman" w:hAnsi="Times New Roman" w:hint="eastAsia"/>
                <w:sz w:val="18"/>
                <w:szCs w:val="18"/>
              </w:rPr>
              <w:t>）、无机磷（</w:t>
            </w:r>
            <w:r>
              <w:rPr>
                <w:rFonts w:ascii="Times New Roman" w:hAnsi="Times New Roman" w:cs="Times New Roman"/>
                <w:sz w:val="18"/>
                <w:szCs w:val="18"/>
              </w:rPr>
              <w:t>P</w:t>
            </w:r>
            <w:r>
              <w:rPr>
                <w:rFonts w:ascii="Times New Roman" w:hAnsi="Times New Roman" w:hint="eastAsia"/>
                <w:sz w:val="18"/>
                <w:szCs w:val="18"/>
              </w:rPr>
              <w:t>）、铁（</w:t>
            </w:r>
            <w:r>
              <w:rPr>
                <w:rFonts w:ascii="Times New Roman" w:hAnsi="Times New Roman" w:cs="Times New Roman"/>
                <w:sz w:val="18"/>
                <w:szCs w:val="18"/>
              </w:rPr>
              <w:t>Fe</w:t>
            </w:r>
            <w:r>
              <w:rPr>
                <w:rFonts w:ascii="Times New Roman" w:hAnsi="Times New Roman" w:hint="eastAsia"/>
                <w:sz w:val="18"/>
                <w:szCs w:val="18"/>
              </w:rPr>
              <w:t>）的浓度。</w:t>
            </w:r>
          </w:p>
        </w:tc>
        <w:tc>
          <w:tcPr>
            <w:tcW w:w="992" w:type="dxa"/>
            <w:tcMar>
              <w:top w:w="10" w:type="dxa"/>
              <w:left w:w="10" w:type="dxa"/>
              <w:bottom w:w="10" w:type="dxa"/>
              <w:right w:w="10" w:type="dxa"/>
            </w:tcMar>
            <w:vAlign w:val="center"/>
          </w:tcPr>
          <w:p w14:paraId="65953D8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2026.05.30</w:t>
            </w:r>
          </w:p>
        </w:tc>
        <w:tc>
          <w:tcPr>
            <w:tcW w:w="1276" w:type="dxa"/>
            <w:tcMar>
              <w:top w:w="10" w:type="dxa"/>
              <w:left w:w="10" w:type="dxa"/>
              <w:bottom w:w="10" w:type="dxa"/>
              <w:right w:w="10" w:type="dxa"/>
            </w:tcMar>
            <w:vAlign w:val="center"/>
          </w:tcPr>
          <w:p w14:paraId="78185AB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B08361C" w14:textId="77777777" w:rsidTr="00C707CF">
        <w:trPr>
          <w:cantSplit/>
          <w:jc w:val="center"/>
        </w:trPr>
        <w:tc>
          <w:tcPr>
            <w:tcW w:w="418" w:type="dxa"/>
            <w:tcMar>
              <w:top w:w="10" w:type="dxa"/>
              <w:left w:w="10" w:type="dxa"/>
              <w:bottom w:w="10" w:type="dxa"/>
              <w:right w:w="10" w:type="dxa"/>
            </w:tcMar>
            <w:vAlign w:val="center"/>
          </w:tcPr>
          <w:p w14:paraId="4104FF1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85</w:t>
            </w:r>
          </w:p>
        </w:tc>
        <w:tc>
          <w:tcPr>
            <w:tcW w:w="1530" w:type="dxa"/>
            <w:tcMar>
              <w:top w:w="10" w:type="dxa"/>
              <w:left w:w="10" w:type="dxa"/>
              <w:bottom w:w="10" w:type="dxa"/>
              <w:right w:w="10" w:type="dxa"/>
            </w:tcMar>
            <w:vAlign w:val="center"/>
          </w:tcPr>
          <w:p w14:paraId="680FDBC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电解质（</w:t>
            </w:r>
            <w:r>
              <w:rPr>
                <w:rFonts w:ascii="Times New Roman" w:hAnsi="Times New Roman" w:cs="Times New Roman"/>
                <w:sz w:val="18"/>
                <w:szCs w:val="18"/>
              </w:rPr>
              <w:t>K/Na/Cl/Ca</w:t>
            </w:r>
            <w:r>
              <w:rPr>
                <w:rFonts w:ascii="Times New Roman" w:hAnsi="Times New Roman" w:hint="eastAsia"/>
                <w:sz w:val="18"/>
                <w:szCs w:val="18"/>
              </w:rPr>
              <w:t>）检测试剂盒</w:t>
            </w:r>
            <w:r>
              <w:rPr>
                <w:rFonts w:ascii="Times New Roman" w:hAnsi="Times New Roman" w:cs="Times New Roman"/>
                <w:sz w:val="18"/>
                <w:szCs w:val="18"/>
              </w:rPr>
              <w:t>(</w:t>
            </w:r>
            <w:r>
              <w:rPr>
                <w:rFonts w:ascii="Times New Roman" w:hAnsi="Times New Roman" w:hint="eastAsia"/>
                <w:sz w:val="18"/>
                <w:szCs w:val="18"/>
              </w:rPr>
              <w:t>速率法</w:t>
            </w:r>
            <w:r>
              <w:rPr>
                <w:rFonts w:ascii="Times New Roman" w:hAnsi="Times New Roman" w:cs="Times New Roman"/>
                <w:sz w:val="18"/>
                <w:szCs w:val="18"/>
              </w:rPr>
              <w:t>/</w:t>
            </w:r>
            <w:r>
              <w:rPr>
                <w:rFonts w:ascii="Times New Roman" w:hAnsi="Times New Roman" w:hint="eastAsia"/>
                <w:sz w:val="18"/>
                <w:szCs w:val="18"/>
              </w:rPr>
              <w:t>终点法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250A5AC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20212400893</w:t>
            </w:r>
          </w:p>
        </w:tc>
        <w:tc>
          <w:tcPr>
            <w:tcW w:w="425" w:type="dxa"/>
            <w:tcMar>
              <w:top w:w="10" w:type="dxa"/>
              <w:left w:w="10" w:type="dxa"/>
              <w:bottom w:w="10" w:type="dxa"/>
              <w:right w:w="10" w:type="dxa"/>
            </w:tcMar>
            <w:vAlign w:val="center"/>
          </w:tcPr>
          <w:p w14:paraId="2052D2B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E6D34E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用于体外定量检测人体血清中的电解质钾（</w:t>
            </w:r>
            <w:r>
              <w:rPr>
                <w:rFonts w:ascii="Times New Roman" w:hAnsi="Times New Roman" w:cs="Times New Roman"/>
                <w:sz w:val="18"/>
                <w:szCs w:val="18"/>
              </w:rPr>
              <w:t>K</w:t>
            </w:r>
            <w:r>
              <w:rPr>
                <w:rFonts w:ascii="Times New Roman" w:hAnsi="Times New Roman" w:hint="eastAsia"/>
                <w:sz w:val="18"/>
                <w:szCs w:val="18"/>
              </w:rPr>
              <w:t>）、钠（</w:t>
            </w:r>
            <w:r>
              <w:rPr>
                <w:rFonts w:ascii="Times New Roman" w:hAnsi="Times New Roman" w:cs="Times New Roman"/>
                <w:sz w:val="18"/>
                <w:szCs w:val="18"/>
              </w:rPr>
              <w:t>Na</w:t>
            </w:r>
            <w:r>
              <w:rPr>
                <w:rFonts w:ascii="Times New Roman" w:hAnsi="Times New Roman" w:hint="eastAsia"/>
                <w:sz w:val="18"/>
                <w:szCs w:val="18"/>
              </w:rPr>
              <w:t>）、氯（</w:t>
            </w:r>
            <w:r>
              <w:rPr>
                <w:rFonts w:ascii="Times New Roman" w:hAnsi="Times New Roman" w:cs="Times New Roman"/>
                <w:sz w:val="18"/>
                <w:szCs w:val="18"/>
              </w:rPr>
              <w:t>Cl</w:t>
            </w:r>
            <w:r>
              <w:rPr>
                <w:rFonts w:ascii="Times New Roman" w:hAnsi="Times New Roman" w:hint="eastAsia"/>
                <w:sz w:val="18"/>
                <w:szCs w:val="18"/>
              </w:rPr>
              <w:t>）及钙（</w:t>
            </w:r>
            <w:r>
              <w:rPr>
                <w:rFonts w:ascii="Times New Roman" w:hAnsi="Times New Roman" w:cs="Times New Roman"/>
                <w:sz w:val="18"/>
                <w:szCs w:val="18"/>
              </w:rPr>
              <w:t>Ca</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4FD099E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2026.05.30</w:t>
            </w:r>
          </w:p>
        </w:tc>
        <w:tc>
          <w:tcPr>
            <w:tcW w:w="1276" w:type="dxa"/>
            <w:tcMar>
              <w:top w:w="10" w:type="dxa"/>
              <w:left w:w="10" w:type="dxa"/>
              <w:bottom w:w="10" w:type="dxa"/>
              <w:right w:w="10" w:type="dxa"/>
            </w:tcMar>
            <w:vAlign w:val="center"/>
          </w:tcPr>
          <w:p w14:paraId="0F48ED0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AD213FB" w14:textId="77777777" w:rsidTr="00C707CF">
        <w:trPr>
          <w:cantSplit/>
          <w:jc w:val="center"/>
        </w:trPr>
        <w:tc>
          <w:tcPr>
            <w:tcW w:w="418" w:type="dxa"/>
            <w:tcMar>
              <w:top w:w="10" w:type="dxa"/>
              <w:left w:w="10" w:type="dxa"/>
              <w:bottom w:w="10" w:type="dxa"/>
              <w:right w:w="10" w:type="dxa"/>
            </w:tcMar>
            <w:vAlign w:val="center"/>
          </w:tcPr>
          <w:p w14:paraId="5FE70C5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86</w:t>
            </w:r>
          </w:p>
        </w:tc>
        <w:tc>
          <w:tcPr>
            <w:tcW w:w="1530" w:type="dxa"/>
            <w:tcMar>
              <w:top w:w="10" w:type="dxa"/>
              <w:left w:w="10" w:type="dxa"/>
              <w:bottom w:w="10" w:type="dxa"/>
              <w:right w:w="10" w:type="dxa"/>
            </w:tcMar>
            <w:vAlign w:val="center"/>
          </w:tcPr>
          <w:p w14:paraId="56375DF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D-</w:t>
            </w:r>
            <w:r>
              <w:rPr>
                <w:rFonts w:ascii="Times New Roman" w:hAnsi="Times New Roman" w:hint="eastAsia"/>
                <w:sz w:val="18"/>
                <w:szCs w:val="18"/>
              </w:rPr>
              <w:t>二聚体</w:t>
            </w:r>
            <w:r>
              <w:rPr>
                <w:rFonts w:ascii="Times New Roman" w:hAnsi="Times New Roman" w:cs="Times New Roman"/>
                <w:sz w:val="18"/>
                <w:szCs w:val="18"/>
              </w:rPr>
              <w:t>/</w:t>
            </w:r>
            <w:r>
              <w:rPr>
                <w:rFonts w:ascii="Times New Roman" w:hAnsi="Times New Roman" w:hint="eastAsia"/>
                <w:sz w:val="18"/>
                <w:szCs w:val="18"/>
              </w:rPr>
              <w:t>纤维蛋白</w:t>
            </w:r>
            <w:r>
              <w:rPr>
                <w:rFonts w:ascii="Times New Roman" w:hAnsi="Times New Roman" w:cs="Times New Roman"/>
                <w:sz w:val="18"/>
                <w:szCs w:val="18"/>
              </w:rPr>
              <w:t>(</w:t>
            </w:r>
            <w:r>
              <w:rPr>
                <w:rFonts w:ascii="Times New Roman" w:hAnsi="Times New Roman" w:hint="eastAsia"/>
                <w:sz w:val="18"/>
                <w:szCs w:val="18"/>
              </w:rPr>
              <w:t>原</w:t>
            </w:r>
            <w:r>
              <w:rPr>
                <w:rFonts w:ascii="Times New Roman" w:hAnsi="Times New Roman" w:cs="Times New Roman"/>
                <w:sz w:val="18"/>
                <w:szCs w:val="18"/>
              </w:rPr>
              <w:t>)</w:t>
            </w:r>
            <w:r>
              <w:rPr>
                <w:rFonts w:ascii="Times New Roman" w:hAnsi="Times New Roman" w:hint="eastAsia"/>
                <w:sz w:val="18"/>
                <w:szCs w:val="18"/>
              </w:rPr>
              <w:t>降解产物（</w:t>
            </w:r>
            <w:r>
              <w:rPr>
                <w:rFonts w:ascii="Times New Roman" w:hAnsi="Times New Roman" w:cs="Times New Roman"/>
                <w:sz w:val="18"/>
                <w:szCs w:val="18"/>
              </w:rPr>
              <w:t>D-Dimer/FDP</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4C98356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20212400971</w:t>
            </w:r>
          </w:p>
        </w:tc>
        <w:tc>
          <w:tcPr>
            <w:tcW w:w="425" w:type="dxa"/>
            <w:tcMar>
              <w:top w:w="10" w:type="dxa"/>
              <w:left w:w="10" w:type="dxa"/>
              <w:bottom w:w="10" w:type="dxa"/>
              <w:right w:w="10" w:type="dxa"/>
            </w:tcMar>
            <w:vAlign w:val="center"/>
          </w:tcPr>
          <w:p w14:paraId="51E788F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B8463F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用于体外定量检测人血浆中的</w:t>
            </w:r>
            <w:r>
              <w:rPr>
                <w:rFonts w:ascii="Times New Roman" w:hAnsi="Times New Roman" w:cs="Times New Roman"/>
                <w:sz w:val="18"/>
                <w:szCs w:val="18"/>
              </w:rPr>
              <w:t>D-</w:t>
            </w:r>
            <w:r>
              <w:rPr>
                <w:rFonts w:ascii="Times New Roman" w:hAnsi="Times New Roman" w:hint="eastAsia"/>
                <w:sz w:val="18"/>
                <w:szCs w:val="18"/>
              </w:rPr>
              <w:t>二聚体（</w:t>
            </w:r>
            <w:r>
              <w:rPr>
                <w:rFonts w:ascii="Times New Roman" w:hAnsi="Times New Roman" w:cs="Times New Roman"/>
                <w:sz w:val="18"/>
                <w:szCs w:val="18"/>
              </w:rPr>
              <w:t>D-Dimer</w:t>
            </w:r>
            <w:r>
              <w:rPr>
                <w:rFonts w:ascii="Times New Roman" w:hAnsi="Times New Roman" w:hint="eastAsia"/>
                <w:sz w:val="18"/>
                <w:szCs w:val="18"/>
              </w:rPr>
              <w:t>）和纤维蛋白（原）降解产物（</w:t>
            </w:r>
            <w:r>
              <w:rPr>
                <w:rFonts w:ascii="Times New Roman" w:hAnsi="Times New Roman" w:cs="Times New Roman"/>
                <w:sz w:val="18"/>
                <w:szCs w:val="18"/>
              </w:rPr>
              <w:t>FDP</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3B3ED38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6E0D46C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0E1F275" w14:textId="77777777" w:rsidTr="00C707CF">
        <w:trPr>
          <w:cantSplit/>
          <w:jc w:val="center"/>
        </w:trPr>
        <w:tc>
          <w:tcPr>
            <w:tcW w:w="418" w:type="dxa"/>
            <w:tcMar>
              <w:top w:w="10" w:type="dxa"/>
              <w:left w:w="10" w:type="dxa"/>
              <w:bottom w:w="10" w:type="dxa"/>
              <w:right w:w="10" w:type="dxa"/>
            </w:tcMar>
            <w:vAlign w:val="center"/>
          </w:tcPr>
          <w:p w14:paraId="549684B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87</w:t>
            </w:r>
          </w:p>
        </w:tc>
        <w:tc>
          <w:tcPr>
            <w:tcW w:w="1530" w:type="dxa"/>
            <w:tcMar>
              <w:top w:w="10" w:type="dxa"/>
              <w:left w:w="10" w:type="dxa"/>
              <w:bottom w:w="10" w:type="dxa"/>
              <w:right w:w="10" w:type="dxa"/>
            </w:tcMar>
            <w:vAlign w:val="center"/>
          </w:tcPr>
          <w:p w14:paraId="2884637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α</w:t>
            </w:r>
            <w:r>
              <w:rPr>
                <w:rFonts w:ascii="Times New Roman" w:hAnsi="Times New Roman" w:cs="Times New Roman"/>
                <w:sz w:val="18"/>
                <w:szCs w:val="18"/>
              </w:rPr>
              <w:t>1-</w:t>
            </w:r>
            <w:r>
              <w:rPr>
                <w:rFonts w:ascii="Times New Roman" w:hAnsi="Times New Roman" w:hint="eastAsia"/>
                <w:sz w:val="18"/>
                <w:szCs w:val="18"/>
              </w:rPr>
              <w:t>微球蛋白</w:t>
            </w:r>
            <w:r>
              <w:rPr>
                <w:rFonts w:ascii="Times New Roman" w:hAnsi="Times New Roman" w:cs="Times New Roman"/>
                <w:sz w:val="18"/>
                <w:szCs w:val="18"/>
              </w:rPr>
              <w:t>/</w:t>
            </w:r>
            <w:r>
              <w:rPr>
                <w:rFonts w:ascii="Times New Roman" w:hAnsi="Times New Roman" w:hint="eastAsia"/>
                <w:sz w:val="18"/>
                <w:szCs w:val="18"/>
              </w:rPr>
              <w:t>视黄醇结合蛋白</w:t>
            </w:r>
            <w:r>
              <w:rPr>
                <w:rFonts w:ascii="Times New Roman" w:hAnsi="Times New Roman" w:cs="Times New Roman"/>
                <w:sz w:val="18"/>
                <w:szCs w:val="18"/>
              </w:rPr>
              <w:t>/</w:t>
            </w:r>
            <w:r>
              <w:rPr>
                <w:rFonts w:ascii="Times New Roman" w:hAnsi="Times New Roman" w:hint="eastAsia"/>
                <w:sz w:val="18"/>
                <w:szCs w:val="18"/>
              </w:rPr>
              <w:t>β</w:t>
            </w:r>
            <w:r>
              <w:rPr>
                <w:rFonts w:ascii="Times New Roman" w:hAnsi="Times New Roman" w:cs="Times New Roman"/>
                <w:sz w:val="18"/>
                <w:szCs w:val="18"/>
              </w:rPr>
              <w:t>2-</w:t>
            </w:r>
            <w:r>
              <w:rPr>
                <w:rFonts w:ascii="Times New Roman" w:hAnsi="Times New Roman" w:hint="eastAsia"/>
                <w:sz w:val="18"/>
                <w:szCs w:val="18"/>
              </w:rPr>
              <w:t>微球蛋白</w:t>
            </w:r>
            <w:r>
              <w:rPr>
                <w:rFonts w:ascii="Times New Roman" w:hAnsi="Times New Roman" w:cs="Times New Roman"/>
                <w:sz w:val="18"/>
                <w:szCs w:val="18"/>
              </w:rPr>
              <w:t>(</w:t>
            </w:r>
            <w:r>
              <w:rPr>
                <w:rFonts w:ascii="Times New Roman" w:hAnsi="Times New Roman" w:hint="eastAsia"/>
                <w:sz w:val="18"/>
                <w:szCs w:val="18"/>
              </w:rPr>
              <w:t>α</w:t>
            </w:r>
            <w:r>
              <w:rPr>
                <w:rFonts w:ascii="Times New Roman" w:hAnsi="Times New Roman" w:cs="Times New Roman"/>
                <w:sz w:val="18"/>
                <w:szCs w:val="18"/>
              </w:rPr>
              <w:t>1-MG/RBP/</w:t>
            </w:r>
            <w:r>
              <w:rPr>
                <w:rFonts w:ascii="Times New Roman" w:hAnsi="Times New Roman" w:hint="eastAsia"/>
                <w:sz w:val="18"/>
                <w:szCs w:val="18"/>
              </w:rPr>
              <w:t>β</w:t>
            </w:r>
            <w:r>
              <w:rPr>
                <w:rFonts w:ascii="Times New Roman" w:hAnsi="Times New Roman" w:cs="Times New Roman"/>
                <w:sz w:val="18"/>
                <w:szCs w:val="18"/>
              </w:rPr>
              <w:t>2-MG)</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4A51514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20212400949</w:t>
            </w:r>
          </w:p>
        </w:tc>
        <w:tc>
          <w:tcPr>
            <w:tcW w:w="425" w:type="dxa"/>
            <w:tcMar>
              <w:top w:w="10" w:type="dxa"/>
              <w:left w:w="10" w:type="dxa"/>
              <w:bottom w:w="10" w:type="dxa"/>
              <w:right w:w="10" w:type="dxa"/>
            </w:tcMar>
            <w:vAlign w:val="center"/>
          </w:tcPr>
          <w:p w14:paraId="1F9444D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8F423C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用于体外定量检测人尿液中的α</w:t>
            </w:r>
            <w:r>
              <w:rPr>
                <w:rFonts w:ascii="Times New Roman" w:hAnsi="Times New Roman" w:cs="Times New Roman"/>
                <w:sz w:val="18"/>
                <w:szCs w:val="18"/>
              </w:rPr>
              <w:t>1-</w:t>
            </w:r>
            <w:r>
              <w:rPr>
                <w:rFonts w:ascii="Times New Roman" w:hAnsi="Times New Roman" w:hint="eastAsia"/>
                <w:sz w:val="18"/>
                <w:szCs w:val="18"/>
              </w:rPr>
              <w:t>微球蛋白（α</w:t>
            </w:r>
            <w:r>
              <w:rPr>
                <w:rFonts w:ascii="Times New Roman" w:hAnsi="Times New Roman" w:cs="Times New Roman"/>
                <w:sz w:val="18"/>
                <w:szCs w:val="18"/>
              </w:rPr>
              <w:t>1-MG</w:t>
            </w:r>
            <w:r>
              <w:rPr>
                <w:rFonts w:ascii="Times New Roman" w:hAnsi="Times New Roman" w:hint="eastAsia"/>
                <w:sz w:val="18"/>
                <w:szCs w:val="18"/>
              </w:rPr>
              <w:t>）、视黄醇结合蛋白（</w:t>
            </w:r>
            <w:r>
              <w:rPr>
                <w:rFonts w:ascii="Times New Roman" w:hAnsi="Times New Roman" w:cs="Times New Roman"/>
                <w:sz w:val="18"/>
                <w:szCs w:val="18"/>
              </w:rPr>
              <w:t>RBP</w:t>
            </w:r>
            <w:r>
              <w:rPr>
                <w:rFonts w:ascii="Times New Roman" w:hAnsi="Times New Roman" w:hint="eastAsia"/>
                <w:sz w:val="18"/>
                <w:szCs w:val="18"/>
              </w:rPr>
              <w:t>）和β</w:t>
            </w:r>
            <w:r>
              <w:rPr>
                <w:rFonts w:ascii="Times New Roman" w:hAnsi="Times New Roman" w:cs="Times New Roman"/>
                <w:sz w:val="18"/>
                <w:szCs w:val="18"/>
              </w:rPr>
              <w:t>2-</w:t>
            </w:r>
            <w:r>
              <w:rPr>
                <w:rFonts w:ascii="Times New Roman" w:hAnsi="Times New Roman" w:hint="eastAsia"/>
                <w:sz w:val="18"/>
                <w:szCs w:val="18"/>
              </w:rPr>
              <w:t>微球蛋白（β</w:t>
            </w:r>
            <w:r>
              <w:rPr>
                <w:rFonts w:ascii="Times New Roman" w:hAnsi="Times New Roman" w:cs="Times New Roman"/>
                <w:sz w:val="18"/>
                <w:szCs w:val="18"/>
              </w:rPr>
              <w:t>2-MG</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19F2B4A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4018B88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70E18BF" w14:textId="77777777" w:rsidTr="00C707CF">
        <w:trPr>
          <w:cantSplit/>
          <w:jc w:val="center"/>
        </w:trPr>
        <w:tc>
          <w:tcPr>
            <w:tcW w:w="418" w:type="dxa"/>
            <w:tcMar>
              <w:top w:w="10" w:type="dxa"/>
              <w:left w:w="10" w:type="dxa"/>
              <w:bottom w:w="10" w:type="dxa"/>
              <w:right w:w="10" w:type="dxa"/>
            </w:tcMar>
            <w:vAlign w:val="center"/>
          </w:tcPr>
          <w:p w14:paraId="74AA917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88</w:t>
            </w:r>
          </w:p>
        </w:tc>
        <w:tc>
          <w:tcPr>
            <w:tcW w:w="1530" w:type="dxa"/>
            <w:tcMar>
              <w:top w:w="10" w:type="dxa"/>
              <w:left w:w="10" w:type="dxa"/>
              <w:bottom w:w="10" w:type="dxa"/>
              <w:right w:w="10" w:type="dxa"/>
            </w:tcMar>
            <w:vAlign w:val="center"/>
          </w:tcPr>
          <w:p w14:paraId="2D54F1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补体</w:t>
            </w:r>
            <w:r>
              <w:rPr>
                <w:rFonts w:ascii="Times New Roman" w:hAnsi="Times New Roman" w:cs="Times New Roman"/>
                <w:sz w:val="18"/>
                <w:szCs w:val="18"/>
              </w:rPr>
              <w:t>C3/C4</w:t>
            </w:r>
            <w:r>
              <w:rPr>
                <w:rFonts w:ascii="Times New Roman" w:hAnsi="Times New Roman" w:hint="eastAsia"/>
                <w:sz w:val="18"/>
                <w:szCs w:val="18"/>
              </w:rPr>
              <w:t>检测试剂盒（免疫比浊法）</w:t>
            </w:r>
          </w:p>
        </w:tc>
        <w:tc>
          <w:tcPr>
            <w:tcW w:w="1134" w:type="dxa"/>
            <w:tcMar>
              <w:top w:w="10" w:type="dxa"/>
              <w:left w:w="10" w:type="dxa"/>
              <w:bottom w:w="10" w:type="dxa"/>
              <w:right w:w="10" w:type="dxa"/>
            </w:tcMar>
            <w:vAlign w:val="center"/>
          </w:tcPr>
          <w:p w14:paraId="1372A94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20212400969</w:t>
            </w:r>
          </w:p>
        </w:tc>
        <w:tc>
          <w:tcPr>
            <w:tcW w:w="425" w:type="dxa"/>
            <w:tcMar>
              <w:top w:w="10" w:type="dxa"/>
              <w:left w:w="10" w:type="dxa"/>
              <w:bottom w:w="10" w:type="dxa"/>
              <w:right w:w="10" w:type="dxa"/>
            </w:tcMar>
            <w:vAlign w:val="center"/>
          </w:tcPr>
          <w:p w14:paraId="0EB6CA6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7E611D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用于体外定量检测人体血清中补体</w:t>
            </w:r>
            <w:r>
              <w:rPr>
                <w:rFonts w:ascii="Times New Roman" w:hAnsi="Times New Roman" w:cs="Times New Roman"/>
                <w:sz w:val="18"/>
                <w:szCs w:val="18"/>
              </w:rPr>
              <w:t>C3</w:t>
            </w:r>
            <w:r>
              <w:rPr>
                <w:rFonts w:ascii="Times New Roman" w:hAnsi="Times New Roman" w:hint="eastAsia"/>
                <w:sz w:val="18"/>
                <w:szCs w:val="18"/>
              </w:rPr>
              <w:t>（</w:t>
            </w:r>
            <w:r>
              <w:rPr>
                <w:rFonts w:ascii="Times New Roman" w:hAnsi="Times New Roman" w:cs="Times New Roman"/>
                <w:sz w:val="18"/>
                <w:szCs w:val="18"/>
              </w:rPr>
              <w:t>C3</w:t>
            </w:r>
            <w:r>
              <w:rPr>
                <w:rFonts w:ascii="Times New Roman" w:hAnsi="Times New Roman" w:hint="eastAsia"/>
                <w:sz w:val="18"/>
                <w:szCs w:val="18"/>
              </w:rPr>
              <w:t>）、补体</w:t>
            </w:r>
            <w:r>
              <w:rPr>
                <w:rFonts w:ascii="Times New Roman" w:hAnsi="Times New Roman" w:cs="Times New Roman"/>
                <w:sz w:val="18"/>
                <w:szCs w:val="18"/>
              </w:rPr>
              <w:t>C4</w:t>
            </w:r>
            <w:r>
              <w:rPr>
                <w:rFonts w:ascii="Times New Roman" w:hAnsi="Times New Roman" w:hint="eastAsia"/>
                <w:sz w:val="18"/>
                <w:szCs w:val="18"/>
              </w:rPr>
              <w:t>（</w:t>
            </w:r>
            <w:r>
              <w:rPr>
                <w:rFonts w:ascii="Times New Roman" w:hAnsi="Times New Roman" w:cs="Times New Roman"/>
                <w:sz w:val="18"/>
                <w:szCs w:val="18"/>
              </w:rPr>
              <w:t>C4</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378D8AE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71BAFBF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EF19230" w14:textId="77777777" w:rsidTr="00C707CF">
        <w:trPr>
          <w:cantSplit/>
          <w:jc w:val="center"/>
        </w:trPr>
        <w:tc>
          <w:tcPr>
            <w:tcW w:w="418" w:type="dxa"/>
            <w:tcMar>
              <w:top w:w="10" w:type="dxa"/>
              <w:left w:w="10" w:type="dxa"/>
              <w:bottom w:w="10" w:type="dxa"/>
              <w:right w:w="10" w:type="dxa"/>
            </w:tcMar>
            <w:vAlign w:val="center"/>
          </w:tcPr>
          <w:p w14:paraId="5D7DD0F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89</w:t>
            </w:r>
          </w:p>
        </w:tc>
        <w:tc>
          <w:tcPr>
            <w:tcW w:w="1530" w:type="dxa"/>
            <w:tcMar>
              <w:top w:w="10" w:type="dxa"/>
              <w:left w:w="10" w:type="dxa"/>
              <w:bottom w:w="10" w:type="dxa"/>
              <w:right w:w="10" w:type="dxa"/>
            </w:tcMar>
            <w:vAlign w:val="center"/>
          </w:tcPr>
          <w:p w14:paraId="204AA37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风湿三项（全程</w:t>
            </w:r>
            <w:r>
              <w:rPr>
                <w:rFonts w:ascii="Times New Roman" w:hAnsi="Times New Roman" w:cs="Times New Roman"/>
                <w:sz w:val="18"/>
                <w:szCs w:val="18"/>
              </w:rPr>
              <w:t>CRP/ASO/RF</w:t>
            </w:r>
            <w:r>
              <w:rPr>
                <w:rFonts w:ascii="Times New Roman" w:hAnsi="Times New Roman" w:hint="eastAsia"/>
                <w:sz w:val="18"/>
                <w:szCs w:val="18"/>
              </w:rPr>
              <w:t>）联检试剂盒（胶乳免疫比浊法）</w:t>
            </w:r>
          </w:p>
        </w:tc>
        <w:tc>
          <w:tcPr>
            <w:tcW w:w="1134" w:type="dxa"/>
            <w:tcMar>
              <w:top w:w="10" w:type="dxa"/>
              <w:left w:w="10" w:type="dxa"/>
              <w:bottom w:w="10" w:type="dxa"/>
              <w:right w:w="10" w:type="dxa"/>
            </w:tcMar>
            <w:vAlign w:val="center"/>
          </w:tcPr>
          <w:p w14:paraId="20F3D87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20212400948</w:t>
            </w:r>
          </w:p>
        </w:tc>
        <w:tc>
          <w:tcPr>
            <w:tcW w:w="425" w:type="dxa"/>
            <w:tcMar>
              <w:top w:w="10" w:type="dxa"/>
              <w:left w:w="10" w:type="dxa"/>
              <w:bottom w:w="10" w:type="dxa"/>
              <w:right w:w="10" w:type="dxa"/>
            </w:tcMar>
            <w:vAlign w:val="center"/>
          </w:tcPr>
          <w:p w14:paraId="3BB02BF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62A330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w:t>
            </w:r>
            <w:r>
              <w:rPr>
                <w:rFonts w:ascii="Times New Roman" w:hAnsi="Times New Roman" w:cs="Times New Roman"/>
                <w:sz w:val="18"/>
                <w:szCs w:val="18"/>
              </w:rPr>
              <w:t>C</w:t>
            </w:r>
            <w:r>
              <w:rPr>
                <w:rFonts w:ascii="Times New Roman" w:hAnsi="Times New Roman" w:hint="eastAsia"/>
                <w:sz w:val="18"/>
                <w:szCs w:val="18"/>
              </w:rPr>
              <w:t>反应蛋白（</w:t>
            </w:r>
            <w:r>
              <w:rPr>
                <w:rFonts w:ascii="Times New Roman" w:hAnsi="Times New Roman" w:cs="Times New Roman"/>
                <w:sz w:val="18"/>
                <w:szCs w:val="18"/>
              </w:rPr>
              <w:t>CRP</w:t>
            </w:r>
            <w:r>
              <w:rPr>
                <w:rFonts w:ascii="Times New Roman" w:hAnsi="Times New Roman" w:hint="eastAsia"/>
                <w:sz w:val="18"/>
                <w:szCs w:val="18"/>
              </w:rPr>
              <w:t>）、抗链球菌溶血素</w:t>
            </w:r>
            <w:r>
              <w:rPr>
                <w:rFonts w:ascii="Times New Roman" w:hAnsi="Times New Roman" w:cs="Times New Roman"/>
                <w:sz w:val="18"/>
                <w:szCs w:val="18"/>
              </w:rPr>
              <w:t>O</w:t>
            </w:r>
            <w:r>
              <w:rPr>
                <w:rFonts w:ascii="Times New Roman" w:hAnsi="Times New Roman" w:hint="eastAsia"/>
                <w:sz w:val="18"/>
                <w:szCs w:val="18"/>
              </w:rPr>
              <w:t>（</w:t>
            </w:r>
            <w:r>
              <w:rPr>
                <w:rFonts w:ascii="Times New Roman" w:hAnsi="Times New Roman" w:cs="Times New Roman"/>
                <w:sz w:val="18"/>
                <w:szCs w:val="18"/>
              </w:rPr>
              <w:t>ASO</w:t>
            </w:r>
            <w:r>
              <w:rPr>
                <w:rFonts w:ascii="Times New Roman" w:hAnsi="Times New Roman" w:hint="eastAsia"/>
                <w:sz w:val="18"/>
                <w:szCs w:val="18"/>
              </w:rPr>
              <w:t>）及类风湿因子（</w:t>
            </w:r>
            <w:r>
              <w:rPr>
                <w:rFonts w:ascii="Times New Roman" w:hAnsi="Times New Roman" w:cs="Times New Roman"/>
                <w:sz w:val="18"/>
                <w:szCs w:val="18"/>
              </w:rPr>
              <w:t>RF</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2AE837C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3B2D662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1E84702" w14:textId="77777777" w:rsidTr="00C707CF">
        <w:trPr>
          <w:cantSplit/>
          <w:jc w:val="center"/>
        </w:trPr>
        <w:tc>
          <w:tcPr>
            <w:tcW w:w="418" w:type="dxa"/>
            <w:tcMar>
              <w:top w:w="10" w:type="dxa"/>
              <w:left w:w="10" w:type="dxa"/>
              <w:bottom w:w="10" w:type="dxa"/>
              <w:right w:w="10" w:type="dxa"/>
            </w:tcMar>
            <w:vAlign w:val="center"/>
          </w:tcPr>
          <w:p w14:paraId="211251E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90</w:t>
            </w:r>
          </w:p>
        </w:tc>
        <w:tc>
          <w:tcPr>
            <w:tcW w:w="1530" w:type="dxa"/>
            <w:tcMar>
              <w:top w:w="10" w:type="dxa"/>
              <w:left w:w="10" w:type="dxa"/>
              <w:bottom w:w="10" w:type="dxa"/>
              <w:right w:w="10" w:type="dxa"/>
            </w:tcMar>
            <w:vAlign w:val="center"/>
          </w:tcPr>
          <w:p w14:paraId="24B9A43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免疫球蛋白（</w:t>
            </w:r>
            <w:r>
              <w:rPr>
                <w:rFonts w:ascii="Times New Roman" w:hAnsi="Times New Roman" w:cs="Times New Roman"/>
                <w:sz w:val="18"/>
                <w:szCs w:val="18"/>
              </w:rPr>
              <w:t>IgA/IgG/IgM</w:t>
            </w:r>
            <w:r>
              <w:rPr>
                <w:rFonts w:ascii="Times New Roman" w:hAnsi="Times New Roman" w:hint="eastAsia"/>
                <w:sz w:val="18"/>
                <w:szCs w:val="18"/>
              </w:rPr>
              <w:t>）检测试剂盒（免疫比浊法）</w:t>
            </w:r>
          </w:p>
        </w:tc>
        <w:tc>
          <w:tcPr>
            <w:tcW w:w="1134" w:type="dxa"/>
            <w:tcMar>
              <w:top w:w="10" w:type="dxa"/>
              <w:left w:w="10" w:type="dxa"/>
              <w:bottom w:w="10" w:type="dxa"/>
              <w:right w:w="10" w:type="dxa"/>
            </w:tcMar>
            <w:vAlign w:val="center"/>
          </w:tcPr>
          <w:p w14:paraId="689B44D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20212400950</w:t>
            </w:r>
          </w:p>
        </w:tc>
        <w:tc>
          <w:tcPr>
            <w:tcW w:w="425" w:type="dxa"/>
            <w:tcMar>
              <w:top w:w="10" w:type="dxa"/>
              <w:left w:w="10" w:type="dxa"/>
              <w:bottom w:w="10" w:type="dxa"/>
              <w:right w:w="10" w:type="dxa"/>
            </w:tcMar>
            <w:vAlign w:val="center"/>
          </w:tcPr>
          <w:p w14:paraId="505AE5C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D1CB65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用于体外定量检测人体血清中免疫球蛋白</w:t>
            </w:r>
            <w:r>
              <w:rPr>
                <w:rFonts w:ascii="Times New Roman" w:hAnsi="Times New Roman" w:cs="Times New Roman"/>
                <w:sz w:val="18"/>
                <w:szCs w:val="18"/>
              </w:rPr>
              <w:t>A</w:t>
            </w:r>
            <w:r>
              <w:rPr>
                <w:rFonts w:ascii="Times New Roman" w:hAnsi="Times New Roman" w:hint="eastAsia"/>
                <w:sz w:val="18"/>
                <w:szCs w:val="18"/>
              </w:rPr>
              <w:t>（</w:t>
            </w:r>
            <w:r>
              <w:rPr>
                <w:rFonts w:ascii="Times New Roman" w:hAnsi="Times New Roman" w:cs="Times New Roman"/>
                <w:sz w:val="18"/>
                <w:szCs w:val="18"/>
              </w:rPr>
              <w:t>IgA</w:t>
            </w:r>
            <w:r>
              <w:rPr>
                <w:rFonts w:ascii="Times New Roman" w:hAnsi="Times New Roman" w:hint="eastAsia"/>
                <w:sz w:val="18"/>
                <w:szCs w:val="18"/>
              </w:rPr>
              <w:t>）、免疫球蛋白</w:t>
            </w:r>
            <w:r>
              <w:rPr>
                <w:rFonts w:ascii="Times New Roman" w:hAnsi="Times New Roman" w:cs="Times New Roman"/>
                <w:sz w:val="18"/>
                <w:szCs w:val="18"/>
              </w:rPr>
              <w:t>G</w:t>
            </w:r>
            <w:r>
              <w:rPr>
                <w:rFonts w:ascii="Times New Roman" w:hAnsi="Times New Roman" w:hint="eastAsia"/>
                <w:sz w:val="18"/>
                <w:szCs w:val="18"/>
              </w:rPr>
              <w:t>（</w:t>
            </w:r>
            <w:r>
              <w:rPr>
                <w:rFonts w:ascii="Times New Roman" w:hAnsi="Times New Roman" w:cs="Times New Roman"/>
                <w:sz w:val="18"/>
                <w:szCs w:val="18"/>
              </w:rPr>
              <w:t>IgG</w:t>
            </w:r>
            <w:r>
              <w:rPr>
                <w:rFonts w:ascii="Times New Roman" w:hAnsi="Times New Roman" w:hint="eastAsia"/>
                <w:sz w:val="18"/>
                <w:szCs w:val="18"/>
              </w:rPr>
              <w:t>）、免疫球蛋白</w:t>
            </w:r>
            <w:r>
              <w:rPr>
                <w:rFonts w:ascii="Times New Roman" w:hAnsi="Times New Roman" w:cs="Times New Roman"/>
                <w:sz w:val="18"/>
                <w:szCs w:val="18"/>
              </w:rPr>
              <w:t>M</w:t>
            </w:r>
            <w:r>
              <w:rPr>
                <w:rFonts w:ascii="Times New Roman" w:hAnsi="Times New Roman" w:hint="eastAsia"/>
                <w:sz w:val="18"/>
                <w:szCs w:val="18"/>
              </w:rPr>
              <w:t>（</w:t>
            </w:r>
            <w:r>
              <w:rPr>
                <w:rFonts w:ascii="Times New Roman" w:hAnsi="Times New Roman" w:cs="Times New Roman"/>
                <w:sz w:val="18"/>
                <w:szCs w:val="18"/>
              </w:rPr>
              <w:t>IgM</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4D7C715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0F83C2E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E15D4AE" w14:textId="77777777" w:rsidTr="00C707CF">
        <w:trPr>
          <w:cantSplit/>
          <w:jc w:val="center"/>
        </w:trPr>
        <w:tc>
          <w:tcPr>
            <w:tcW w:w="418" w:type="dxa"/>
            <w:tcMar>
              <w:top w:w="10" w:type="dxa"/>
              <w:left w:w="10" w:type="dxa"/>
              <w:bottom w:w="10" w:type="dxa"/>
              <w:right w:w="10" w:type="dxa"/>
            </w:tcMar>
            <w:vAlign w:val="center"/>
          </w:tcPr>
          <w:p w14:paraId="2EFB200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91</w:t>
            </w:r>
          </w:p>
        </w:tc>
        <w:tc>
          <w:tcPr>
            <w:tcW w:w="1530" w:type="dxa"/>
            <w:tcMar>
              <w:top w:w="10" w:type="dxa"/>
              <w:left w:w="10" w:type="dxa"/>
              <w:bottom w:w="10" w:type="dxa"/>
              <w:right w:w="10" w:type="dxa"/>
            </w:tcMar>
            <w:vAlign w:val="center"/>
          </w:tcPr>
          <w:p w14:paraId="43D243D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心肌三项</w:t>
            </w:r>
            <w:r>
              <w:rPr>
                <w:rFonts w:ascii="Times New Roman" w:hAnsi="Times New Roman" w:cs="Times New Roman"/>
                <w:sz w:val="18"/>
                <w:szCs w:val="18"/>
              </w:rPr>
              <w:t>(cTnI/MYO/CKMB)</w:t>
            </w:r>
            <w:r>
              <w:rPr>
                <w:rFonts w:ascii="Times New Roman" w:hAnsi="Times New Roman" w:hint="eastAsia"/>
                <w:sz w:val="18"/>
                <w:szCs w:val="18"/>
              </w:rPr>
              <w:t>检测试剂盒（胶乳免疫比浊法</w:t>
            </w:r>
            <w:r>
              <w:rPr>
                <w:rFonts w:ascii="Times New Roman" w:hAnsi="Times New Roman" w:cs="Times New Roman"/>
                <w:sz w:val="18"/>
                <w:szCs w:val="18"/>
              </w:rPr>
              <w:t>/</w:t>
            </w:r>
            <w:r>
              <w:rPr>
                <w:rFonts w:ascii="Times New Roman" w:hAnsi="Times New Roman" w:hint="eastAsia"/>
                <w:sz w:val="18"/>
                <w:szCs w:val="18"/>
              </w:rPr>
              <w:t>速率法）</w:t>
            </w:r>
          </w:p>
        </w:tc>
        <w:tc>
          <w:tcPr>
            <w:tcW w:w="1134" w:type="dxa"/>
            <w:tcMar>
              <w:top w:w="10" w:type="dxa"/>
              <w:left w:w="10" w:type="dxa"/>
              <w:bottom w:w="10" w:type="dxa"/>
              <w:right w:w="10" w:type="dxa"/>
            </w:tcMar>
            <w:vAlign w:val="center"/>
          </w:tcPr>
          <w:p w14:paraId="15ED755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20212400958</w:t>
            </w:r>
          </w:p>
        </w:tc>
        <w:tc>
          <w:tcPr>
            <w:tcW w:w="425" w:type="dxa"/>
            <w:tcMar>
              <w:top w:w="10" w:type="dxa"/>
              <w:left w:w="10" w:type="dxa"/>
              <w:bottom w:w="10" w:type="dxa"/>
              <w:right w:w="10" w:type="dxa"/>
            </w:tcMar>
            <w:vAlign w:val="center"/>
          </w:tcPr>
          <w:p w14:paraId="63EFB19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55C94F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用于体外定量检测人体血清中的肌钙蛋白</w:t>
            </w:r>
            <w:r>
              <w:rPr>
                <w:rFonts w:ascii="Times New Roman" w:hAnsi="Times New Roman" w:cs="Times New Roman"/>
                <w:sz w:val="18"/>
                <w:szCs w:val="18"/>
              </w:rPr>
              <w:t>I</w:t>
            </w:r>
            <w:r>
              <w:rPr>
                <w:rFonts w:ascii="Times New Roman" w:hAnsi="Times New Roman" w:hint="eastAsia"/>
                <w:sz w:val="18"/>
                <w:szCs w:val="18"/>
              </w:rPr>
              <w:t>（</w:t>
            </w:r>
            <w:r>
              <w:rPr>
                <w:rFonts w:ascii="Times New Roman" w:hAnsi="Times New Roman" w:cs="Times New Roman"/>
                <w:sz w:val="18"/>
                <w:szCs w:val="18"/>
              </w:rPr>
              <w:t>cTnI</w:t>
            </w:r>
            <w:r>
              <w:rPr>
                <w:rFonts w:ascii="Times New Roman" w:hAnsi="Times New Roman" w:hint="eastAsia"/>
                <w:sz w:val="18"/>
                <w:szCs w:val="18"/>
              </w:rPr>
              <w:t>）与肌红蛋白（</w:t>
            </w:r>
            <w:r>
              <w:rPr>
                <w:rFonts w:ascii="Times New Roman" w:hAnsi="Times New Roman" w:cs="Times New Roman"/>
                <w:sz w:val="18"/>
                <w:szCs w:val="18"/>
              </w:rPr>
              <w:t>MYO</w:t>
            </w:r>
            <w:r>
              <w:rPr>
                <w:rFonts w:ascii="Times New Roman" w:hAnsi="Times New Roman" w:hint="eastAsia"/>
                <w:sz w:val="18"/>
                <w:szCs w:val="18"/>
              </w:rPr>
              <w:t>）的含量及肌酸激酶</w:t>
            </w:r>
            <w:r>
              <w:rPr>
                <w:rFonts w:ascii="Times New Roman" w:hAnsi="Times New Roman" w:cs="Times New Roman"/>
                <w:sz w:val="18"/>
                <w:szCs w:val="18"/>
              </w:rPr>
              <w:t>MB</w:t>
            </w:r>
            <w:r>
              <w:rPr>
                <w:rFonts w:ascii="Times New Roman" w:hAnsi="Times New Roman" w:hint="eastAsia"/>
                <w:sz w:val="18"/>
                <w:szCs w:val="18"/>
              </w:rPr>
              <w:t>同工酶（</w:t>
            </w:r>
            <w:r>
              <w:rPr>
                <w:rFonts w:ascii="Times New Roman" w:hAnsi="Times New Roman" w:cs="Times New Roman"/>
                <w:sz w:val="18"/>
                <w:szCs w:val="18"/>
              </w:rPr>
              <w:t>CKMB</w:t>
            </w:r>
            <w:r>
              <w:rPr>
                <w:rFonts w:ascii="Times New Roman" w:hAnsi="Times New Roman" w:hint="eastAsia"/>
                <w:sz w:val="18"/>
                <w:szCs w:val="18"/>
              </w:rPr>
              <w:t>）的活性</w:t>
            </w:r>
          </w:p>
        </w:tc>
        <w:tc>
          <w:tcPr>
            <w:tcW w:w="992" w:type="dxa"/>
            <w:tcMar>
              <w:top w:w="10" w:type="dxa"/>
              <w:left w:w="10" w:type="dxa"/>
              <w:bottom w:w="10" w:type="dxa"/>
              <w:right w:w="10" w:type="dxa"/>
            </w:tcMar>
            <w:vAlign w:val="center"/>
          </w:tcPr>
          <w:p w14:paraId="024F19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7EE25EE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C862BC1" w14:textId="77777777" w:rsidTr="00C707CF">
        <w:trPr>
          <w:cantSplit/>
          <w:jc w:val="center"/>
        </w:trPr>
        <w:tc>
          <w:tcPr>
            <w:tcW w:w="418" w:type="dxa"/>
            <w:tcMar>
              <w:top w:w="10" w:type="dxa"/>
              <w:left w:w="10" w:type="dxa"/>
              <w:bottom w:w="10" w:type="dxa"/>
              <w:right w:w="10" w:type="dxa"/>
            </w:tcMar>
            <w:vAlign w:val="center"/>
          </w:tcPr>
          <w:p w14:paraId="521B8C6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92</w:t>
            </w:r>
          </w:p>
        </w:tc>
        <w:tc>
          <w:tcPr>
            <w:tcW w:w="1530" w:type="dxa"/>
            <w:tcMar>
              <w:top w:w="10" w:type="dxa"/>
              <w:left w:w="10" w:type="dxa"/>
              <w:bottom w:w="10" w:type="dxa"/>
              <w:right w:w="10" w:type="dxa"/>
            </w:tcMar>
            <w:vAlign w:val="center"/>
          </w:tcPr>
          <w:p w14:paraId="11C6E69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心型脂肪酸结合蛋白</w:t>
            </w:r>
            <w:r>
              <w:rPr>
                <w:rFonts w:ascii="Times New Roman" w:hAnsi="Times New Roman" w:cs="Times New Roman"/>
                <w:sz w:val="18"/>
                <w:szCs w:val="18"/>
              </w:rPr>
              <w:t>(H-FABP)</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6571E72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20212400970</w:t>
            </w:r>
          </w:p>
        </w:tc>
        <w:tc>
          <w:tcPr>
            <w:tcW w:w="425" w:type="dxa"/>
            <w:tcMar>
              <w:top w:w="10" w:type="dxa"/>
              <w:left w:w="10" w:type="dxa"/>
              <w:bottom w:w="10" w:type="dxa"/>
              <w:right w:w="10" w:type="dxa"/>
            </w:tcMar>
            <w:vAlign w:val="center"/>
          </w:tcPr>
          <w:p w14:paraId="192ACC8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68B9F7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用于体外定量检测人体血清中的心型脂肪酸结合蛋白</w:t>
            </w:r>
            <w:r>
              <w:rPr>
                <w:rFonts w:ascii="Times New Roman" w:hAnsi="Times New Roman" w:cs="Times New Roman"/>
                <w:sz w:val="18"/>
                <w:szCs w:val="18"/>
              </w:rPr>
              <w:t xml:space="preserve">(H-FABP) </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06A7BA5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6FC6AFF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C9F3494" w14:textId="77777777" w:rsidTr="00C707CF">
        <w:trPr>
          <w:cantSplit/>
          <w:jc w:val="center"/>
        </w:trPr>
        <w:tc>
          <w:tcPr>
            <w:tcW w:w="418" w:type="dxa"/>
            <w:tcMar>
              <w:top w:w="10" w:type="dxa"/>
              <w:left w:w="10" w:type="dxa"/>
              <w:bottom w:w="10" w:type="dxa"/>
              <w:right w:w="10" w:type="dxa"/>
            </w:tcMar>
            <w:vAlign w:val="center"/>
          </w:tcPr>
          <w:p w14:paraId="6C0DF98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93</w:t>
            </w:r>
          </w:p>
        </w:tc>
        <w:tc>
          <w:tcPr>
            <w:tcW w:w="1530" w:type="dxa"/>
            <w:tcMar>
              <w:top w:w="10" w:type="dxa"/>
              <w:left w:w="10" w:type="dxa"/>
              <w:bottom w:w="10" w:type="dxa"/>
              <w:right w:w="10" w:type="dxa"/>
            </w:tcMar>
            <w:vAlign w:val="center"/>
          </w:tcPr>
          <w:p w14:paraId="33703A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脂蛋白相关磷脂酶</w:t>
            </w:r>
            <w:r>
              <w:rPr>
                <w:rFonts w:ascii="Times New Roman" w:hAnsi="Times New Roman" w:cs="Times New Roman"/>
                <w:sz w:val="18"/>
                <w:szCs w:val="18"/>
              </w:rPr>
              <w:t>A2(Lp-PLA2)</w:t>
            </w:r>
            <w:r>
              <w:rPr>
                <w:rFonts w:ascii="Times New Roman" w:hAnsi="Times New Roman" w:hint="eastAsia"/>
                <w:sz w:val="18"/>
                <w:szCs w:val="18"/>
              </w:rPr>
              <w:t>检测试剂盒（速率法）</w:t>
            </w:r>
          </w:p>
        </w:tc>
        <w:tc>
          <w:tcPr>
            <w:tcW w:w="1134" w:type="dxa"/>
            <w:tcMar>
              <w:top w:w="10" w:type="dxa"/>
              <w:left w:w="10" w:type="dxa"/>
              <w:bottom w:w="10" w:type="dxa"/>
              <w:right w:w="10" w:type="dxa"/>
            </w:tcMar>
            <w:vAlign w:val="center"/>
          </w:tcPr>
          <w:p w14:paraId="2F1C797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20212400973</w:t>
            </w:r>
          </w:p>
        </w:tc>
        <w:tc>
          <w:tcPr>
            <w:tcW w:w="425" w:type="dxa"/>
            <w:tcMar>
              <w:top w:w="10" w:type="dxa"/>
              <w:left w:w="10" w:type="dxa"/>
              <w:bottom w:w="10" w:type="dxa"/>
              <w:right w:w="10" w:type="dxa"/>
            </w:tcMar>
            <w:vAlign w:val="center"/>
          </w:tcPr>
          <w:p w14:paraId="7B46A7A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07E485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用于体外定量检测人体血清中的脂蛋白相关磷脂酶</w:t>
            </w:r>
            <w:r>
              <w:rPr>
                <w:rFonts w:ascii="Times New Roman" w:hAnsi="Times New Roman" w:cs="Times New Roman"/>
                <w:sz w:val="18"/>
                <w:szCs w:val="18"/>
              </w:rPr>
              <w:t xml:space="preserve">A2(Lp-PLA2) </w:t>
            </w:r>
            <w:r>
              <w:rPr>
                <w:rFonts w:ascii="Times New Roman" w:hAnsi="Times New Roman" w:hint="eastAsia"/>
                <w:sz w:val="18"/>
                <w:szCs w:val="18"/>
              </w:rPr>
              <w:t>活性。</w:t>
            </w:r>
          </w:p>
        </w:tc>
        <w:tc>
          <w:tcPr>
            <w:tcW w:w="992" w:type="dxa"/>
            <w:tcMar>
              <w:top w:w="10" w:type="dxa"/>
              <w:left w:w="10" w:type="dxa"/>
              <w:bottom w:w="10" w:type="dxa"/>
              <w:right w:w="10" w:type="dxa"/>
            </w:tcMar>
            <w:vAlign w:val="center"/>
          </w:tcPr>
          <w:p w14:paraId="7D58CA3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2026.06.02</w:t>
            </w:r>
          </w:p>
        </w:tc>
        <w:tc>
          <w:tcPr>
            <w:tcW w:w="1276" w:type="dxa"/>
            <w:tcMar>
              <w:top w:w="10" w:type="dxa"/>
              <w:left w:w="10" w:type="dxa"/>
              <w:bottom w:w="10" w:type="dxa"/>
              <w:right w:w="10" w:type="dxa"/>
            </w:tcMar>
            <w:vAlign w:val="center"/>
          </w:tcPr>
          <w:p w14:paraId="7781FF2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827BBDB" w14:textId="77777777" w:rsidTr="00C707CF">
        <w:trPr>
          <w:cantSplit/>
          <w:jc w:val="center"/>
        </w:trPr>
        <w:tc>
          <w:tcPr>
            <w:tcW w:w="418" w:type="dxa"/>
            <w:tcMar>
              <w:top w:w="10" w:type="dxa"/>
              <w:left w:w="10" w:type="dxa"/>
              <w:bottom w:w="10" w:type="dxa"/>
              <w:right w:w="10" w:type="dxa"/>
            </w:tcMar>
            <w:vAlign w:val="center"/>
          </w:tcPr>
          <w:p w14:paraId="15B8D13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94</w:t>
            </w:r>
          </w:p>
        </w:tc>
        <w:tc>
          <w:tcPr>
            <w:tcW w:w="1530" w:type="dxa"/>
            <w:tcMar>
              <w:top w:w="10" w:type="dxa"/>
              <w:left w:w="10" w:type="dxa"/>
              <w:bottom w:w="10" w:type="dxa"/>
              <w:right w:w="10" w:type="dxa"/>
            </w:tcMar>
            <w:vAlign w:val="center"/>
          </w:tcPr>
          <w:p w14:paraId="735CF05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降钙素原</w:t>
            </w:r>
            <w:r>
              <w:rPr>
                <w:rFonts w:ascii="Times New Roman" w:hAnsi="Times New Roman" w:cs="Times New Roman"/>
                <w:sz w:val="18"/>
                <w:szCs w:val="18"/>
              </w:rPr>
              <w:t>(PCT)</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1EC765F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20212400985</w:t>
            </w:r>
          </w:p>
        </w:tc>
        <w:tc>
          <w:tcPr>
            <w:tcW w:w="425" w:type="dxa"/>
            <w:tcMar>
              <w:top w:w="10" w:type="dxa"/>
              <w:left w:w="10" w:type="dxa"/>
              <w:bottom w:w="10" w:type="dxa"/>
              <w:right w:w="10" w:type="dxa"/>
            </w:tcMar>
            <w:vAlign w:val="center"/>
          </w:tcPr>
          <w:p w14:paraId="58EE18F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67654C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用于体外定量检测人体血清中的降钙素原的含量。</w:t>
            </w:r>
          </w:p>
        </w:tc>
        <w:tc>
          <w:tcPr>
            <w:tcW w:w="992" w:type="dxa"/>
            <w:tcMar>
              <w:top w:w="10" w:type="dxa"/>
              <w:left w:w="10" w:type="dxa"/>
              <w:bottom w:w="10" w:type="dxa"/>
              <w:right w:w="10" w:type="dxa"/>
            </w:tcMar>
            <w:vAlign w:val="center"/>
          </w:tcPr>
          <w:p w14:paraId="09FDA71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2026.06.03</w:t>
            </w:r>
          </w:p>
        </w:tc>
        <w:tc>
          <w:tcPr>
            <w:tcW w:w="1276" w:type="dxa"/>
            <w:tcMar>
              <w:top w:w="10" w:type="dxa"/>
              <w:left w:w="10" w:type="dxa"/>
              <w:bottom w:w="10" w:type="dxa"/>
              <w:right w:w="10" w:type="dxa"/>
            </w:tcMar>
            <w:vAlign w:val="center"/>
          </w:tcPr>
          <w:p w14:paraId="7E689D2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22D7175" w14:textId="77777777" w:rsidTr="00C707CF">
        <w:trPr>
          <w:cantSplit/>
          <w:jc w:val="center"/>
        </w:trPr>
        <w:tc>
          <w:tcPr>
            <w:tcW w:w="418" w:type="dxa"/>
            <w:tcMar>
              <w:top w:w="10" w:type="dxa"/>
              <w:left w:w="10" w:type="dxa"/>
              <w:bottom w:w="10" w:type="dxa"/>
              <w:right w:w="10" w:type="dxa"/>
            </w:tcMar>
            <w:vAlign w:val="center"/>
          </w:tcPr>
          <w:p w14:paraId="56AC95C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95</w:t>
            </w:r>
          </w:p>
        </w:tc>
        <w:tc>
          <w:tcPr>
            <w:tcW w:w="1530" w:type="dxa"/>
            <w:tcMar>
              <w:top w:w="10" w:type="dxa"/>
              <w:left w:w="10" w:type="dxa"/>
              <w:bottom w:w="10" w:type="dxa"/>
              <w:right w:w="10" w:type="dxa"/>
            </w:tcMar>
            <w:vAlign w:val="center"/>
          </w:tcPr>
          <w:p w14:paraId="2DBB92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胃蛋白酶原</w:t>
            </w:r>
            <w:r>
              <w:rPr>
                <w:rFonts w:ascii="Times New Roman" w:hAnsi="Times New Roman" w:cs="Times New Roman"/>
                <w:sz w:val="18"/>
                <w:szCs w:val="18"/>
              </w:rPr>
              <w:t>I/</w:t>
            </w:r>
            <w:r>
              <w:rPr>
                <w:rFonts w:ascii="Times New Roman" w:hAnsi="Times New Roman" w:hint="eastAsia"/>
                <w:sz w:val="18"/>
                <w:szCs w:val="18"/>
              </w:rPr>
              <w:t>胃蛋白酶原</w:t>
            </w:r>
            <w:r>
              <w:rPr>
                <w:rFonts w:ascii="Times New Roman" w:hAnsi="Times New Roman" w:cs="Times New Roman"/>
                <w:sz w:val="18"/>
                <w:szCs w:val="18"/>
              </w:rPr>
              <w:t>II(PGI/PGII)</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33FDCD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20212400984 </w:t>
            </w:r>
          </w:p>
        </w:tc>
        <w:tc>
          <w:tcPr>
            <w:tcW w:w="425" w:type="dxa"/>
            <w:tcMar>
              <w:top w:w="10" w:type="dxa"/>
              <w:left w:w="10" w:type="dxa"/>
              <w:bottom w:w="10" w:type="dxa"/>
              <w:right w:w="10" w:type="dxa"/>
            </w:tcMar>
            <w:vAlign w:val="center"/>
          </w:tcPr>
          <w:p w14:paraId="62DD187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391D03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用于体外定量检测人体血清中的胃蛋白酶原</w:t>
            </w:r>
            <w:r>
              <w:rPr>
                <w:rFonts w:ascii="Times New Roman" w:hAnsi="Times New Roman" w:cs="Times New Roman"/>
                <w:sz w:val="18"/>
                <w:szCs w:val="18"/>
              </w:rPr>
              <w:t>I</w:t>
            </w:r>
            <w:r>
              <w:rPr>
                <w:rFonts w:ascii="Times New Roman" w:hAnsi="Times New Roman" w:hint="eastAsia"/>
                <w:sz w:val="18"/>
                <w:szCs w:val="18"/>
              </w:rPr>
              <w:t>（</w:t>
            </w:r>
            <w:r>
              <w:rPr>
                <w:rFonts w:ascii="Times New Roman" w:hAnsi="Times New Roman" w:cs="Times New Roman"/>
                <w:sz w:val="18"/>
                <w:szCs w:val="18"/>
              </w:rPr>
              <w:t>PGI</w:t>
            </w:r>
            <w:r>
              <w:rPr>
                <w:rFonts w:ascii="Times New Roman" w:hAnsi="Times New Roman" w:hint="eastAsia"/>
                <w:sz w:val="18"/>
                <w:szCs w:val="18"/>
              </w:rPr>
              <w:t>）及胃蛋白酶原</w:t>
            </w:r>
            <w:r>
              <w:rPr>
                <w:rFonts w:ascii="Times New Roman" w:hAnsi="Times New Roman" w:cs="Times New Roman"/>
                <w:sz w:val="18"/>
                <w:szCs w:val="18"/>
              </w:rPr>
              <w:t>II</w:t>
            </w:r>
            <w:r>
              <w:rPr>
                <w:rFonts w:ascii="Times New Roman" w:hAnsi="Times New Roman" w:hint="eastAsia"/>
                <w:sz w:val="18"/>
                <w:szCs w:val="18"/>
              </w:rPr>
              <w:t>（</w:t>
            </w:r>
            <w:r>
              <w:rPr>
                <w:rFonts w:ascii="Times New Roman" w:hAnsi="Times New Roman" w:cs="Times New Roman"/>
                <w:sz w:val="18"/>
                <w:szCs w:val="18"/>
              </w:rPr>
              <w:t>PGII</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02AF90F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2026.06.03</w:t>
            </w:r>
          </w:p>
        </w:tc>
        <w:tc>
          <w:tcPr>
            <w:tcW w:w="1276" w:type="dxa"/>
            <w:tcMar>
              <w:top w:w="10" w:type="dxa"/>
              <w:left w:w="10" w:type="dxa"/>
              <w:bottom w:w="10" w:type="dxa"/>
              <w:right w:w="10" w:type="dxa"/>
            </w:tcMar>
            <w:vAlign w:val="center"/>
          </w:tcPr>
          <w:p w14:paraId="0B97AD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7D0F220" w14:textId="77777777" w:rsidTr="00C707CF">
        <w:trPr>
          <w:cantSplit/>
          <w:jc w:val="center"/>
        </w:trPr>
        <w:tc>
          <w:tcPr>
            <w:tcW w:w="418" w:type="dxa"/>
            <w:tcMar>
              <w:top w:w="10" w:type="dxa"/>
              <w:left w:w="10" w:type="dxa"/>
              <w:bottom w:w="10" w:type="dxa"/>
              <w:right w:w="10" w:type="dxa"/>
            </w:tcMar>
            <w:vAlign w:val="center"/>
          </w:tcPr>
          <w:p w14:paraId="0E70EE2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96</w:t>
            </w:r>
          </w:p>
        </w:tc>
        <w:tc>
          <w:tcPr>
            <w:tcW w:w="1530" w:type="dxa"/>
            <w:tcMar>
              <w:top w:w="10" w:type="dxa"/>
              <w:left w:w="10" w:type="dxa"/>
              <w:bottom w:w="10" w:type="dxa"/>
              <w:right w:w="10" w:type="dxa"/>
            </w:tcMar>
            <w:vAlign w:val="center"/>
          </w:tcPr>
          <w:p w14:paraId="73C1887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血清淀粉样蛋白</w:t>
            </w:r>
            <w:r>
              <w:rPr>
                <w:rFonts w:ascii="Times New Roman" w:hAnsi="Times New Roman" w:cs="Times New Roman"/>
                <w:sz w:val="18"/>
                <w:szCs w:val="18"/>
              </w:rPr>
              <w:t>A</w:t>
            </w:r>
            <w:r>
              <w:rPr>
                <w:rFonts w:ascii="Times New Roman" w:hAnsi="Times New Roman" w:hint="eastAsia"/>
                <w:sz w:val="18"/>
                <w:szCs w:val="18"/>
              </w:rPr>
              <w:t>（</w:t>
            </w:r>
            <w:r>
              <w:rPr>
                <w:rFonts w:ascii="Times New Roman" w:hAnsi="Times New Roman" w:cs="Times New Roman"/>
                <w:sz w:val="18"/>
                <w:szCs w:val="18"/>
              </w:rPr>
              <w:t>SAA</w:t>
            </w:r>
            <w:r>
              <w:rPr>
                <w:rFonts w:ascii="Times New Roman" w:hAnsi="Times New Roman" w:hint="eastAsia"/>
                <w:sz w:val="18"/>
                <w:szCs w:val="18"/>
              </w:rPr>
              <w:t>）检测试剂盒（胶乳免疫比浊法）</w:t>
            </w:r>
          </w:p>
        </w:tc>
        <w:tc>
          <w:tcPr>
            <w:tcW w:w="1134" w:type="dxa"/>
            <w:tcMar>
              <w:top w:w="10" w:type="dxa"/>
              <w:left w:w="10" w:type="dxa"/>
              <w:bottom w:w="10" w:type="dxa"/>
              <w:right w:w="10" w:type="dxa"/>
            </w:tcMar>
            <w:vAlign w:val="center"/>
          </w:tcPr>
          <w:p w14:paraId="45E67DE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20212400983</w:t>
            </w:r>
          </w:p>
        </w:tc>
        <w:tc>
          <w:tcPr>
            <w:tcW w:w="425" w:type="dxa"/>
            <w:tcMar>
              <w:top w:w="10" w:type="dxa"/>
              <w:left w:w="10" w:type="dxa"/>
              <w:bottom w:w="10" w:type="dxa"/>
              <w:right w:w="10" w:type="dxa"/>
            </w:tcMar>
            <w:vAlign w:val="center"/>
          </w:tcPr>
          <w:p w14:paraId="5708953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5BC8CA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用于体外定量检测人体血清中的血清淀粉样蛋白</w:t>
            </w:r>
            <w:r>
              <w:rPr>
                <w:rFonts w:ascii="Times New Roman" w:hAnsi="Times New Roman" w:cs="Times New Roman"/>
                <w:sz w:val="18"/>
                <w:szCs w:val="18"/>
              </w:rPr>
              <w:t>A</w:t>
            </w:r>
            <w:r>
              <w:rPr>
                <w:rFonts w:ascii="Times New Roman" w:hAnsi="Times New Roman" w:hint="eastAsia"/>
                <w:sz w:val="18"/>
                <w:szCs w:val="18"/>
              </w:rPr>
              <w:t>（</w:t>
            </w:r>
            <w:r>
              <w:rPr>
                <w:rFonts w:ascii="Times New Roman" w:hAnsi="Times New Roman" w:cs="Times New Roman"/>
                <w:sz w:val="18"/>
                <w:szCs w:val="18"/>
              </w:rPr>
              <w:t>SAA</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5C15269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2026.06.03</w:t>
            </w:r>
          </w:p>
        </w:tc>
        <w:tc>
          <w:tcPr>
            <w:tcW w:w="1276" w:type="dxa"/>
            <w:tcMar>
              <w:top w:w="10" w:type="dxa"/>
              <w:left w:w="10" w:type="dxa"/>
              <w:bottom w:w="10" w:type="dxa"/>
              <w:right w:w="10" w:type="dxa"/>
            </w:tcMar>
            <w:vAlign w:val="center"/>
          </w:tcPr>
          <w:p w14:paraId="3743951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178CBCA" w14:textId="77777777" w:rsidTr="00C707CF">
        <w:trPr>
          <w:cantSplit/>
          <w:jc w:val="center"/>
        </w:trPr>
        <w:tc>
          <w:tcPr>
            <w:tcW w:w="418" w:type="dxa"/>
            <w:tcMar>
              <w:top w:w="10" w:type="dxa"/>
              <w:left w:w="10" w:type="dxa"/>
              <w:bottom w:w="10" w:type="dxa"/>
              <w:right w:w="10" w:type="dxa"/>
            </w:tcMar>
            <w:vAlign w:val="center"/>
          </w:tcPr>
          <w:p w14:paraId="436D420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97</w:t>
            </w:r>
          </w:p>
        </w:tc>
        <w:tc>
          <w:tcPr>
            <w:tcW w:w="1530" w:type="dxa"/>
            <w:tcMar>
              <w:top w:w="10" w:type="dxa"/>
              <w:left w:w="10" w:type="dxa"/>
              <w:bottom w:w="10" w:type="dxa"/>
              <w:right w:w="10" w:type="dxa"/>
            </w:tcMar>
            <w:vAlign w:val="center"/>
          </w:tcPr>
          <w:p w14:paraId="7E3D03E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糖化血红蛋白检测试剂盒（硼酸亲和液相层析</w:t>
            </w:r>
            <w:r>
              <w:rPr>
                <w:rFonts w:ascii="Times New Roman" w:hAnsi="Times New Roman" w:cs="Times New Roman"/>
                <w:sz w:val="18"/>
                <w:szCs w:val="18"/>
              </w:rPr>
              <w:t>/</w:t>
            </w:r>
            <w:r>
              <w:rPr>
                <w:rFonts w:ascii="Times New Roman" w:hAnsi="Times New Roman" w:hint="eastAsia"/>
                <w:sz w:val="18"/>
                <w:szCs w:val="18"/>
              </w:rPr>
              <w:t>色谱法）</w:t>
            </w:r>
          </w:p>
        </w:tc>
        <w:tc>
          <w:tcPr>
            <w:tcW w:w="1134" w:type="dxa"/>
            <w:tcMar>
              <w:top w:w="10" w:type="dxa"/>
              <w:left w:w="10" w:type="dxa"/>
              <w:bottom w:w="10" w:type="dxa"/>
              <w:right w:w="10" w:type="dxa"/>
            </w:tcMar>
            <w:vAlign w:val="center"/>
          </w:tcPr>
          <w:p w14:paraId="24175F2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20212402203</w:t>
            </w:r>
          </w:p>
        </w:tc>
        <w:tc>
          <w:tcPr>
            <w:tcW w:w="425" w:type="dxa"/>
            <w:tcMar>
              <w:top w:w="10" w:type="dxa"/>
              <w:left w:w="10" w:type="dxa"/>
              <w:bottom w:w="10" w:type="dxa"/>
              <w:right w:w="10" w:type="dxa"/>
            </w:tcMar>
            <w:vAlign w:val="center"/>
          </w:tcPr>
          <w:p w14:paraId="6569023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25F96F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糖化血红蛋白检测试剂盒用于体外定量检测人体全血中的糖化血红蛋白（</w:t>
            </w:r>
            <w:r>
              <w:rPr>
                <w:rFonts w:ascii="Times New Roman" w:hAnsi="Times New Roman" w:cs="Times New Roman"/>
                <w:sz w:val="18"/>
                <w:szCs w:val="18"/>
              </w:rPr>
              <w:t>HbA1c</w:t>
            </w:r>
            <w:r>
              <w:rPr>
                <w:rFonts w:ascii="Times New Roman" w:hAnsi="Times New Roman" w:hint="eastAsia"/>
                <w:sz w:val="18"/>
                <w:szCs w:val="18"/>
              </w:rPr>
              <w:t>）的浓度。</w:t>
            </w:r>
          </w:p>
        </w:tc>
        <w:tc>
          <w:tcPr>
            <w:tcW w:w="992" w:type="dxa"/>
            <w:tcMar>
              <w:top w:w="10" w:type="dxa"/>
              <w:left w:w="10" w:type="dxa"/>
              <w:bottom w:w="10" w:type="dxa"/>
              <w:right w:w="10" w:type="dxa"/>
            </w:tcMar>
            <w:vAlign w:val="center"/>
          </w:tcPr>
          <w:p w14:paraId="6AFA3B9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2026.12.06</w:t>
            </w:r>
          </w:p>
        </w:tc>
        <w:tc>
          <w:tcPr>
            <w:tcW w:w="1276" w:type="dxa"/>
            <w:tcMar>
              <w:top w:w="10" w:type="dxa"/>
              <w:left w:w="10" w:type="dxa"/>
              <w:bottom w:w="10" w:type="dxa"/>
              <w:right w:w="10" w:type="dxa"/>
            </w:tcMar>
            <w:vAlign w:val="center"/>
          </w:tcPr>
          <w:p w14:paraId="4228258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B92C369" w14:textId="77777777" w:rsidTr="00C707CF">
        <w:trPr>
          <w:cantSplit/>
          <w:jc w:val="center"/>
        </w:trPr>
        <w:tc>
          <w:tcPr>
            <w:tcW w:w="418" w:type="dxa"/>
            <w:tcMar>
              <w:top w:w="10" w:type="dxa"/>
              <w:left w:w="10" w:type="dxa"/>
              <w:bottom w:w="10" w:type="dxa"/>
              <w:right w:w="10" w:type="dxa"/>
            </w:tcMar>
            <w:vAlign w:val="center"/>
          </w:tcPr>
          <w:p w14:paraId="7B47C75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98</w:t>
            </w:r>
          </w:p>
        </w:tc>
        <w:tc>
          <w:tcPr>
            <w:tcW w:w="1530" w:type="dxa"/>
            <w:tcMar>
              <w:top w:w="10" w:type="dxa"/>
              <w:left w:w="10" w:type="dxa"/>
              <w:bottom w:w="10" w:type="dxa"/>
              <w:right w:w="10" w:type="dxa"/>
            </w:tcMar>
            <w:vAlign w:val="center"/>
          </w:tcPr>
          <w:p w14:paraId="7478888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p>
        </w:tc>
        <w:tc>
          <w:tcPr>
            <w:tcW w:w="1134" w:type="dxa"/>
            <w:tcMar>
              <w:top w:w="10" w:type="dxa"/>
              <w:left w:w="10" w:type="dxa"/>
              <w:bottom w:w="10" w:type="dxa"/>
              <w:right w:w="10" w:type="dxa"/>
            </w:tcMar>
            <w:vAlign w:val="center"/>
          </w:tcPr>
          <w:p w14:paraId="331536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20212402341</w:t>
            </w:r>
          </w:p>
        </w:tc>
        <w:tc>
          <w:tcPr>
            <w:tcW w:w="425" w:type="dxa"/>
            <w:tcMar>
              <w:top w:w="10" w:type="dxa"/>
              <w:left w:w="10" w:type="dxa"/>
              <w:bottom w:w="10" w:type="dxa"/>
              <w:right w:w="10" w:type="dxa"/>
            </w:tcMar>
            <w:vAlign w:val="center"/>
          </w:tcPr>
          <w:p w14:paraId="71B009C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550839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和动脉全血中的葡萄糖浓度。本产品可用于医院或其他医疗机构快速血糖测试，糖尿病患者、孕妇、肾透析患者或其他人群进行自我血糖监测。本产品只用于血糖水平的监测及血糖异常的初筛，不适用于糖尿病的最终诊断。静脉全血和动脉全血的检测需由医务人员操作。</w:t>
            </w:r>
          </w:p>
        </w:tc>
        <w:tc>
          <w:tcPr>
            <w:tcW w:w="992" w:type="dxa"/>
            <w:tcMar>
              <w:top w:w="10" w:type="dxa"/>
              <w:left w:w="10" w:type="dxa"/>
              <w:bottom w:w="10" w:type="dxa"/>
              <w:right w:w="10" w:type="dxa"/>
            </w:tcMar>
            <w:vAlign w:val="center"/>
          </w:tcPr>
          <w:p w14:paraId="0EC9855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619F56A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2025.01.22</w:t>
            </w:r>
            <w:r>
              <w:rPr>
                <w:rFonts w:ascii="Times New Roman" w:hAnsi="Times New Roman" w:hint="eastAsia"/>
                <w:sz w:val="18"/>
                <w:szCs w:val="18"/>
              </w:rPr>
              <w:t>获批变更注册</w:t>
            </w:r>
          </w:p>
          <w:p w14:paraId="2DC9E32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2025.04.30</w:t>
            </w:r>
            <w:r>
              <w:rPr>
                <w:rFonts w:ascii="Times New Roman" w:hAnsi="Times New Roman" w:hint="eastAsia"/>
                <w:sz w:val="18"/>
                <w:szCs w:val="18"/>
              </w:rPr>
              <w:t>获批变更注册</w:t>
            </w:r>
          </w:p>
        </w:tc>
      </w:tr>
      <w:tr w:rsidR="00113A51" w14:paraId="78BA4388" w14:textId="77777777" w:rsidTr="00C707CF">
        <w:trPr>
          <w:cantSplit/>
          <w:jc w:val="center"/>
        </w:trPr>
        <w:tc>
          <w:tcPr>
            <w:tcW w:w="418" w:type="dxa"/>
            <w:tcMar>
              <w:top w:w="10" w:type="dxa"/>
              <w:left w:w="10" w:type="dxa"/>
              <w:bottom w:w="10" w:type="dxa"/>
              <w:right w:w="10" w:type="dxa"/>
            </w:tcMar>
            <w:vAlign w:val="center"/>
          </w:tcPr>
          <w:p w14:paraId="5F272A2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99</w:t>
            </w:r>
          </w:p>
        </w:tc>
        <w:tc>
          <w:tcPr>
            <w:tcW w:w="1530" w:type="dxa"/>
            <w:tcMar>
              <w:top w:w="10" w:type="dxa"/>
              <w:left w:w="10" w:type="dxa"/>
              <w:bottom w:w="10" w:type="dxa"/>
              <w:right w:w="10" w:type="dxa"/>
            </w:tcMar>
            <w:vAlign w:val="center"/>
          </w:tcPr>
          <w:p w14:paraId="1D832C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29F9595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20212402340</w:t>
            </w:r>
          </w:p>
        </w:tc>
        <w:tc>
          <w:tcPr>
            <w:tcW w:w="425" w:type="dxa"/>
            <w:tcMar>
              <w:top w:w="10" w:type="dxa"/>
              <w:left w:w="10" w:type="dxa"/>
              <w:bottom w:w="10" w:type="dxa"/>
              <w:right w:w="10" w:type="dxa"/>
            </w:tcMar>
            <w:vAlign w:val="center"/>
          </w:tcPr>
          <w:p w14:paraId="5DE32D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E690D9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992" w:type="dxa"/>
            <w:tcMar>
              <w:top w:w="10" w:type="dxa"/>
              <w:left w:w="10" w:type="dxa"/>
              <w:bottom w:w="10" w:type="dxa"/>
              <w:right w:w="10" w:type="dxa"/>
            </w:tcMar>
            <w:vAlign w:val="center"/>
          </w:tcPr>
          <w:p w14:paraId="3892A94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7688326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p w14:paraId="6FC74D9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2025.09.15</w:t>
            </w:r>
            <w:r>
              <w:rPr>
                <w:rFonts w:ascii="Times New Roman" w:hAnsi="Times New Roman" w:hint="eastAsia"/>
                <w:sz w:val="18"/>
                <w:szCs w:val="18"/>
              </w:rPr>
              <w:t>获批变更注册</w:t>
            </w:r>
          </w:p>
        </w:tc>
      </w:tr>
      <w:tr w:rsidR="00113A51" w14:paraId="0046E5A9" w14:textId="77777777" w:rsidTr="00C707CF">
        <w:trPr>
          <w:cantSplit/>
          <w:jc w:val="center"/>
        </w:trPr>
        <w:tc>
          <w:tcPr>
            <w:tcW w:w="418" w:type="dxa"/>
            <w:tcMar>
              <w:top w:w="10" w:type="dxa"/>
              <w:left w:w="10" w:type="dxa"/>
              <w:bottom w:w="10" w:type="dxa"/>
              <w:right w:w="10" w:type="dxa"/>
            </w:tcMar>
            <w:vAlign w:val="center"/>
          </w:tcPr>
          <w:p w14:paraId="45DFE63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100</w:t>
            </w:r>
          </w:p>
        </w:tc>
        <w:tc>
          <w:tcPr>
            <w:tcW w:w="1530" w:type="dxa"/>
            <w:tcMar>
              <w:top w:w="10" w:type="dxa"/>
              <w:left w:w="10" w:type="dxa"/>
              <w:bottom w:w="10" w:type="dxa"/>
              <w:right w:w="10" w:type="dxa"/>
            </w:tcMar>
            <w:vAlign w:val="center"/>
          </w:tcPr>
          <w:p w14:paraId="55F0FC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7E80677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20212402339</w:t>
            </w:r>
          </w:p>
        </w:tc>
        <w:tc>
          <w:tcPr>
            <w:tcW w:w="425" w:type="dxa"/>
            <w:tcMar>
              <w:top w:w="10" w:type="dxa"/>
              <w:left w:w="10" w:type="dxa"/>
              <w:bottom w:w="10" w:type="dxa"/>
              <w:right w:w="10" w:type="dxa"/>
            </w:tcMar>
            <w:vAlign w:val="center"/>
          </w:tcPr>
          <w:p w14:paraId="2089FD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C909FC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992" w:type="dxa"/>
            <w:tcMar>
              <w:top w:w="10" w:type="dxa"/>
              <w:left w:w="10" w:type="dxa"/>
              <w:bottom w:w="10" w:type="dxa"/>
              <w:right w:w="10" w:type="dxa"/>
            </w:tcMar>
            <w:vAlign w:val="center"/>
          </w:tcPr>
          <w:p w14:paraId="607E771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7E297E0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710655B9" w14:textId="77777777" w:rsidTr="00C707CF">
        <w:trPr>
          <w:cantSplit/>
          <w:jc w:val="center"/>
        </w:trPr>
        <w:tc>
          <w:tcPr>
            <w:tcW w:w="418" w:type="dxa"/>
            <w:tcMar>
              <w:top w:w="10" w:type="dxa"/>
              <w:left w:w="10" w:type="dxa"/>
              <w:bottom w:w="10" w:type="dxa"/>
              <w:right w:w="10" w:type="dxa"/>
            </w:tcMar>
            <w:vAlign w:val="center"/>
          </w:tcPr>
          <w:p w14:paraId="48A7D2F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101</w:t>
            </w:r>
          </w:p>
        </w:tc>
        <w:tc>
          <w:tcPr>
            <w:tcW w:w="1530" w:type="dxa"/>
            <w:tcMar>
              <w:top w:w="10" w:type="dxa"/>
              <w:left w:w="10" w:type="dxa"/>
              <w:bottom w:w="10" w:type="dxa"/>
              <w:right w:w="10" w:type="dxa"/>
            </w:tcMar>
            <w:vAlign w:val="center"/>
          </w:tcPr>
          <w:p w14:paraId="0126E22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62B0857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20212402338</w:t>
            </w:r>
          </w:p>
        </w:tc>
        <w:tc>
          <w:tcPr>
            <w:tcW w:w="425" w:type="dxa"/>
            <w:tcMar>
              <w:top w:w="10" w:type="dxa"/>
              <w:left w:w="10" w:type="dxa"/>
              <w:bottom w:w="10" w:type="dxa"/>
              <w:right w:w="10" w:type="dxa"/>
            </w:tcMar>
            <w:vAlign w:val="center"/>
          </w:tcPr>
          <w:p w14:paraId="7C7F3E2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1A8C74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992" w:type="dxa"/>
            <w:tcMar>
              <w:top w:w="10" w:type="dxa"/>
              <w:left w:w="10" w:type="dxa"/>
              <w:bottom w:w="10" w:type="dxa"/>
              <w:right w:w="10" w:type="dxa"/>
            </w:tcMar>
            <w:vAlign w:val="center"/>
          </w:tcPr>
          <w:p w14:paraId="41ED38E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7C76192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3E3C2768" w14:textId="77777777" w:rsidTr="00C707CF">
        <w:trPr>
          <w:cantSplit/>
          <w:jc w:val="center"/>
        </w:trPr>
        <w:tc>
          <w:tcPr>
            <w:tcW w:w="418" w:type="dxa"/>
            <w:tcMar>
              <w:top w:w="10" w:type="dxa"/>
              <w:left w:w="10" w:type="dxa"/>
              <w:bottom w:w="10" w:type="dxa"/>
              <w:right w:w="10" w:type="dxa"/>
            </w:tcMar>
            <w:vAlign w:val="center"/>
          </w:tcPr>
          <w:p w14:paraId="314B707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102</w:t>
            </w:r>
          </w:p>
        </w:tc>
        <w:tc>
          <w:tcPr>
            <w:tcW w:w="1530" w:type="dxa"/>
            <w:tcMar>
              <w:top w:w="10" w:type="dxa"/>
              <w:left w:w="10" w:type="dxa"/>
              <w:bottom w:w="10" w:type="dxa"/>
              <w:right w:w="10" w:type="dxa"/>
            </w:tcMar>
            <w:vAlign w:val="center"/>
          </w:tcPr>
          <w:p w14:paraId="7D36D5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6B160A2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20212402337</w:t>
            </w:r>
          </w:p>
        </w:tc>
        <w:tc>
          <w:tcPr>
            <w:tcW w:w="425" w:type="dxa"/>
            <w:tcMar>
              <w:top w:w="10" w:type="dxa"/>
              <w:left w:w="10" w:type="dxa"/>
              <w:bottom w:w="10" w:type="dxa"/>
              <w:right w:w="10" w:type="dxa"/>
            </w:tcMar>
            <w:vAlign w:val="center"/>
          </w:tcPr>
          <w:p w14:paraId="6C1A7AD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A73BED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992" w:type="dxa"/>
            <w:tcMar>
              <w:top w:w="10" w:type="dxa"/>
              <w:left w:w="10" w:type="dxa"/>
              <w:bottom w:w="10" w:type="dxa"/>
              <w:right w:w="10" w:type="dxa"/>
            </w:tcMar>
            <w:vAlign w:val="center"/>
          </w:tcPr>
          <w:p w14:paraId="2E5A346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58DF23B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774E028B" w14:textId="77777777" w:rsidTr="00C707CF">
        <w:trPr>
          <w:cantSplit/>
          <w:jc w:val="center"/>
        </w:trPr>
        <w:tc>
          <w:tcPr>
            <w:tcW w:w="418" w:type="dxa"/>
            <w:tcMar>
              <w:top w:w="10" w:type="dxa"/>
              <w:left w:w="10" w:type="dxa"/>
              <w:bottom w:w="10" w:type="dxa"/>
              <w:right w:w="10" w:type="dxa"/>
            </w:tcMar>
            <w:vAlign w:val="center"/>
          </w:tcPr>
          <w:p w14:paraId="3007FE1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103</w:t>
            </w:r>
          </w:p>
        </w:tc>
        <w:tc>
          <w:tcPr>
            <w:tcW w:w="1530" w:type="dxa"/>
            <w:tcMar>
              <w:top w:w="10" w:type="dxa"/>
              <w:left w:w="10" w:type="dxa"/>
              <w:bottom w:w="10" w:type="dxa"/>
              <w:right w:w="10" w:type="dxa"/>
            </w:tcMar>
            <w:vAlign w:val="center"/>
          </w:tcPr>
          <w:p w14:paraId="676D709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3140250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20212402336</w:t>
            </w:r>
          </w:p>
        </w:tc>
        <w:tc>
          <w:tcPr>
            <w:tcW w:w="425" w:type="dxa"/>
            <w:tcMar>
              <w:top w:w="10" w:type="dxa"/>
              <w:left w:w="10" w:type="dxa"/>
              <w:bottom w:w="10" w:type="dxa"/>
              <w:right w:w="10" w:type="dxa"/>
            </w:tcMar>
            <w:vAlign w:val="center"/>
          </w:tcPr>
          <w:p w14:paraId="1CC8A77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5A15DA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992" w:type="dxa"/>
            <w:tcMar>
              <w:top w:w="10" w:type="dxa"/>
              <w:left w:w="10" w:type="dxa"/>
              <w:bottom w:w="10" w:type="dxa"/>
              <w:right w:w="10" w:type="dxa"/>
            </w:tcMar>
            <w:vAlign w:val="center"/>
          </w:tcPr>
          <w:p w14:paraId="218ECC8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6D1F8DF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1D712013" w14:textId="77777777" w:rsidTr="00C707CF">
        <w:trPr>
          <w:cantSplit/>
          <w:jc w:val="center"/>
        </w:trPr>
        <w:tc>
          <w:tcPr>
            <w:tcW w:w="418" w:type="dxa"/>
            <w:tcMar>
              <w:top w:w="10" w:type="dxa"/>
              <w:left w:w="10" w:type="dxa"/>
              <w:bottom w:w="10" w:type="dxa"/>
              <w:right w:w="10" w:type="dxa"/>
            </w:tcMar>
            <w:vAlign w:val="center"/>
          </w:tcPr>
          <w:p w14:paraId="269FC53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104</w:t>
            </w:r>
          </w:p>
        </w:tc>
        <w:tc>
          <w:tcPr>
            <w:tcW w:w="1530" w:type="dxa"/>
            <w:tcMar>
              <w:top w:w="10" w:type="dxa"/>
              <w:left w:w="10" w:type="dxa"/>
              <w:bottom w:w="10" w:type="dxa"/>
              <w:right w:w="10" w:type="dxa"/>
            </w:tcMar>
            <w:vAlign w:val="center"/>
          </w:tcPr>
          <w:p w14:paraId="72A2FC2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p>
        </w:tc>
        <w:tc>
          <w:tcPr>
            <w:tcW w:w="1134" w:type="dxa"/>
            <w:tcMar>
              <w:top w:w="10" w:type="dxa"/>
              <w:left w:w="10" w:type="dxa"/>
              <w:bottom w:w="10" w:type="dxa"/>
              <w:right w:w="10" w:type="dxa"/>
            </w:tcMar>
            <w:vAlign w:val="center"/>
          </w:tcPr>
          <w:p w14:paraId="554F079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20212402342</w:t>
            </w:r>
          </w:p>
        </w:tc>
        <w:tc>
          <w:tcPr>
            <w:tcW w:w="425" w:type="dxa"/>
            <w:tcMar>
              <w:top w:w="10" w:type="dxa"/>
              <w:left w:w="10" w:type="dxa"/>
              <w:bottom w:w="10" w:type="dxa"/>
              <w:right w:w="10" w:type="dxa"/>
            </w:tcMar>
            <w:vAlign w:val="center"/>
          </w:tcPr>
          <w:p w14:paraId="1B7C5C1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54B3EE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快速血糖测试，糖尿病患者、孕妇、肾透析患者或其他人群进行自我血糖监测。本产品只用于血糖水平的监测及血糖异常的初筛，不适用于糖尿病的最终诊断。静脉全血、动脉全血和新生儿全血的检测需由医务人员操作。本产品不适用于新生儿脐带血样本的血糖测试。</w:t>
            </w:r>
          </w:p>
        </w:tc>
        <w:tc>
          <w:tcPr>
            <w:tcW w:w="992" w:type="dxa"/>
            <w:tcMar>
              <w:top w:w="10" w:type="dxa"/>
              <w:left w:w="10" w:type="dxa"/>
              <w:bottom w:w="10" w:type="dxa"/>
              <w:right w:w="10" w:type="dxa"/>
            </w:tcMar>
            <w:vAlign w:val="center"/>
          </w:tcPr>
          <w:p w14:paraId="199FFF9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5C80494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897FE18" w14:textId="77777777" w:rsidTr="00C707CF">
        <w:trPr>
          <w:cantSplit/>
          <w:jc w:val="center"/>
        </w:trPr>
        <w:tc>
          <w:tcPr>
            <w:tcW w:w="418" w:type="dxa"/>
            <w:tcMar>
              <w:top w:w="10" w:type="dxa"/>
              <w:left w:w="10" w:type="dxa"/>
              <w:bottom w:w="10" w:type="dxa"/>
              <w:right w:w="10" w:type="dxa"/>
            </w:tcMar>
            <w:vAlign w:val="center"/>
          </w:tcPr>
          <w:p w14:paraId="59504F3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105</w:t>
            </w:r>
          </w:p>
        </w:tc>
        <w:tc>
          <w:tcPr>
            <w:tcW w:w="1530" w:type="dxa"/>
            <w:tcMar>
              <w:top w:w="10" w:type="dxa"/>
              <w:left w:w="10" w:type="dxa"/>
              <w:bottom w:w="10" w:type="dxa"/>
              <w:right w:w="10" w:type="dxa"/>
            </w:tcMar>
            <w:vAlign w:val="center"/>
          </w:tcPr>
          <w:p w14:paraId="7DD1133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69A753A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20212402343</w:t>
            </w:r>
          </w:p>
        </w:tc>
        <w:tc>
          <w:tcPr>
            <w:tcW w:w="425" w:type="dxa"/>
            <w:tcMar>
              <w:top w:w="10" w:type="dxa"/>
              <w:left w:w="10" w:type="dxa"/>
              <w:bottom w:w="10" w:type="dxa"/>
              <w:right w:w="10" w:type="dxa"/>
            </w:tcMar>
            <w:vAlign w:val="center"/>
          </w:tcPr>
          <w:p w14:paraId="214CFFF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9EC739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992" w:type="dxa"/>
            <w:tcMar>
              <w:top w:w="10" w:type="dxa"/>
              <w:left w:w="10" w:type="dxa"/>
              <w:bottom w:w="10" w:type="dxa"/>
              <w:right w:w="10" w:type="dxa"/>
            </w:tcMar>
            <w:vAlign w:val="center"/>
          </w:tcPr>
          <w:p w14:paraId="3203D3D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2026.12.27</w:t>
            </w:r>
          </w:p>
        </w:tc>
        <w:tc>
          <w:tcPr>
            <w:tcW w:w="1276" w:type="dxa"/>
            <w:tcMar>
              <w:top w:w="10" w:type="dxa"/>
              <w:left w:w="10" w:type="dxa"/>
              <w:bottom w:w="10" w:type="dxa"/>
              <w:right w:w="10" w:type="dxa"/>
            </w:tcMar>
            <w:vAlign w:val="center"/>
          </w:tcPr>
          <w:p w14:paraId="6EF314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723C3588" w14:textId="77777777" w:rsidTr="00C707CF">
        <w:trPr>
          <w:cantSplit/>
          <w:jc w:val="center"/>
        </w:trPr>
        <w:tc>
          <w:tcPr>
            <w:tcW w:w="418" w:type="dxa"/>
            <w:tcMar>
              <w:top w:w="10" w:type="dxa"/>
              <w:left w:w="10" w:type="dxa"/>
              <w:bottom w:w="10" w:type="dxa"/>
              <w:right w:w="10" w:type="dxa"/>
            </w:tcMar>
            <w:vAlign w:val="center"/>
          </w:tcPr>
          <w:p w14:paraId="34BA6A5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106</w:t>
            </w:r>
          </w:p>
        </w:tc>
        <w:tc>
          <w:tcPr>
            <w:tcW w:w="1530" w:type="dxa"/>
            <w:tcMar>
              <w:top w:w="10" w:type="dxa"/>
              <w:left w:w="10" w:type="dxa"/>
              <w:bottom w:w="10" w:type="dxa"/>
              <w:right w:w="10" w:type="dxa"/>
            </w:tcMar>
            <w:vAlign w:val="center"/>
          </w:tcPr>
          <w:p w14:paraId="6C01963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N-</w:t>
            </w:r>
            <w:r>
              <w:rPr>
                <w:rFonts w:ascii="Times New Roman" w:hAnsi="Times New Roman" w:hint="eastAsia"/>
                <w:sz w:val="18"/>
                <w:szCs w:val="18"/>
              </w:rPr>
              <w:t>末端脑钠肽前体（</w:t>
            </w:r>
            <w:r>
              <w:rPr>
                <w:rFonts w:ascii="Times New Roman" w:hAnsi="Times New Roman" w:cs="Times New Roman"/>
                <w:sz w:val="18"/>
                <w:szCs w:val="18"/>
              </w:rPr>
              <w:t>NT-proBNP</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339D7DB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20222400218</w:t>
            </w:r>
          </w:p>
        </w:tc>
        <w:tc>
          <w:tcPr>
            <w:tcW w:w="425" w:type="dxa"/>
            <w:tcMar>
              <w:top w:w="10" w:type="dxa"/>
              <w:left w:w="10" w:type="dxa"/>
              <w:bottom w:w="10" w:type="dxa"/>
              <w:right w:w="10" w:type="dxa"/>
            </w:tcMar>
            <w:vAlign w:val="center"/>
          </w:tcPr>
          <w:p w14:paraId="2BDED66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6B1BD5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w:t>
            </w:r>
            <w:r>
              <w:rPr>
                <w:rFonts w:ascii="Times New Roman" w:hAnsi="Times New Roman" w:cs="Times New Roman"/>
                <w:sz w:val="18"/>
                <w:szCs w:val="18"/>
              </w:rPr>
              <w:t>N-</w:t>
            </w:r>
            <w:r>
              <w:rPr>
                <w:rFonts w:ascii="Times New Roman" w:hAnsi="Times New Roman" w:hint="eastAsia"/>
                <w:sz w:val="18"/>
                <w:szCs w:val="18"/>
              </w:rPr>
              <w:t>末端脑钠肽前体（</w:t>
            </w:r>
            <w:r>
              <w:rPr>
                <w:rFonts w:ascii="Times New Roman" w:hAnsi="Times New Roman" w:cs="Times New Roman"/>
                <w:sz w:val="18"/>
                <w:szCs w:val="18"/>
              </w:rPr>
              <w:t>NT-proBNP</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135AA01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1BD0987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87F9EC9" w14:textId="77777777" w:rsidTr="00C707CF">
        <w:trPr>
          <w:cantSplit/>
          <w:jc w:val="center"/>
        </w:trPr>
        <w:tc>
          <w:tcPr>
            <w:tcW w:w="418" w:type="dxa"/>
            <w:tcMar>
              <w:top w:w="10" w:type="dxa"/>
              <w:left w:w="10" w:type="dxa"/>
              <w:bottom w:w="10" w:type="dxa"/>
              <w:right w:w="10" w:type="dxa"/>
            </w:tcMar>
            <w:vAlign w:val="center"/>
          </w:tcPr>
          <w:p w14:paraId="560F2DB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107</w:t>
            </w:r>
          </w:p>
        </w:tc>
        <w:tc>
          <w:tcPr>
            <w:tcW w:w="1530" w:type="dxa"/>
            <w:tcMar>
              <w:top w:w="10" w:type="dxa"/>
              <w:left w:w="10" w:type="dxa"/>
              <w:bottom w:w="10" w:type="dxa"/>
              <w:right w:w="10" w:type="dxa"/>
            </w:tcMar>
            <w:vAlign w:val="center"/>
          </w:tcPr>
          <w:p w14:paraId="5C14F52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胰岛素自身抗体（</w:t>
            </w:r>
            <w:r>
              <w:rPr>
                <w:rFonts w:ascii="Times New Roman" w:hAnsi="Times New Roman" w:cs="Times New Roman"/>
                <w:sz w:val="18"/>
                <w:szCs w:val="18"/>
              </w:rPr>
              <w:t>IAA</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078B57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20222400219</w:t>
            </w:r>
          </w:p>
        </w:tc>
        <w:tc>
          <w:tcPr>
            <w:tcW w:w="425" w:type="dxa"/>
            <w:tcMar>
              <w:top w:w="10" w:type="dxa"/>
              <w:left w:w="10" w:type="dxa"/>
              <w:bottom w:w="10" w:type="dxa"/>
              <w:right w:w="10" w:type="dxa"/>
            </w:tcMar>
            <w:vAlign w:val="center"/>
          </w:tcPr>
          <w:p w14:paraId="125A57B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E8955B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用于体外定性检测人体血清或（和）血浆中胰岛素自身抗体（</w:t>
            </w:r>
            <w:r>
              <w:rPr>
                <w:rFonts w:ascii="Times New Roman" w:hAnsi="Times New Roman" w:cs="Times New Roman"/>
                <w:sz w:val="18"/>
                <w:szCs w:val="18"/>
              </w:rPr>
              <w:t>IAA</w:t>
            </w:r>
            <w:r>
              <w:rPr>
                <w:rFonts w:ascii="Times New Roman" w:hAnsi="Times New Roman" w:hint="eastAsia"/>
                <w:sz w:val="18"/>
                <w:szCs w:val="18"/>
              </w:rPr>
              <w:t>）。</w:t>
            </w:r>
          </w:p>
        </w:tc>
        <w:tc>
          <w:tcPr>
            <w:tcW w:w="992" w:type="dxa"/>
            <w:tcMar>
              <w:top w:w="10" w:type="dxa"/>
              <w:left w:w="10" w:type="dxa"/>
              <w:bottom w:w="10" w:type="dxa"/>
              <w:right w:w="10" w:type="dxa"/>
            </w:tcMar>
            <w:vAlign w:val="center"/>
          </w:tcPr>
          <w:p w14:paraId="26CBDC4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34B82B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E920892" w14:textId="77777777" w:rsidTr="00C707CF">
        <w:trPr>
          <w:cantSplit/>
          <w:jc w:val="center"/>
        </w:trPr>
        <w:tc>
          <w:tcPr>
            <w:tcW w:w="418" w:type="dxa"/>
            <w:tcMar>
              <w:top w:w="10" w:type="dxa"/>
              <w:left w:w="10" w:type="dxa"/>
              <w:bottom w:w="10" w:type="dxa"/>
              <w:right w:w="10" w:type="dxa"/>
            </w:tcMar>
            <w:vAlign w:val="center"/>
          </w:tcPr>
          <w:p w14:paraId="763E22D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108</w:t>
            </w:r>
          </w:p>
        </w:tc>
        <w:tc>
          <w:tcPr>
            <w:tcW w:w="1530" w:type="dxa"/>
            <w:tcMar>
              <w:top w:w="10" w:type="dxa"/>
              <w:left w:w="10" w:type="dxa"/>
              <w:bottom w:w="10" w:type="dxa"/>
              <w:right w:w="10" w:type="dxa"/>
            </w:tcMar>
            <w:vAlign w:val="center"/>
          </w:tcPr>
          <w:p w14:paraId="3E56D3A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降钙素原（</w:t>
            </w:r>
            <w:r>
              <w:rPr>
                <w:rFonts w:ascii="Times New Roman" w:hAnsi="Times New Roman" w:cs="Times New Roman"/>
                <w:sz w:val="18"/>
                <w:szCs w:val="18"/>
              </w:rPr>
              <w:t>PCT</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7737A99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20222400220</w:t>
            </w:r>
          </w:p>
        </w:tc>
        <w:tc>
          <w:tcPr>
            <w:tcW w:w="425" w:type="dxa"/>
            <w:tcMar>
              <w:top w:w="10" w:type="dxa"/>
              <w:left w:w="10" w:type="dxa"/>
              <w:bottom w:w="10" w:type="dxa"/>
              <w:right w:w="10" w:type="dxa"/>
            </w:tcMar>
            <w:vAlign w:val="center"/>
          </w:tcPr>
          <w:p w14:paraId="54DB22A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510C8E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用于体外定量测定人体血清或（和）血浆中降钙素原（</w:t>
            </w:r>
            <w:r>
              <w:rPr>
                <w:rFonts w:ascii="Times New Roman" w:hAnsi="Times New Roman" w:cs="Times New Roman"/>
                <w:sz w:val="18"/>
                <w:szCs w:val="18"/>
              </w:rPr>
              <w:t>PCT</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6489951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182E834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BCE7C77" w14:textId="77777777" w:rsidTr="00C707CF">
        <w:trPr>
          <w:cantSplit/>
          <w:jc w:val="center"/>
        </w:trPr>
        <w:tc>
          <w:tcPr>
            <w:tcW w:w="418" w:type="dxa"/>
            <w:tcMar>
              <w:top w:w="10" w:type="dxa"/>
              <w:left w:w="10" w:type="dxa"/>
              <w:bottom w:w="10" w:type="dxa"/>
              <w:right w:w="10" w:type="dxa"/>
            </w:tcMar>
            <w:vAlign w:val="center"/>
          </w:tcPr>
          <w:p w14:paraId="49B65A6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109</w:t>
            </w:r>
          </w:p>
        </w:tc>
        <w:tc>
          <w:tcPr>
            <w:tcW w:w="1530" w:type="dxa"/>
            <w:tcMar>
              <w:top w:w="10" w:type="dxa"/>
              <w:left w:w="10" w:type="dxa"/>
              <w:bottom w:w="10" w:type="dxa"/>
              <w:right w:w="10" w:type="dxa"/>
            </w:tcMar>
            <w:vAlign w:val="center"/>
          </w:tcPr>
          <w:p w14:paraId="7B01AFA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肌酸激酶同工酶（</w:t>
            </w:r>
            <w:r>
              <w:rPr>
                <w:rFonts w:ascii="Times New Roman" w:hAnsi="Times New Roman" w:cs="Times New Roman"/>
                <w:sz w:val="18"/>
                <w:szCs w:val="18"/>
              </w:rPr>
              <w:t>CKMB</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7A91156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20222400221</w:t>
            </w:r>
          </w:p>
        </w:tc>
        <w:tc>
          <w:tcPr>
            <w:tcW w:w="425" w:type="dxa"/>
            <w:tcMar>
              <w:top w:w="10" w:type="dxa"/>
              <w:left w:w="10" w:type="dxa"/>
              <w:bottom w:w="10" w:type="dxa"/>
              <w:right w:w="10" w:type="dxa"/>
            </w:tcMar>
            <w:vAlign w:val="center"/>
          </w:tcPr>
          <w:p w14:paraId="7A81120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2F5440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用于体外定量测定人体血清或（和）血浆中肌酸激酶同工酶（</w:t>
            </w:r>
            <w:r>
              <w:rPr>
                <w:rFonts w:ascii="Times New Roman" w:hAnsi="Times New Roman" w:cs="Times New Roman"/>
                <w:sz w:val="18"/>
                <w:szCs w:val="18"/>
              </w:rPr>
              <w:t>CKMB</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6A1FCAB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7EF4227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5FAEA0C" w14:textId="77777777" w:rsidTr="00C707CF">
        <w:trPr>
          <w:cantSplit/>
          <w:jc w:val="center"/>
        </w:trPr>
        <w:tc>
          <w:tcPr>
            <w:tcW w:w="418" w:type="dxa"/>
            <w:tcMar>
              <w:top w:w="10" w:type="dxa"/>
              <w:left w:w="10" w:type="dxa"/>
              <w:bottom w:w="10" w:type="dxa"/>
              <w:right w:w="10" w:type="dxa"/>
            </w:tcMar>
            <w:vAlign w:val="center"/>
          </w:tcPr>
          <w:p w14:paraId="309B4F1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110</w:t>
            </w:r>
          </w:p>
        </w:tc>
        <w:tc>
          <w:tcPr>
            <w:tcW w:w="1530" w:type="dxa"/>
            <w:tcMar>
              <w:top w:w="10" w:type="dxa"/>
              <w:left w:w="10" w:type="dxa"/>
              <w:bottom w:w="10" w:type="dxa"/>
              <w:right w:w="10" w:type="dxa"/>
            </w:tcMar>
            <w:vAlign w:val="center"/>
          </w:tcPr>
          <w:p w14:paraId="359377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白介素</w:t>
            </w:r>
            <w:r>
              <w:rPr>
                <w:rFonts w:ascii="Times New Roman" w:hAnsi="Times New Roman" w:cs="Times New Roman"/>
                <w:sz w:val="18"/>
                <w:szCs w:val="18"/>
              </w:rPr>
              <w:t>-6</w:t>
            </w:r>
            <w:r>
              <w:rPr>
                <w:rFonts w:ascii="Times New Roman" w:hAnsi="Times New Roman" w:hint="eastAsia"/>
                <w:sz w:val="18"/>
                <w:szCs w:val="18"/>
              </w:rPr>
              <w:t>（</w:t>
            </w:r>
            <w:r>
              <w:rPr>
                <w:rFonts w:ascii="Times New Roman" w:hAnsi="Times New Roman" w:cs="Times New Roman"/>
                <w:sz w:val="18"/>
                <w:szCs w:val="18"/>
              </w:rPr>
              <w:t>IL-6</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5226B23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20222400222</w:t>
            </w:r>
          </w:p>
        </w:tc>
        <w:tc>
          <w:tcPr>
            <w:tcW w:w="425" w:type="dxa"/>
            <w:tcMar>
              <w:top w:w="10" w:type="dxa"/>
              <w:left w:w="10" w:type="dxa"/>
              <w:bottom w:w="10" w:type="dxa"/>
              <w:right w:w="10" w:type="dxa"/>
            </w:tcMar>
            <w:vAlign w:val="center"/>
          </w:tcPr>
          <w:p w14:paraId="050BE7A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E623AA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用于体外定量测定人体血清或（和）血浆中白介素</w:t>
            </w:r>
            <w:r>
              <w:rPr>
                <w:rFonts w:ascii="Times New Roman" w:hAnsi="Times New Roman" w:cs="Times New Roman"/>
                <w:sz w:val="18"/>
                <w:szCs w:val="18"/>
              </w:rPr>
              <w:t>-6</w:t>
            </w:r>
            <w:r>
              <w:rPr>
                <w:rFonts w:ascii="Times New Roman" w:hAnsi="Times New Roman" w:hint="eastAsia"/>
                <w:sz w:val="18"/>
                <w:szCs w:val="18"/>
              </w:rPr>
              <w:t>（</w:t>
            </w:r>
            <w:r>
              <w:rPr>
                <w:rFonts w:ascii="Times New Roman" w:hAnsi="Times New Roman" w:cs="Times New Roman"/>
                <w:sz w:val="18"/>
                <w:szCs w:val="18"/>
              </w:rPr>
              <w:t>IL-6</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08E0FE5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68A9DC8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995506F" w14:textId="77777777" w:rsidTr="00C707CF">
        <w:trPr>
          <w:cantSplit/>
          <w:jc w:val="center"/>
        </w:trPr>
        <w:tc>
          <w:tcPr>
            <w:tcW w:w="418" w:type="dxa"/>
            <w:tcMar>
              <w:top w:w="10" w:type="dxa"/>
              <w:left w:w="10" w:type="dxa"/>
              <w:bottom w:w="10" w:type="dxa"/>
              <w:right w:w="10" w:type="dxa"/>
            </w:tcMar>
            <w:vAlign w:val="center"/>
          </w:tcPr>
          <w:p w14:paraId="0A58753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111</w:t>
            </w:r>
          </w:p>
        </w:tc>
        <w:tc>
          <w:tcPr>
            <w:tcW w:w="1530" w:type="dxa"/>
            <w:tcMar>
              <w:top w:w="10" w:type="dxa"/>
              <w:left w:w="10" w:type="dxa"/>
              <w:bottom w:w="10" w:type="dxa"/>
              <w:right w:w="10" w:type="dxa"/>
            </w:tcMar>
            <w:vAlign w:val="center"/>
          </w:tcPr>
          <w:p w14:paraId="5CB7983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胰岛细胞抗体（</w:t>
            </w:r>
            <w:r>
              <w:rPr>
                <w:rFonts w:ascii="Times New Roman" w:hAnsi="Times New Roman" w:cs="Times New Roman"/>
                <w:sz w:val="18"/>
                <w:szCs w:val="18"/>
              </w:rPr>
              <w:t>ICA</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3470B1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20222400223</w:t>
            </w:r>
          </w:p>
        </w:tc>
        <w:tc>
          <w:tcPr>
            <w:tcW w:w="425" w:type="dxa"/>
            <w:tcMar>
              <w:top w:w="10" w:type="dxa"/>
              <w:left w:w="10" w:type="dxa"/>
              <w:bottom w:w="10" w:type="dxa"/>
              <w:right w:w="10" w:type="dxa"/>
            </w:tcMar>
            <w:vAlign w:val="center"/>
          </w:tcPr>
          <w:p w14:paraId="5E940C9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CADA15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用于体外定性检测人体血清或（和）血浆中胰岛细胞抗体（</w:t>
            </w:r>
            <w:r>
              <w:rPr>
                <w:rFonts w:ascii="Times New Roman" w:hAnsi="Times New Roman" w:cs="Times New Roman"/>
                <w:sz w:val="18"/>
                <w:szCs w:val="18"/>
              </w:rPr>
              <w:t>ICA</w:t>
            </w:r>
            <w:r>
              <w:rPr>
                <w:rFonts w:ascii="Times New Roman" w:hAnsi="Times New Roman" w:hint="eastAsia"/>
                <w:sz w:val="18"/>
                <w:szCs w:val="18"/>
              </w:rPr>
              <w:t>）。</w:t>
            </w:r>
          </w:p>
        </w:tc>
        <w:tc>
          <w:tcPr>
            <w:tcW w:w="992" w:type="dxa"/>
            <w:tcMar>
              <w:top w:w="10" w:type="dxa"/>
              <w:left w:w="10" w:type="dxa"/>
              <w:bottom w:w="10" w:type="dxa"/>
              <w:right w:w="10" w:type="dxa"/>
            </w:tcMar>
            <w:vAlign w:val="center"/>
          </w:tcPr>
          <w:p w14:paraId="32D26E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6864B3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8930DB0" w14:textId="77777777" w:rsidTr="00C707CF">
        <w:trPr>
          <w:cantSplit/>
          <w:jc w:val="center"/>
        </w:trPr>
        <w:tc>
          <w:tcPr>
            <w:tcW w:w="418" w:type="dxa"/>
            <w:tcMar>
              <w:top w:w="10" w:type="dxa"/>
              <w:left w:w="10" w:type="dxa"/>
              <w:bottom w:w="10" w:type="dxa"/>
              <w:right w:w="10" w:type="dxa"/>
            </w:tcMar>
            <w:vAlign w:val="center"/>
          </w:tcPr>
          <w:p w14:paraId="0127FA9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112</w:t>
            </w:r>
          </w:p>
        </w:tc>
        <w:tc>
          <w:tcPr>
            <w:tcW w:w="1530" w:type="dxa"/>
            <w:tcMar>
              <w:top w:w="10" w:type="dxa"/>
              <w:left w:w="10" w:type="dxa"/>
              <w:bottom w:w="10" w:type="dxa"/>
              <w:right w:w="10" w:type="dxa"/>
            </w:tcMar>
            <w:vAlign w:val="center"/>
          </w:tcPr>
          <w:p w14:paraId="50A7809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酪氨酸磷酸酶（</w:t>
            </w:r>
            <w:r>
              <w:rPr>
                <w:rFonts w:ascii="Times New Roman" w:hAnsi="Times New Roman" w:cs="Times New Roman"/>
                <w:sz w:val="18"/>
                <w:szCs w:val="18"/>
              </w:rPr>
              <w:t>IA-2</w:t>
            </w:r>
            <w:r>
              <w:rPr>
                <w:rFonts w:ascii="Times New Roman" w:hAnsi="Times New Roman" w:hint="eastAsia"/>
                <w:sz w:val="18"/>
                <w:szCs w:val="18"/>
              </w:rPr>
              <w:t>）抗体检测试剂盒（化学发光免疫分析法）</w:t>
            </w:r>
          </w:p>
        </w:tc>
        <w:tc>
          <w:tcPr>
            <w:tcW w:w="1134" w:type="dxa"/>
            <w:tcMar>
              <w:top w:w="10" w:type="dxa"/>
              <w:left w:w="10" w:type="dxa"/>
              <w:bottom w:w="10" w:type="dxa"/>
              <w:right w:w="10" w:type="dxa"/>
            </w:tcMar>
            <w:vAlign w:val="center"/>
          </w:tcPr>
          <w:p w14:paraId="6354264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20222400224</w:t>
            </w:r>
          </w:p>
        </w:tc>
        <w:tc>
          <w:tcPr>
            <w:tcW w:w="425" w:type="dxa"/>
            <w:tcMar>
              <w:top w:w="10" w:type="dxa"/>
              <w:left w:w="10" w:type="dxa"/>
              <w:bottom w:w="10" w:type="dxa"/>
              <w:right w:w="10" w:type="dxa"/>
            </w:tcMar>
            <w:vAlign w:val="center"/>
          </w:tcPr>
          <w:p w14:paraId="5E11BF5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5FAD47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用于体外定量测定人体血清或（和）血浆中酪氨酸磷酸酶（</w:t>
            </w:r>
            <w:r>
              <w:rPr>
                <w:rFonts w:ascii="Times New Roman" w:hAnsi="Times New Roman" w:cs="Times New Roman"/>
                <w:sz w:val="18"/>
                <w:szCs w:val="18"/>
              </w:rPr>
              <w:t>IA-2</w:t>
            </w:r>
            <w:r>
              <w:rPr>
                <w:rFonts w:ascii="Times New Roman" w:hAnsi="Times New Roman" w:hint="eastAsia"/>
                <w:sz w:val="18"/>
                <w:szCs w:val="18"/>
              </w:rPr>
              <w:t>）抗体的含量。</w:t>
            </w:r>
          </w:p>
        </w:tc>
        <w:tc>
          <w:tcPr>
            <w:tcW w:w="992" w:type="dxa"/>
            <w:tcMar>
              <w:top w:w="10" w:type="dxa"/>
              <w:left w:w="10" w:type="dxa"/>
              <w:bottom w:w="10" w:type="dxa"/>
              <w:right w:w="10" w:type="dxa"/>
            </w:tcMar>
            <w:vAlign w:val="center"/>
          </w:tcPr>
          <w:p w14:paraId="2550629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3A78B27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3D52CF8" w14:textId="77777777" w:rsidTr="00C707CF">
        <w:trPr>
          <w:cantSplit/>
          <w:jc w:val="center"/>
        </w:trPr>
        <w:tc>
          <w:tcPr>
            <w:tcW w:w="418" w:type="dxa"/>
            <w:tcMar>
              <w:top w:w="10" w:type="dxa"/>
              <w:left w:w="10" w:type="dxa"/>
              <w:bottom w:w="10" w:type="dxa"/>
              <w:right w:w="10" w:type="dxa"/>
            </w:tcMar>
            <w:vAlign w:val="center"/>
          </w:tcPr>
          <w:p w14:paraId="3BA711D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113</w:t>
            </w:r>
          </w:p>
        </w:tc>
        <w:tc>
          <w:tcPr>
            <w:tcW w:w="1530" w:type="dxa"/>
            <w:tcMar>
              <w:top w:w="10" w:type="dxa"/>
              <w:left w:w="10" w:type="dxa"/>
              <w:bottom w:w="10" w:type="dxa"/>
              <w:right w:w="10" w:type="dxa"/>
            </w:tcMar>
            <w:vAlign w:val="center"/>
          </w:tcPr>
          <w:p w14:paraId="51ACC92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谷氨酸脱羧酶抗体（</w:t>
            </w:r>
            <w:r>
              <w:rPr>
                <w:rFonts w:ascii="Times New Roman" w:hAnsi="Times New Roman" w:cs="Times New Roman"/>
                <w:sz w:val="18"/>
                <w:szCs w:val="18"/>
              </w:rPr>
              <w:t>GAD-Ab</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0D0C22B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20222400225</w:t>
            </w:r>
          </w:p>
        </w:tc>
        <w:tc>
          <w:tcPr>
            <w:tcW w:w="425" w:type="dxa"/>
            <w:tcMar>
              <w:top w:w="10" w:type="dxa"/>
              <w:left w:w="10" w:type="dxa"/>
              <w:bottom w:w="10" w:type="dxa"/>
              <w:right w:w="10" w:type="dxa"/>
            </w:tcMar>
            <w:vAlign w:val="center"/>
          </w:tcPr>
          <w:p w14:paraId="1B2E517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A26CF5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用于体外定量测定人体血清或（和）血浆中谷氨酸脱羧酶抗体（</w:t>
            </w:r>
            <w:r>
              <w:rPr>
                <w:rFonts w:ascii="Times New Roman" w:hAnsi="Times New Roman" w:cs="Times New Roman"/>
                <w:sz w:val="18"/>
                <w:szCs w:val="18"/>
              </w:rPr>
              <w:t>GAD-Ab</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7EFD46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6E5DC64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AC03C00" w14:textId="77777777" w:rsidTr="00C707CF">
        <w:trPr>
          <w:cantSplit/>
          <w:jc w:val="center"/>
        </w:trPr>
        <w:tc>
          <w:tcPr>
            <w:tcW w:w="418" w:type="dxa"/>
            <w:tcMar>
              <w:top w:w="10" w:type="dxa"/>
              <w:left w:w="10" w:type="dxa"/>
              <w:bottom w:w="10" w:type="dxa"/>
              <w:right w:w="10" w:type="dxa"/>
            </w:tcMar>
            <w:vAlign w:val="center"/>
          </w:tcPr>
          <w:p w14:paraId="44CD518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114</w:t>
            </w:r>
          </w:p>
        </w:tc>
        <w:tc>
          <w:tcPr>
            <w:tcW w:w="1530" w:type="dxa"/>
            <w:tcMar>
              <w:top w:w="10" w:type="dxa"/>
              <w:left w:w="10" w:type="dxa"/>
              <w:bottom w:w="10" w:type="dxa"/>
              <w:right w:w="10" w:type="dxa"/>
            </w:tcMar>
            <w:vAlign w:val="center"/>
          </w:tcPr>
          <w:p w14:paraId="7CC6D2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超敏肌钙蛋白</w:t>
            </w:r>
            <w:r>
              <w:rPr>
                <w:rFonts w:ascii="Times New Roman" w:hAnsi="Times New Roman" w:cs="Times New Roman"/>
                <w:sz w:val="18"/>
                <w:szCs w:val="18"/>
              </w:rPr>
              <w:t>I</w:t>
            </w:r>
            <w:r>
              <w:rPr>
                <w:rFonts w:ascii="Times New Roman" w:hAnsi="Times New Roman" w:hint="eastAsia"/>
                <w:sz w:val="18"/>
                <w:szCs w:val="18"/>
              </w:rPr>
              <w:t>（</w:t>
            </w:r>
            <w:r>
              <w:rPr>
                <w:rFonts w:ascii="Times New Roman" w:hAnsi="Times New Roman" w:cs="Times New Roman"/>
                <w:sz w:val="18"/>
                <w:szCs w:val="18"/>
              </w:rPr>
              <w:t>hs-cTnI</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7054D2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20222400226</w:t>
            </w:r>
          </w:p>
        </w:tc>
        <w:tc>
          <w:tcPr>
            <w:tcW w:w="425" w:type="dxa"/>
            <w:tcMar>
              <w:top w:w="10" w:type="dxa"/>
              <w:left w:w="10" w:type="dxa"/>
              <w:bottom w:w="10" w:type="dxa"/>
              <w:right w:w="10" w:type="dxa"/>
            </w:tcMar>
            <w:vAlign w:val="center"/>
          </w:tcPr>
          <w:p w14:paraId="2608FE7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B18169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用于体外定量测定人体血清或（和）血浆中肌钙蛋白</w:t>
            </w:r>
            <w:r>
              <w:rPr>
                <w:rFonts w:ascii="Times New Roman" w:hAnsi="Times New Roman" w:cs="Times New Roman"/>
                <w:sz w:val="18"/>
                <w:szCs w:val="18"/>
              </w:rPr>
              <w:t>I</w:t>
            </w:r>
            <w:r>
              <w:rPr>
                <w:rFonts w:ascii="Times New Roman" w:hAnsi="Times New Roman" w:hint="eastAsia"/>
                <w:sz w:val="18"/>
                <w:szCs w:val="18"/>
              </w:rPr>
              <w:t>（</w:t>
            </w:r>
            <w:r>
              <w:rPr>
                <w:rFonts w:ascii="Times New Roman" w:hAnsi="Times New Roman" w:cs="Times New Roman"/>
                <w:sz w:val="18"/>
                <w:szCs w:val="18"/>
              </w:rPr>
              <w:t>cTnI</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304B3A0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238577B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75B937D" w14:textId="77777777" w:rsidTr="00C707CF">
        <w:trPr>
          <w:cantSplit/>
          <w:jc w:val="center"/>
        </w:trPr>
        <w:tc>
          <w:tcPr>
            <w:tcW w:w="418" w:type="dxa"/>
            <w:tcMar>
              <w:top w:w="10" w:type="dxa"/>
              <w:left w:w="10" w:type="dxa"/>
              <w:bottom w:w="10" w:type="dxa"/>
              <w:right w:w="10" w:type="dxa"/>
            </w:tcMar>
            <w:vAlign w:val="center"/>
          </w:tcPr>
          <w:p w14:paraId="33174CA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115</w:t>
            </w:r>
          </w:p>
        </w:tc>
        <w:tc>
          <w:tcPr>
            <w:tcW w:w="1530" w:type="dxa"/>
            <w:tcMar>
              <w:top w:w="10" w:type="dxa"/>
              <w:left w:w="10" w:type="dxa"/>
              <w:bottom w:w="10" w:type="dxa"/>
              <w:right w:w="10" w:type="dxa"/>
            </w:tcMar>
            <w:vAlign w:val="center"/>
          </w:tcPr>
          <w:p w14:paraId="2974D22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锌转运蛋白</w:t>
            </w:r>
            <w:r>
              <w:rPr>
                <w:rFonts w:ascii="Times New Roman" w:hAnsi="Times New Roman" w:cs="Times New Roman"/>
                <w:sz w:val="18"/>
                <w:szCs w:val="18"/>
              </w:rPr>
              <w:t>8</w:t>
            </w:r>
            <w:r>
              <w:rPr>
                <w:rFonts w:ascii="Times New Roman" w:hAnsi="Times New Roman" w:hint="eastAsia"/>
                <w:sz w:val="18"/>
                <w:szCs w:val="18"/>
              </w:rPr>
              <w:t>（</w:t>
            </w:r>
            <w:r>
              <w:rPr>
                <w:rFonts w:ascii="Times New Roman" w:hAnsi="Times New Roman" w:cs="Times New Roman"/>
                <w:sz w:val="18"/>
                <w:szCs w:val="18"/>
              </w:rPr>
              <w:t>ZnT8</w:t>
            </w:r>
            <w:r>
              <w:rPr>
                <w:rFonts w:ascii="Times New Roman" w:hAnsi="Times New Roman" w:hint="eastAsia"/>
                <w:sz w:val="18"/>
                <w:szCs w:val="18"/>
              </w:rPr>
              <w:t>）抗体检测试剂盒（化学发光免疫分析法）</w:t>
            </w:r>
          </w:p>
        </w:tc>
        <w:tc>
          <w:tcPr>
            <w:tcW w:w="1134" w:type="dxa"/>
            <w:tcMar>
              <w:top w:w="10" w:type="dxa"/>
              <w:left w:w="10" w:type="dxa"/>
              <w:bottom w:w="10" w:type="dxa"/>
              <w:right w:w="10" w:type="dxa"/>
            </w:tcMar>
            <w:vAlign w:val="center"/>
          </w:tcPr>
          <w:p w14:paraId="52A62CF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20222400227</w:t>
            </w:r>
          </w:p>
        </w:tc>
        <w:tc>
          <w:tcPr>
            <w:tcW w:w="425" w:type="dxa"/>
            <w:tcMar>
              <w:top w:w="10" w:type="dxa"/>
              <w:left w:w="10" w:type="dxa"/>
              <w:bottom w:w="10" w:type="dxa"/>
              <w:right w:w="10" w:type="dxa"/>
            </w:tcMar>
            <w:vAlign w:val="center"/>
          </w:tcPr>
          <w:p w14:paraId="32DB5C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E08BE4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用于体外定量测定人体血清或（和）血浆中锌转运蛋白</w:t>
            </w:r>
            <w:r>
              <w:rPr>
                <w:rFonts w:ascii="Times New Roman" w:hAnsi="Times New Roman" w:cs="Times New Roman"/>
                <w:sz w:val="18"/>
                <w:szCs w:val="18"/>
              </w:rPr>
              <w:t>8</w:t>
            </w:r>
            <w:r>
              <w:rPr>
                <w:rFonts w:ascii="Times New Roman" w:hAnsi="Times New Roman" w:hint="eastAsia"/>
                <w:sz w:val="18"/>
                <w:szCs w:val="18"/>
              </w:rPr>
              <w:t>（</w:t>
            </w:r>
            <w:r>
              <w:rPr>
                <w:rFonts w:ascii="Times New Roman" w:hAnsi="Times New Roman" w:cs="Times New Roman"/>
                <w:sz w:val="18"/>
                <w:szCs w:val="18"/>
              </w:rPr>
              <w:t>ZnT8</w:t>
            </w:r>
            <w:r>
              <w:rPr>
                <w:rFonts w:ascii="Times New Roman" w:hAnsi="Times New Roman" w:hint="eastAsia"/>
                <w:sz w:val="18"/>
                <w:szCs w:val="18"/>
              </w:rPr>
              <w:t>）抗体的含量。</w:t>
            </w:r>
          </w:p>
        </w:tc>
        <w:tc>
          <w:tcPr>
            <w:tcW w:w="992" w:type="dxa"/>
            <w:tcMar>
              <w:top w:w="10" w:type="dxa"/>
              <w:left w:w="10" w:type="dxa"/>
              <w:bottom w:w="10" w:type="dxa"/>
              <w:right w:w="10" w:type="dxa"/>
            </w:tcMar>
            <w:vAlign w:val="center"/>
          </w:tcPr>
          <w:p w14:paraId="07E3B7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31ACE99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14453E6" w14:textId="77777777" w:rsidTr="00C707CF">
        <w:trPr>
          <w:cantSplit/>
          <w:jc w:val="center"/>
        </w:trPr>
        <w:tc>
          <w:tcPr>
            <w:tcW w:w="418" w:type="dxa"/>
            <w:tcMar>
              <w:top w:w="10" w:type="dxa"/>
              <w:left w:w="10" w:type="dxa"/>
              <w:bottom w:w="10" w:type="dxa"/>
              <w:right w:w="10" w:type="dxa"/>
            </w:tcMar>
            <w:vAlign w:val="center"/>
          </w:tcPr>
          <w:p w14:paraId="212AA5D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116</w:t>
            </w:r>
          </w:p>
        </w:tc>
        <w:tc>
          <w:tcPr>
            <w:tcW w:w="1530" w:type="dxa"/>
            <w:tcMar>
              <w:top w:w="10" w:type="dxa"/>
              <w:left w:w="10" w:type="dxa"/>
              <w:bottom w:w="10" w:type="dxa"/>
              <w:right w:w="10" w:type="dxa"/>
            </w:tcMar>
            <w:vAlign w:val="center"/>
          </w:tcPr>
          <w:p w14:paraId="5A89511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胰岛素（</w:t>
            </w:r>
            <w:r>
              <w:rPr>
                <w:rFonts w:ascii="Times New Roman" w:hAnsi="Times New Roman" w:cs="Times New Roman"/>
                <w:sz w:val="18"/>
                <w:szCs w:val="18"/>
              </w:rPr>
              <w:t>INS</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32163FD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20222400228</w:t>
            </w:r>
          </w:p>
        </w:tc>
        <w:tc>
          <w:tcPr>
            <w:tcW w:w="425" w:type="dxa"/>
            <w:tcMar>
              <w:top w:w="10" w:type="dxa"/>
              <w:left w:w="10" w:type="dxa"/>
              <w:bottom w:w="10" w:type="dxa"/>
              <w:right w:w="10" w:type="dxa"/>
            </w:tcMar>
            <w:vAlign w:val="center"/>
          </w:tcPr>
          <w:p w14:paraId="76BAA32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E17774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用于体外定量测定人体血清或（和）血浆中胰岛素（</w:t>
            </w:r>
            <w:r>
              <w:rPr>
                <w:rFonts w:ascii="Times New Roman" w:hAnsi="Times New Roman" w:cs="Times New Roman"/>
                <w:sz w:val="18"/>
                <w:szCs w:val="18"/>
              </w:rPr>
              <w:t>INS</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260E31B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178D7E3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5C4901C" w14:textId="77777777" w:rsidTr="00C707CF">
        <w:trPr>
          <w:cantSplit/>
          <w:jc w:val="center"/>
        </w:trPr>
        <w:tc>
          <w:tcPr>
            <w:tcW w:w="418" w:type="dxa"/>
            <w:tcMar>
              <w:top w:w="10" w:type="dxa"/>
              <w:left w:w="10" w:type="dxa"/>
              <w:bottom w:w="10" w:type="dxa"/>
              <w:right w:w="10" w:type="dxa"/>
            </w:tcMar>
            <w:vAlign w:val="center"/>
          </w:tcPr>
          <w:p w14:paraId="2A9244B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117</w:t>
            </w:r>
          </w:p>
        </w:tc>
        <w:tc>
          <w:tcPr>
            <w:tcW w:w="1530" w:type="dxa"/>
            <w:tcMar>
              <w:top w:w="10" w:type="dxa"/>
              <w:left w:w="10" w:type="dxa"/>
              <w:bottom w:w="10" w:type="dxa"/>
              <w:right w:w="10" w:type="dxa"/>
            </w:tcMar>
            <w:vAlign w:val="center"/>
          </w:tcPr>
          <w:p w14:paraId="7AD26BB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D-</w:t>
            </w:r>
            <w:r>
              <w:rPr>
                <w:rFonts w:ascii="Times New Roman" w:hAnsi="Times New Roman" w:hint="eastAsia"/>
                <w:sz w:val="18"/>
                <w:szCs w:val="18"/>
              </w:rPr>
              <w:t>二聚体（</w:t>
            </w:r>
            <w:r>
              <w:rPr>
                <w:rFonts w:ascii="Times New Roman" w:hAnsi="Times New Roman" w:cs="Times New Roman"/>
                <w:sz w:val="18"/>
                <w:szCs w:val="18"/>
              </w:rPr>
              <w:t>D-Dimer</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41BCDAA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20222400229</w:t>
            </w:r>
          </w:p>
        </w:tc>
        <w:tc>
          <w:tcPr>
            <w:tcW w:w="425" w:type="dxa"/>
            <w:tcMar>
              <w:top w:w="10" w:type="dxa"/>
              <w:left w:w="10" w:type="dxa"/>
              <w:bottom w:w="10" w:type="dxa"/>
              <w:right w:w="10" w:type="dxa"/>
            </w:tcMar>
            <w:vAlign w:val="center"/>
          </w:tcPr>
          <w:p w14:paraId="7ABE836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922F60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用于体外定量测定人体血浆中</w:t>
            </w:r>
            <w:r>
              <w:rPr>
                <w:rFonts w:ascii="Times New Roman" w:hAnsi="Times New Roman" w:cs="Times New Roman"/>
                <w:sz w:val="18"/>
                <w:szCs w:val="18"/>
              </w:rPr>
              <w:t>D-</w:t>
            </w:r>
            <w:r>
              <w:rPr>
                <w:rFonts w:ascii="Times New Roman" w:hAnsi="Times New Roman" w:hint="eastAsia"/>
                <w:sz w:val="18"/>
                <w:szCs w:val="18"/>
              </w:rPr>
              <w:t>二聚体（</w:t>
            </w:r>
            <w:r>
              <w:rPr>
                <w:rFonts w:ascii="Times New Roman" w:hAnsi="Times New Roman" w:cs="Times New Roman"/>
                <w:sz w:val="18"/>
                <w:szCs w:val="18"/>
              </w:rPr>
              <w:t>D-Dimer</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046BCE4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6780AAB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6211ED2" w14:textId="77777777" w:rsidTr="00C707CF">
        <w:trPr>
          <w:cantSplit/>
          <w:jc w:val="center"/>
        </w:trPr>
        <w:tc>
          <w:tcPr>
            <w:tcW w:w="418" w:type="dxa"/>
            <w:tcMar>
              <w:top w:w="10" w:type="dxa"/>
              <w:left w:w="10" w:type="dxa"/>
              <w:bottom w:w="10" w:type="dxa"/>
              <w:right w:w="10" w:type="dxa"/>
            </w:tcMar>
            <w:vAlign w:val="center"/>
          </w:tcPr>
          <w:p w14:paraId="11176D5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118</w:t>
            </w:r>
          </w:p>
        </w:tc>
        <w:tc>
          <w:tcPr>
            <w:tcW w:w="1530" w:type="dxa"/>
            <w:tcMar>
              <w:top w:w="10" w:type="dxa"/>
              <w:left w:w="10" w:type="dxa"/>
              <w:bottom w:w="10" w:type="dxa"/>
              <w:right w:w="10" w:type="dxa"/>
            </w:tcMar>
            <w:vAlign w:val="center"/>
          </w:tcPr>
          <w:p w14:paraId="4F7BC7B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C</w:t>
            </w:r>
            <w:r>
              <w:rPr>
                <w:rFonts w:ascii="Times New Roman" w:hAnsi="Times New Roman" w:hint="eastAsia"/>
                <w:sz w:val="18"/>
                <w:szCs w:val="18"/>
              </w:rPr>
              <w:t>肽（</w:t>
            </w:r>
            <w:r>
              <w:rPr>
                <w:rFonts w:ascii="Times New Roman" w:hAnsi="Times New Roman" w:cs="Times New Roman"/>
                <w:sz w:val="18"/>
                <w:szCs w:val="18"/>
              </w:rPr>
              <w:t>C-P</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1FB00E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20222400230</w:t>
            </w:r>
          </w:p>
        </w:tc>
        <w:tc>
          <w:tcPr>
            <w:tcW w:w="425" w:type="dxa"/>
            <w:tcMar>
              <w:top w:w="10" w:type="dxa"/>
              <w:left w:w="10" w:type="dxa"/>
              <w:bottom w:w="10" w:type="dxa"/>
              <w:right w:w="10" w:type="dxa"/>
            </w:tcMar>
            <w:vAlign w:val="center"/>
          </w:tcPr>
          <w:p w14:paraId="6AF4DAC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14E2B4E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w:t>
            </w:r>
            <w:r>
              <w:rPr>
                <w:rFonts w:ascii="Times New Roman" w:hAnsi="Times New Roman" w:cs="Times New Roman"/>
                <w:sz w:val="18"/>
                <w:szCs w:val="18"/>
              </w:rPr>
              <w:t>C</w:t>
            </w:r>
            <w:r>
              <w:rPr>
                <w:rFonts w:ascii="Times New Roman" w:hAnsi="Times New Roman" w:hint="eastAsia"/>
                <w:sz w:val="18"/>
                <w:szCs w:val="18"/>
              </w:rPr>
              <w:t>肽（</w:t>
            </w:r>
            <w:r>
              <w:rPr>
                <w:rFonts w:ascii="Times New Roman" w:hAnsi="Times New Roman" w:cs="Times New Roman"/>
                <w:sz w:val="18"/>
                <w:szCs w:val="18"/>
              </w:rPr>
              <w:t>C-P</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16CEDF7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5610816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E432940" w14:textId="77777777" w:rsidTr="00C707CF">
        <w:trPr>
          <w:cantSplit/>
          <w:jc w:val="center"/>
        </w:trPr>
        <w:tc>
          <w:tcPr>
            <w:tcW w:w="418" w:type="dxa"/>
            <w:tcMar>
              <w:top w:w="10" w:type="dxa"/>
              <w:left w:w="10" w:type="dxa"/>
              <w:bottom w:w="10" w:type="dxa"/>
              <w:right w:w="10" w:type="dxa"/>
            </w:tcMar>
            <w:vAlign w:val="center"/>
          </w:tcPr>
          <w:p w14:paraId="1C71408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119</w:t>
            </w:r>
          </w:p>
        </w:tc>
        <w:tc>
          <w:tcPr>
            <w:tcW w:w="1530" w:type="dxa"/>
            <w:tcMar>
              <w:top w:w="10" w:type="dxa"/>
              <w:left w:w="10" w:type="dxa"/>
              <w:bottom w:w="10" w:type="dxa"/>
              <w:right w:w="10" w:type="dxa"/>
            </w:tcMar>
            <w:vAlign w:val="center"/>
          </w:tcPr>
          <w:p w14:paraId="7871FED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肌红蛋白（</w:t>
            </w:r>
            <w:r>
              <w:rPr>
                <w:rFonts w:ascii="Times New Roman" w:hAnsi="Times New Roman" w:cs="Times New Roman"/>
                <w:sz w:val="18"/>
                <w:szCs w:val="18"/>
              </w:rPr>
              <w:t>MYO</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090BF29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20222400231</w:t>
            </w:r>
          </w:p>
        </w:tc>
        <w:tc>
          <w:tcPr>
            <w:tcW w:w="425" w:type="dxa"/>
            <w:tcMar>
              <w:top w:w="10" w:type="dxa"/>
              <w:left w:w="10" w:type="dxa"/>
              <w:bottom w:w="10" w:type="dxa"/>
              <w:right w:w="10" w:type="dxa"/>
            </w:tcMar>
            <w:vAlign w:val="center"/>
          </w:tcPr>
          <w:p w14:paraId="60F48F0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80B88D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用于体外定量测定人体血清或（和）血浆中肌红蛋白（</w:t>
            </w:r>
            <w:r>
              <w:rPr>
                <w:rFonts w:ascii="Times New Roman" w:hAnsi="Times New Roman" w:cs="Times New Roman"/>
                <w:sz w:val="18"/>
                <w:szCs w:val="18"/>
              </w:rPr>
              <w:t>MYO</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675166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2027.01.27</w:t>
            </w:r>
          </w:p>
        </w:tc>
        <w:tc>
          <w:tcPr>
            <w:tcW w:w="1276" w:type="dxa"/>
            <w:tcMar>
              <w:top w:w="10" w:type="dxa"/>
              <w:left w:w="10" w:type="dxa"/>
              <w:bottom w:w="10" w:type="dxa"/>
              <w:right w:w="10" w:type="dxa"/>
            </w:tcMar>
            <w:vAlign w:val="center"/>
          </w:tcPr>
          <w:p w14:paraId="2805C2B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8312B76" w14:textId="77777777" w:rsidTr="00C707CF">
        <w:trPr>
          <w:cantSplit/>
          <w:jc w:val="center"/>
        </w:trPr>
        <w:tc>
          <w:tcPr>
            <w:tcW w:w="418" w:type="dxa"/>
            <w:tcMar>
              <w:top w:w="10" w:type="dxa"/>
              <w:left w:w="10" w:type="dxa"/>
              <w:bottom w:w="10" w:type="dxa"/>
              <w:right w:w="10" w:type="dxa"/>
            </w:tcMar>
            <w:vAlign w:val="center"/>
          </w:tcPr>
          <w:p w14:paraId="56A6131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120</w:t>
            </w:r>
          </w:p>
        </w:tc>
        <w:tc>
          <w:tcPr>
            <w:tcW w:w="1530" w:type="dxa"/>
            <w:tcMar>
              <w:top w:w="10" w:type="dxa"/>
              <w:left w:w="10" w:type="dxa"/>
              <w:bottom w:w="10" w:type="dxa"/>
              <w:right w:w="10" w:type="dxa"/>
            </w:tcMar>
            <w:vAlign w:val="center"/>
          </w:tcPr>
          <w:p w14:paraId="31C587D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尿酸测试条（干化学法）</w:t>
            </w:r>
          </w:p>
        </w:tc>
        <w:tc>
          <w:tcPr>
            <w:tcW w:w="1134" w:type="dxa"/>
            <w:tcMar>
              <w:top w:w="10" w:type="dxa"/>
              <w:left w:w="10" w:type="dxa"/>
              <w:bottom w:w="10" w:type="dxa"/>
              <w:right w:w="10" w:type="dxa"/>
            </w:tcMar>
            <w:vAlign w:val="center"/>
          </w:tcPr>
          <w:p w14:paraId="13D967A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20222400611</w:t>
            </w:r>
          </w:p>
        </w:tc>
        <w:tc>
          <w:tcPr>
            <w:tcW w:w="425" w:type="dxa"/>
            <w:tcMar>
              <w:top w:w="10" w:type="dxa"/>
              <w:left w:w="10" w:type="dxa"/>
              <w:bottom w:w="10" w:type="dxa"/>
              <w:right w:w="10" w:type="dxa"/>
            </w:tcMar>
            <w:vAlign w:val="center"/>
          </w:tcPr>
          <w:p w14:paraId="24D0FA8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A203B4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中的尿酸浓度；本产品可用于医院或其他医疗机构尿酸测试，以及高尿酸血症患者、痛风患者或其他人群进行自我尿酸监测。临床上主要用于高尿酸血症的辅助诊断。</w:t>
            </w:r>
          </w:p>
        </w:tc>
        <w:tc>
          <w:tcPr>
            <w:tcW w:w="992" w:type="dxa"/>
            <w:tcMar>
              <w:top w:w="10" w:type="dxa"/>
              <w:left w:w="10" w:type="dxa"/>
              <w:bottom w:w="10" w:type="dxa"/>
              <w:right w:w="10" w:type="dxa"/>
            </w:tcMar>
            <w:vAlign w:val="center"/>
          </w:tcPr>
          <w:p w14:paraId="0BCB30E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2027.04.10</w:t>
            </w:r>
          </w:p>
        </w:tc>
        <w:tc>
          <w:tcPr>
            <w:tcW w:w="1276" w:type="dxa"/>
            <w:tcMar>
              <w:top w:w="10" w:type="dxa"/>
              <w:left w:w="10" w:type="dxa"/>
              <w:bottom w:w="10" w:type="dxa"/>
              <w:right w:w="10" w:type="dxa"/>
            </w:tcMar>
            <w:vAlign w:val="center"/>
          </w:tcPr>
          <w:p w14:paraId="3E1C48D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2025.03.27</w:t>
            </w:r>
            <w:r>
              <w:rPr>
                <w:rFonts w:ascii="Times New Roman" w:hAnsi="Times New Roman" w:hint="eastAsia"/>
                <w:sz w:val="18"/>
                <w:szCs w:val="18"/>
              </w:rPr>
              <w:t>获批变更注册</w:t>
            </w:r>
          </w:p>
        </w:tc>
      </w:tr>
      <w:tr w:rsidR="00113A51" w14:paraId="1B0E9C01" w14:textId="77777777" w:rsidTr="00C707CF">
        <w:trPr>
          <w:cantSplit/>
          <w:jc w:val="center"/>
        </w:trPr>
        <w:tc>
          <w:tcPr>
            <w:tcW w:w="418" w:type="dxa"/>
            <w:tcMar>
              <w:top w:w="10" w:type="dxa"/>
              <w:left w:w="10" w:type="dxa"/>
              <w:bottom w:w="10" w:type="dxa"/>
              <w:right w:w="10" w:type="dxa"/>
            </w:tcMar>
            <w:vAlign w:val="center"/>
          </w:tcPr>
          <w:p w14:paraId="5DD18E9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121</w:t>
            </w:r>
          </w:p>
        </w:tc>
        <w:tc>
          <w:tcPr>
            <w:tcW w:w="1530" w:type="dxa"/>
            <w:tcMar>
              <w:top w:w="10" w:type="dxa"/>
              <w:left w:w="10" w:type="dxa"/>
              <w:bottom w:w="10" w:type="dxa"/>
              <w:right w:w="10" w:type="dxa"/>
            </w:tcMar>
            <w:vAlign w:val="center"/>
          </w:tcPr>
          <w:p w14:paraId="1009AC3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尿酸质控液</w:t>
            </w:r>
          </w:p>
        </w:tc>
        <w:tc>
          <w:tcPr>
            <w:tcW w:w="1134" w:type="dxa"/>
            <w:tcMar>
              <w:top w:w="10" w:type="dxa"/>
              <w:left w:w="10" w:type="dxa"/>
              <w:bottom w:w="10" w:type="dxa"/>
              <w:right w:w="10" w:type="dxa"/>
            </w:tcMar>
            <w:vAlign w:val="center"/>
          </w:tcPr>
          <w:p w14:paraId="4B62AF2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20222400609</w:t>
            </w:r>
          </w:p>
        </w:tc>
        <w:tc>
          <w:tcPr>
            <w:tcW w:w="425" w:type="dxa"/>
            <w:tcMar>
              <w:top w:w="10" w:type="dxa"/>
              <w:left w:w="10" w:type="dxa"/>
              <w:bottom w:w="10" w:type="dxa"/>
              <w:right w:w="10" w:type="dxa"/>
            </w:tcMar>
            <w:vAlign w:val="center"/>
          </w:tcPr>
          <w:p w14:paraId="72A1FB5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824930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用于尿酸测试系统检测过程中的质量控制。</w:t>
            </w:r>
          </w:p>
        </w:tc>
        <w:tc>
          <w:tcPr>
            <w:tcW w:w="992" w:type="dxa"/>
            <w:tcMar>
              <w:top w:w="10" w:type="dxa"/>
              <w:left w:w="10" w:type="dxa"/>
              <w:bottom w:w="10" w:type="dxa"/>
              <w:right w:w="10" w:type="dxa"/>
            </w:tcMar>
            <w:vAlign w:val="center"/>
          </w:tcPr>
          <w:p w14:paraId="5E1DF65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2027.04.07</w:t>
            </w:r>
          </w:p>
        </w:tc>
        <w:tc>
          <w:tcPr>
            <w:tcW w:w="1276" w:type="dxa"/>
            <w:tcMar>
              <w:top w:w="10" w:type="dxa"/>
              <w:left w:w="10" w:type="dxa"/>
              <w:bottom w:w="10" w:type="dxa"/>
              <w:right w:w="10" w:type="dxa"/>
            </w:tcMar>
            <w:vAlign w:val="center"/>
          </w:tcPr>
          <w:p w14:paraId="7431C5C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19DF472" w14:textId="77777777" w:rsidTr="00C707CF">
        <w:trPr>
          <w:cantSplit/>
          <w:jc w:val="center"/>
        </w:trPr>
        <w:tc>
          <w:tcPr>
            <w:tcW w:w="418" w:type="dxa"/>
            <w:tcMar>
              <w:top w:w="10" w:type="dxa"/>
              <w:left w:w="10" w:type="dxa"/>
              <w:bottom w:w="10" w:type="dxa"/>
              <w:right w:w="10" w:type="dxa"/>
            </w:tcMar>
            <w:vAlign w:val="center"/>
          </w:tcPr>
          <w:p w14:paraId="4257972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122</w:t>
            </w:r>
          </w:p>
        </w:tc>
        <w:tc>
          <w:tcPr>
            <w:tcW w:w="1530" w:type="dxa"/>
            <w:tcMar>
              <w:top w:w="10" w:type="dxa"/>
              <w:left w:w="10" w:type="dxa"/>
              <w:bottom w:w="10" w:type="dxa"/>
              <w:right w:w="10" w:type="dxa"/>
            </w:tcMar>
            <w:vAlign w:val="center"/>
          </w:tcPr>
          <w:p w14:paraId="592715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糖化血红蛋白检测试剂盒（液相硼酸亲和层析法）</w:t>
            </w:r>
          </w:p>
        </w:tc>
        <w:tc>
          <w:tcPr>
            <w:tcW w:w="1134" w:type="dxa"/>
            <w:tcMar>
              <w:top w:w="10" w:type="dxa"/>
              <w:left w:w="10" w:type="dxa"/>
              <w:bottom w:w="10" w:type="dxa"/>
              <w:right w:w="10" w:type="dxa"/>
            </w:tcMar>
            <w:vAlign w:val="center"/>
          </w:tcPr>
          <w:p w14:paraId="19AF4F6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20222400965</w:t>
            </w:r>
          </w:p>
        </w:tc>
        <w:tc>
          <w:tcPr>
            <w:tcW w:w="425" w:type="dxa"/>
            <w:tcMar>
              <w:top w:w="10" w:type="dxa"/>
              <w:left w:w="10" w:type="dxa"/>
              <w:bottom w:w="10" w:type="dxa"/>
              <w:right w:w="10" w:type="dxa"/>
            </w:tcMar>
            <w:vAlign w:val="center"/>
          </w:tcPr>
          <w:p w14:paraId="7AE0EFA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FFE3E4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糖化血红蛋白检测试剂盒用于体外定量检测人体全血中的糖化血红蛋白（</w:t>
            </w:r>
            <w:r>
              <w:rPr>
                <w:rFonts w:ascii="Times New Roman" w:hAnsi="Times New Roman" w:cs="Times New Roman"/>
                <w:sz w:val="18"/>
                <w:szCs w:val="18"/>
              </w:rPr>
              <w:t>HbA1c</w:t>
            </w:r>
            <w:r>
              <w:rPr>
                <w:rFonts w:ascii="Times New Roman" w:hAnsi="Times New Roman" w:hint="eastAsia"/>
                <w:sz w:val="18"/>
                <w:szCs w:val="18"/>
              </w:rPr>
              <w:t>）的浓度。临床上主要用于糖尿病的辅助诊断和血糖水平的监控。</w:t>
            </w:r>
          </w:p>
        </w:tc>
        <w:tc>
          <w:tcPr>
            <w:tcW w:w="992" w:type="dxa"/>
            <w:tcMar>
              <w:top w:w="10" w:type="dxa"/>
              <w:left w:w="10" w:type="dxa"/>
              <w:bottom w:w="10" w:type="dxa"/>
              <w:right w:w="10" w:type="dxa"/>
            </w:tcMar>
            <w:vAlign w:val="center"/>
          </w:tcPr>
          <w:p w14:paraId="0558FFC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2027.06.01</w:t>
            </w:r>
          </w:p>
        </w:tc>
        <w:tc>
          <w:tcPr>
            <w:tcW w:w="1276" w:type="dxa"/>
            <w:tcMar>
              <w:top w:w="10" w:type="dxa"/>
              <w:left w:w="10" w:type="dxa"/>
              <w:bottom w:w="10" w:type="dxa"/>
              <w:right w:w="10" w:type="dxa"/>
            </w:tcMar>
            <w:vAlign w:val="center"/>
          </w:tcPr>
          <w:p w14:paraId="70A6845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A83163D" w14:textId="77777777" w:rsidTr="00C707CF">
        <w:trPr>
          <w:cantSplit/>
          <w:jc w:val="center"/>
        </w:trPr>
        <w:tc>
          <w:tcPr>
            <w:tcW w:w="418" w:type="dxa"/>
            <w:tcMar>
              <w:top w:w="10" w:type="dxa"/>
              <w:left w:w="10" w:type="dxa"/>
              <w:bottom w:w="10" w:type="dxa"/>
              <w:right w:w="10" w:type="dxa"/>
            </w:tcMar>
            <w:vAlign w:val="center"/>
          </w:tcPr>
          <w:p w14:paraId="73C1D5E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123</w:t>
            </w:r>
          </w:p>
        </w:tc>
        <w:tc>
          <w:tcPr>
            <w:tcW w:w="1530" w:type="dxa"/>
            <w:tcMar>
              <w:top w:w="10" w:type="dxa"/>
              <w:left w:w="10" w:type="dxa"/>
              <w:bottom w:w="10" w:type="dxa"/>
              <w:right w:w="10" w:type="dxa"/>
            </w:tcMar>
            <w:vAlign w:val="center"/>
          </w:tcPr>
          <w:p w14:paraId="18491A8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三碘甲状腺原氨酸（</w:t>
            </w:r>
            <w:r>
              <w:rPr>
                <w:rFonts w:ascii="Times New Roman" w:hAnsi="Times New Roman" w:cs="Times New Roman"/>
                <w:sz w:val="18"/>
                <w:szCs w:val="18"/>
              </w:rPr>
              <w:t>T3</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08B9407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20222401652</w:t>
            </w:r>
          </w:p>
        </w:tc>
        <w:tc>
          <w:tcPr>
            <w:tcW w:w="425" w:type="dxa"/>
            <w:tcMar>
              <w:top w:w="10" w:type="dxa"/>
              <w:left w:w="10" w:type="dxa"/>
              <w:bottom w:w="10" w:type="dxa"/>
              <w:right w:w="10" w:type="dxa"/>
            </w:tcMar>
            <w:vAlign w:val="center"/>
          </w:tcPr>
          <w:p w14:paraId="1D25C49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080624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用于体外定量检测人血清或（和）血浆中三碘甲状腺原氨酸的含量。</w:t>
            </w:r>
          </w:p>
        </w:tc>
        <w:tc>
          <w:tcPr>
            <w:tcW w:w="992" w:type="dxa"/>
            <w:tcMar>
              <w:top w:w="10" w:type="dxa"/>
              <w:left w:w="10" w:type="dxa"/>
              <w:bottom w:w="10" w:type="dxa"/>
              <w:right w:w="10" w:type="dxa"/>
            </w:tcMar>
            <w:vAlign w:val="center"/>
          </w:tcPr>
          <w:p w14:paraId="4438F0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2027.08.24</w:t>
            </w:r>
          </w:p>
        </w:tc>
        <w:tc>
          <w:tcPr>
            <w:tcW w:w="1276" w:type="dxa"/>
            <w:tcMar>
              <w:top w:w="10" w:type="dxa"/>
              <w:left w:w="10" w:type="dxa"/>
              <w:bottom w:w="10" w:type="dxa"/>
              <w:right w:w="10" w:type="dxa"/>
            </w:tcMar>
            <w:vAlign w:val="center"/>
          </w:tcPr>
          <w:p w14:paraId="0BB49E0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D6AEA05" w14:textId="77777777" w:rsidTr="00C707CF">
        <w:trPr>
          <w:cantSplit/>
          <w:jc w:val="center"/>
        </w:trPr>
        <w:tc>
          <w:tcPr>
            <w:tcW w:w="418" w:type="dxa"/>
            <w:tcMar>
              <w:top w:w="10" w:type="dxa"/>
              <w:left w:w="10" w:type="dxa"/>
              <w:bottom w:w="10" w:type="dxa"/>
              <w:right w:w="10" w:type="dxa"/>
            </w:tcMar>
            <w:vAlign w:val="center"/>
          </w:tcPr>
          <w:p w14:paraId="696CA76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124</w:t>
            </w:r>
          </w:p>
        </w:tc>
        <w:tc>
          <w:tcPr>
            <w:tcW w:w="1530" w:type="dxa"/>
            <w:tcMar>
              <w:top w:w="10" w:type="dxa"/>
              <w:left w:w="10" w:type="dxa"/>
              <w:bottom w:w="10" w:type="dxa"/>
              <w:right w:w="10" w:type="dxa"/>
            </w:tcMar>
            <w:vAlign w:val="center"/>
          </w:tcPr>
          <w:p w14:paraId="16B2148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抗甲状腺过氧化物酶抗体（</w:t>
            </w:r>
            <w:r>
              <w:rPr>
                <w:rFonts w:ascii="Times New Roman" w:hAnsi="Times New Roman" w:cs="Times New Roman"/>
                <w:sz w:val="18"/>
                <w:szCs w:val="18"/>
              </w:rPr>
              <w:t>Anti-TPO</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CA9966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20222401647</w:t>
            </w:r>
          </w:p>
        </w:tc>
        <w:tc>
          <w:tcPr>
            <w:tcW w:w="425" w:type="dxa"/>
            <w:tcMar>
              <w:top w:w="10" w:type="dxa"/>
              <w:left w:w="10" w:type="dxa"/>
              <w:bottom w:w="10" w:type="dxa"/>
              <w:right w:w="10" w:type="dxa"/>
            </w:tcMar>
            <w:vAlign w:val="center"/>
          </w:tcPr>
          <w:p w14:paraId="2574502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9F9723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用于体外定量检测人血清或（和）血浆中抗甲状腺过氧化物酶抗体（</w:t>
            </w:r>
            <w:r>
              <w:rPr>
                <w:rFonts w:ascii="Times New Roman" w:hAnsi="Times New Roman" w:cs="Times New Roman"/>
                <w:sz w:val="18"/>
                <w:szCs w:val="18"/>
              </w:rPr>
              <w:t>Anti-TPO</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32301C6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2027.08.24</w:t>
            </w:r>
          </w:p>
        </w:tc>
        <w:tc>
          <w:tcPr>
            <w:tcW w:w="1276" w:type="dxa"/>
            <w:tcMar>
              <w:top w:w="10" w:type="dxa"/>
              <w:left w:w="10" w:type="dxa"/>
              <w:bottom w:w="10" w:type="dxa"/>
              <w:right w:w="10" w:type="dxa"/>
            </w:tcMar>
            <w:vAlign w:val="center"/>
          </w:tcPr>
          <w:p w14:paraId="5766E3C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573C0BD" w14:textId="77777777" w:rsidTr="00C707CF">
        <w:trPr>
          <w:cantSplit/>
          <w:jc w:val="center"/>
        </w:trPr>
        <w:tc>
          <w:tcPr>
            <w:tcW w:w="418" w:type="dxa"/>
            <w:tcMar>
              <w:top w:w="10" w:type="dxa"/>
              <w:left w:w="10" w:type="dxa"/>
              <w:bottom w:w="10" w:type="dxa"/>
              <w:right w:w="10" w:type="dxa"/>
            </w:tcMar>
            <w:vAlign w:val="center"/>
          </w:tcPr>
          <w:p w14:paraId="28CF735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125</w:t>
            </w:r>
          </w:p>
        </w:tc>
        <w:tc>
          <w:tcPr>
            <w:tcW w:w="1530" w:type="dxa"/>
            <w:tcMar>
              <w:top w:w="10" w:type="dxa"/>
              <w:left w:w="10" w:type="dxa"/>
              <w:bottom w:w="10" w:type="dxa"/>
              <w:right w:w="10" w:type="dxa"/>
            </w:tcMar>
            <w:vAlign w:val="center"/>
          </w:tcPr>
          <w:p w14:paraId="740367F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甲状腺素（</w:t>
            </w:r>
            <w:r>
              <w:rPr>
                <w:rFonts w:ascii="Times New Roman" w:hAnsi="Times New Roman" w:cs="Times New Roman"/>
                <w:sz w:val="18"/>
                <w:szCs w:val="18"/>
              </w:rPr>
              <w:t>T4</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4CF152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20222401648</w:t>
            </w:r>
          </w:p>
        </w:tc>
        <w:tc>
          <w:tcPr>
            <w:tcW w:w="425" w:type="dxa"/>
            <w:tcMar>
              <w:top w:w="10" w:type="dxa"/>
              <w:left w:w="10" w:type="dxa"/>
              <w:bottom w:w="10" w:type="dxa"/>
              <w:right w:w="10" w:type="dxa"/>
            </w:tcMar>
            <w:vAlign w:val="center"/>
          </w:tcPr>
          <w:p w14:paraId="303EDF3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FF6A06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用于体外定量测定人血清或（和）血浆中甲状腺素（</w:t>
            </w:r>
            <w:r>
              <w:rPr>
                <w:rFonts w:ascii="Times New Roman" w:hAnsi="Times New Roman" w:cs="Times New Roman"/>
                <w:sz w:val="18"/>
                <w:szCs w:val="18"/>
              </w:rPr>
              <w:t>T4</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0EA9C1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2027.08.24</w:t>
            </w:r>
          </w:p>
        </w:tc>
        <w:tc>
          <w:tcPr>
            <w:tcW w:w="1276" w:type="dxa"/>
            <w:tcMar>
              <w:top w:w="10" w:type="dxa"/>
              <w:left w:w="10" w:type="dxa"/>
              <w:bottom w:w="10" w:type="dxa"/>
              <w:right w:w="10" w:type="dxa"/>
            </w:tcMar>
            <w:vAlign w:val="center"/>
          </w:tcPr>
          <w:p w14:paraId="7E5937B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EA6070B" w14:textId="77777777" w:rsidTr="00C707CF">
        <w:trPr>
          <w:cantSplit/>
          <w:jc w:val="center"/>
        </w:trPr>
        <w:tc>
          <w:tcPr>
            <w:tcW w:w="418" w:type="dxa"/>
            <w:tcMar>
              <w:top w:w="10" w:type="dxa"/>
              <w:left w:w="10" w:type="dxa"/>
              <w:bottom w:w="10" w:type="dxa"/>
              <w:right w:w="10" w:type="dxa"/>
            </w:tcMar>
            <w:vAlign w:val="center"/>
          </w:tcPr>
          <w:p w14:paraId="4372A2F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126</w:t>
            </w:r>
          </w:p>
        </w:tc>
        <w:tc>
          <w:tcPr>
            <w:tcW w:w="1530" w:type="dxa"/>
            <w:tcMar>
              <w:top w:w="10" w:type="dxa"/>
              <w:left w:w="10" w:type="dxa"/>
              <w:bottom w:w="10" w:type="dxa"/>
              <w:right w:w="10" w:type="dxa"/>
            </w:tcMar>
            <w:vAlign w:val="center"/>
          </w:tcPr>
          <w:p w14:paraId="3BDFFED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游离甲状腺素（</w:t>
            </w:r>
            <w:r>
              <w:rPr>
                <w:rFonts w:ascii="Times New Roman" w:hAnsi="Times New Roman" w:cs="Times New Roman"/>
                <w:sz w:val="18"/>
                <w:szCs w:val="18"/>
              </w:rPr>
              <w:t>FT4</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35296B8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20222401649</w:t>
            </w:r>
          </w:p>
        </w:tc>
        <w:tc>
          <w:tcPr>
            <w:tcW w:w="425" w:type="dxa"/>
            <w:tcMar>
              <w:top w:w="10" w:type="dxa"/>
              <w:left w:w="10" w:type="dxa"/>
              <w:bottom w:w="10" w:type="dxa"/>
              <w:right w:w="10" w:type="dxa"/>
            </w:tcMar>
            <w:vAlign w:val="center"/>
          </w:tcPr>
          <w:p w14:paraId="04FD7D3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7E53C4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用于体外定量测定人体血清或（和）血浆中游离甲状腺素（</w:t>
            </w:r>
            <w:r>
              <w:rPr>
                <w:rFonts w:ascii="Times New Roman" w:hAnsi="Times New Roman" w:cs="Times New Roman"/>
                <w:sz w:val="18"/>
                <w:szCs w:val="18"/>
              </w:rPr>
              <w:t>FT4</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306CEDE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2027.08.24</w:t>
            </w:r>
          </w:p>
        </w:tc>
        <w:tc>
          <w:tcPr>
            <w:tcW w:w="1276" w:type="dxa"/>
            <w:tcMar>
              <w:top w:w="10" w:type="dxa"/>
              <w:left w:w="10" w:type="dxa"/>
              <w:bottom w:w="10" w:type="dxa"/>
              <w:right w:w="10" w:type="dxa"/>
            </w:tcMar>
            <w:vAlign w:val="center"/>
          </w:tcPr>
          <w:p w14:paraId="3357831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B7D56C8" w14:textId="77777777" w:rsidTr="00C707CF">
        <w:trPr>
          <w:cantSplit/>
          <w:jc w:val="center"/>
        </w:trPr>
        <w:tc>
          <w:tcPr>
            <w:tcW w:w="418" w:type="dxa"/>
            <w:tcMar>
              <w:top w:w="10" w:type="dxa"/>
              <w:left w:w="10" w:type="dxa"/>
              <w:bottom w:w="10" w:type="dxa"/>
              <w:right w:w="10" w:type="dxa"/>
            </w:tcMar>
            <w:vAlign w:val="center"/>
          </w:tcPr>
          <w:p w14:paraId="217FE45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127</w:t>
            </w:r>
          </w:p>
        </w:tc>
        <w:tc>
          <w:tcPr>
            <w:tcW w:w="1530" w:type="dxa"/>
            <w:tcMar>
              <w:top w:w="10" w:type="dxa"/>
              <w:left w:w="10" w:type="dxa"/>
              <w:bottom w:w="10" w:type="dxa"/>
              <w:right w:w="10" w:type="dxa"/>
            </w:tcMar>
            <w:vAlign w:val="center"/>
          </w:tcPr>
          <w:p w14:paraId="728FEE4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促甲状腺素（</w:t>
            </w:r>
            <w:r>
              <w:rPr>
                <w:rFonts w:ascii="Times New Roman" w:hAnsi="Times New Roman" w:cs="Times New Roman"/>
                <w:sz w:val="18"/>
                <w:szCs w:val="18"/>
              </w:rPr>
              <w:t>TSH</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5371415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20222401650</w:t>
            </w:r>
          </w:p>
        </w:tc>
        <w:tc>
          <w:tcPr>
            <w:tcW w:w="425" w:type="dxa"/>
            <w:tcMar>
              <w:top w:w="10" w:type="dxa"/>
              <w:left w:w="10" w:type="dxa"/>
              <w:bottom w:w="10" w:type="dxa"/>
              <w:right w:w="10" w:type="dxa"/>
            </w:tcMar>
            <w:vAlign w:val="center"/>
          </w:tcPr>
          <w:p w14:paraId="061F2A9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73B0E5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用于体外定量检测人血清或（和）血浆中促甲状腺素的含量。</w:t>
            </w:r>
          </w:p>
        </w:tc>
        <w:tc>
          <w:tcPr>
            <w:tcW w:w="992" w:type="dxa"/>
            <w:tcMar>
              <w:top w:w="10" w:type="dxa"/>
              <w:left w:w="10" w:type="dxa"/>
              <w:bottom w:w="10" w:type="dxa"/>
              <w:right w:w="10" w:type="dxa"/>
            </w:tcMar>
            <w:vAlign w:val="center"/>
          </w:tcPr>
          <w:p w14:paraId="7EAC9C4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2027.08.24</w:t>
            </w:r>
          </w:p>
        </w:tc>
        <w:tc>
          <w:tcPr>
            <w:tcW w:w="1276" w:type="dxa"/>
            <w:tcMar>
              <w:top w:w="10" w:type="dxa"/>
              <w:left w:w="10" w:type="dxa"/>
              <w:bottom w:w="10" w:type="dxa"/>
              <w:right w:w="10" w:type="dxa"/>
            </w:tcMar>
            <w:vAlign w:val="center"/>
          </w:tcPr>
          <w:p w14:paraId="6C3BF2E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66717B5" w14:textId="77777777" w:rsidTr="00C707CF">
        <w:trPr>
          <w:cantSplit/>
          <w:jc w:val="center"/>
        </w:trPr>
        <w:tc>
          <w:tcPr>
            <w:tcW w:w="418" w:type="dxa"/>
            <w:tcMar>
              <w:top w:w="10" w:type="dxa"/>
              <w:left w:w="10" w:type="dxa"/>
              <w:bottom w:w="10" w:type="dxa"/>
              <w:right w:w="10" w:type="dxa"/>
            </w:tcMar>
            <w:vAlign w:val="center"/>
          </w:tcPr>
          <w:p w14:paraId="53D768A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128</w:t>
            </w:r>
          </w:p>
        </w:tc>
        <w:tc>
          <w:tcPr>
            <w:tcW w:w="1530" w:type="dxa"/>
            <w:tcMar>
              <w:top w:w="10" w:type="dxa"/>
              <w:left w:w="10" w:type="dxa"/>
              <w:bottom w:w="10" w:type="dxa"/>
              <w:right w:w="10" w:type="dxa"/>
            </w:tcMar>
            <w:vAlign w:val="center"/>
          </w:tcPr>
          <w:p w14:paraId="76EBF99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游离三碘甲状腺原氨酸（</w:t>
            </w:r>
            <w:r>
              <w:rPr>
                <w:rFonts w:ascii="Times New Roman" w:hAnsi="Times New Roman" w:cs="Times New Roman"/>
                <w:sz w:val="18"/>
                <w:szCs w:val="18"/>
              </w:rPr>
              <w:t>FT3</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38BB531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20222401651</w:t>
            </w:r>
          </w:p>
        </w:tc>
        <w:tc>
          <w:tcPr>
            <w:tcW w:w="425" w:type="dxa"/>
            <w:tcMar>
              <w:top w:w="10" w:type="dxa"/>
              <w:left w:w="10" w:type="dxa"/>
              <w:bottom w:w="10" w:type="dxa"/>
              <w:right w:w="10" w:type="dxa"/>
            </w:tcMar>
            <w:vAlign w:val="center"/>
          </w:tcPr>
          <w:p w14:paraId="3F2A7F4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879C9E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用于体外定量检测人血清或（和）血浆中游离三碘甲状腺原氨酸的含量。</w:t>
            </w:r>
          </w:p>
        </w:tc>
        <w:tc>
          <w:tcPr>
            <w:tcW w:w="992" w:type="dxa"/>
            <w:tcMar>
              <w:top w:w="10" w:type="dxa"/>
              <w:left w:w="10" w:type="dxa"/>
              <w:bottom w:w="10" w:type="dxa"/>
              <w:right w:w="10" w:type="dxa"/>
            </w:tcMar>
            <w:vAlign w:val="center"/>
          </w:tcPr>
          <w:p w14:paraId="277D438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2027.08.24</w:t>
            </w:r>
          </w:p>
        </w:tc>
        <w:tc>
          <w:tcPr>
            <w:tcW w:w="1276" w:type="dxa"/>
            <w:tcMar>
              <w:top w:w="10" w:type="dxa"/>
              <w:left w:w="10" w:type="dxa"/>
              <w:bottom w:w="10" w:type="dxa"/>
              <w:right w:w="10" w:type="dxa"/>
            </w:tcMar>
            <w:vAlign w:val="center"/>
          </w:tcPr>
          <w:p w14:paraId="081B536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B6547DE" w14:textId="77777777" w:rsidTr="00C707CF">
        <w:trPr>
          <w:cantSplit/>
          <w:jc w:val="center"/>
        </w:trPr>
        <w:tc>
          <w:tcPr>
            <w:tcW w:w="418" w:type="dxa"/>
            <w:tcMar>
              <w:top w:w="10" w:type="dxa"/>
              <w:left w:w="10" w:type="dxa"/>
              <w:bottom w:w="10" w:type="dxa"/>
              <w:right w:w="10" w:type="dxa"/>
            </w:tcMar>
            <w:vAlign w:val="center"/>
          </w:tcPr>
          <w:p w14:paraId="60AE9B9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129</w:t>
            </w:r>
          </w:p>
        </w:tc>
        <w:tc>
          <w:tcPr>
            <w:tcW w:w="1530" w:type="dxa"/>
            <w:tcMar>
              <w:top w:w="10" w:type="dxa"/>
              <w:left w:w="10" w:type="dxa"/>
              <w:bottom w:w="10" w:type="dxa"/>
              <w:right w:w="10" w:type="dxa"/>
            </w:tcMar>
            <w:vAlign w:val="center"/>
          </w:tcPr>
          <w:p w14:paraId="5DBB2E2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25-</w:t>
            </w:r>
            <w:r>
              <w:rPr>
                <w:rFonts w:ascii="Times New Roman" w:hAnsi="Times New Roman" w:hint="eastAsia"/>
                <w:sz w:val="18"/>
                <w:szCs w:val="18"/>
              </w:rPr>
              <w:t>羟基维生素</w:t>
            </w:r>
            <w:r>
              <w:rPr>
                <w:rFonts w:ascii="Times New Roman" w:hAnsi="Times New Roman" w:cs="Times New Roman"/>
                <w:sz w:val="18"/>
                <w:szCs w:val="18"/>
              </w:rPr>
              <w:t xml:space="preserve">D </w:t>
            </w:r>
            <w:r>
              <w:rPr>
                <w:rFonts w:ascii="Times New Roman" w:hAnsi="Times New Roman" w:hint="eastAsia"/>
                <w:sz w:val="18"/>
                <w:szCs w:val="18"/>
              </w:rPr>
              <w:t>测定试剂盒（荧光免疫层析法）</w:t>
            </w:r>
          </w:p>
        </w:tc>
        <w:tc>
          <w:tcPr>
            <w:tcW w:w="1134" w:type="dxa"/>
            <w:tcMar>
              <w:top w:w="10" w:type="dxa"/>
              <w:left w:w="10" w:type="dxa"/>
              <w:bottom w:w="10" w:type="dxa"/>
              <w:right w:w="10" w:type="dxa"/>
            </w:tcMar>
            <w:vAlign w:val="center"/>
          </w:tcPr>
          <w:p w14:paraId="20D5DC3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20222401558</w:t>
            </w:r>
          </w:p>
        </w:tc>
        <w:tc>
          <w:tcPr>
            <w:tcW w:w="425" w:type="dxa"/>
            <w:tcMar>
              <w:top w:w="10" w:type="dxa"/>
              <w:left w:w="10" w:type="dxa"/>
              <w:bottom w:w="10" w:type="dxa"/>
              <w:right w:w="10" w:type="dxa"/>
            </w:tcMar>
            <w:vAlign w:val="center"/>
          </w:tcPr>
          <w:p w14:paraId="3BBDF86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9A591D5"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用于体外定量检测人血清、血浆、全血及末梢血中的</w:t>
            </w:r>
            <w:r>
              <w:rPr>
                <w:rFonts w:ascii="Times New Roman" w:hAnsi="Times New Roman" w:cs="Times New Roman"/>
                <w:sz w:val="18"/>
                <w:szCs w:val="18"/>
              </w:rPr>
              <w:t>25-</w:t>
            </w:r>
            <w:r>
              <w:rPr>
                <w:rFonts w:ascii="Times New Roman" w:hAnsi="Times New Roman" w:hint="eastAsia"/>
                <w:sz w:val="18"/>
                <w:szCs w:val="18"/>
              </w:rPr>
              <w:t>羟基维生素</w:t>
            </w:r>
            <w:r>
              <w:rPr>
                <w:rFonts w:ascii="Times New Roman" w:hAnsi="Times New Roman" w:cs="Times New Roman"/>
                <w:sz w:val="18"/>
                <w:szCs w:val="18"/>
              </w:rPr>
              <w:t>D</w:t>
            </w:r>
            <w:r>
              <w:rPr>
                <w:rFonts w:ascii="Times New Roman" w:hAnsi="Times New Roman" w:hint="eastAsia"/>
                <w:sz w:val="18"/>
                <w:szCs w:val="18"/>
              </w:rPr>
              <w:t>含量。</w:t>
            </w:r>
          </w:p>
        </w:tc>
        <w:tc>
          <w:tcPr>
            <w:tcW w:w="992" w:type="dxa"/>
            <w:tcMar>
              <w:top w:w="10" w:type="dxa"/>
              <w:left w:w="10" w:type="dxa"/>
              <w:bottom w:w="10" w:type="dxa"/>
              <w:right w:w="10" w:type="dxa"/>
            </w:tcMar>
            <w:vAlign w:val="center"/>
          </w:tcPr>
          <w:p w14:paraId="6996E14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2027.08.11</w:t>
            </w:r>
          </w:p>
        </w:tc>
        <w:tc>
          <w:tcPr>
            <w:tcW w:w="1276" w:type="dxa"/>
            <w:tcMar>
              <w:top w:w="10" w:type="dxa"/>
              <w:left w:w="10" w:type="dxa"/>
              <w:bottom w:w="10" w:type="dxa"/>
              <w:right w:w="10" w:type="dxa"/>
            </w:tcMar>
            <w:vAlign w:val="center"/>
          </w:tcPr>
          <w:p w14:paraId="12D7830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DCE8995" w14:textId="77777777" w:rsidTr="00C707CF">
        <w:trPr>
          <w:cantSplit/>
          <w:jc w:val="center"/>
        </w:trPr>
        <w:tc>
          <w:tcPr>
            <w:tcW w:w="418" w:type="dxa"/>
            <w:tcMar>
              <w:top w:w="10" w:type="dxa"/>
              <w:left w:w="10" w:type="dxa"/>
              <w:bottom w:w="10" w:type="dxa"/>
              <w:right w:w="10" w:type="dxa"/>
            </w:tcMar>
            <w:vAlign w:val="center"/>
          </w:tcPr>
          <w:p w14:paraId="6AC2923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130</w:t>
            </w:r>
          </w:p>
        </w:tc>
        <w:tc>
          <w:tcPr>
            <w:tcW w:w="1530" w:type="dxa"/>
            <w:tcMar>
              <w:top w:w="10" w:type="dxa"/>
              <w:left w:w="10" w:type="dxa"/>
              <w:bottom w:w="10" w:type="dxa"/>
              <w:right w:w="10" w:type="dxa"/>
            </w:tcMar>
            <w:vAlign w:val="center"/>
          </w:tcPr>
          <w:p w14:paraId="116C885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铁蛋白测定试剂盒（荧光免疫层析法）</w:t>
            </w:r>
          </w:p>
        </w:tc>
        <w:tc>
          <w:tcPr>
            <w:tcW w:w="1134" w:type="dxa"/>
            <w:tcMar>
              <w:top w:w="10" w:type="dxa"/>
              <w:left w:w="10" w:type="dxa"/>
              <w:bottom w:w="10" w:type="dxa"/>
              <w:right w:w="10" w:type="dxa"/>
            </w:tcMar>
            <w:vAlign w:val="center"/>
          </w:tcPr>
          <w:p w14:paraId="3A04E4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xml:space="preserve">  </w:t>
            </w:r>
            <w:r>
              <w:rPr>
                <w:rFonts w:ascii="Times New Roman" w:hAnsi="Times New Roman" w:hint="eastAsia"/>
                <w:sz w:val="18"/>
                <w:szCs w:val="18"/>
              </w:rPr>
              <w:t>湘械注准</w:t>
            </w:r>
            <w:r>
              <w:rPr>
                <w:rFonts w:ascii="Times New Roman" w:hAnsi="Times New Roman" w:cs="Times New Roman"/>
                <w:sz w:val="18"/>
                <w:szCs w:val="18"/>
              </w:rPr>
              <w:t>20222401601</w:t>
            </w:r>
          </w:p>
        </w:tc>
        <w:tc>
          <w:tcPr>
            <w:tcW w:w="425" w:type="dxa"/>
            <w:tcMar>
              <w:top w:w="10" w:type="dxa"/>
              <w:left w:w="10" w:type="dxa"/>
              <w:bottom w:w="10" w:type="dxa"/>
              <w:right w:w="10" w:type="dxa"/>
            </w:tcMar>
            <w:vAlign w:val="center"/>
          </w:tcPr>
          <w:p w14:paraId="5B61776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1EC97F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用于体外定量检测人血清、血浆或全血中铁蛋白（</w:t>
            </w:r>
            <w:r>
              <w:rPr>
                <w:rFonts w:ascii="Times New Roman" w:hAnsi="Times New Roman" w:cs="Times New Roman"/>
                <w:sz w:val="18"/>
                <w:szCs w:val="18"/>
              </w:rPr>
              <w:t>Fer</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2CE6832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2027.08.17</w:t>
            </w:r>
          </w:p>
        </w:tc>
        <w:tc>
          <w:tcPr>
            <w:tcW w:w="1276" w:type="dxa"/>
            <w:tcMar>
              <w:top w:w="10" w:type="dxa"/>
              <w:left w:w="10" w:type="dxa"/>
              <w:bottom w:w="10" w:type="dxa"/>
              <w:right w:w="10" w:type="dxa"/>
            </w:tcMar>
            <w:vAlign w:val="center"/>
          </w:tcPr>
          <w:p w14:paraId="76719AF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C353FEC" w14:textId="77777777" w:rsidTr="00C707CF">
        <w:trPr>
          <w:cantSplit/>
          <w:jc w:val="center"/>
        </w:trPr>
        <w:tc>
          <w:tcPr>
            <w:tcW w:w="418" w:type="dxa"/>
            <w:tcMar>
              <w:top w:w="10" w:type="dxa"/>
              <w:left w:w="10" w:type="dxa"/>
              <w:bottom w:w="10" w:type="dxa"/>
              <w:right w:w="10" w:type="dxa"/>
            </w:tcMar>
            <w:vAlign w:val="center"/>
          </w:tcPr>
          <w:p w14:paraId="3CBAC2DB"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131</w:t>
            </w:r>
          </w:p>
        </w:tc>
        <w:tc>
          <w:tcPr>
            <w:tcW w:w="1530" w:type="dxa"/>
            <w:tcMar>
              <w:top w:w="10" w:type="dxa"/>
              <w:left w:w="10" w:type="dxa"/>
              <w:bottom w:w="10" w:type="dxa"/>
              <w:right w:w="10" w:type="dxa"/>
            </w:tcMar>
            <w:vAlign w:val="center"/>
          </w:tcPr>
          <w:p w14:paraId="206A0D9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降钙素原测定试剂盒（荧光免疫层析法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6CAF799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20222401599</w:t>
            </w:r>
          </w:p>
        </w:tc>
        <w:tc>
          <w:tcPr>
            <w:tcW w:w="425" w:type="dxa"/>
            <w:tcMar>
              <w:top w:w="10" w:type="dxa"/>
              <w:left w:w="10" w:type="dxa"/>
              <w:bottom w:w="10" w:type="dxa"/>
              <w:right w:w="10" w:type="dxa"/>
            </w:tcMar>
            <w:vAlign w:val="center"/>
          </w:tcPr>
          <w:p w14:paraId="6DD1C9B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77B517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用于体外定量检测人血清、血浆、全血及末梢血中的降钙素原含量。</w:t>
            </w:r>
          </w:p>
        </w:tc>
        <w:tc>
          <w:tcPr>
            <w:tcW w:w="992" w:type="dxa"/>
            <w:tcMar>
              <w:top w:w="10" w:type="dxa"/>
              <w:left w:w="10" w:type="dxa"/>
              <w:bottom w:w="10" w:type="dxa"/>
              <w:right w:w="10" w:type="dxa"/>
            </w:tcMar>
            <w:vAlign w:val="center"/>
          </w:tcPr>
          <w:p w14:paraId="06E4201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2027.08.17</w:t>
            </w:r>
          </w:p>
        </w:tc>
        <w:tc>
          <w:tcPr>
            <w:tcW w:w="1276" w:type="dxa"/>
            <w:tcMar>
              <w:top w:w="10" w:type="dxa"/>
              <w:left w:w="10" w:type="dxa"/>
              <w:bottom w:w="10" w:type="dxa"/>
              <w:right w:w="10" w:type="dxa"/>
            </w:tcMar>
            <w:vAlign w:val="center"/>
          </w:tcPr>
          <w:p w14:paraId="03AA976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38AEF2E" w14:textId="77777777" w:rsidTr="00C707CF">
        <w:trPr>
          <w:cantSplit/>
          <w:jc w:val="center"/>
        </w:trPr>
        <w:tc>
          <w:tcPr>
            <w:tcW w:w="418" w:type="dxa"/>
            <w:tcMar>
              <w:top w:w="10" w:type="dxa"/>
              <w:left w:w="10" w:type="dxa"/>
              <w:bottom w:w="10" w:type="dxa"/>
              <w:right w:w="10" w:type="dxa"/>
            </w:tcMar>
            <w:vAlign w:val="center"/>
          </w:tcPr>
          <w:p w14:paraId="51541A6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132</w:t>
            </w:r>
          </w:p>
        </w:tc>
        <w:tc>
          <w:tcPr>
            <w:tcW w:w="1530" w:type="dxa"/>
            <w:tcMar>
              <w:top w:w="10" w:type="dxa"/>
              <w:left w:w="10" w:type="dxa"/>
              <w:bottom w:w="10" w:type="dxa"/>
              <w:right w:w="10" w:type="dxa"/>
            </w:tcMar>
            <w:vAlign w:val="center"/>
          </w:tcPr>
          <w:p w14:paraId="2D2EB6E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β</w:t>
            </w:r>
            <w:r>
              <w:rPr>
                <w:rFonts w:ascii="Times New Roman" w:hAnsi="Times New Roman" w:cs="Times New Roman"/>
                <w:sz w:val="18"/>
                <w:szCs w:val="18"/>
              </w:rPr>
              <w:t>-</w:t>
            </w:r>
            <w:r>
              <w:rPr>
                <w:rFonts w:ascii="Times New Roman" w:hAnsi="Times New Roman" w:hint="eastAsia"/>
                <w:sz w:val="18"/>
                <w:szCs w:val="18"/>
              </w:rPr>
              <w:t>人绒毛膜促性腺激素测定试剂盒（荧光免疫层析法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58C1826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20222401600</w:t>
            </w:r>
          </w:p>
        </w:tc>
        <w:tc>
          <w:tcPr>
            <w:tcW w:w="425" w:type="dxa"/>
            <w:tcMar>
              <w:top w:w="10" w:type="dxa"/>
              <w:left w:w="10" w:type="dxa"/>
              <w:bottom w:w="10" w:type="dxa"/>
              <w:right w:w="10" w:type="dxa"/>
            </w:tcMar>
            <w:vAlign w:val="center"/>
          </w:tcPr>
          <w:p w14:paraId="4BBAB52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37539B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本品用于体外定量测定人血清、血浆或全血中β</w:t>
            </w:r>
            <w:r>
              <w:rPr>
                <w:rFonts w:ascii="Times New Roman" w:hAnsi="Times New Roman" w:cs="Times New Roman"/>
                <w:sz w:val="18"/>
                <w:szCs w:val="18"/>
              </w:rPr>
              <w:t>-</w:t>
            </w:r>
            <w:r>
              <w:rPr>
                <w:rFonts w:ascii="Times New Roman" w:hAnsi="Times New Roman" w:hint="eastAsia"/>
                <w:sz w:val="18"/>
                <w:szCs w:val="18"/>
              </w:rPr>
              <w:t>人绒毛膜促性腺激素（β</w:t>
            </w:r>
            <w:r>
              <w:rPr>
                <w:rFonts w:ascii="Times New Roman" w:hAnsi="Times New Roman" w:cs="Times New Roman"/>
                <w:sz w:val="18"/>
                <w:szCs w:val="18"/>
              </w:rPr>
              <w:t>-HCG</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5061C10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2027.08.17</w:t>
            </w:r>
          </w:p>
        </w:tc>
        <w:tc>
          <w:tcPr>
            <w:tcW w:w="1276" w:type="dxa"/>
            <w:tcMar>
              <w:top w:w="10" w:type="dxa"/>
              <w:left w:w="10" w:type="dxa"/>
              <w:bottom w:w="10" w:type="dxa"/>
              <w:right w:w="10" w:type="dxa"/>
            </w:tcMar>
            <w:vAlign w:val="center"/>
          </w:tcPr>
          <w:p w14:paraId="6A89686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ABD8440" w14:textId="77777777" w:rsidTr="00C707CF">
        <w:trPr>
          <w:cantSplit/>
          <w:jc w:val="center"/>
        </w:trPr>
        <w:tc>
          <w:tcPr>
            <w:tcW w:w="418" w:type="dxa"/>
            <w:tcMar>
              <w:top w:w="10" w:type="dxa"/>
              <w:left w:w="10" w:type="dxa"/>
              <w:bottom w:w="10" w:type="dxa"/>
              <w:right w:w="10" w:type="dxa"/>
            </w:tcMar>
            <w:vAlign w:val="center"/>
          </w:tcPr>
          <w:p w14:paraId="76EEC32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133</w:t>
            </w:r>
          </w:p>
        </w:tc>
        <w:tc>
          <w:tcPr>
            <w:tcW w:w="1530" w:type="dxa"/>
            <w:tcMar>
              <w:top w:w="10" w:type="dxa"/>
              <w:left w:w="10" w:type="dxa"/>
              <w:bottom w:w="10" w:type="dxa"/>
              <w:right w:w="10" w:type="dxa"/>
            </w:tcMar>
            <w:vAlign w:val="center"/>
          </w:tcPr>
          <w:p w14:paraId="256D3C9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肌钙蛋白</w:t>
            </w:r>
            <w:r>
              <w:rPr>
                <w:rFonts w:ascii="Times New Roman" w:hAnsi="Times New Roman" w:cs="Times New Roman"/>
                <w:sz w:val="18"/>
                <w:szCs w:val="18"/>
              </w:rPr>
              <w:t>I/</w:t>
            </w:r>
            <w:r>
              <w:rPr>
                <w:rFonts w:ascii="Times New Roman" w:hAnsi="Times New Roman" w:hint="eastAsia"/>
                <w:sz w:val="18"/>
                <w:szCs w:val="18"/>
              </w:rPr>
              <w:t>肌酸激酶同工酶</w:t>
            </w:r>
            <w:r>
              <w:rPr>
                <w:rFonts w:ascii="Times New Roman" w:hAnsi="Times New Roman" w:cs="Times New Roman"/>
                <w:sz w:val="18"/>
                <w:szCs w:val="18"/>
              </w:rPr>
              <w:t>/</w:t>
            </w:r>
            <w:r>
              <w:rPr>
                <w:rFonts w:ascii="Times New Roman" w:hAnsi="Times New Roman" w:hint="eastAsia"/>
                <w:sz w:val="18"/>
                <w:szCs w:val="18"/>
              </w:rPr>
              <w:t>肌红蛋白测定试剂盒（荧光免疫层析法）</w:t>
            </w:r>
          </w:p>
        </w:tc>
        <w:tc>
          <w:tcPr>
            <w:tcW w:w="1134" w:type="dxa"/>
            <w:tcMar>
              <w:top w:w="10" w:type="dxa"/>
              <w:left w:w="10" w:type="dxa"/>
              <w:bottom w:w="10" w:type="dxa"/>
              <w:right w:w="10" w:type="dxa"/>
            </w:tcMar>
            <w:vAlign w:val="center"/>
          </w:tcPr>
          <w:p w14:paraId="0F8BB9F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20222401557</w:t>
            </w:r>
          </w:p>
        </w:tc>
        <w:tc>
          <w:tcPr>
            <w:tcW w:w="425" w:type="dxa"/>
            <w:tcMar>
              <w:top w:w="10" w:type="dxa"/>
              <w:left w:w="10" w:type="dxa"/>
              <w:bottom w:w="10" w:type="dxa"/>
              <w:right w:w="10" w:type="dxa"/>
            </w:tcMar>
            <w:vAlign w:val="center"/>
          </w:tcPr>
          <w:p w14:paraId="16E0922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BC38FA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用于体外定量检测人血清、血浆或全血中的肌钙蛋白</w:t>
            </w:r>
            <w:r>
              <w:rPr>
                <w:rFonts w:ascii="Times New Roman" w:hAnsi="Times New Roman" w:cs="Times New Roman"/>
                <w:sz w:val="18"/>
                <w:szCs w:val="18"/>
              </w:rPr>
              <w:t>I/</w:t>
            </w:r>
            <w:r>
              <w:rPr>
                <w:rFonts w:ascii="Times New Roman" w:hAnsi="Times New Roman" w:hint="eastAsia"/>
                <w:sz w:val="18"/>
                <w:szCs w:val="18"/>
              </w:rPr>
              <w:t>肌酸激酶同工酶</w:t>
            </w:r>
            <w:r>
              <w:rPr>
                <w:rFonts w:ascii="Times New Roman" w:hAnsi="Times New Roman" w:cs="Times New Roman"/>
                <w:sz w:val="18"/>
                <w:szCs w:val="18"/>
              </w:rPr>
              <w:t>/</w:t>
            </w:r>
            <w:r>
              <w:rPr>
                <w:rFonts w:ascii="Times New Roman" w:hAnsi="Times New Roman" w:hint="eastAsia"/>
                <w:sz w:val="18"/>
                <w:szCs w:val="18"/>
              </w:rPr>
              <w:t>肌红蛋白的含量。</w:t>
            </w:r>
          </w:p>
        </w:tc>
        <w:tc>
          <w:tcPr>
            <w:tcW w:w="992" w:type="dxa"/>
            <w:tcMar>
              <w:top w:w="10" w:type="dxa"/>
              <w:left w:w="10" w:type="dxa"/>
              <w:bottom w:w="10" w:type="dxa"/>
              <w:right w:w="10" w:type="dxa"/>
            </w:tcMar>
            <w:vAlign w:val="center"/>
          </w:tcPr>
          <w:p w14:paraId="0D50ABC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2027.08.11</w:t>
            </w:r>
          </w:p>
        </w:tc>
        <w:tc>
          <w:tcPr>
            <w:tcW w:w="1276" w:type="dxa"/>
            <w:tcMar>
              <w:top w:w="10" w:type="dxa"/>
              <w:left w:w="10" w:type="dxa"/>
              <w:bottom w:w="10" w:type="dxa"/>
              <w:right w:w="10" w:type="dxa"/>
            </w:tcMar>
            <w:vAlign w:val="center"/>
          </w:tcPr>
          <w:p w14:paraId="1B5215E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FC32B56" w14:textId="77777777" w:rsidTr="00C707CF">
        <w:trPr>
          <w:cantSplit/>
          <w:jc w:val="center"/>
        </w:trPr>
        <w:tc>
          <w:tcPr>
            <w:tcW w:w="418" w:type="dxa"/>
            <w:tcMar>
              <w:top w:w="10" w:type="dxa"/>
              <w:left w:w="10" w:type="dxa"/>
              <w:bottom w:w="10" w:type="dxa"/>
              <w:right w:w="10" w:type="dxa"/>
            </w:tcMar>
            <w:vAlign w:val="center"/>
          </w:tcPr>
          <w:p w14:paraId="4FE41FF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134</w:t>
            </w:r>
          </w:p>
        </w:tc>
        <w:tc>
          <w:tcPr>
            <w:tcW w:w="1530" w:type="dxa"/>
            <w:tcMar>
              <w:top w:w="10" w:type="dxa"/>
              <w:left w:w="10" w:type="dxa"/>
              <w:bottom w:w="10" w:type="dxa"/>
              <w:right w:w="10" w:type="dxa"/>
            </w:tcMar>
            <w:vAlign w:val="center"/>
          </w:tcPr>
          <w:p w14:paraId="2A3509F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全量程</w:t>
            </w:r>
            <w:r>
              <w:rPr>
                <w:rFonts w:ascii="Times New Roman" w:hAnsi="Times New Roman" w:cs="Times New Roman"/>
                <w:sz w:val="18"/>
                <w:szCs w:val="18"/>
              </w:rPr>
              <w:t>C</w:t>
            </w:r>
            <w:r>
              <w:rPr>
                <w:rFonts w:ascii="Times New Roman" w:hAnsi="Times New Roman" w:hint="eastAsia"/>
                <w:sz w:val="18"/>
                <w:szCs w:val="18"/>
              </w:rPr>
              <w:t>反应蛋白测定试剂盒</w:t>
            </w:r>
            <w:r>
              <w:rPr>
                <w:rFonts w:ascii="Times New Roman" w:hAnsi="Times New Roman" w:cs="Times New Roman"/>
                <w:sz w:val="18"/>
                <w:szCs w:val="18"/>
              </w:rPr>
              <w:t>(</w:t>
            </w:r>
            <w:r>
              <w:rPr>
                <w:rFonts w:ascii="Times New Roman" w:hAnsi="Times New Roman" w:hint="eastAsia"/>
                <w:sz w:val="18"/>
                <w:szCs w:val="18"/>
              </w:rPr>
              <w:t>荧光免疫层析法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75462EB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r>
              <w:rPr>
                <w:rFonts w:ascii="Times New Roman" w:hAnsi="Times New Roman" w:hint="eastAsia"/>
                <w:sz w:val="18"/>
                <w:szCs w:val="18"/>
              </w:rPr>
              <w:t>湘械注准</w:t>
            </w:r>
            <w:r>
              <w:rPr>
                <w:rFonts w:ascii="Times New Roman" w:hAnsi="Times New Roman" w:cs="Times New Roman"/>
                <w:sz w:val="18"/>
                <w:szCs w:val="18"/>
              </w:rPr>
              <w:t>20222401602</w:t>
            </w:r>
          </w:p>
        </w:tc>
        <w:tc>
          <w:tcPr>
            <w:tcW w:w="425" w:type="dxa"/>
            <w:tcMar>
              <w:top w:w="10" w:type="dxa"/>
              <w:left w:w="10" w:type="dxa"/>
              <w:bottom w:w="10" w:type="dxa"/>
              <w:right w:w="10" w:type="dxa"/>
            </w:tcMar>
            <w:vAlign w:val="center"/>
          </w:tcPr>
          <w:p w14:paraId="434A7C7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FB8C6F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用于体外定量检测人血清、血浆、全血及末梢血中的</w:t>
            </w:r>
            <w:r>
              <w:rPr>
                <w:rFonts w:ascii="Times New Roman" w:hAnsi="Times New Roman" w:cs="Times New Roman"/>
                <w:sz w:val="18"/>
                <w:szCs w:val="18"/>
              </w:rPr>
              <w:t>C</w:t>
            </w:r>
            <w:r>
              <w:rPr>
                <w:rFonts w:ascii="Times New Roman" w:hAnsi="Times New Roman" w:hint="eastAsia"/>
                <w:sz w:val="18"/>
                <w:szCs w:val="18"/>
              </w:rPr>
              <w:t>反应蛋白含量。</w:t>
            </w:r>
          </w:p>
        </w:tc>
        <w:tc>
          <w:tcPr>
            <w:tcW w:w="992" w:type="dxa"/>
            <w:tcMar>
              <w:top w:w="10" w:type="dxa"/>
              <w:left w:w="10" w:type="dxa"/>
              <w:bottom w:w="10" w:type="dxa"/>
              <w:right w:w="10" w:type="dxa"/>
            </w:tcMar>
            <w:vAlign w:val="center"/>
          </w:tcPr>
          <w:p w14:paraId="7E582CC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2027.08.17</w:t>
            </w:r>
          </w:p>
        </w:tc>
        <w:tc>
          <w:tcPr>
            <w:tcW w:w="1276" w:type="dxa"/>
            <w:tcMar>
              <w:top w:w="10" w:type="dxa"/>
              <w:left w:w="10" w:type="dxa"/>
              <w:bottom w:w="10" w:type="dxa"/>
              <w:right w:w="10" w:type="dxa"/>
            </w:tcMar>
            <w:vAlign w:val="center"/>
          </w:tcPr>
          <w:p w14:paraId="2074DEC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62C6C78" w14:textId="77777777" w:rsidTr="00C707CF">
        <w:trPr>
          <w:cantSplit/>
          <w:jc w:val="center"/>
        </w:trPr>
        <w:tc>
          <w:tcPr>
            <w:tcW w:w="418" w:type="dxa"/>
            <w:tcMar>
              <w:top w:w="10" w:type="dxa"/>
              <w:left w:w="10" w:type="dxa"/>
              <w:bottom w:w="10" w:type="dxa"/>
              <w:right w:w="10" w:type="dxa"/>
            </w:tcMar>
            <w:vAlign w:val="center"/>
          </w:tcPr>
          <w:p w14:paraId="6D63B88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135</w:t>
            </w:r>
          </w:p>
        </w:tc>
        <w:tc>
          <w:tcPr>
            <w:tcW w:w="1530" w:type="dxa"/>
            <w:tcMar>
              <w:top w:w="10" w:type="dxa"/>
              <w:left w:w="10" w:type="dxa"/>
              <w:bottom w:w="10" w:type="dxa"/>
              <w:right w:w="10" w:type="dxa"/>
            </w:tcMar>
            <w:vAlign w:val="center"/>
          </w:tcPr>
          <w:p w14:paraId="23FAFC6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甲状腺球蛋白抗体（</w:t>
            </w:r>
            <w:r>
              <w:rPr>
                <w:rFonts w:ascii="Times New Roman" w:hAnsi="Times New Roman" w:cs="Times New Roman"/>
                <w:sz w:val="18"/>
                <w:szCs w:val="18"/>
              </w:rPr>
              <w:t>TGAb</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2FE8AEA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20222401678</w:t>
            </w:r>
          </w:p>
        </w:tc>
        <w:tc>
          <w:tcPr>
            <w:tcW w:w="425" w:type="dxa"/>
            <w:tcMar>
              <w:top w:w="10" w:type="dxa"/>
              <w:left w:w="10" w:type="dxa"/>
              <w:bottom w:w="10" w:type="dxa"/>
              <w:right w:w="10" w:type="dxa"/>
            </w:tcMar>
            <w:vAlign w:val="center"/>
          </w:tcPr>
          <w:p w14:paraId="16166DB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C5C032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用于体外定量检测人血清或（和）血浆中甲状腺球蛋白抗体（</w:t>
            </w:r>
            <w:r>
              <w:rPr>
                <w:rFonts w:ascii="Times New Roman" w:hAnsi="Times New Roman" w:cs="Times New Roman"/>
                <w:sz w:val="18"/>
                <w:szCs w:val="18"/>
              </w:rPr>
              <w:t>TGAb</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45C92E3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2027.09.01</w:t>
            </w:r>
          </w:p>
        </w:tc>
        <w:tc>
          <w:tcPr>
            <w:tcW w:w="1276" w:type="dxa"/>
            <w:tcMar>
              <w:top w:w="10" w:type="dxa"/>
              <w:left w:w="10" w:type="dxa"/>
              <w:bottom w:w="10" w:type="dxa"/>
              <w:right w:w="10" w:type="dxa"/>
            </w:tcMar>
            <w:vAlign w:val="center"/>
          </w:tcPr>
          <w:p w14:paraId="4701A3B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0566B9E" w14:textId="77777777" w:rsidTr="00C707CF">
        <w:trPr>
          <w:cantSplit/>
          <w:jc w:val="center"/>
        </w:trPr>
        <w:tc>
          <w:tcPr>
            <w:tcW w:w="418" w:type="dxa"/>
            <w:tcMar>
              <w:top w:w="10" w:type="dxa"/>
              <w:left w:w="10" w:type="dxa"/>
              <w:bottom w:w="10" w:type="dxa"/>
              <w:right w:w="10" w:type="dxa"/>
            </w:tcMar>
            <w:vAlign w:val="center"/>
          </w:tcPr>
          <w:p w14:paraId="33F7B88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136</w:t>
            </w:r>
          </w:p>
        </w:tc>
        <w:tc>
          <w:tcPr>
            <w:tcW w:w="1530" w:type="dxa"/>
            <w:tcMar>
              <w:top w:w="10" w:type="dxa"/>
              <w:left w:w="10" w:type="dxa"/>
              <w:bottom w:w="10" w:type="dxa"/>
              <w:right w:w="10" w:type="dxa"/>
            </w:tcMar>
            <w:vAlign w:val="center"/>
          </w:tcPr>
          <w:p w14:paraId="768BF3A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肝功能检测试剂盒（速率法</w:t>
            </w:r>
            <w:r>
              <w:rPr>
                <w:rFonts w:ascii="Times New Roman" w:hAnsi="Times New Roman" w:cs="Times New Roman"/>
                <w:sz w:val="18"/>
                <w:szCs w:val="18"/>
              </w:rPr>
              <w:t>/</w:t>
            </w:r>
            <w:r>
              <w:rPr>
                <w:rFonts w:ascii="Times New Roman" w:hAnsi="Times New Roman" w:hint="eastAsia"/>
                <w:sz w:val="18"/>
                <w:szCs w:val="18"/>
              </w:rPr>
              <w:t>终点法）</w:t>
            </w:r>
          </w:p>
        </w:tc>
        <w:tc>
          <w:tcPr>
            <w:tcW w:w="1134" w:type="dxa"/>
            <w:tcMar>
              <w:top w:w="10" w:type="dxa"/>
              <w:left w:w="10" w:type="dxa"/>
              <w:bottom w:w="10" w:type="dxa"/>
              <w:right w:w="10" w:type="dxa"/>
            </w:tcMar>
            <w:vAlign w:val="center"/>
          </w:tcPr>
          <w:p w14:paraId="70AAE31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20232400328</w:t>
            </w:r>
          </w:p>
        </w:tc>
        <w:tc>
          <w:tcPr>
            <w:tcW w:w="425" w:type="dxa"/>
            <w:tcMar>
              <w:top w:w="10" w:type="dxa"/>
              <w:left w:w="10" w:type="dxa"/>
              <w:bottom w:w="10" w:type="dxa"/>
              <w:right w:w="10" w:type="dxa"/>
            </w:tcMar>
            <w:vAlign w:val="center"/>
          </w:tcPr>
          <w:p w14:paraId="4C6ACB5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FC85FA5"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用于定量检测人体血清中的谷丙转氨酶</w:t>
            </w:r>
            <w:r>
              <w:rPr>
                <w:rFonts w:ascii="Times New Roman" w:hAnsi="Times New Roman" w:cs="Times New Roman"/>
                <w:sz w:val="18"/>
                <w:szCs w:val="18"/>
              </w:rPr>
              <w:t>(ALT)</w:t>
            </w:r>
            <w:r>
              <w:rPr>
                <w:rFonts w:ascii="Times New Roman" w:hAnsi="Times New Roman" w:hint="eastAsia"/>
                <w:sz w:val="18"/>
                <w:szCs w:val="18"/>
              </w:rPr>
              <w:t>、谷草转氨酶</w:t>
            </w:r>
            <w:r>
              <w:rPr>
                <w:rFonts w:ascii="Times New Roman" w:hAnsi="Times New Roman" w:cs="Times New Roman"/>
                <w:sz w:val="18"/>
                <w:szCs w:val="18"/>
              </w:rPr>
              <w:t>(AST)</w:t>
            </w:r>
            <w:r>
              <w:rPr>
                <w:rFonts w:ascii="Times New Roman" w:hAnsi="Times New Roman" w:hint="eastAsia"/>
                <w:sz w:val="18"/>
                <w:szCs w:val="18"/>
              </w:rPr>
              <w:t>、总胆红素</w:t>
            </w:r>
            <w:r>
              <w:rPr>
                <w:rFonts w:ascii="Times New Roman" w:hAnsi="Times New Roman" w:cs="Times New Roman"/>
                <w:sz w:val="18"/>
                <w:szCs w:val="18"/>
              </w:rPr>
              <w:t>(TB)</w:t>
            </w:r>
            <w:r>
              <w:rPr>
                <w:rFonts w:ascii="Times New Roman" w:hAnsi="Times New Roman" w:hint="eastAsia"/>
                <w:sz w:val="18"/>
                <w:szCs w:val="18"/>
              </w:rPr>
              <w:t>、直接胆红素</w:t>
            </w:r>
            <w:r>
              <w:rPr>
                <w:rFonts w:ascii="Times New Roman" w:hAnsi="Times New Roman" w:cs="Times New Roman"/>
                <w:sz w:val="18"/>
                <w:szCs w:val="18"/>
              </w:rPr>
              <w:t>(DB)</w:t>
            </w:r>
            <w:r>
              <w:rPr>
                <w:rFonts w:ascii="Times New Roman" w:hAnsi="Times New Roman" w:hint="eastAsia"/>
                <w:sz w:val="18"/>
                <w:szCs w:val="18"/>
              </w:rPr>
              <w:t>、白蛋白</w:t>
            </w:r>
            <w:r>
              <w:rPr>
                <w:rFonts w:ascii="Times New Roman" w:hAnsi="Times New Roman" w:cs="Times New Roman"/>
                <w:sz w:val="18"/>
                <w:szCs w:val="18"/>
              </w:rPr>
              <w:t>(ALB)</w:t>
            </w:r>
            <w:r>
              <w:rPr>
                <w:rFonts w:ascii="Times New Roman" w:hAnsi="Times New Roman" w:hint="eastAsia"/>
                <w:sz w:val="18"/>
                <w:szCs w:val="18"/>
              </w:rPr>
              <w:t>、葡萄糖</w:t>
            </w:r>
            <w:r>
              <w:rPr>
                <w:rFonts w:ascii="Times New Roman" w:hAnsi="Times New Roman" w:cs="Times New Roman"/>
                <w:sz w:val="18"/>
                <w:szCs w:val="18"/>
              </w:rPr>
              <w:t>(Glu)</w:t>
            </w:r>
            <w:r>
              <w:rPr>
                <w:rFonts w:ascii="Times New Roman" w:hAnsi="Times New Roman" w:hint="eastAsia"/>
                <w:sz w:val="18"/>
                <w:szCs w:val="18"/>
              </w:rPr>
              <w:t>的浓度</w:t>
            </w:r>
            <w:r>
              <w:rPr>
                <w:rFonts w:ascii="Times New Roman" w:hAnsi="Times New Roman" w:cs="Times New Roman"/>
                <w:sz w:val="18"/>
                <w:szCs w:val="18"/>
              </w:rPr>
              <w:t>/</w:t>
            </w:r>
            <w:r>
              <w:rPr>
                <w:rFonts w:ascii="Times New Roman" w:hAnsi="Times New Roman" w:hint="eastAsia"/>
                <w:sz w:val="18"/>
                <w:szCs w:val="18"/>
              </w:rPr>
              <w:t>活性。</w:t>
            </w:r>
          </w:p>
        </w:tc>
        <w:tc>
          <w:tcPr>
            <w:tcW w:w="992" w:type="dxa"/>
            <w:tcMar>
              <w:top w:w="10" w:type="dxa"/>
              <w:left w:w="10" w:type="dxa"/>
              <w:bottom w:w="10" w:type="dxa"/>
              <w:right w:w="10" w:type="dxa"/>
            </w:tcMar>
            <w:vAlign w:val="center"/>
          </w:tcPr>
          <w:p w14:paraId="102B35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2028.04.09</w:t>
            </w:r>
          </w:p>
        </w:tc>
        <w:tc>
          <w:tcPr>
            <w:tcW w:w="1276" w:type="dxa"/>
            <w:tcMar>
              <w:top w:w="10" w:type="dxa"/>
              <w:left w:w="10" w:type="dxa"/>
              <w:bottom w:w="10" w:type="dxa"/>
              <w:right w:w="10" w:type="dxa"/>
            </w:tcMar>
            <w:vAlign w:val="center"/>
          </w:tcPr>
          <w:p w14:paraId="6B965A3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17C5A70" w14:textId="77777777" w:rsidTr="00C707CF">
        <w:trPr>
          <w:cantSplit/>
          <w:jc w:val="center"/>
        </w:trPr>
        <w:tc>
          <w:tcPr>
            <w:tcW w:w="418" w:type="dxa"/>
            <w:tcMar>
              <w:top w:w="10" w:type="dxa"/>
              <w:left w:w="10" w:type="dxa"/>
              <w:bottom w:w="10" w:type="dxa"/>
              <w:right w:w="10" w:type="dxa"/>
            </w:tcMar>
            <w:vAlign w:val="center"/>
          </w:tcPr>
          <w:p w14:paraId="1BDDFEF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137</w:t>
            </w:r>
          </w:p>
        </w:tc>
        <w:tc>
          <w:tcPr>
            <w:tcW w:w="1530" w:type="dxa"/>
            <w:tcMar>
              <w:top w:w="10" w:type="dxa"/>
              <w:left w:w="10" w:type="dxa"/>
              <w:bottom w:w="10" w:type="dxa"/>
              <w:right w:w="10" w:type="dxa"/>
            </w:tcMar>
            <w:vAlign w:val="center"/>
          </w:tcPr>
          <w:p w14:paraId="1ED397C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血脂</w:t>
            </w:r>
            <w:r>
              <w:rPr>
                <w:rFonts w:ascii="Times New Roman" w:hAnsi="Times New Roman" w:cs="Times New Roman"/>
                <w:sz w:val="18"/>
                <w:szCs w:val="18"/>
              </w:rPr>
              <w:t>/</w:t>
            </w:r>
            <w:r>
              <w:rPr>
                <w:rFonts w:ascii="Times New Roman" w:hAnsi="Times New Roman" w:hint="eastAsia"/>
                <w:sz w:val="18"/>
                <w:szCs w:val="18"/>
              </w:rPr>
              <w:t>肾功能检测试剂盒</w:t>
            </w:r>
            <w:r>
              <w:rPr>
                <w:rFonts w:ascii="Times New Roman" w:hAnsi="Times New Roman" w:cs="Times New Roman"/>
                <w:sz w:val="18"/>
                <w:szCs w:val="18"/>
              </w:rPr>
              <w:t>(</w:t>
            </w:r>
            <w:r>
              <w:rPr>
                <w:rFonts w:ascii="Times New Roman" w:hAnsi="Times New Roman" w:hint="eastAsia"/>
                <w:sz w:val="18"/>
                <w:szCs w:val="18"/>
              </w:rPr>
              <w:t>速率法</w:t>
            </w:r>
            <w:r>
              <w:rPr>
                <w:rFonts w:ascii="Times New Roman" w:hAnsi="Times New Roman" w:cs="Times New Roman"/>
                <w:sz w:val="18"/>
                <w:szCs w:val="18"/>
              </w:rPr>
              <w:t>/</w:t>
            </w:r>
            <w:r>
              <w:rPr>
                <w:rFonts w:ascii="Times New Roman" w:hAnsi="Times New Roman" w:hint="eastAsia"/>
                <w:sz w:val="18"/>
                <w:szCs w:val="18"/>
              </w:rPr>
              <w:t>终点法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538FE2A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20232400329</w:t>
            </w:r>
          </w:p>
        </w:tc>
        <w:tc>
          <w:tcPr>
            <w:tcW w:w="425" w:type="dxa"/>
            <w:tcMar>
              <w:top w:w="10" w:type="dxa"/>
              <w:left w:w="10" w:type="dxa"/>
              <w:bottom w:w="10" w:type="dxa"/>
              <w:right w:w="10" w:type="dxa"/>
            </w:tcMar>
            <w:vAlign w:val="center"/>
          </w:tcPr>
          <w:p w14:paraId="5B92A9B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7F68B4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产品用于定量检测人体血清中的总胆固醇</w:t>
            </w:r>
            <w:r>
              <w:rPr>
                <w:rFonts w:ascii="Times New Roman" w:hAnsi="Times New Roman" w:cs="Times New Roman"/>
                <w:sz w:val="18"/>
                <w:szCs w:val="18"/>
              </w:rPr>
              <w:t>(TC)</w:t>
            </w:r>
            <w:r>
              <w:rPr>
                <w:rFonts w:ascii="Times New Roman" w:hAnsi="Times New Roman" w:hint="eastAsia"/>
                <w:sz w:val="18"/>
                <w:szCs w:val="18"/>
              </w:rPr>
              <w:t>、甘油三酯</w:t>
            </w:r>
            <w:r>
              <w:rPr>
                <w:rFonts w:ascii="Times New Roman" w:hAnsi="Times New Roman" w:cs="Times New Roman"/>
                <w:sz w:val="18"/>
                <w:szCs w:val="18"/>
              </w:rPr>
              <w:t>(TG)</w:t>
            </w:r>
            <w:r>
              <w:rPr>
                <w:rFonts w:ascii="Times New Roman" w:hAnsi="Times New Roman" w:hint="eastAsia"/>
                <w:sz w:val="18"/>
                <w:szCs w:val="18"/>
              </w:rPr>
              <w:t>、高密度脂蛋白胆固醇</w:t>
            </w:r>
            <w:r>
              <w:rPr>
                <w:rFonts w:ascii="Times New Roman" w:hAnsi="Times New Roman" w:cs="Times New Roman"/>
                <w:sz w:val="18"/>
                <w:szCs w:val="18"/>
              </w:rPr>
              <w:t>(HDL-C)</w:t>
            </w:r>
            <w:r>
              <w:rPr>
                <w:rFonts w:ascii="Times New Roman" w:hAnsi="Times New Roman" w:hint="eastAsia"/>
                <w:sz w:val="18"/>
                <w:szCs w:val="18"/>
              </w:rPr>
              <w:t>、低密度脂蛋白胆固醇</w:t>
            </w:r>
            <w:r>
              <w:rPr>
                <w:rFonts w:ascii="Times New Roman" w:hAnsi="Times New Roman" w:cs="Times New Roman"/>
                <w:sz w:val="18"/>
                <w:szCs w:val="18"/>
              </w:rPr>
              <w:t>(LDL-C)</w:t>
            </w:r>
            <w:r>
              <w:rPr>
                <w:rFonts w:ascii="Times New Roman" w:hAnsi="Times New Roman" w:hint="eastAsia"/>
                <w:sz w:val="18"/>
                <w:szCs w:val="18"/>
              </w:rPr>
              <w:t>、尿素</w:t>
            </w:r>
            <w:r>
              <w:rPr>
                <w:rFonts w:ascii="Times New Roman" w:hAnsi="Times New Roman" w:cs="Times New Roman"/>
                <w:sz w:val="18"/>
                <w:szCs w:val="18"/>
              </w:rPr>
              <w:t>(Urea)</w:t>
            </w:r>
            <w:r>
              <w:rPr>
                <w:rFonts w:ascii="Times New Roman" w:hAnsi="Times New Roman" w:hint="eastAsia"/>
                <w:sz w:val="18"/>
                <w:szCs w:val="18"/>
              </w:rPr>
              <w:t>、肌酐</w:t>
            </w:r>
            <w:r>
              <w:rPr>
                <w:rFonts w:ascii="Times New Roman" w:hAnsi="Times New Roman" w:cs="Times New Roman"/>
                <w:sz w:val="18"/>
                <w:szCs w:val="18"/>
              </w:rPr>
              <w:t>(Crea)</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1558254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2028.04.09</w:t>
            </w:r>
          </w:p>
        </w:tc>
        <w:tc>
          <w:tcPr>
            <w:tcW w:w="1276" w:type="dxa"/>
            <w:tcMar>
              <w:top w:w="10" w:type="dxa"/>
              <w:left w:w="10" w:type="dxa"/>
              <w:bottom w:w="10" w:type="dxa"/>
              <w:right w:w="10" w:type="dxa"/>
            </w:tcMar>
            <w:vAlign w:val="center"/>
          </w:tcPr>
          <w:p w14:paraId="3E98EE6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9DE97F5" w14:textId="77777777" w:rsidTr="00C707CF">
        <w:trPr>
          <w:cantSplit/>
          <w:jc w:val="center"/>
        </w:trPr>
        <w:tc>
          <w:tcPr>
            <w:tcW w:w="418" w:type="dxa"/>
            <w:tcMar>
              <w:top w:w="10" w:type="dxa"/>
              <w:left w:w="10" w:type="dxa"/>
              <w:bottom w:w="10" w:type="dxa"/>
              <w:right w:w="10" w:type="dxa"/>
            </w:tcMar>
            <w:vAlign w:val="center"/>
          </w:tcPr>
          <w:p w14:paraId="74CA8CD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138</w:t>
            </w:r>
          </w:p>
        </w:tc>
        <w:tc>
          <w:tcPr>
            <w:tcW w:w="1530" w:type="dxa"/>
            <w:tcMar>
              <w:top w:w="10" w:type="dxa"/>
              <w:left w:w="10" w:type="dxa"/>
              <w:bottom w:w="10" w:type="dxa"/>
              <w:right w:w="10" w:type="dxa"/>
            </w:tcMar>
            <w:vAlign w:val="center"/>
          </w:tcPr>
          <w:p w14:paraId="1CE73FB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尿酸测试条（干化学法）</w:t>
            </w:r>
          </w:p>
        </w:tc>
        <w:tc>
          <w:tcPr>
            <w:tcW w:w="1134" w:type="dxa"/>
            <w:tcMar>
              <w:top w:w="10" w:type="dxa"/>
              <w:left w:w="10" w:type="dxa"/>
              <w:bottom w:w="10" w:type="dxa"/>
              <w:right w:w="10" w:type="dxa"/>
            </w:tcMar>
            <w:vAlign w:val="center"/>
          </w:tcPr>
          <w:p w14:paraId="1E2EFB6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20232400492</w:t>
            </w:r>
          </w:p>
        </w:tc>
        <w:tc>
          <w:tcPr>
            <w:tcW w:w="425" w:type="dxa"/>
            <w:tcMar>
              <w:top w:w="10" w:type="dxa"/>
              <w:left w:w="10" w:type="dxa"/>
              <w:bottom w:w="10" w:type="dxa"/>
              <w:right w:w="10" w:type="dxa"/>
            </w:tcMar>
            <w:vAlign w:val="center"/>
          </w:tcPr>
          <w:p w14:paraId="66E6DD3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0D0112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本产品主要用于体外定量检测新鲜毛细血管全血、静脉全血中的尿酸浓度；本产品由专业人士在医院或其他医疗机构进行尿酸浓度监测。临床上主要用于高尿酸血症的辅助诊断。</w:t>
            </w:r>
          </w:p>
        </w:tc>
        <w:tc>
          <w:tcPr>
            <w:tcW w:w="992" w:type="dxa"/>
            <w:tcMar>
              <w:top w:w="10" w:type="dxa"/>
              <w:left w:w="10" w:type="dxa"/>
              <w:bottom w:w="10" w:type="dxa"/>
              <w:right w:w="10" w:type="dxa"/>
            </w:tcMar>
            <w:vAlign w:val="center"/>
          </w:tcPr>
          <w:p w14:paraId="3C527C3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2028.06.05</w:t>
            </w:r>
          </w:p>
        </w:tc>
        <w:tc>
          <w:tcPr>
            <w:tcW w:w="1276" w:type="dxa"/>
            <w:tcMar>
              <w:top w:w="10" w:type="dxa"/>
              <w:left w:w="10" w:type="dxa"/>
              <w:bottom w:w="10" w:type="dxa"/>
              <w:right w:w="10" w:type="dxa"/>
            </w:tcMar>
            <w:vAlign w:val="center"/>
          </w:tcPr>
          <w:p w14:paraId="130FDD9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2025.04.07</w:t>
            </w:r>
            <w:r>
              <w:rPr>
                <w:rFonts w:ascii="Times New Roman" w:hAnsi="Times New Roman" w:hint="eastAsia"/>
                <w:sz w:val="18"/>
                <w:szCs w:val="18"/>
              </w:rPr>
              <w:t>获批变更注册</w:t>
            </w:r>
          </w:p>
          <w:p w14:paraId="19710A9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18ADE955" w14:textId="77777777" w:rsidTr="00C707CF">
        <w:trPr>
          <w:cantSplit/>
          <w:jc w:val="center"/>
        </w:trPr>
        <w:tc>
          <w:tcPr>
            <w:tcW w:w="418" w:type="dxa"/>
            <w:tcMar>
              <w:top w:w="10" w:type="dxa"/>
              <w:left w:w="10" w:type="dxa"/>
              <w:bottom w:w="10" w:type="dxa"/>
              <w:right w:w="10" w:type="dxa"/>
            </w:tcMar>
            <w:vAlign w:val="center"/>
          </w:tcPr>
          <w:p w14:paraId="74715ED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139</w:t>
            </w:r>
          </w:p>
        </w:tc>
        <w:tc>
          <w:tcPr>
            <w:tcW w:w="1530" w:type="dxa"/>
            <w:tcMar>
              <w:top w:w="10" w:type="dxa"/>
              <w:left w:w="10" w:type="dxa"/>
              <w:bottom w:w="10" w:type="dxa"/>
              <w:right w:w="10" w:type="dxa"/>
            </w:tcMar>
            <w:vAlign w:val="center"/>
          </w:tcPr>
          <w:p w14:paraId="75423D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β</w:t>
            </w:r>
            <w:r>
              <w:rPr>
                <w:rFonts w:ascii="Times New Roman" w:hAnsi="Times New Roman" w:cs="Times New Roman"/>
                <w:sz w:val="18"/>
                <w:szCs w:val="18"/>
              </w:rPr>
              <w:t>-</w:t>
            </w:r>
            <w:r>
              <w:rPr>
                <w:rFonts w:ascii="Times New Roman" w:hAnsi="Times New Roman" w:hint="eastAsia"/>
                <w:sz w:val="18"/>
                <w:szCs w:val="18"/>
              </w:rPr>
              <w:t>羟丁酸试条（电化学法</w:t>
            </w:r>
            <w:r>
              <w:rPr>
                <w:rFonts w:ascii="Times New Roman" w:hAnsi="Times New Roman" w:cs="Times New Roman"/>
                <w:sz w:val="18"/>
                <w:szCs w:val="18"/>
              </w:rPr>
              <w:t>/</w:t>
            </w:r>
            <w:r>
              <w:rPr>
                <w:rFonts w:ascii="Times New Roman" w:hAnsi="Times New Roman" w:hint="eastAsia"/>
                <w:sz w:val="18"/>
                <w:szCs w:val="18"/>
              </w:rPr>
              <w:t>干化学法）</w:t>
            </w:r>
          </w:p>
        </w:tc>
        <w:tc>
          <w:tcPr>
            <w:tcW w:w="1134" w:type="dxa"/>
            <w:tcMar>
              <w:top w:w="10" w:type="dxa"/>
              <w:left w:w="10" w:type="dxa"/>
              <w:bottom w:w="10" w:type="dxa"/>
              <w:right w:w="10" w:type="dxa"/>
            </w:tcMar>
            <w:vAlign w:val="center"/>
          </w:tcPr>
          <w:p w14:paraId="0298A77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20232400491</w:t>
            </w:r>
          </w:p>
        </w:tc>
        <w:tc>
          <w:tcPr>
            <w:tcW w:w="425" w:type="dxa"/>
            <w:tcMar>
              <w:top w:w="10" w:type="dxa"/>
              <w:left w:w="10" w:type="dxa"/>
              <w:bottom w:w="10" w:type="dxa"/>
              <w:right w:w="10" w:type="dxa"/>
            </w:tcMar>
            <w:vAlign w:val="center"/>
          </w:tcPr>
          <w:p w14:paraId="050575F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63AE536C"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本产品主要用于体外定量检测新鲜毛细血管全血或静脉全血中的β</w:t>
            </w:r>
            <w:r>
              <w:rPr>
                <w:rFonts w:ascii="Times New Roman" w:hAnsi="Times New Roman" w:cs="Times New Roman"/>
                <w:sz w:val="18"/>
                <w:szCs w:val="18"/>
              </w:rPr>
              <w:t>-</w:t>
            </w:r>
            <w:r>
              <w:rPr>
                <w:rFonts w:ascii="Times New Roman" w:hAnsi="Times New Roman" w:hint="eastAsia"/>
                <w:sz w:val="18"/>
                <w:szCs w:val="18"/>
              </w:rPr>
              <w:t>羟丁酸浓度。本产品可以由专业人士在医院或其他医疗机构进行β</w:t>
            </w:r>
            <w:r>
              <w:rPr>
                <w:rFonts w:ascii="Times New Roman" w:hAnsi="Times New Roman" w:cs="Times New Roman"/>
                <w:sz w:val="18"/>
                <w:szCs w:val="18"/>
              </w:rPr>
              <w:t>-</w:t>
            </w:r>
            <w:r>
              <w:rPr>
                <w:rFonts w:ascii="Times New Roman" w:hAnsi="Times New Roman" w:hint="eastAsia"/>
                <w:sz w:val="18"/>
                <w:szCs w:val="18"/>
              </w:rPr>
              <w:t>羟丁酸浓度监测。临床上β</w:t>
            </w:r>
            <w:r>
              <w:rPr>
                <w:rFonts w:ascii="Times New Roman" w:hAnsi="Times New Roman" w:cs="Times New Roman"/>
                <w:sz w:val="18"/>
                <w:szCs w:val="18"/>
              </w:rPr>
              <w:t>-</w:t>
            </w:r>
            <w:r>
              <w:rPr>
                <w:rFonts w:ascii="Times New Roman" w:hAnsi="Times New Roman" w:hint="eastAsia"/>
                <w:sz w:val="18"/>
                <w:szCs w:val="18"/>
              </w:rPr>
              <w:t>羟丁酸的测定主要用于酮症酸中毒的辅助诊断。</w:t>
            </w:r>
          </w:p>
        </w:tc>
        <w:tc>
          <w:tcPr>
            <w:tcW w:w="992" w:type="dxa"/>
            <w:tcMar>
              <w:top w:w="10" w:type="dxa"/>
              <w:left w:w="10" w:type="dxa"/>
              <w:bottom w:w="10" w:type="dxa"/>
              <w:right w:w="10" w:type="dxa"/>
            </w:tcMar>
            <w:vAlign w:val="center"/>
          </w:tcPr>
          <w:p w14:paraId="34862C3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2028.06.05</w:t>
            </w:r>
          </w:p>
        </w:tc>
        <w:tc>
          <w:tcPr>
            <w:tcW w:w="1276" w:type="dxa"/>
            <w:tcMar>
              <w:top w:w="10" w:type="dxa"/>
              <w:left w:w="10" w:type="dxa"/>
              <w:bottom w:w="10" w:type="dxa"/>
              <w:right w:w="10" w:type="dxa"/>
            </w:tcMar>
            <w:vAlign w:val="center"/>
          </w:tcPr>
          <w:p w14:paraId="0281527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2025.07.28</w:t>
            </w:r>
            <w:r>
              <w:rPr>
                <w:rFonts w:ascii="Times New Roman" w:hAnsi="Times New Roman" w:hint="eastAsia"/>
                <w:sz w:val="18"/>
                <w:szCs w:val="18"/>
              </w:rPr>
              <w:t>获批变更注册</w:t>
            </w:r>
          </w:p>
        </w:tc>
      </w:tr>
      <w:tr w:rsidR="00113A51" w14:paraId="4FB9CCC3" w14:textId="77777777" w:rsidTr="00C707CF">
        <w:trPr>
          <w:cantSplit/>
          <w:jc w:val="center"/>
        </w:trPr>
        <w:tc>
          <w:tcPr>
            <w:tcW w:w="418" w:type="dxa"/>
            <w:tcMar>
              <w:top w:w="10" w:type="dxa"/>
              <w:left w:w="10" w:type="dxa"/>
              <w:bottom w:w="10" w:type="dxa"/>
              <w:right w:w="10" w:type="dxa"/>
            </w:tcMar>
            <w:vAlign w:val="center"/>
          </w:tcPr>
          <w:p w14:paraId="6E5FF28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140</w:t>
            </w:r>
          </w:p>
        </w:tc>
        <w:tc>
          <w:tcPr>
            <w:tcW w:w="1530" w:type="dxa"/>
            <w:tcMar>
              <w:top w:w="10" w:type="dxa"/>
              <w:left w:w="10" w:type="dxa"/>
              <w:bottom w:w="10" w:type="dxa"/>
              <w:right w:w="10" w:type="dxa"/>
            </w:tcMar>
            <w:vAlign w:val="center"/>
          </w:tcPr>
          <w:p w14:paraId="4F84654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D-</w:t>
            </w:r>
            <w:r>
              <w:rPr>
                <w:rFonts w:ascii="Times New Roman" w:hAnsi="Times New Roman" w:hint="eastAsia"/>
                <w:sz w:val="18"/>
                <w:szCs w:val="18"/>
              </w:rPr>
              <w:t>二聚体（</w:t>
            </w:r>
            <w:r>
              <w:rPr>
                <w:rFonts w:ascii="Times New Roman" w:hAnsi="Times New Roman" w:cs="Times New Roman"/>
                <w:sz w:val="18"/>
                <w:szCs w:val="18"/>
              </w:rPr>
              <w:t>D-Dimer</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718A9C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20232400712</w:t>
            </w:r>
          </w:p>
        </w:tc>
        <w:tc>
          <w:tcPr>
            <w:tcW w:w="425" w:type="dxa"/>
            <w:tcMar>
              <w:top w:w="10" w:type="dxa"/>
              <w:left w:w="10" w:type="dxa"/>
              <w:bottom w:w="10" w:type="dxa"/>
              <w:right w:w="10" w:type="dxa"/>
            </w:tcMar>
            <w:vAlign w:val="center"/>
          </w:tcPr>
          <w:p w14:paraId="26A92FE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B91864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用于体外定量检测人血浆中</w:t>
            </w:r>
            <w:r>
              <w:rPr>
                <w:rFonts w:ascii="Times New Roman" w:hAnsi="Times New Roman" w:cs="Times New Roman"/>
                <w:sz w:val="18"/>
                <w:szCs w:val="18"/>
              </w:rPr>
              <w:t>D-</w:t>
            </w:r>
            <w:r>
              <w:rPr>
                <w:rFonts w:ascii="Times New Roman" w:hAnsi="Times New Roman" w:hint="eastAsia"/>
                <w:sz w:val="18"/>
                <w:szCs w:val="18"/>
              </w:rPr>
              <w:t>二聚体的含量。</w:t>
            </w:r>
          </w:p>
        </w:tc>
        <w:tc>
          <w:tcPr>
            <w:tcW w:w="992" w:type="dxa"/>
            <w:tcMar>
              <w:top w:w="10" w:type="dxa"/>
              <w:left w:w="10" w:type="dxa"/>
              <w:bottom w:w="10" w:type="dxa"/>
              <w:right w:w="10" w:type="dxa"/>
            </w:tcMar>
            <w:vAlign w:val="center"/>
          </w:tcPr>
          <w:p w14:paraId="6D3D950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2028.08.06</w:t>
            </w:r>
          </w:p>
        </w:tc>
        <w:tc>
          <w:tcPr>
            <w:tcW w:w="1276" w:type="dxa"/>
            <w:tcMar>
              <w:top w:w="10" w:type="dxa"/>
              <w:left w:w="10" w:type="dxa"/>
              <w:bottom w:w="10" w:type="dxa"/>
              <w:right w:w="10" w:type="dxa"/>
            </w:tcMar>
            <w:vAlign w:val="center"/>
          </w:tcPr>
          <w:p w14:paraId="579BD13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9EFB9F8" w14:textId="77777777" w:rsidTr="00C707CF">
        <w:trPr>
          <w:cantSplit/>
          <w:jc w:val="center"/>
        </w:trPr>
        <w:tc>
          <w:tcPr>
            <w:tcW w:w="418" w:type="dxa"/>
            <w:tcMar>
              <w:top w:w="10" w:type="dxa"/>
              <w:left w:w="10" w:type="dxa"/>
              <w:bottom w:w="10" w:type="dxa"/>
              <w:right w:w="10" w:type="dxa"/>
            </w:tcMar>
            <w:vAlign w:val="center"/>
          </w:tcPr>
          <w:p w14:paraId="47644D2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141</w:t>
            </w:r>
          </w:p>
        </w:tc>
        <w:tc>
          <w:tcPr>
            <w:tcW w:w="1530" w:type="dxa"/>
            <w:tcMar>
              <w:top w:w="10" w:type="dxa"/>
              <w:left w:w="10" w:type="dxa"/>
              <w:bottom w:w="10" w:type="dxa"/>
              <w:right w:w="10" w:type="dxa"/>
            </w:tcMar>
            <w:vAlign w:val="center"/>
          </w:tcPr>
          <w:p w14:paraId="723F393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血红蛋白试条（电化学法）</w:t>
            </w:r>
          </w:p>
        </w:tc>
        <w:tc>
          <w:tcPr>
            <w:tcW w:w="1134" w:type="dxa"/>
            <w:tcMar>
              <w:top w:w="10" w:type="dxa"/>
              <w:left w:w="10" w:type="dxa"/>
              <w:bottom w:w="10" w:type="dxa"/>
              <w:right w:w="10" w:type="dxa"/>
            </w:tcMar>
            <w:vAlign w:val="center"/>
          </w:tcPr>
          <w:p w14:paraId="6E418E2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20232400795</w:t>
            </w:r>
          </w:p>
        </w:tc>
        <w:tc>
          <w:tcPr>
            <w:tcW w:w="425" w:type="dxa"/>
            <w:tcMar>
              <w:top w:w="10" w:type="dxa"/>
              <w:left w:w="10" w:type="dxa"/>
              <w:bottom w:w="10" w:type="dxa"/>
              <w:right w:w="10" w:type="dxa"/>
            </w:tcMar>
            <w:vAlign w:val="center"/>
          </w:tcPr>
          <w:p w14:paraId="57E1A67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B42F6B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本产品与配套血红蛋白分析仪配合使用。用于检测人体新鲜毛细血管全血、静脉全血中血红蛋白含量。本产品临床上主要用于各种贫血、失血等的辅助诊断。本产品可由专业人员使用</w:t>
            </w:r>
            <w:r>
              <w:rPr>
                <w:rFonts w:ascii="Times New Roman" w:hAnsi="Times New Roman" w:cs="Times New Roman"/>
                <w:sz w:val="18"/>
                <w:szCs w:val="18"/>
              </w:rPr>
              <w:t>,</w:t>
            </w:r>
            <w:r>
              <w:rPr>
                <w:rFonts w:ascii="Times New Roman" w:hAnsi="Times New Roman" w:hint="eastAsia"/>
                <w:sz w:val="18"/>
                <w:szCs w:val="18"/>
              </w:rPr>
              <w:t>也可由非专业用户自测使用。</w:t>
            </w:r>
          </w:p>
        </w:tc>
        <w:tc>
          <w:tcPr>
            <w:tcW w:w="992" w:type="dxa"/>
            <w:tcMar>
              <w:top w:w="10" w:type="dxa"/>
              <w:left w:w="10" w:type="dxa"/>
              <w:bottom w:w="10" w:type="dxa"/>
              <w:right w:w="10" w:type="dxa"/>
            </w:tcMar>
            <w:vAlign w:val="center"/>
          </w:tcPr>
          <w:p w14:paraId="35CF05C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2028.08.17</w:t>
            </w:r>
          </w:p>
        </w:tc>
        <w:tc>
          <w:tcPr>
            <w:tcW w:w="1276" w:type="dxa"/>
            <w:tcMar>
              <w:top w:w="10" w:type="dxa"/>
              <w:left w:w="10" w:type="dxa"/>
              <w:bottom w:w="10" w:type="dxa"/>
              <w:right w:w="10" w:type="dxa"/>
            </w:tcMar>
            <w:vAlign w:val="center"/>
          </w:tcPr>
          <w:p w14:paraId="4781A55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E6DA691" w14:textId="77777777" w:rsidTr="00C707CF">
        <w:trPr>
          <w:cantSplit/>
          <w:jc w:val="center"/>
        </w:trPr>
        <w:tc>
          <w:tcPr>
            <w:tcW w:w="418" w:type="dxa"/>
            <w:tcMar>
              <w:top w:w="10" w:type="dxa"/>
              <w:left w:w="10" w:type="dxa"/>
              <w:bottom w:w="10" w:type="dxa"/>
              <w:right w:w="10" w:type="dxa"/>
            </w:tcMar>
            <w:vAlign w:val="center"/>
          </w:tcPr>
          <w:p w14:paraId="791C93E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142</w:t>
            </w:r>
          </w:p>
        </w:tc>
        <w:tc>
          <w:tcPr>
            <w:tcW w:w="1530" w:type="dxa"/>
            <w:tcMar>
              <w:top w:w="10" w:type="dxa"/>
              <w:left w:w="10" w:type="dxa"/>
              <w:bottom w:w="10" w:type="dxa"/>
              <w:right w:w="10" w:type="dxa"/>
            </w:tcMar>
            <w:vAlign w:val="center"/>
          </w:tcPr>
          <w:p w14:paraId="2AAA1B7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睾酮（</w:t>
            </w:r>
            <w:r>
              <w:rPr>
                <w:rFonts w:ascii="Times New Roman" w:hAnsi="Times New Roman" w:cs="Times New Roman"/>
                <w:sz w:val="18"/>
                <w:szCs w:val="18"/>
              </w:rPr>
              <w:t>T</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4C05901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20232400826</w:t>
            </w:r>
          </w:p>
        </w:tc>
        <w:tc>
          <w:tcPr>
            <w:tcW w:w="425" w:type="dxa"/>
            <w:tcMar>
              <w:top w:w="10" w:type="dxa"/>
              <w:left w:w="10" w:type="dxa"/>
              <w:bottom w:w="10" w:type="dxa"/>
              <w:right w:w="10" w:type="dxa"/>
            </w:tcMar>
            <w:vAlign w:val="center"/>
          </w:tcPr>
          <w:p w14:paraId="7F202F6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3EDFAB5"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血浆中睾酮的含量。</w:t>
            </w:r>
          </w:p>
        </w:tc>
        <w:tc>
          <w:tcPr>
            <w:tcW w:w="992" w:type="dxa"/>
            <w:tcMar>
              <w:top w:w="10" w:type="dxa"/>
              <w:left w:w="10" w:type="dxa"/>
              <w:bottom w:w="10" w:type="dxa"/>
              <w:right w:w="10" w:type="dxa"/>
            </w:tcMar>
            <w:vAlign w:val="center"/>
          </w:tcPr>
          <w:p w14:paraId="665E491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052D992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6CAEC4E" w14:textId="77777777" w:rsidTr="00C707CF">
        <w:trPr>
          <w:cantSplit/>
          <w:jc w:val="center"/>
        </w:trPr>
        <w:tc>
          <w:tcPr>
            <w:tcW w:w="418" w:type="dxa"/>
            <w:tcMar>
              <w:top w:w="10" w:type="dxa"/>
              <w:left w:w="10" w:type="dxa"/>
              <w:bottom w:w="10" w:type="dxa"/>
              <w:right w:w="10" w:type="dxa"/>
            </w:tcMar>
            <w:vAlign w:val="center"/>
          </w:tcPr>
          <w:p w14:paraId="7C1B3141"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143</w:t>
            </w:r>
          </w:p>
        </w:tc>
        <w:tc>
          <w:tcPr>
            <w:tcW w:w="1530" w:type="dxa"/>
            <w:tcMar>
              <w:top w:w="10" w:type="dxa"/>
              <w:left w:w="10" w:type="dxa"/>
              <w:bottom w:w="10" w:type="dxa"/>
              <w:right w:w="10" w:type="dxa"/>
            </w:tcMar>
            <w:vAlign w:val="center"/>
          </w:tcPr>
          <w:p w14:paraId="4BBE4AE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孕酮（</w:t>
            </w:r>
            <w:r>
              <w:rPr>
                <w:rFonts w:ascii="Times New Roman" w:hAnsi="Times New Roman" w:cs="Times New Roman"/>
                <w:sz w:val="18"/>
                <w:szCs w:val="18"/>
              </w:rPr>
              <w:t>P</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1D45EDE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20232400827</w:t>
            </w:r>
          </w:p>
        </w:tc>
        <w:tc>
          <w:tcPr>
            <w:tcW w:w="425" w:type="dxa"/>
            <w:tcMar>
              <w:top w:w="10" w:type="dxa"/>
              <w:left w:w="10" w:type="dxa"/>
              <w:bottom w:w="10" w:type="dxa"/>
              <w:right w:w="10" w:type="dxa"/>
            </w:tcMar>
            <w:vAlign w:val="center"/>
          </w:tcPr>
          <w:p w14:paraId="06C8F0F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47896A0"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血浆中孕酮的含量。</w:t>
            </w:r>
          </w:p>
        </w:tc>
        <w:tc>
          <w:tcPr>
            <w:tcW w:w="992" w:type="dxa"/>
            <w:tcMar>
              <w:top w:w="10" w:type="dxa"/>
              <w:left w:w="10" w:type="dxa"/>
              <w:bottom w:w="10" w:type="dxa"/>
              <w:right w:w="10" w:type="dxa"/>
            </w:tcMar>
            <w:vAlign w:val="center"/>
          </w:tcPr>
          <w:p w14:paraId="5B87D6C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0D30481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2761972" w14:textId="77777777" w:rsidTr="00C707CF">
        <w:trPr>
          <w:cantSplit/>
          <w:jc w:val="center"/>
        </w:trPr>
        <w:tc>
          <w:tcPr>
            <w:tcW w:w="418" w:type="dxa"/>
            <w:tcMar>
              <w:top w:w="10" w:type="dxa"/>
              <w:left w:w="10" w:type="dxa"/>
              <w:bottom w:w="10" w:type="dxa"/>
              <w:right w:w="10" w:type="dxa"/>
            </w:tcMar>
            <w:vAlign w:val="center"/>
          </w:tcPr>
          <w:p w14:paraId="50AB67A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144</w:t>
            </w:r>
          </w:p>
        </w:tc>
        <w:tc>
          <w:tcPr>
            <w:tcW w:w="1530" w:type="dxa"/>
            <w:tcMar>
              <w:top w:w="10" w:type="dxa"/>
              <w:left w:w="10" w:type="dxa"/>
              <w:bottom w:w="10" w:type="dxa"/>
              <w:right w:w="10" w:type="dxa"/>
            </w:tcMar>
            <w:vAlign w:val="center"/>
          </w:tcPr>
          <w:p w14:paraId="6FB7C63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促卵泡生成素（</w:t>
            </w:r>
            <w:r>
              <w:rPr>
                <w:rFonts w:ascii="Times New Roman" w:hAnsi="Times New Roman" w:cs="Times New Roman"/>
                <w:sz w:val="18"/>
                <w:szCs w:val="18"/>
              </w:rPr>
              <w:t>FSH</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5DFCCA2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20232400828</w:t>
            </w:r>
          </w:p>
        </w:tc>
        <w:tc>
          <w:tcPr>
            <w:tcW w:w="425" w:type="dxa"/>
            <w:tcMar>
              <w:top w:w="10" w:type="dxa"/>
              <w:left w:w="10" w:type="dxa"/>
              <w:bottom w:w="10" w:type="dxa"/>
              <w:right w:w="10" w:type="dxa"/>
            </w:tcMar>
            <w:vAlign w:val="center"/>
          </w:tcPr>
          <w:p w14:paraId="3937BE4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96EB30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血浆中促卵泡生成素的含量。</w:t>
            </w:r>
          </w:p>
        </w:tc>
        <w:tc>
          <w:tcPr>
            <w:tcW w:w="992" w:type="dxa"/>
            <w:tcMar>
              <w:top w:w="10" w:type="dxa"/>
              <w:left w:w="10" w:type="dxa"/>
              <w:bottom w:w="10" w:type="dxa"/>
              <w:right w:w="10" w:type="dxa"/>
            </w:tcMar>
            <w:vAlign w:val="center"/>
          </w:tcPr>
          <w:p w14:paraId="79CC141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52FB669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C159F64" w14:textId="77777777" w:rsidTr="00C707CF">
        <w:trPr>
          <w:cantSplit/>
          <w:jc w:val="center"/>
        </w:trPr>
        <w:tc>
          <w:tcPr>
            <w:tcW w:w="418" w:type="dxa"/>
            <w:tcMar>
              <w:top w:w="10" w:type="dxa"/>
              <w:left w:w="10" w:type="dxa"/>
              <w:bottom w:w="10" w:type="dxa"/>
              <w:right w:w="10" w:type="dxa"/>
            </w:tcMar>
            <w:vAlign w:val="center"/>
          </w:tcPr>
          <w:p w14:paraId="06294C6C"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145</w:t>
            </w:r>
          </w:p>
        </w:tc>
        <w:tc>
          <w:tcPr>
            <w:tcW w:w="1530" w:type="dxa"/>
            <w:tcMar>
              <w:top w:w="10" w:type="dxa"/>
              <w:left w:w="10" w:type="dxa"/>
              <w:bottom w:w="10" w:type="dxa"/>
              <w:right w:w="10" w:type="dxa"/>
            </w:tcMar>
            <w:vAlign w:val="center"/>
          </w:tcPr>
          <w:p w14:paraId="352EA86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促黄体生成素（</w:t>
            </w:r>
            <w:r>
              <w:rPr>
                <w:rFonts w:ascii="Times New Roman" w:hAnsi="Times New Roman" w:cs="Times New Roman"/>
                <w:sz w:val="18"/>
                <w:szCs w:val="18"/>
              </w:rPr>
              <w:t>LH</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3563E51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20232400829</w:t>
            </w:r>
          </w:p>
        </w:tc>
        <w:tc>
          <w:tcPr>
            <w:tcW w:w="425" w:type="dxa"/>
            <w:tcMar>
              <w:top w:w="10" w:type="dxa"/>
              <w:left w:w="10" w:type="dxa"/>
              <w:bottom w:w="10" w:type="dxa"/>
              <w:right w:w="10" w:type="dxa"/>
            </w:tcMar>
            <w:vAlign w:val="center"/>
          </w:tcPr>
          <w:p w14:paraId="0F090EA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AF40BE9"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血浆中的促黄体生成素的含量。</w:t>
            </w:r>
          </w:p>
        </w:tc>
        <w:tc>
          <w:tcPr>
            <w:tcW w:w="992" w:type="dxa"/>
            <w:tcMar>
              <w:top w:w="10" w:type="dxa"/>
              <w:left w:w="10" w:type="dxa"/>
              <w:bottom w:w="10" w:type="dxa"/>
              <w:right w:w="10" w:type="dxa"/>
            </w:tcMar>
            <w:vAlign w:val="center"/>
          </w:tcPr>
          <w:p w14:paraId="718BAD6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5C6D64E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500960C" w14:textId="77777777" w:rsidTr="00C707CF">
        <w:trPr>
          <w:cantSplit/>
          <w:jc w:val="center"/>
        </w:trPr>
        <w:tc>
          <w:tcPr>
            <w:tcW w:w="418" w:type="dxa"/>
            <w:tcMar>
              <w:top w:w="10" w:type="dxa"/>
              <w:left w:w="10" w:type="dxa"/>
              <w:bottom w:w="10" w:type="dxa"/>
              <w:right w:w="10" w:type="dxa"/>
            </w:tcMar>
            <w:vAlign w:val="center"/>
          </w:tcPr>
          <w:p w14:paraId="466D6F7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146</w:t>
            </w:r>
          </w:p>
        </w:tc>
        <w:tc>
          <w:tcPr>
            <w:tcW w:w="1530" w:type="dxa"/>
            <w:tcMar>
              <w:top w:w="10" w:type="dxa"/>
              <w:left w:w="10" w:type="dxa"/>
              <w:bottom w:w="10" w:type="dxa"/>
              <w:right w:w="10" w:type="dxa"/>
            </w:tcMar>
            <w:vAlign w:val="center"/>
          </w:tcPr>
          <w:p w14:paraId="6C878B5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雌二醇（</w:t>
            </w:r>
            <w:r>
              <w:rPr>
                <w:rFonts w:ascii="Times New Roman" w:hAnsi="Times New Roman" w:cs="Times New Roman"/>
                <w:sz w:val="18"/>
                <w:szCs w:val="18"/>
              </w:rPr>
              <w:t>E2</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0F4D862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20232400830</w:t>
            </w:r>
          </w:p>
        </w:tc>
        <w:tc>
          <w:tcPr>
            <w:tcW w:w="425" w:type="dxa"/>
            <w:tcMar>
              <w:top w:w="10" w:type="dxa"/>
              <w:left w:w="10" w:type="dxa"/>
              <w:bottom w:w="10" w:type="dxa"/>
              <w:right w:w="10" w:type="dxa"/>
            </w:tcMar>
            <w:vAlign w:val="center"/>
          </w:tcPr>
          <w:p w14:paraId="1B25151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8838C1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血浆中雌二醇的含量。</w:t>
            </w:r>
          </w:p>
        </w:tc>
        <w:tc>
          <w:tcPr>
            <w:tcW w:w="992" w:type="dxa"/>
            <w:tcMar>
              <w:top w:w="10" w:type="dxa"/>
              <w:left w:w="10" w:type="dxa"/>
              <w:bottom w:w="10" w:type="dxa"/>
              <w:right w:w="10" w:type="dxa"/>
            </w:tcMar>
            <w:vAlign w:val="center"/>
          </w:tcPr>
          <w:p w14:paraId="2B86065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44E2E34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6CC68167" w14:textId="77777777" w:rsidTr="00C707CF">
        <w:trPr>
          <w:cantSplit/>
          <w:jc w:val="center"/>
        </w:trPr>
        <w:tc>
          <w:tcPr>
            <w:tcW w:w="418" w:type="dxa"/>
            <w:tcMar>
              <w:top w:w="10" w:type="dxa"/>
              <w:left w:w="10" w:type="dxa"/>
              <w:bottom w:w="10" w:type="dxa"/>
              <w:right w:w="10" w:type="dxa"/>
            </w:tcMar>
            <w:vAlign w:val="center"/>
          </w:tcPr>
          <w:p w14:paraId="2B7D8634"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147</w:t>
            </w:r>
          </w:p>
        </w:tc>
        <w:tc>
          <w:tcPr>
            <w:tcW w:w="1530" w:type="dxa"/>
            <w:tcMar>
              <w:top w:w="10" w:type="dxa"/>
              <w:left w:w="10" w:type="dxa"/>
              <w:bottom w:w="10" w:type="dxa"/>
              <w:right w:w="10" w:type="dxa"/>
            </w:tcMar>
            <w:vAlign w:val="center"/>
          </w:tcPr>
          <w:p w14:paraId="7DCA791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25-</w:t>
            </w:r>
            <w:r>
              <w:rPr>
                <w:rFonts w:ascii="Times New Roman" w:hAnsi="Times New Roman" w:hint="eastAsia"/>
                <w:sz w:val="18"/>
                <w:szCs w:val="18"/>
              </w:rPr>
              <w:t>羟基维生素</w:t>
            </w:r>
            <w:r>
              <w:rPr>
                <w:rFonts w:ascii="Times New Roman" w:hAnsi="Times New Roman" w:cs="Times New Roman"/>
                <w:sz w:val="18"/>
                <w:szCs w:val="18"/>
              </w:rPr>
              <w:t>D</w:t>
            </w:r>
            <w:r>
              <w:rPr>
                <w:rFonts w:ascii="Times New Roman" w:hAnsi="Times New Roman" w:hint="eastAsia"/>
                <w:sz w:val="18"/>
                <w:szCs w:val="18"/>
              </w:rPr>
              <w:t>（</w:t>
            </w:r>
            <w:r>
              <w:rPr>
                <w:rFonts w:ascii="Times New Roman" w:hAnsi="Times New Roman" w:cs="Times New Roman"/>
                <w:sz w:val="18"/>
                <w:szCs w:val="18"/>
              </w:rPr>
              <w:t>25-OH-VD</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307CE9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20232400831</w:t>
            </w:r>
          </w:p>
        </w:tc>
        <w:tc>
          <w:tcPr>
            <w:tcW w:w="425" w:type="dxa"/>
            <w:tcMar>
              <w:top w:w="10" w:type="dxa"/>
              <w:left w:w="10" w:type="dxa"/>
              <w:bottom w:w="10" w:type="dxa"/>
              <w:right w:w="10" w:type="dxa"/>
            </w:tcMar>
            <w:vAlign w:val="center"/>
          </w:tcPr>
          <w:p w14:paraId="37DDD08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78CDF5F"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血浆中总</w:t>
            </w:r>
            <w:r>
              <w:rPr>
                <w:rFonts w:ascii="Times New Roman" w:hAnsi="Times New Roman" w:cs="Times New Roman"/>
                <w:sz w:val="18"/>
                <w:szCs w:val="18"/>
              </w:rPr>
              <w:t>25-</w:t>
            </w:r>
            <w:r>
              <w:rPr>
                <w:rFonts w:ascii="Times New Roman" w:hAnsi="Times New Roman" w:hint="eastAsia"/>
                <w:sz w:val="18"/>
                <w:szCs w:val="18"/>
              </w:rPr>
              <w:t>羟基维生素</w:t>
            </w:r>
            <w:r>
              <w:rPr>
                <w:rFonts w:ascii="Times New Roman" w:hAnsi="Times New Roman" w:cs="Times New Roman"/>
                <w:sz w:val="18"/>
                <w:szCs w:val="18"/>
              </w:rPr>
              <w:t>D</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504C3FC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4352676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537B23A" w14:textId="77777777" w:rsidTr="00C707CF">
        <w:trPr>
          <w:cantSplit/>
          <w:jc w:val="center"/>
        </w:trPr>
        <w:tc>
          <w:tcPr>
            <w:tcW w:w="418" w:type="dxa"/>
            <w:tcMar>
              <w:top w:w="10" w:type="dxa"/>
              <w:left w:w="10" w:type="dxa"/>
              <w:bottom w:w="10" w:type="dxa"/>
              <w:right w:w="10" w:type="dxa"/>
            </w:tcMar>
            <w:vAlign w:val="center"/>
          </w:tcPr>
          <w:p w14:paraId="2F1FAB3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148</w:t>
            </w:r>
          </w:p>
        </w:tc>
        <w:tc>
          <w:tcPr>
            <w:tcW w:w="1530" w:type="dxa"/>
            <w:tcMar>
              <w:top w:w="10" w:type="dxa"/>
              <w:left w:w="10" w:type="dxa"/>
              <w:bottom w:w="10" w:type="dxa"/>
              <w:right w:w="10" w:type="dxa"/>
            </w:tcMar>
            <w:vAlign w:val="center"/>
          </w:tcPr>
          <w:p w14:paraId="6789A73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总β人绒毛膜促性腺激素（</w:t>
            </w:r>
            <w:r>
              <w:rPr>
                <w:rFonts w:ascii="Times New Roman" w:hAnsi="Times New Roman" w:cs="Times New Roman"/>
                <w:sz w:val="18"/>
                <w:szCs w:val="18"/>
              </w:rPr>
              <w:t xml:space="preserve">Total </w:t>
            </w:r>
            <w:r>
              <w:rPr>
                <w:rFonts w:ascii="Times New Roman" w:hAnsi="Times New Roman" w:hint="eastAsia"/>
                <w:sz w:val="18"/>
                <w:szCs w:val="18"/>
              </w:rPr>
              <w:t>β</w:t>
            </w:r>
            <w:r>
              <w:rPr>
                <w:rFonts w:ascii="Times New Roman" w:hAnsi="Times New Roman" w:cs="Times New Roman"/>
                <w:sz w:val="18"/>
                <w:szCs w:val="18"/>
              </w:rPr>
              <w:t>-HCG</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6018A2E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20232400832</w:t>
            </w:r>
          </w:p>
        </w:tc>
        <w:tc>
          <w:tcPr>
            <w:tcW w:w="425" w:type="dxa"/>
            <w:tcMar>
              <w:top w:w="10" w:type="dxa"/>
              <w:left w:w="10" w:type="dxa"/>
              <w:bottom w:w="10" w:type="dxa"/>
              <w:right w:w="10" w:type="dxa"/>
            </w:tcMar>
            <w:vAlign w:val="center"/>
          </w:tcPr>
          <w:p w14:paraId="4C070A5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81AF26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血浆中总β人绒毛膜促性腺激素的含量。</w:t>
            </w:r>
          </w:p>
        </w:tc>
        <w:tc>
          <w:tcPr>
            <w:tcW w:w="992" w:type="dxa"/>
            <w:tcMar>
              <w:top w:w="10" w:type="dxa"/>
              <w:left w:w="10" w:type="dxa"/>
              <w:bottom w:w="10" w:type="dxa"/>
              <w:right w:w="10" w:type="dxa"/>
            </w:tcMar>
            <w:vAlign w:val="center"/>
          </w:tcPr>
          <w:p w14:paraId="2FC99A33"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170CDA8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F065605" w14:textId="77777777" w:rsidTr="00C707CF">
        <w:trPr>
          <w:cantSplit/>
          <w:jc w:val="center"/>
        </w:trPr>
        <w:tc>
          <w:tcPr>
            <w:tcW w:w="418" w:type="dxa"/>
            <w:tcMar>
              <w:top w:w="10" w:type="dxa"/>
              <w:left w:w="10" w:type="dxa"/>
              <w:bottom w:w="10" w:type="dxa"/>
              <w:right w:w="10" w:type="dxa"/>
            </w:tcMar>
            <w:vAlign w:val="center"/>
          </w:tcPr>
          <w:p w14:paraId="5A23FF3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149</w:t>
            </w:r>
          </w:p>
        </w:tc>
        <w:tc>
          <w:tcPr>
            <w:tcW w:w="1530" w:type="dxa"/>
            <w:tcMar>
              <w:top w:w="10" w:type="dxa"/>
              <w:left w:w="10" w:type="dxa"/>
              <w:bottom w:w="10" w:type="dxa"/>
              <w:right w:w="10" w:type="dxa"/>
            </w:tcMar>
            <w:vAlign w:val="center"/>
          </w:tcPr>
          <w:p w14:paraId="70EAE7E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催乳素（</w:t>
            </w:r>
            <w:r>
              <w:rPr>
                <w:rFonts w:ascii="Times New Roman" w:hAnsi="Times New Roman" w:cs="Times New Roman"/>
                <w:sz w:val="18"/>
                <w:szCs w:val="18"/>
              </w:rPr>
              <w:t>PRL</w:t>
            </w:r>
            <w:r>
              <w:rPr>
                <w:rFonts w:ascii="Times New Roman" w:hAnsi="Times New Roman" w:hint="eastAsia"/>
                <w:sz w:val="18"/>
                <w:szCs w:val="18"/>
              </w:rPr>
              <w:t>）检测试剂盒（化学发光免疫分析法）</w:t>
            </w:r>
          </w:p>
        </w:tc>
        <w:tc>
          <w:tcPr>
            <w:tcW w:w="1134" w:type="dxa"/>
            <w:tcMar>
              <w:top w:w="10" w:type="dxa"/>
              <w:left w:w="10" w:type="dxa"/>
              <w:bottom w:w="10" w:type="dxa"/>
              <w:right w:w="10" w:type="dxa"/>
            </w:tcMar>
            <w:vAlign w:val="center"/>
          </w:tcPr>
          <w:p w14:paraId="0B56C5F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20232400833</w:t>
            </w:r>
          </w:p>
        </w:tc>
        <w:tc>
          <w:tcPr>
            <w:tcW w:w="425" w:type="dxa"/>
            <w:tcMar>
              <w:top w:w="10" w:type="dxa"/>
              <w:left w:w="10" w:type="dxa"/>
              <w:bottom w:w="10" w:type="dxa"/>
              <w:right w:w="10" w:type="dxa"/>
            </w:tcMar>
            <w:vAlign w:val="center"/>
          </w:tcPr>
          <w:p w14:paraId="271A987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40A2FA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用于体外定量检测人血清或</w:t>
            </w:r>
            <w:r>
              <w:rPr>
                <w:rFonts w:ascii="Times New Roman" w:hAnsi="Times New Roman" w:cs="Times New Roman"/>
                <w:sz w:val="18"/>
                <w:szCs w:val="18"/>
              </w:rPr>
              <w:t>(</w:t>
            </w:r>
            <w:r>
              <w:rPr>
                <w:rFonts w:ascii="Times New Roman" w:hAnsi="Times New Roman" w:hint="eastAsia"/>
                <w:sz w:val="18"/>
                <w:szCs w:val="18"/>
              </w:rPr>
              <w:t>和</w:t>
            </w:r>
            <w:r>
              <w:rPr>
                <w:rFonts w:ascii="Times New Roman" w:hAnsi="Times New Roman" w:cs="Times New Roman"/>
                <w:sz w:val="18"/>
                <w:szCs w:val="18"/>
              </w:rPr>
              <w:t>)</w:t>
            </w:r>
            <w:r>
              <w:rPr>
                <w:rFonts w:ascii="Times New Roman" w:hAnsi="Times New Roman" w:hint="eastAsia"/>
                <w:sz w:val="18"/>
                <w:szCs w:val="18"/>
              </w:rPr>
              <w:t>血浆中催乳素的含量。</w:t>
            </w:r>
          </w:p>
        </w:tc>
        <w:tc>
          <w:tcPr>
            <w:tcW w:w="992" w:type="dxa"/>
            <w:tcMar>
              <w:top w:w="10" w:type="dxa"/>
              <w:left w:w="10" w:type="dxa"/>
              <w:bottom w:w="10" w:type="dxa"/>
              <w:right w:w="10" w:type="dxa"/>
            </w:tcMar>
            <w:vAlign w:val="center"/>
          </w:tcPr>
          <w:p w14:paraId="1C39BEC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2028.08.30</w:t>
            </w:r>
          </w:p>
        </w:tc>
        <w:tc>
          <w:tcPr>
            <w:tcW w:w="1276" w:type="dxa"/>
            <w:tcMar>
              <w:top w:w="10" w:type="dxa"/>
              <w:left w:w="10" w:type="dxa"/>
              <w:bottom w:w="10" w:type="dxa"/>
              <w:right w:w="10" w:type="dxa"/>
            </w:tcMar>
            <w:vAlign w:val="center"/>
          </w:tcPr>
          <w:p w14:paraId="4CF3496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435AC21" w14:textId="77777777" w:rsidTr="00C707CF">
        <w:trPr>
          <w:cantSplit/>
          <w:jc w:val="center"/>
        </w:trPr>
        <w:tc>
          <w:tcPr>
            <w:tcW w:w="418" w:type="dxa"/>
            <w:tcMar>
              <w:top w:w="10" w:type="dxa"/>
              <w:left w:w="10" w:type="dxa"/>
              <w:bottom w:w="10" w:type="dxa"/>
              <w:right w:w="10" w:type="dxa"/>
            </w:tcMar>
            <w:vAlign w:val="center"/>
          </w:tcPr>
          <w:p w14:paraId="3741454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150</w:t>
            </w:r>
          </w:p>
        </w:tc>
        <w:tc>
          <w:tcPr>
            <w:tcW w:w="1530" w:type="dxa"/>
            <w:tcMar>
              <w:top w:w="10" w:type="dxa"/>
              <w:left w:w="10" w:type="dxa"/>
              <w:bottom w:w="10" w:type="dxa"/>
              <w:right w:w="10" w:type="dxa"/>
            </w:tcMar>
            <w:vAlign w:val="center"/>
          </w:tcPr>
          <w:p w14:paraId="1527897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血酮试条（β－羟丁酸脱氢酶法）</w:t>
            </w:r>
          </w:p>
        </w:tc>
        <w:tc>
          <w:tcPr>
            <w:tcW w:w="1134" w:type="dxa"/>
            <w:tcMar>
              <w:top w:w="10" w:type="dxa"/>
              <w:left w:w="10" w:type="dxa"/>
              <w:bottom w:w="10" w:type="dxa"/>
              <w:right w:w="10" w:type="dxa"/>
            </w:tcMar>
            <w:vAlign w:val="center"/>
          </w:tcPr>
          <w:p w14:paraId="54BBA53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20232401035</w:t>
            </w:r>
          </w:p>
        </w:tc>
        <w:tc>
          <w:tcPr>
            <w:tcW w:w="425" w:type="dxa"/>
            <w:tcMar>
              <w:top w:w="10" w:type="dxa"/>
              <w:left w:w="10" w:type="dxa"/>
              <w:bottom w:w="10" w:type="dxa"/>
              <w:right w:w="10" w:type="dxa"/>
            </w:tcMar>
            <w:vAlign w:val="center"/>
          </w:tcPr>
          <w:p w14:paraId="668F4D3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AD2B0C2"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体外定量检测新鲜毛细血管全血或静脉全血中的β－羟丁酸浓度。本产品可以由专业人士、酮症患者或其他人群在家中、医院或其他医疗机构进行β－羟丁酸浓度监测。临床上β－羟丁酸的测定主要用于酮症酸中毒的辅助诊断。</w:t>
            </w:r>
          </w:p>
        </w:tc>
        <w:tc>
          <w:tcPr>
            <w:tcW w:w="992" w:type="dxa"/>
            <w:tcMar>
              <w:top w:w="10" w:type="dxa"/>
              <w:left w:w="10" w:type="dxa"/>
              <w:bottom w:w="10" w:type="dxa"/>
              <w:right w:w="10" w:type="dxa"/>
            </w:tcMar>
            <w:vAlign w:val="center"/>
          </w:tcPr>
          <w:p w14:paraId="4A7866A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2028.10.24</w:t>
            </w:r>
          </w:p>
        </w:tc>
        <w:tc>
          <w:tcPr>
            <w:tcW w:w="1276" w:type="dxa"/>
            <w:tcMar>
              <w:top w:w="10" w:type="dxa"/>
              <w:left w:w="10" w:type="dxa"/>
              <w:bottom w:w="10" w:type="dxa"/>
              <w:right w:w="10" w:type="dxa"/>
            </w:tcMar>
            <w:vAlign w:val="center"/>
          </w:tcPr>
          <w:p w14:paraId="6597DF6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2C78C653" w14:textId="77777777" w:rsidTr="00C707CF">
        <w:trPr>
          <w:cantSplit/>
          <w:jc w:val="center"/>
        </w:trPr>
        <w:tc>
          <w:tcPr>
            <w:tcW w:w="418" w:type="dxa"/>
            <w:tcMar>
              <w:top w:w="10" w:type="dxa"/>
              <w:left w:w="10" w:type="dxa"/>
              <w:bottom w:w="10" w:type="dxa"/>
              <w:right w:w="10" w:type="dxa"/>
            </w:tcMar>
            <w:vAlign w:val="center"/>
          </w:tcPr>
          <w:p w14:paraId="2DD9050E"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151</w:t>
            </w:r>
          </w:p>
        </w:tc>
        <w:tc>
          <w:tcPr>
            <w:tcW w:w="1530" w:type="dxa"/>
            <w:tcMar>
              <w:top w:w="10" w:type="dxa"/>
              <w:left w:w="10" w:type="dxa"/>
              <w:bottom w:w="10" w:type="dxa"/>
              <w:right w:w="10" w:type="dxa"/>
            </w:tcMar>
            <w:vAlign w:val="center"/>
          </w:tcPr>
          <w:p w14:paraId="304979D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糖化血红蛋白质控品</w:t>
            </w:r>
          </w:p>
        </w:tc>
        <w:tc>
          <w:tcPr>
            <w:tcW w:w="1134" w:type="dxa"/>
            <w:tcMar>
              <w:top w:w="10" w:type="dxa"/>
              <w:left w:w="10" w:type="dxa"/>
              <w:bottom w:w="10" w:type="dxa"/>
              <w:right w:w="10" w:type="dxa"/>
            </w:tcMar>
            <w:vAlign w:val="center"/>
          </w:tcPr>
          <w:p w14:paraId="31D954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20242400285</w:t>
            </w:r>
          </w:p>
        </w:tc>
        <w:tc>
          <w:tcPr>
            <w:tcW w:w="425" w:type="dxa"/>
            <w:tcMar>
              <w:top w:w="10" w:type="dxa"/>
              <w:left w:w="10" w:type="dxa"/>
              <w:bottom w:w="10" w:type="dxa"/>
              <w:right w:w="10" w:type="dxa"/>
            </w:tcMar>
            <w:vAlign w:val="center"/>
          </w:tcPr>
          <w:p w14:paraId="6713988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A6B73C8"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本产品用于定量检测人体全血样本中糖化血红蛋白时的质量控制。</w:t>
            </w:r>
          </w:p>
        </w:tc>
        <w:tc>
          <w:tcPr>
            <w:tcW w:w="992" w:type="dxa"/>
            <w:tcMar>
              <w:top w:w="10" w:type="dxa"/>
              <w:left w:w="10" w:type="dxa"/>
              <w:bottom w:w="10" w:type="dxa"/>
              <w:right w:w="10" w:type="dxa"/>
            </w:tcMar>
            <w:vAlign w:val="center"/>
          </w:tcPr>
          <w:p w14:paraId="2A2B6A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2029.04.08</w:t>
            </w:r>
          </w:p>
        </w:tc>
        <w:tc>
          <w:tcPr>
            <w:tcW w:w="1276" w:type="dxa"/>
            <w:tcMar>
              <w:top w:w="10" w:type="dxa"/>
              <w:left w:w="10" w:type="dxa"/>
              <w:bottom w:w="10" w:type="dxa"/>
              <w:right w:w="10" w:type="dxa"/>
            </w:tcMar>
            <w:vAlign w:val="center"/>
          </w:tcPr>
          <w:p w14:paraId="2BF8295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8636498" w14:textId="77777777" w:rsidTr="00C707CF">
        <w:trPr>
          <w:cantSplit/>
          <w:jc w:val="center"/>
        </w:trPr>
        <w:tc>
          <w:tcPr>
            <w:tcW w:w="418" w:type="dxa"/>
            <w:tcMar>
              <w:top w:w="10" w:type="dxa"/>
              <w:left w:w="10" w:type="dxa"/>
              <w:bottom w:w="10" w:type="dxa"/>
              <w:right w:w="10" w:type="dxa"/>
            </w:tcMar>
            <w:vAlign w:val="center"/>
          </w:tcPr>
          <w:p w14:paraId="6C3D69D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152</w:t>
            </w:r>
          </w:p>
        </w:tc>
        <w:tc>
          <w:tcPr>
            <w:tcW w:w="1530" w:type="dxa"/>
            <w:tcMar>
              <w:top w:w="10" w:type="dxa"/>
              <w:left w:w="10" w:type="dxa"/>
              <w:bottom w:w="10" w:type="dxa"/>
              <w:right w:w="10" w:type="dxa"/>
            </w:tcMar>
            <w:vAlign w:val="center"/>
          </w:tcPr>
          <w:p w14:paraId="6ECE5D2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脂联素</w:t>
            </w:r>
            <w:r>
              <w:rPr>
                <w:rFonts w:ascii="Times New Roman" w:hAnsi="Times New Roman" w:cs="Times New Roman"/>
                <w:sz w:val="18"/>
                <w:szCs w:val="18"/>
              </w:rPr>
              <w:t>(ADPN)</w:t>
            </w:r>
            <w:r>
              <w:rPr>
                <w:rFonts w:ascii="Times New Roman" w:hAnsi="Times New Roman" w:hint="eastAsia"/>
                <w:sz w:val="18"/>
                <w:szCs w:val="18"/>
              </w:rPr>
              <w:t>检测试剂盒</w:t>
            </w:r>
            <w:r>
              <w:rPr>
                <w:rFonts w:ascii="Times New Roman" w:hAnsi="Times New Roman" w:cs="Times New Roman"/>
                <w:sz w:val="18"/>
                <w:szCs w:val="18"/>
              </w:rPr>
              <w:br/>
              <w:t>(</w:t>
            </w:r>
            <w:r>
              <w:rPr>
                <w:rFonts w:ascii="Times New Roman" w:hAnsi="Times New Roman" w:hint="eastAsia"/>
                <w:sz w:val="18"/>
                <w:szCs w:val="18"/>
              </w:rPr>
              <w:t>胶乳免疫比浊法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21CFB5B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20242400409</w:t>
            </w:r>
          </w:p>
        </w:tc>
        <w:tc>
          <w:tcPr>
            <w:tcW w:w="425" w:type="dxa"/>
            <w:tcMar>
              <w:top w:w="10" w:type="dxa"/>
              <w:left w:w="10" w:type="dxa"/>
              <w:bottom w:w="10" w:type="dxa"/>
              <w:right w:w="10" w:type="dxa"/>
            </w:tcMar>
            <w:vAlign w:val="center"/>
          </w:tcPr>
          <w:p w14:paraId="6700B14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8137DB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用于体外定量检测人血清、血浆中脂联素的含量。</w:t>
            </w:r>
          </w:p>
        </w:tc>
        <w:tc>
          <w:tcPr>
            <w:tcW w:w="992" w:type="dxa"/>
            <w:tcMar>
              <w:top w:w="10" w:type="dxa"/>
              <w:left w:w="10" w:type="dxa"/>
              <w:bottom w:w="10" w:type="dxa"/>
              <w:right w:w="10" w:type="dxa"/>
            </w:tcMar>
            <w:vAlign w:val="center"/>
          </w:tcPr>
          <w:p w14:paraId="1C91990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2029.05.26</w:t>
            </w:r>
          </w:p>
        </w:tc>
        <w:tc>
          <w:tcPr>
            <w:tcW w:w="1276" w:type="dxa"/>
            <w:tcMar>
              <w:top w:w="10" w:type="dxa"/>
              <w:left w:w="10" w:type="dxa"/>
              <w:bottom w:w="10" w:type="dxa"/>
              <w:right w:w="10" w:type="dxa"/>
            </w:tcMar>
            <w:vAlign w:val="center"/>
          </w:tcPr>
          <w:p w14:paraId="026D108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0DA2E492" w14:textId="77777777" w:rsidTr="00C707CF">
        <w:trPr>
          <w:cantSplit/>
          <w:jc w:val="center"/>
        </w:trPr>
        <w:tc>
          <w:tcPr>
            <w:tcW w:w="418" w:type="dxa"/>
            <w:tcMar>
              <w:top w:w="10" w:type="dxa"/>
              <w:left w:w="10" w:type="dxa"/>
              <w:bottom w:w="10" w:type="dxa"/>
              <w:right w:w="10" w:type="dxa"/>
            </w:tcMar>
            <w:vAlign w:val="center"/>
          </w:tcPr>
          <w:p w14:paraId="64BA746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153</w:t>
            </w:r>
          </w:p>
        </w:tc>
        <w:tc>
          <w:tcPr>
            <w:tcW w:w="1530" w:type="dxa"/>
            <w:tcMar>
              <w:top w:w="10" w:type="dxa"/>
              <w:left w:w="10" w:type="dxa"/>
              <w:bottom w:w="10" w:type="dxa"/>
              <w:right w:w="10" w:type="dxa"/>
            </w:tcMar>
            <w:vAlign w:val="center"/>
          </w:tcPr>
          <w:p w14:paraId="09E77CA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糖化血红蛋白检测试剂盒</w:t>
            </w:r>
            <w:r>
              <w:rPr>
                <w:rFonts w:ascii="Times New Roman" w:hAnsi="Times New Roman" w:cs="Times New Roman"/>
                <w:sz w:val="18"/>
                <w:szCs w:val="18"/>
              </w:rPr>
              <w:t>(</w:t>
            </w:r>
            <w:r>
              <w:rPr>
                <w:rFonts w:ascii="Times New Roman" w:hAnsi="Times New Roman" w:hint="eastAsia"/>
                <w:sz w:val="18"/>
                <w:szCs w:val="18"/>
              </w:rPr>
              <w:t>硼酸亲和液相层析</w:t>
            </w:r>
            <w:r>
              <w:rPr>
                <w:rFonts w:ascii="Times New Roman" w:hAnsi="Times New Roman" w:cs="Times New Roman"/>
                <w:sz w:val="18"/>
                <w:szCs w:val="18"/>
              </w:rPr>
              <w:t>/</w:t>
            </w:r>
            <w:r>
              <w:rPr>
                <w:rFonts w:ascii="Times New Roman" w:hAnsi="Times New Roman" w:hint="eastAsia"/>
                <w:sz w:val="18"/>
                <w:szCs w:val="18"/>
              </w:rPr>
              <w:t>色谱法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59AE3DE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20242400462</w:t>
            </w:r>
          </w:p>
        </w:tc>
        <w:tc>
          <w:tcPr>
            <w:tcW w:w="425" w:type="dxa"/>
            <w:tcMar>
              <w:top w:w="10" w:type="dxa"/>
              <w:left w:w="10" w:type="dxa"/>
              <w:bottom w:w="10" w:type="dxa"/>
              <w:right w:w="10" w:type="dxa"/>
            </w:tcMar>
            <w:vAlign w:val="center"/>
          </w:tcPr>
          <w:p w14:paraId="750FE73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31A8BAB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糖化血红蛋白检测试剂盒用于定量检测人体全血中的糖化血红蛋白</w:t>
            </w:r>
            <w:r>
              <w:rPr>
                <w:rFonts w:ascii="Times New Roman" w:hAnsi="Times New Roman" w:cs="Times New Roman"/>
                <w:sz w:val="18"/>
                <w:szCs w:val="18"/>
              </w:rPr>
              <w:t>(HbA1c)</w:t>
            </w:r>
            <w:r>
              <w:rPr>
                <w:rFonts w:ascii="Times New Roman" w:hAnsi="Times New Roman" w:hint="eastAsia"/>
                <w:sz w:val="18"/>
                <w:szCs w:val="18"/>
              </w:rPr>
              <w:t>的浓度。临床上主要用于糖尿病的辅助诊断和血糖水平的监控。</w:t>
            </w:r>
          </w:p>
        </w:tc>
        <w:tc>
          <w:tcPr>
            <w:tcW w:w="992" w:type="dxa"/>
            <w:tcMar>
              <w:top w:w="10" w:type="dxa"/>
              <w:left w:w="10" w:type="dxa"/>
              <w:bottom w:w="10" w:type="dxa"/>
              <w:right w:w="10" w:type="dxa"/>
            </w:tcMar>
            <w:vAlign w:val="center"/>
          </w:tcPr>
          <w:p w14:paraId="5565276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2029.06.11</w:t>
            </w:r>
          </w:p>
        </w:tc>
        <w:tc>
          <w:tcPr>
            <w:tcW w:w="1276" w:type="dxa"/>
            <w:tcMar>
              <w:top w:w="10" w:type="dxa"/>
              <w:left w:w="10" w:type="dxa"/>
              <w:bottom w:w="10" w:type="dxa"/>
              <w:right w:w="10" w:type="dxa"/>
            </w:tcMar>
            <w:vAlign w:val="center"/>
          </w:tcPr>
          <w:p w14:paraId="140EBCD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764034FC" w14:textId="77777777" w:rsidTr="00C707CF">
        <w:trPr>
          <w:cantSplit/>
          <w:jc w:val="center"/>
        </w:trPr>
        <w:tc>
          <w:tcPr>
            <w:tcW w:w="418" w:type="dxa"/>
            <w:tcMar>
              <w:top w:w="10" w:type="dxa"/>
              <w:left w:w="10" w:type="dxa"/>
              <w:bottom w:w="10" w:type="dxa"/>
              <w:right w:w="10" w:type="dxa"/>
            </w:tcMar>
            <w:vAlign w:val="center"/>
          </w:tcPr>
          <w:p w14:paraId="2AC9BE5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154</w:t>
            </w:r>
          </w:p>
        </w:tc>
        <w:tc>
          <w:tcPr>
            <w:tcW w:w="1530" w:type="dxa"/>
            <w:tcMar>
              <w:top w:w="10" w:type="dxa"/>
              <w:left w:w="10" w:type="dxa"/>
              <w:bottom w:w="10" w:type="dxa"/>
              <w:right w:w="10" w:type="dxa"/>
            </w:tcMar>
            <w:vAlign w:val="center"/>
          </w:tcPr>
          <w:p w14:paraId="3C7B8B8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丙氨酸氨基转移酶</w:t>
            </w:r>
            <w:r>
              <w:rPr>
                <w:rFonts w:ascii="Times New Roman" w:hAnsi="Times New Roman" w:cs="Times New Roman"/>
                <w:sz w:val="18"/>
                <w:szCs w:val="18"/>
              </w:rPr>
              <w:t>(ALT)</w:t>
            </w:r>
            <w:r>
              <w:rPr>
                <w:rFonts w:ascii="Times New Roman" w:hAnsi="Times New Roman" w:hint="eastAsia"/>
                <w:sz w:val="18"/>
                <w:szCs w:val="18"/>
              </w:rPr>
              <w:t>检测试剂卡</w:t>
            </w:r>
            <w:r>
              <w:rPr>
                <w:rFonts w:ascii="Times New Roman" w:hAnsi="Times New Roman" w:cs="Times New Roman"/>
                <w:sz w:val="18"/>
                <w:szCs w:val="18"/>
              </w:rPr>
              <w:t>(</w:t>
            </w:r>
            <w:r>
              <w:rPr>
                <w:rFonts w:ascii="Times New Roman" w:hAnsi="Times New Roman" w:hint="eastAsia"/>
                <w:sz w:val="18"/>
                <w:szCs w:val="18"/>
              </w:rPr>
              <w:t>速率法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1F98860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 20242400880</w:t>
            </w:r>
          </w:p>
        </w:tc>
        <w:tc>
          <w:tcPr>
            <w:tcW w:w="425" w:type="dxa"/>
            <w:tcMar>
              <w:top w:w="10" w:type="dxa"/>
              <w:left w:w="10" w:type="dxa"/>
              <w:bottom w:w="10" w:type="dxa"/>
              <w:right w:w="10" w:type="dxa"/>
            </w:tcMar>
            <w:vAlign w:val="center"/>
          </w:tcPr>
          <w:p w14:paraId="0E0D52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7A1EC4A"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用于体外定量检测人体血清、血浆中的丙氨酸氨基转移酶</w:t>
            </w:r>
            <w:r>
              <w:rPr>
                <w:rFonts w:ascii="Times New Roman" w:hAnsi="Times New Roman" w:cs="Times New Roman"/>
                <w:sz w:val="18"/>
                <w:szCs w:val="18"/>
              </w:rPr>
              <w:t>(ALT)</w:t>
            </w:r>
            <w:r>
              <w:rPr>
                <w:rFonts w:ascii="Times New Roman" w:hAnsi="Times New Roman" w:hint="eastAsia"/>
                <w:sz w:val="18"/>
                <w:szCs w:val="18"/>
              </w:rPr>
              <w:t>的活性。临床上主要用于肝功能疾病的辅助诊断。</w:t>
            </w:r>
          </w:p>
        </w:tc>
        <w:tc>
          <w:tcPr>
            <w:tcW w:w="992" w:type="dxa"/>
            <w:tcMar>
              <w:top w:w="10" w:type="dxa"/>
              <w:left w:w="10" w:type="dxa"/>
              <w:bottom w:w="10" w:type="dxa"/>
              <w:right w:w="10" w:type="dxa"/>
            </w:tcMar>
            <w:vAlign w:val="center"/>
          </w:tcPr>
          <w:p w14:paraId="59E510F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2029.09.22</w:t>
            </w:r>
          </w:p>
        </w:tc>
        <w:tc>
          <w:tcPr>
            <w:tcW w:w="1276" w:type="dxa"/>
            <w:tcMar>
              <w:top w:w="10" w:type="dxa"/>
              <w:left w:w="10" w:type="dxa"/>
              <w:bottom w:w="10" w:type="dxa"/>
              <w:right w:w="10" w:type="dxa"/>
            </w:tcMar>
            <w:vAlign w:val="center"/>
          </w:tcPr>
          <w:p w14:paraId="69E53C2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500F46A0" w14:textId="77777777" w:rsidTr="00C707CF">
        <w:trPr>
          <w:cantSplit/>
          <w:jc w:val="center"/>
        </w:trPr>
        <w:tc>
          <w:tcPr>
            <w:tcW w:w="418" w:type="dxa"/>
            <w:tcMar>
              <w:top w:w="10" w:type="dxa"/>
              <w:left w:w="10" w:type="dxa"/>
              <w:bottom w:w="10" w:type="dxa"/>
              <w:right w:w="10" w:type="dxa"/>
            </w:tcMar>
            <w:vAlign w:val="center"/>
          </w:tcPr>
          <w:p w14:paraId="3349448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155</w:t>
            </w:r>
          </w:p>
        </w:tc>
        <w:tc>
          <w:tcPr>
            <w:tcW w:w="1530" w:type="dxa"/>
            <w:tcMar>
              <w:top w:w="10" w:type="dxa"/>
              <w:left w:w="10" w:type="dxa"/>
              <w:bottom w:w="10" w:type="dxa"/>
              <w:right w:w="10" w:type="dxa"/>
            </w:tcMar>
            <w:vAlign w:val="center"/>
          </w:tcPr>
          <w:p w14:paraId="6DC22D7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25-</w:t>
            </w:r>
            <w:r>
              <w:rPr>
                <w:rFonts w:ascii="Times New Roman" w:hAnsi="Times New Roman" w:hint="eastAsia"/>
                <w:sz w:val="18"/>
                <w:szCs w:val="18"/>
              </w:rPr>
              <w:t>羟基维生素</w:t>
            </w:r>
            <w:r>
              <w:rPr>
                <w:rFonts w:ascii="Times New Roman" w:hAnsi="Times New Roman" w:cs="Times New Roman"/>
                <w:sz w:val="18"/>
                <w:szCs w:val="18"/>
              </w:rPr>
              <w:t xml:space="preserve"> D </w:t>
            </w:r>
            <w:r>
              <w:rPr>
                <w:rFonts w:ascii="Times New Roman" w:hAnsi="Times New Roman" w:hint="eastAsia"/>
                <w:sz w:val="18"/>
                <w:szCs w:val="18"/>
              </w:rPr>
              <w:t>测定试剂盒</w:t>
            </w:r>
            <w:r>
              <w:rPr>
                <w:rFonts w:ascii="Times New Roman" w:hAnsi="Times New Roman" w:cs="Times New Roman"/>
                <w:sz w:val="18"/>
                <w:szCs w:val="18"/>
              </w:rPr>
              <w:t>(</w:t>
            </w:r>
            <w:r>
              <w:rPr>
                <w:rFonts w:ascii="Times New Roman" w:hAnsi="Times New Roman" w:hint="eastAsia"/>
                <w:sz w:val="18"/>
                <w:szCs w:val="18"/>
              </w:rPr>
              <w:t>荧光免疫层析法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04D8211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 20242401026</w:t>
            </w:r>
          </w:p>
        </w:tc>
        <w:tc>
          <w:tcPr>
            <w:tcW w:w="425" w:type="dxa"/>
            <w:tcMar>
              <w:top w:w="10" w:type="dxa"/>
              <w:left w:w="10" w:type="dxa"/>
              <w:bottom w:w="10" w:type="dxa"/>
              <w:right w:w="10" w:type="dxa"/>
            </w:tcMar>
            <w:vAlign w:val="center"/>
          </w:tcPr>
          <w:p w14:paraId="67F3D72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499BC7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用于体外定量测定人血清、血浆、静脉全血及末梢血中的</w:t>
            </w:r>
            <w:r>
              <w:rPr>
                <w:rFonts w:ascii="Times New Roman" w:hAnsi="Times New Roman" w:cs="Times New Roman"/>
                <w:sz w:val="18"/>
                <w:szCs w:val="18"/>
              </w:rPr>
              <w:t>25-</w:t>
            </w:r>
            <w:r>
              <w:rPr>
                <w:rFonts w:ascii="Times New Roman" w:hAnsi="Times New Roman" w:hint="eastAsia"/>
                <w:sz w:val="18"/>
                <w:szCs w:val="18"/>
              </w:rPr>
              <w:t>羟基维生素</w:t>
            </w:r>
            <w:r>
              <w:rPr>
                <w:rFonts w:ascii="Times New Roman" w:hAnsi="Times New Roman" w:cs="Times New Roman"/>
                <w:sz w:val="18"/>
                <w:szCs w:val="18"/>
              </w:rPr>
              <w:t xml:space="preserve"> D </w:t>
            </w:r>
            <w:r>
              <w:rPr>
                <w:rFonts w:ascii="Times New Roman" w:hAnsi="Times New Roman" w:hint="eastAsia"/>
                <w:sz w:val="18"/>
                <w:szCs w:val="18"/>
              </w:rPr>
              <w:t>含量。</w:t>
            </w:r>
          </w:p>
        </w:tc>
        <w:tc>
          <w:tcPr>
            <w:tcW w:w="992" w:type="dxa"/>
            <w:tcMar>
              <w:top w:w="10" w:type="dxa"/>
              <w:left w:w="10" w:type="dxa"/>
              <w:bottom w:w="10" w:type="dxa"/>
              <w:right w:w="10" w:type="dxa"/>
            </w:tcMar>
            <w:vAlign w:val="center"/>
          </w:tcPr>
          <w:p w14:paraId="68E0353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2029.10.29</w:t>
            </w:r>
          </w:p>
        </w:tc>
        <w:tc>
          <w:tcPr>
            <w:tcW w:w="1276" w:type="dxa"/>
            <w:tcMar>
              <w:top w:w="10" w:type="dxa"/>
              <w:left w:w="10" w:type="dxa"/>
              <w:bottom w:w="10" w:type="dxa"/>
              <w:right w:w="10" w:type="dxa"/>
            </w:tcMar>
            <w:vAlign w:val="center"/>
          </w:tcPr>
          <w:p w14:paraId="1812647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19A22AC4" w14:textId="77777777" w:rsidTr="00C707CF">
        <w:trPr>
          <w:cantSplit/>
          <w:jc w:val="center"/>
        </w:trPr>
        <w:tc>
          <w:tcPr>
            <w:tcW w:w="418" w:type="dxa"/>
            <w:tcMar>
              <w:top w:w="10" w:type="dxa"/>
              <w:left w:w="10" w:type="dxa"/>
              <w:bottom w:w="10" w:type="dxa"/>
              <w:right w:w="10" w:type="dxa"/>
            </w:tcMar>
            <w:vAlign w:val="center"/>
          </w:tcPr>
          <w:p w14:paraId="039CAD1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156</w:t>
            </w:r>
          </w:p>
        </w:tc>
        <w:tc>
          <w:tcPr>
            <w:tcW w:w="1530" w:type="dxa"/>
            <w:tcMar>
              <w:top w:w="10" w:type="dxa"/>
              <w:left w:w="10" w:type="dxa"/>
              <w:bottom w:w="10" w:type="dxa"/>
              <w:right w:w="10" w:type="dxa"/>
            </w:tcMar>
            <w:vAlign w:val="center"/>
          </w:tcPr>
          <w:p w14:paraId="0C0B383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全量程</w:t>
            </w:r>
            <w:r>
              <w:rPr>
                <w:rFonts w:ascii="Times New Roman" w:hAnsi="Times New Roman" w:cs="Times New Roman"/>
                <w:sz w:val="18"/>
                <w:szCs w:val="18"/>
              </w:rPr>
              <w:t xml:space="preserve"> C </w:t>
            </w:r>
            <w:r>
              <w:rPr>
                <w:rFonts w:ascii="Times New Roman" w:hAnsi="Times New Roman" w:hint="eastAsia"/>
                <w:sz w:val="18"/>
                <w:szCs w:val="18"/>
              </w:rPr>
              <w:t>反应蛋白</w:t>
            </w:r>
            <w:r>
              <w:rPr>
                <w:rFonts w:ascii="Times New Roman" w:hAnsi="Times New Roman" w:cs="Times New Roman"/>
                <w:sz w:val="18"/>
                <w:szCs w:val="18"/>
              </w:rPr>
              <w:t>/</w:t>
            </w:r>
            <w:r>
              <w:rPr>
                <w:rFonts w:ascii="Times New Roman" w:hAnsi="Times New Roman" w:hint="eastAsia"/>
                <w:sz w:val="18"/>
                <w:szCs w:val="18"/>
              </w:rPr>
              <w:t>血清淀粉样蛋白</w:t>
            </w:r>
            <w:r>
              <w:rPr>
                <w:rFonts w:ascii="Times New Roman" w:hAnsi="Times New Roman" w:cs="Times New Roman"/>
                <w:sz w:val="18"/>
                <w:szCs w:val="18"/>
              </w:rPr>
              <w:t xml:space="preserve"> A </w:t>
            </w:r>
            <w:r>
              <w:rPr>
                <w:rFonts w:ascii="Times New Roman" w:hAnsi="Times New Roman" w:hint="eastAsia"/>
                <w:sz w:val="18"/>
                <w:szCs w:val="18"/>
              </w:rPr>
              <w:t>测定试剂盒</w:t>
            </w:r>
            <w:r>
              <w:rPr>
                <w:rFonts w:ascii="Times New Roman" w:hAnsi="Times New Roman" w:cs="Times New Roman"/>
                <w:sz w:val="18"/>
                <w:szCs w:val="18"/>
              </w:rPr>
              <w:t>(</w:t>
            </w:r>
            <w:r>
              <w:rPr>
                <w:rFonts w:ascii="Times New Roman" w:hAnsi="Times New Roman" w:hint="eastAsia"/>
                <w:sz w:val="18"/>
                <w:szCs w:val="18"/>
              </w:rPr>
              <w:t>荧光免疫层析法</w:t>
            </w:r>
            <w:r>
              <w:rPr>
                <w:rFonts w:ascii="Times New Roman" w:hAnsi="Times New Roman" w:cs="Times New Roman"/>
                <w:sz w:val="18"/>
                <w:szCs w:val="18"/>
              </w:rPr>
              <w:t>)</w:t>
            </w:r>
          </w:p>
        </w:tc>
        <w:tc>
          <w:tcPr>
            <w:tcW w:w="1134" w:type="dxa"/>
            <w:tcMar>
              <w:top w:w="10" w:type="dxa"/>
              <w:left w:w="10" w:type="dxa"/>
              <w:bottom w:w="10" w:type="dxa"/>
              <w:right w:w="10" w:type="dxa"/>
            </w:tcMar>
            <w:vAlign w:val="center"/>
          </w:tcPr>
          <w:p w14:paraId="17647F6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 20242401027</w:t>
            </w:r>
          </w:p>
        </w:tc>
        <w:tc>
          <w:tcPr>
            <w:tcW w:w="425" w:type="dxa"/>
            <w:tcMar>
              <w:top w:w="10" w:type="dxa"/>
              <w:left w:w="10" w:type="dxa"/>
              <w:bottom w:w="10" w:type="dxa"/>
              <w:right w:w="10" w:type="dxa"/>
            </w:tcMar>
            <w:vAlign w:val="center"/>
          </w:tcPr>
          <w:p w14:paraId="083C560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AE3B91E"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用于体外定量测定人血清、血浆、静脉全血及末梢血中的</w:t>
            </w:r>
            <w:r>
              <w:rPr>
                <w:rFonts w:ascii="Times New Roman" w:hAnsi="Times New Roman" w:cs="Times New Roman"/>
                <w:sz w:val="18"/>
                <w:szCs w:val="18"/>
              </w:rPr>
              <w:t xml:space="preserve">C </w:t>
            </w:r>
            <w:r>
              <w:rPr>
                <w:rFonts w:ascii="Times New Roman" w:hAnsi="Times New Roman" w:hint="eastAsia"/>
                <w:sz w:val="18"/>
                <w:szCs w:val="18"/>
              </w:rPr>
              <w:t>反应蛋白和血清淀粉样蛋白</w:t>
            </w:r>
            <w:r>
              <w:rPr>
                <w:rFonts w:ascii="Times New Roman" w:hAnsi="Times New Roman" w:cs="Times New Roman"/>
                <w:sz w:val="18"/>
                <w:szCs w:val="18"/>
              </w:rPr>
              <w:t xml:space="preserve"> A </w:t>
            </w:r>
            <w:r>
              <w:rPr>
                <w:rFonts w:ascii="Times New Roman" w:hAnsi="Times New Roman" w:hint="eastAsia"/>
                <w:sz w:val="18"/>
                <w:szCs w:val="18"/>
              </w:rPr>
              <w:t>的含量。</w:t>
            </w:r>
          </w:p>
        </w:tc>
        <w:tc>
          <w:tcPr>
            <w:tcW w:w="992" w:type="dxa"/>
            <w:tcMar>
              <w:top w:w="10" w:type="dxa"/>
              <w:left w:w="10" w:type="dxa"/>
              <w:bottom w:w="10" w:type="dxa"/>
              <w:right w:w="10" w:type="dxa"/>
            </w:tcMar>
            <w:vAlign w:val="center"/>
          </w:tcPr>
          <w:p w14:paraId="6F65BF1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2029.10.29</w:t>
            </w:r>
          </w:p>
        </w:tc>
        <w:tc>
          <w:tcPr>
            <w:tcW w:w="1276" w:type="dxa"/>
            <w:tcMar>
              <w:top w:w="10" w:type="dxa"/>
              <w:left w:w="10" w:type="dxa"/>
              <w:bottom w:w="10" w:type="dxa"/>
              <w:right w:w="10" w:type="dxa"/>
            </w:tcMar>
            <w:vAlign w:val="center"/>
          </w:tcPr>
          <w:p w14:paraId="7A33832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3F0BE074" w14:textId="77777777" w:rsidTr="00C707CF">
        <w:trPr>
          <w:cantSplit/>
          <w:jc w:val="center"/>
        </w:trPr>
        <w:tc>
          <w:tcPr>
            <w:tcW w:w="418" w:type="dxa"/>
            <w:tcMar>
              <w:top w:w="10" w:type="dxa"/>
              <w:left w:w="10" w:type="dxa"/>
              <w:bottom w:w="10" w:type="dxa"/>
              <w:right w:w="10" w:type="dxa"/>
            </w:tcMar>
            <w:vAlign w:val="center"/>
          </w:tcPr>
          <w:p w14:paraId="15D2913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157</w:t>
            </w:r>
          </w:p>
        </w:tc>
        <w:tc>
          <w:tcPr>
            <w:tcW w:w="1530" w:type="dxa"/>
            <w:tcMar>
              <w:top w:w="10" w:type="dxa"/>
              <w:left w:w="10" w:type="dxa"/>
              <w:bottom w:w="10" w:type="dxa"/>
              <w:right w:w="10" w:type="dxa"/>
            </w:tcMar>
            <w:vAlign w:val="center"/>
          </w:tcPr>
          <w:p w14:paraId="706B8E3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总胆固醇试条（干化学法）</w:t>
            </w:r>
          </w:p>
        </w:tc>
        <w:tc>
          <w:tcPr>
            <w:tcW w:w="1134" w:type="dxa"/>
            <w:tcMar>
              <w:top w:w="10" w:type="dxa"/>
              <w:left w:w="10" w:type="dxa"/>
              <w:bottom w:w="10" w:type="dxa"/>
              <w:right w:w="10" w:type="dxa"/>
            </w:tcMar>
            <w:vAlign w:val="center"/>
          </w:tcPr>
          <w:p w14:paraId="41527F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20252400010</w:t>
            </w:r>
          </w:p>
        </w:tc>
        <w:tc>
          <w:tcPr>
            <w:tcW w:w="425" w:type="dxa"/>
            <w:tcMar>
              <w:top w:w="10" w:type="dxa"/>
              <w:left w:w="10" w:type="dxa"/>
              <w:bottom w:w="10" w:type="dxa"/>
              <w:right w:w="10" w:type="dxa"/>
            </w:tcMar>
            <w:vAlign w:val="center"/>
          </w:tcPr>
          <w:p w14:paraId="67800F1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0320C55"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总胆固醇试条主要用于定量检测新鲜毛细血管全血中的总胆固醇浓度。本产品可以由专业人士、非专业人士（如高胆固醇血症患者等）在医疗环境、非医疗环境（如家中等）进行总胆固醇浓度监测，临床上主要用于高胆固醇血症的辅助诊断。</w:t>
            </w:r>
          </w:p>
        </w:tc>
        <w:tc>
          <w:tcPr>
            <w:tcW w:w="992" w:type="dxa"/>
            <w:tcMar>
              <w:top w:w="10" w:type="dxa"/>
              <w:left w:w="10" w:type="dxa"/>
              <w:bottom w:w="10" w:type="dxa"/>
              <w:right w:w="10" w:type="dxa"/>
            </w:tcMar>
            <w:vAlign w:val="center"/>
          </w:tcPr>
          <w:p w14:paraId="4FAB9E7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2030.01.02</w:t>
            </w:r>
          </w:p>
        </w:tc>
        <w:tc>
          <w:tcPr>
            <w:tcW w:w="1276" w:type="dxa"/>
            <w:tcMar>
              <w:top w:w="10" w:type="dxa"/>
              <w:left w:w="10" w:type="dxa"/>
              <w:bottom w:w="10" w:type="dxa"/>
              <w:right w:w="10" w:type="dxa"/>
            </w:tcMar>
            <w:vAlign w:val="center"/>
          </w:tcPr>
          <w:p w14:paraId="460E703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2025.01.03</w:t>
            </w:r>
            <w:r>
              <w:rPr>
                <w:rFonts w:ascii="Times New Roman" w:hAnsi="Times New Roman" w:hint="eastAsia"/>
                <w:sz w:val="18"/>
                <w:szCs w:val="18"/>
              </w:rPr>
              <w:t>获批的新品注册证</w:t>
            </w:r>
          </w:p>
        </w:tc>
      </w:tr>
      <w:tr w:rsidR="00113A51" w14:paraId="499665EF" w14:textId="77777777" w:rsidTr="00C707CF">
        <w:trPr>
          <w:cantSplit/>
          <w:jc w:val="center"/>
        </w:trPr>
        <w:tc>
          <w:tcPr>
            <w:tcW w:w="418" w:type="dxa"/>
            <w:tcMar>
              <w:top w:w="10" w:type="dxa"/>
              <w:left w:w="10" w:type="dxa"/>
              <w:bottom w:w="10" w:type="dxa"/>
              <w:right w:w="10" w:type="dxa"/>
            </w:tcMar>
            <w:vAlign w:val="center"/>
          </w:tcPr>
          <w:p w14:paraId="1BD996C0"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158</w:t>
            </w:r>
          </w:p>
        </w:tc>
        <w:tc>
          <w:tcPr>
            <w:tcW w:w="1530" w:type="dxa"/>
            <w:tcMar>
              <w:top w:w="10" w:type="dxa"/>
              <w:left w:w="10" w:type="dxa"/>
              <w:bottom w:w="10" w:type="dxa"/>
              <w:right w:w="10" w:type="dxa"/>
            </w:tcMar>
            <w:vAlign w:val="center"/>
          </w:tcPr>
          <w:p w14:paraId="6DEEC53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肌酐测试条（干化学法）</w:t>
            </w:r>
          </w:p>
        </w:tc>
        <w:tc>
          <w:tcPr>
            <w:tcW w:w="1134" w:type="dxa"/>
            <w:tcMar>
              <w:top w:w="10" w:type="dxa"/>
              <w:left w:w="10" w:type="dxa"/>
              <w:bottom w:w="10" w:type="dxa"/>
              <w:right w:w="10" w:type="dxa"/>
            </w:tcMar>
            <w:vAlign w:val="center"/>
          </w:tcPr>
          <w:p w14:paraId="0015CC9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 20252400011</w:t>
            </w:r>
          </w:p>
        </w:tc>
        <w:tc>
          <w:tcPr>
            <w:tcW w:w="425" w:type="dxa"/>
            <w:tcMar>
              <w:top w:w="10" w:type="dxa"/>
              <w:left w:w="10" w:type="dxa"/>
              <w:bottom w:w="10" w:type="dxa"/>
              <w:right w:w="10" w:type="dxa"/>
            </w:tcMar>
            <w:vAlign w:val="center"/>
          </w:tcPr>
          <w:p w14:paraId="4DFEAFE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5222F1B1"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本产品主要用于定量检测新鲜毛细血管全血、静脉全血中的肌酐浓度。本产品可以由专业人士和肾病患者、肾透析患者、慢性肾脏病高风险人群等其他有需要人士在医疗机构和</w:t>
            </w:r>
            <w:r>
              <w:rPr>
                <w:rFonts w:ascii="Times New Roman" w:hAnsi="Times New Roman" w:cs="Times New Roman"/>
                <w:sz w:val="18"/>
                <w:szCs w:val="18"/>
              </w:rPr>
              <w:t>/</w:t>
            </w:r>
            <w:r>
              <w:rPr>
                <w:rFonts w:ascii="Times New Roman" w:hAnsi="Times New Roman" w:hint="eastAsia"/>
                <w:sz w:val="18"/>
                <w:szCs w:val="18"/>
              </w:rPr>
              <w:t>或家庭等非医疗环境进行肌酐浓度监测。肌酐作为肾功能的评价指标之一，临床上主要用于肾脏疾病的辅助诊断。</w:t>
            </w:r>
          </w:p>
        </w:tc>
        <w:tc>
          <w:tcPr>
            <w:tcW w:w="992" w:type="dxa"/>
            <w:tcMar>
              <w:top w:w="10" w:type="dxa"/>
              <w:left w:w="10" w:type="dxa"/>
              <w:bottom w:w="10" w:type="dxa"/>
              <w:right w:w="10" w:type="dxa"/>
            </w:tcMar>
            <w:vAlign w:val="center"/>
          </w:tcPr>
          <w:p w14:paraId="35F2373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2030.01.02</w:t>
            </w:r>
          </w:p>
        </w:tc>
        <w:tc>
          <w:tcPr>
            <w:tcW w:w="1276" w:type="dxa"/>
            <w:tcMar>
              <w:top w:w="10" w:type="dxa"/>
              <w:left w:w="10" w:type="dxa"/>
              <w:bottom w:w="10" w:type="dxa"/>
              <w:right w:w="10" w:type="dxa"/>
            </w:tcMar>
            <w:vAlign w:val="center"/>
          </w:tcPr>
          <w:p w14:paraId="2830F39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2025.01.03</w:t>
            </w:r>
            <w:r>
              <w:rPr>
                <w:rFonts w:ascii="Times New Roman" w:hAnsi="Times New Roman" w:hint="eastAsia"/>
                <w:sz w:val="18"/>
                <w:szCs w:val="18"/>
              </w:rPr>
              <w:t>获批的新品注册证</w:t>
            </w:r>
          </w:p>
        </w:tc>
      </w:tr>
      <w:tr w:rsidR="00113A51" w14:paraId="6EB5D173" w14:textId="77777777" w:rsidTr="00C707CF">
        <w:trPr>
          <w:cantSplit/>
          <w:jc w:val="center"/>
        </w:trPr>
        <w:tc>
          <w:tcPr>
            <w:tcW w:w="418" w:type="dxa"/>
            <w:tcMar>
              <w:top w:w="10" w:type="dxa"/>
              <w:left w:w="10" w:type="dxa"/>
              <w:bottom w:w="10" w:type="dxa"/>
              <w:right w:w="10" w:type="dxa"/>
            </w:tcMar>
            <w:vAlign w:val="center"/>
          </w:tcPr>
          <w:p w14:paraId="111C9CAA"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159</w:t>
            </w:r>
          </w:p>
        </w:tc>
        <w:tc>
          <w:tcPr>
            <w:tcW w:w="1530" w:type="dxa"/>
            <w:tcMar>
              <w:top w:w="10" w:type="dxa"/>
              <w:left w:w="10" w:type="dxa"/>
              <w:bottom w:w="10" w:type="dxa"/>
              <w:right w:w="10" w:type="dxa"/>
            </w:tcMar>
            <w:vAlign w:val="center"/>
          </w:tcPr>
          <w:p w14:paraId="3A70701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血脂质控液</w:t>
            </w:r>
          </w:p>
        </w:tc>
        <w:tc>
          <w:tcPr>
            <w:tcW w:w="1134" w:type="dxa"/>
            <w:tcMar>
              <w:top w:w="10" w:type="dxa"/>
              <w:left w:w="10" w:type="dxa"/>
              <w:bottom w:w="10" w:type="dxa"/>
              <w:right w:w="10" w:type="dxa"/>
            </w:tcMar>
            <w:vAlign w:val="center"/>
          </w:tcPr>
          <w:p w14:paraId="651D0D8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 xml:space="preserve"> 20252400077</w:t>
            </w:r>
          </w:p>
        </w:tc>
        <w:tc>
          <w:tcPr>
            <w:tcW w:w="425" w:type="dxa"/>
            <w:tcMar>
              <w:top w:w="10" w:type="dxa"/>
              <w:left w:w="10" w:type="dxa"/>
              <w:bottom w:w="10" w:type="dxa"/>
              <w:right w:w="10" w:type="dxa"/>
            </w:tcMar>
            <w:vAlign w:val="center"/>
          </w:tcPr>
          <w:p w14:paraId="536DEBD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578AC2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用于血脂指标（总胆固醇和甘油三酯）测试系统检测过程中的质量控制。</w:t>
            </w:r>
          </w:p>
        </w:tc>
        <w:tc>
          <w:tcPr>
            <w:tcW w:w="992" w:type="dxa"/>
            <w:tcMar>
              <w:top w:w="10" w:type="dxa"/>
              <w:left w:w="10" w:type="dxa"/>
              <w:bottom w:w="10" w:type="dxa"/>
              <w:right w:w="10" w:type="dxa"/>
            </w:tcMar>
            <w:vAlign w:val="center"/>
          </w:tcPr>
          <w:p w14:paraId="07013C2E"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2030.01.14</w:t>
            </w:r>
          </w:p>
        </w:tc>
        <w:tc>
          <w:tcPr>
            <w:tcW w:w="1276" w:type="dxa"/>
            <w:tcMar>
              <w:top w:w="10" w:type="dxa"/>
              <w:left w:w="10" w:type="dxa"/>
              <w:bottom w:w="10" w:type="dxa"/>
              <w:right w:w="10" w:type="dxa"/>
            </w:tcMar>
            <w:vAlign w:val="center"/>
          </w:tcPr>
          <w:p w14:paraId="4C19A4D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2025.01.15</w:t>
            </w:r>
            <w:r>
              <w:rPr>
                <w:rFonts w:ascii="Times New Roman" w:hAnsi="Times New Roman" w:hint="eastAsia"/>
                <w:sz w:val="18"/>
                <w:szCs w:val="18"/>
              </w:rPr>
              <w:t>获批的新品注册证</w:t>
            </w:r>
          </w:p>
        </w:tc>
      </w:tr>
      <w:tr w:rsidR="00113A51" w14:paraId="100A433A" w14:textId="77777777" w:rsidTr="00C707CF">
        <w:trPr>
          <w:cantSplit/>
          <w:jc w:val="center"/>
        </w:trPr>
        <w:tc>
          <w:tcPr>
            <w:tcW w:w="418" w:type="dxa"/>
            <w:tcMar>
              <w:top w:w="10" w:type="dxa"/>
              <w:left w:w="10" w:type="dxa"/>
              <w:bottom w:w="10" w:type="dxa"/>
              <w:right w:w="10" w:type="dxa"/>
            </w:tcMar>
            <w:vAlign w:val="center"/>
          </w:tcPr>
          <w:p w14:paraId="4795B85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160</w:t>
            </w:r>
          </w:p>
        </w:tc>
        <w:tc>
          <w:tcPr>
            <w:tcW w:w="1530" w:type="dxa"/>
            <w:tcMar>
              <w:top w:w="10" w:type="dxa"/>
              <w:left w:w="10" w:type="dxa"/>
              <w:bottom w:w="10" w:type="dxa"/>
              <w:right w:w="10" w:type="dxa"/>
            </w:tcMar>
            <w:vAlign w:val="center"/>
          </w:tcPr>
          <w:p w14:paraId="33799F7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血酮质控液</w:t>
            </w:r>
          </w:p>
        </w:tc>
        <w:tc>
          <w:tcPr>
            <w:tcW w:w="1134" w:type="dxa"/>
            <w:tcMar>
              <w:top w:w="10" w:type="dxa"/>
              <w:left w:w="10" w:type="dxa"/>
              <w:bottom w:w="10" w:type="dxa"/>
              <w:right w:w="10" w:type="dxa"/>
            </w:tcMar>
            <w:vAlign w:val="center"/>
          </w:tcPr>
          <w:p w14:paraId="14EFA67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20252400389</w:t>
            </w:r>
          </w:p>
        </w:tc>
        <w:tc>
          <w:tcPr>
            <w:tcW w:w="425" w:type="dxa"/>
            <w:tcMar>
              <w:top w:w="10" w:type="dxa"/>
              <w:left w:w="10" w:type="dxa"/>
              <w:bottom w:w="10" w:type="dxa"/>
              <w:right w:w="10" w:type="dxa"/>
            </w:tcMar>
            <w:vAlign w:val="center"/>
          </w:tcPr>
          <w:p w14:paraId="48926FF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4D20F5F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用于血酮测试系统检测过程中的质量控制。</w:t>
            </w:r>
          </w:p>
        </w:tc>
        <w:tc>
          <w:tcPr>
            <w:tcW w:w="992" w:type="dxa"/>
            <w:tcMar>
              <w:top w:w="10" w:type="dxa"/>
              <w:left w:w="10" w:type="dxa"/>
              <w:bottom w:w="10" w:type="dxa"/>
              <w:right w:w="10" w:type="dxa"/>
            </w:tcMar>
            <w:vAlign w:val="center"/>
          </w:tcPr>
          <w:p w14:paraId="5C958B7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2030.04.24</w:t>
            </w:r>
          </w:p>
        </w:tc>
        <w:tc>
          <w:tcPr>
            <w:tcW w:w="1276" w:type="dxa"/>
            <w:tcMar>
              <w:top w:w="10" w:type="dxa"/>
              <w:left w:w="10" w:type="dxa"/>
              <w:bottom w:w="10" w:type="dxa"/>
              <w:right w:w="10" w:type="dxa"/>
            </w:tcMar>
            <w:vAlign w:val="center"/>
          </w:tcPr>
          <w:p w14:paraId="38A0F34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2025.04.25</w:t>
            </w:r>
            <w:r>
              <w:rPr>
                <w:rFonts w:ascii="Times New Roman" w:hAnsi="Times New Roman" w:hint="eastAsia"/>
                <w:sz w:val="18"/>
                <w:szCs w:val="18"/>
              </w:rPr>
              <w:t>获批的新品注册证</w:t>
            </w:r>
          </w:p>
        </w:tc>
      </w:tr>
      <w:tr w:rsidR="00113A51" w14:paraId="4D76A099" w14:textId="77777777" w:rsidTr="00C707CF">
        <w:trPr>
          <w:cantSplit/>
          <w:jc w:val="center"/>
        </w:trPr>
        <w:tc>
          <w:tcPr>
            <w:tcW w:w="418" w:type="dxa"/>
            <w:tcMar>
              <w:top w:w="10" w:type="dxa"/>
              <w:left w:w="10" w:type="dxa"/>
              <w:bottom w:w="10" w:type="dxa"/>
              <w:right w:w="10" w:type="dxa"/>
            </w:tcMar>
            <w:vAlign w:val="center"/>
          </w:tcPr>
          <w:p w14:paraId="726D01F7"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161</w:t>
            </w:r>
          </w:p>
        </w:tc>
        <w:tc>
          <w:tcPr>
            <w:tcW w:w="1530" w:type="dxa"/>
            <w:tcMar>
              <w:top w:w="10" w:type="dxa"/>
              <w:left w:w="10" w:type="dxa"/>
              <w:bottom w:w="10" w:type="dxa"/>
              <w:right w:w="10" w:type="dxa"/>
            </w:tcMar>
            <w:vAlign w:val="center"/>
          </w:tcPr>
          <w:p w14:paraId="7662819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持续葡萄糖监测系统</w:t>
            </w:r>
          </w:p>
        </w:tc>
        <w:tc>
          <w:tcPr>
            <w:tcW w:w="1134" w:type="dxa"/>
            <w:tcMar>
              <w:top w:w="10" w:type="dxa"/>
              <w:left w:w="10" w:type="dxa"/>
              <w:bottom w:w="10" w:type="dxa"/>
              <w:right w:w="10" w:type="dxa"/>
            </w:tcMar>
            <w:vAlign w:val="center"/>
          </w:tcPr>
          <w:p w14:paraId="3B9549F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国械注准</w:t>
            </w:r>
            <w:r>
              <w:rPr>
                <w:rFonts w:ascii="Times New Roman" w:hAnsi="Times New Roman" w:cs="Times New Roman"/>
                <w:sz w:val="18"/>
                <w:szCs w:val="18"/>
              </w:rPr>
              <w:t>20233070435</w:t>
            </w:r>
          </w:p>
        </w:tc>
        <w:tc>
          <w:tcPr>
            <w:tcW w:w="425" w:type="dxa"/>
            <w:tcMar>
              <w:top w:w="10" w:type="dxa"/>
              <w:left w:w="10" w:type="dxa"/>
              <w:bottom w:w="10" w:type="dxa"/>
              <w:right w:w="10" w:type="dxa"/>
            </w:tcMar>
            <w:vAlign w:val="center"/>
          </w:tcPr>
          <w:p w14:paraId="659EA3E2"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Ⅲ类</w:t>
            </w:r>
          </w:p>
        </w:tc>
        <w:tc>
          <w:tcPr>
            <w:tcW w:w="4677" w:type="dxa"/>
            <w:tcMar>
              <w:top w:w="10" w:type="dxa"/>
              <w:left w:w="10" w:type="dxa"/>
              <w:bottom w:w="10" w:type="dxa"/>
              <w:right w:w="10" w:type="dxa"/>
            </w:tcMar>
            <w:vAlign w:val="center"/>
          </w:tcPr>
          <w:p w14:paraId="5F85C8E6"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该产品可用于糖尿病成年患者</w:t>
            </w:r>
            <w:r>
              <w:rPr>
                <w:rFonts w:ascii="Times New Roman" w:hAnsi="Times New Roman" w:cs="Times New Roman"/>
                <w:sz w:val="18"/>
                <w:szCs w:val="18"/>
              </w:rPr>
              <w:t xml:space="preserve"> (</w:t>
            </w:r>
            <w:r>
              <w:rPr>
                <w:rFonts w:ascii="Times New Roman" w:hAnsi="Times New Roman" w:hint="eastAsia"/>
                <w:sz w:val="18"/>
                <w:szCs w:val="18"/>
              </w:rPr>
              <w:t>≥</w:t>
            </w:r>
            <w:r>
              <w:rPr>
                <w:rFonts w:ascii="Times New Roman" w:hAnsi="Times New Roman" w:cs="Times New Roman"/>
                <w:sz w:val="18"/>
                <w:szCs w:val="18"/>
              </w:rPr>
              <w:t>18</w:t>
            </w:r>
            <w:r>
              <w:rPr>
                <w:rFonts w:ascii="Times New Roman" w:hAnsi="Times New Roman" w:hint="eastAsia"/>
                <w:sz w:val="18"/>
                <w:szCs w:val="18"/>
              </w:rPr>
              <w:t>岁</w:t>
            </w:r>
            <w:r>
              <w:rPr>
                <w:rFonts w:ascii="Times New Roman" w:hAnsi="Times New Roman" w:cs="Times New Roman"/>
                <w:sz w:val="18"/>
                <w:szCs w:val="18"/>
              </w:rPr>
              <w:t>)</w:t>
            </w:r>
            <w:r>
              <w:rPr>
                <w:rFonts w:ascii="Times New Roman" w:hAnsi="Times New Roman" w:hint="eastAsia"/>
                <w:sz w:val="18"/>
                <w:szCs w:val="18"/>
              </w:rPr>
              <w:t>的组织液葡萄糖水平的连续或定期监测。产品可提供并存储实时葡萄糖值，供用户跟踪葡萄糖浓度变化的趋势，若葡萄糖水平低于或高于预设提醒阈值，产品可发出提醒。葡萄糖传感器及发射器仅供单个用户使用，</w:t>
            </w:r>
            <w:r>
              <w:rPr>
                <w:rFonts w:ascii="Times New Roman" w:hAnsi="Times New Roman" w:cs="Times New Roman"/>
                <w:sz w:val="18"/>
                <w:szCs w:val="18"/>
              </w:rPr>
              <w:t>i3</w:t>
            </w:r>
            <w:r>
              <w:rPr>
                <w:rFonts w:ascii="Times New Roman" w:hAnsi="Times New Roman" w:hint="eastAsia"/>
                <w:sz w:val="18"/>
                <w:szCs w:val="18"/>
              </w:rPr>
              <w:t>及</w:t>
            </w:r>
            <w:r>
              <w:rPr>
                <w:rFonts w:ascii="Times New Roman" w:hAnsi="Times New Roman" w:cs="Times New Roman"/>
                <w:sz w:val="18"/>
                <w:szCs w:val="18"/>
              </w:rPr>
              <w:t>13</w:t>
            </w:r>
            <w:r>
              <w:rPr>
                <w:rFonts w:ascii="Times New Roman" w:hAnsi="Times New Roman" w:hint="eastAsia"/>
                <w:sz w:val="18"/>
                <w:szCs w:val="18"/>
              </w:rPr>
              <w:t>型号在家庭环境使用，使用时间最长</w:t>
            </w:r>
            <w:r>
              <w:rPr>
                <w:rFonts w:ascii="Times New Roman" w:hAnsi="Times New Roman" w:cs="Times New Roman"/>
                <w:sz w:val="18"/>
                <w:szCs w:val="18"/>
              </w:rPr>
              <w:t>15</w:t>
            </w:r>
            <w:r>
              <w:rPr>
                <w:rFonts w:ascii="Times New Roman" w:hAnsi="Times New Roman" w:hint="eastAsia"/>
                <w:sz w:val="18"/>
                <w:szCs w:val="18"/>
              </w:rPr>
              <w:t>天；</w:t>
            </w:r>
            <w:r>
              <w:rPr>
                <w:rFonts w:ascii="Times New Roman" w:hAnsi="Times New Roman" w:cs="Times New Roman"/>
                <w:sz w:val="18"/>
                <w:szCs w:val="18"/>
              </w:rPr>
              <w:t>H3</w:t>
            </w:r>
            <w:r>
              <w:rPr>
                <w:rFonts w:ascii="Times New Roman" w:hAnsi="Times New Roman" w:hint="eastAsia"/>
                <w:sz w:val="18"/>
                <w:szCs w:val="18"/>
              </w:rPr>
              <w:t>及</w:t>
            </w:r>
            <w:r>
              <w:rPr>
                <w:rFonts w:ascii="Times New Roman" w:hAnsi="Times New Roman" w:cs="Times New Roman"/>
                <w:sz w:val="18"/>
                <w:szCs w:val="18"/>
              </w:rPr>
              <w:t>h3</w:t>
            </w:r>
            <w:r>
              <w:rPr>
                <w:rFonts w:ascii="Times New Roman" w:hAnsi="Times New Roman" w:hint="eastAsia"/>
                <w:sz w:val="18"/>
                <w:szCs w:val="18"/>
              </w:rPr>
              <w:t>型号在医疗机构中使用，使用时间最长</w:t>
            </w:r>
            <w:r>
              <w:rPr>
                <w:rFonts w:ascii="Times New Roman" w:hAnsi="Times New Roman" w:cs="Times New Roman"/>
                <w:sz w:val="18"/>
                <w:szCs w:val="18"/>
              </w:rPr>
              <w:t>8</w:t>
            </w:r>
            <w:r>
              <w:rPr>
                <w:rFonts w:ascii="Times New Roman" w:hAnsi="Times New Roman" w:hint="eastAsia"/>
                <w:sz w:val="18"/>
                <w:szCs w:val="18"/>
              </w:rPr>
              <w:t>天。产品测量结果不作为决定和调整糖尿病患者治疗方案的依据。</w:t>
            </w:r>
          </w:p>
        </w:tc>
        <w:tc>
          <w:tcPr>
            <w:tcW w:w="992" w:type="dxa"/>
            <w:tcMar>
              <w:top w:w="10" w:type="dxa"/>
              <w:left w:w="10" w:type="dxa"/>
              <w:bottom w:w="10" w:type="dxa"/>
              <w:right w:w="10" w:type="dxa"/>
            </w:tcMar>
            <w:vAlign w:val="center"/>
          </w:tcPr>
          <w:p w14:paraId="34660FD1"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2028.03.30</w:t>
            </w:r>
          </w:p>
        </w:tc>
        <w:tc>
          <w:tcPr>
            <w:tcW w:w="1276" w:type="dxa"/>
            <w:tcMar>
              <w:top w:w="10" w:type="dxa"/>
              <w:left w:w="10" w:type="dxa"/>
              <w:bottom w:w="10" w:type="dxa"/>
              <w:right w:w="10" w:type="dxa"/>
            </w:tcMar>
            <w:vAlign w:val="center"/>
          </w:tcPr>
          <w:p w14:paraId="08807C1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 </w:t>
            </w:r>
          </w:p>
        </w:tc>
      </w:tr>
      <w:tr w:rsidR="00113A51" w14:paraId="495666A7" w14:textId="77777777" w:rsidTr="00C707CF">
        <w:trPr>
          <w:cantSplit/>
          <w:jc w:val="center"/>
        </w:trPr>
        <w:tc>
          <w:tcPr>
            <w:tcW w:w="418" w:type="dxa"/>
            <w:tcMar>
              <w:top w:w="10" w:type="dxa"/>
              <w:left w:w="10" w:type="dxa"/>
              <w:bottom w:w="10" w:type="dxa"/>
              <w:right w:w="10" w:type="dxa"/>
            </w:tcMar>
            <w:vAlign w:val="center"/>
          </w:tcPr>
          <w:p w14:paraId="1F00E86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162</w:t>
            </w:r>
          </w:p>
        </w:tc>
        <w:tc>
          <w:tcPr>
            <w:tcW w:w="1530" w:type="dxa"/>
            <w:tcMar>
              <w:top w:w="10" w:type="dxa"/>
              <w:left w:w="10" w:type="dxa"/>
              <w:bottom w:w="10" w:type="dxa"/>
              <w:right w:w="10" w:type="dxa"/>
            </w:tcMar>
            <w:vAlign w:val="center"/>
          </w:tcPr>
          <w:p w14:paraId="207680C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持续葡萄糖监测系统</w:t>
            </w:r>
          </w:p>
        </w:tc>
        <w:tc>
          <w:tcPr>
            <w:tcW w:w="1134" w:type="dxa"/>
            <w:tcMar>
              <w:top w:w="10" w:type="dxa"/>
              <w:left w:w="10" w:type="dxa"/>
              <w:bottom w:w="10" w:type="dxa"/>
              <w:right w:w="10" w:type="dxa"/>
            </w:tcMar>
            <w:vAlign w:val="center"/>
          </w:tcPr>
          <w:p w14:paraId="1108A20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国械注准</w:t>
            </w:r>
            <w:r>
              <w:rPr>
                <w:rFonts w:ascii="Times New Roman" w:hAnsi="Times New Roman" w:cs="Times New Roman"/>
                <w:sz w:val="18"/>
                <w:szCs w:val="18"/>
              </w:rPr>
              <w:t>20243072505</w:t>
            </w:r>
          </w:p>
        </w:tc>
        <w:tc>
          <w:tcPr>
            <w:tcW w:w="425" w:type="dxa"/>
            <w:tcMar>
              <w:top w:w="10" w:type="dxa"/>
              <w:left w:w="10" w:type="dxa"/>
              <w:bottom w:w="10" w:type="dxa"/>
              <w:right w:w="10" w:type="dxa"/>
            </w:tcMar>
            <w:vAlign w:val="center"/>
          </w:tcPr>
          <w:p w14:paraId="2721057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Ⅲ类</w:t>
            </w:r>
          </w:p>
        </w:tc>
        <w:tc>
          <w:tcPr>
            <w:tcW w:w="4677" w:type="dxa"/>
            <w:tcMar>
              <w:top w:w="10" w:type="dxa"/>
              <w:left w:w="10" w:type="dxa"/>
              <w:bottom w:w="10" w:type="dxa"/>
              <w:right w:w="10" w:type="dxa"/>
            </w:tcMar>
            <w:vAlign w:val="center"/>
          </w:tcPr>
          <w:p w14:paraId="5B0A2334"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该产品配合持续葡萄糖监测系统应用程序（型号规格：</w:t>
            </w:r>
            <w:r>
              <w:rPr>
                <w:rFonts w:ascii="Times New Roman" w:hAnsi="Times New Roman" w:cs="Times New Roman"/>
                <w:sz w:val="18"/>
                <w:szCs w:val="18"/>
              </w:rPr>
              <w:t>iCGM-APP Pro</w:t>
            </w:r>
            <w:r>
              <w:rPr>
                <w:rFonts w:ascii="Times New Roman" w:hAnsi="Times New Roman" w:hint="eastAsia"/>
                <w:sz w:val="18"/>
                <w:szCs w:val="18"/>
              </w:rPr>
              <w:t>、</w:t>
            </w:r>
            <w:r>
              <w:rPr>
                <w:rFonts w:ascii="Times New Roman" w:hAnsi="Times New Roman" w:cs="Times New Roman"/>
                <w:sz w:val="18"/>
                <w:szCs w:val="18"/>
              </w:rPr>
              <w:t>iCGM APP</w:t>
            </w:r>
            <w:r>
              <w:rPr>
                <w:rFonts w:ascii="Times New Roman" w:hAnsi="Times New Roman" w:hint="eastAsia"/>
                <w:sz w:val="18"/>
                <w:szCs w:val="18"/>
              </w:rPr>
              <w:t>；发布版本：</w:t>
            </w:r>
            <w:r>
              <w:rPr>
                <w:rFonts w:ascii="Times New Roman" w:hAnsi="Times New Roman" w:cs="Times New Roman"/>
                <w:sz w:val="18"/>
                <w:szCs w:val="18"/>
              </w:rPr>
              <w:t>02</w:t>
            </w:r>
            <w:r>
              <w:rPr>
                <w:rFonts w:ascii="Times New Roman" w:hAnsi="Times New Roman" w:hint="eastAsia"/>
                <w:sz w:val="18"/>
                <w:szCs w:val="18"/>
              </w:rPr>
              <w:t>）、持续葡萄糖监测系统管理软件（发布版本：</w:t>
            </w:r>
            <w:r>
              <w:rPr>
                <w:rFonts w:ascii="Times New Roman" w:hAnsi="Times New Roman" w:cs="Times New Roman"/>
                <w:sz w:val="18"/>
                <w:szCs w:val="18"/>
              </w:rPr>
              <w:t>01</w:t>
            </w:r>
            <w:r>
              <w:rPr>
                <w:rFonts w:ascii="Times New Roman" w:hAnsi="Times New Roman" w:hint="eastAsia"/>
                <w:sz w:val="18"/>
                <w:szCs w:val="18"/>
              </w:rPr>
              <w:t>）使用，可用于糖尿病成年患者（≥</w:t>
            </w:r>
            <w:r>
              <w:rPr>
                <w:rFonts w:ascii="Times New Roman" w:hAnsi="Times New Roman" w:cs="Times New Roman"/>
                <w:sz w:val="18"/>
                <w:szCs w:val="18"/>
              </w:rPr>
              <w:t>18</w:t>
            </w:r>
            <w:r>
              <w:rPr>
                <w:rFonts w:ascii="Times New Roman" w:hAnsi="Times New Roman" w:hint="eastAsia"/>
                <w:sz w:val="18"/>
                <w:szCs w:val="18"/>
              </w:rPr>
              <w:t>岁）的组织液葡萄糖水平的连续或定期监测。该产品仅供单个用户在医疗机构使用，不需要用户校准，使用时间最长</w:t>
            </w:r>
            <w:r>
              <w:rPr>
                <w:rFonts w:ascii="Times New Roman" w:hAnsi="Times New Roman" w:cs="Times New Roman"/>
                <w:sz w:val="18"/>
                <w:szCs w:val="18"/>
              </w:rPr>
              <w:t>8</w:t>
            </w:r>
            <w:r>
              <w:rPr>
                <w:rFonts w:ascii="Times New Roman" w:hAnsi="Times New Roman" w:hint="eastAsia"/>
                <w:sz w:val="18"/>
                <w:szCs w:val="18"/>
              </w:rPr>
              <w:t>天。该产品测量结果不作为决定和调整糖尿病患者治疗方案的依据。</w:t>
            </w:r>
          </w:p>
        </w:tc>
        <w:tc>
          <w:tcPr>
            <w:tcW w:w="992" w:type="dxa"/>
            <w:tcMar>
              <w:top w:w="10" w:type="dxa"/>
              <w:left w:w="10" w:type="dxa"/>
              <w:bottom w:w="10" w:type="dxa"/>
              <w:right w:w="10" w:type="dxa"/>
            </w:tcMar>
            <w:vAlign w:val="center"/>
          </w:tcPr>
          <w:p w14:paraId="5952ECE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2029.12.12</w:t>
            </w:r>
          </w:p>
        </w:tc>
        <w:tc>
          <w:tcPr>
            <w:tcW w:w="1276" w:type="dxa"/>
            <w:tcMar>
              <w:top w:w="10" w:type="dxa"/>
              <w:left w:w="10" w:type="dxa"/>
              <w:bottom w:w="10" w:type="dxa"/>
              <w:right w:w="10" w:type="dxa"/>
            </w:tcMar>
            <w:vAlign w:val="center"/>
          </w:tcPr>
          <w:p w14:paraId="6BE703A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2025.06.17</w:t>
            </w:r>
            <w:r>
              <w:rPr>
                <w:rFonts w:ascii="Times New Roman" w:hAnsi="Times New Roman" w:hint="eastAsia"/>
                <w:sz w:val="18"/>
                <w:szCs w:val="18"/>
              </w:rPr>
              <w:t>获批变更注册</w:t>
            </w:r>
          </w:p>
        </w:tc>
      </w:tr>
      <w:tr w:rsidR="00113A51" w14:paraId="4517839A" w14:textId="77777777" w:rsidTr="00C707CF">
        <w:trPr>
          <w:cantSplit/>
          <w:jc w:val="center"/>
        </w:trPr>
        <w:tc>
          <w:tcPr>
            <w:tcW w:w="418" w:type="dxa"/>
            <w:tcMar>
              <w:top w:w="10" w:type="dxa"/>
              <w:left w:w="10" w:type="dxa"/>
              <w:bottom w:w="10" w:type="dxa"/>
              <w:right w:w="10" w:type="dxa"/>
            </w:tcMar>
            <w:vAlign w:val="center"/>
          </w:tcPr>
          <w:p w14:paraId="6EBDF405"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163</w:t>
            </w:r>
          </w:p>
        </w:tc>
        <w:tc>
          <w:tcPr>
            <w:tcW w:w="1530" w:type="dxa"/>
            <w:tcMar>
              <w:top w:w="10" w:type="dxa"/>
              <w:left w:w="10" w:type="dxa"/>
              <w:bottom w:w="10" w:type="dxa"/>
              <w:right w:w="10" w:type="dxa"/>
            </w:tcMar>
            <w:vAlign w:val="center"/>
          </w:tcPr>
          <w:p w14:paraId="1A1E127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持续葡萄糖监测系统</w:t>
            </w:r>
          </w:p>
        </w:tc>
        <w:tc>
          <w:tcPr>
            <w:tcW w:w="1134" w:type="dxa"/>
            <w:tcMar>
              <w:top w:w="10" w:type="dxa"/>
              <w:left w:w="10" w:type="dxa"/>
              <w:bottom w:w="10" w:type="dxa"/>
              <w:right w:w="10" w:type="dxa"/>
            </w:tcMar>
            <w:vAlign w:val="center"/>
          </w:tcPr>
          <w:p w14:paraId="7A8D071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国械注准</w:t>
            </w:r>
            <w:r>
              <w:rPr>
                <w:rFonts w:ascii="Times New Roman" w:hAnsi="Times New Roman" w:cs="Times New Roman"/>
                <w:sz w:val="18"/>
                <w:szCs w:val="18"/>
              </w:rPr>
              <w:t>20243072511</w:t>
            </w:r>
          </w:p>
        </w:tc>
        <w:tc>
          <w:tcPr>
            <w:tcW w:w="425" w:type="dxa"/>
            <w:tcMar>
              <w:top w:w="10" w:type="dxa"/>
              <w:left w:w="10" w:type="dxa"/>
              <w:bottom w:w="10" w:type="dxa"/>
              <w:right w:w="10" w:type="dxa"/>
            </w:tcMar>
            <w:vAlign w:val="center"/>
          </w:tcPr>
          <w:p w14:paraId="0693B99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Ⅲ类</w:t>
            </w:r>
          </w:p>
        </w:tc>
        <w:tc>
          <w:tcPr>
            <w:tcW w:w="4677" w:type="dxa"/>
            <w:tcMar>
              <w:top w:w="10" w:type="dxa"/>
              <w:left w:w="10" w:type="dxa"/>
              <w:bottom w:w="10" w:type="dxa"/>
              <w:right w:w="10" w:type="dxa"/>
            </w:tcMar>
            <w:vAlign w:val="center"/>
          </w:tcPr>
          <w:p w14:paraId="2613C857"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该产品配合持续葡萄糖监测系统应用程序（</w:t>
            </w:r>
            <w:r>
              <w:rPr>
                <w:rFonts w:ascii="Times New Roman" w:hAnsi="Times New Roman" w:cs="Times New Roman"/>
                <w:sz w:val="18"/>
                <w:szCs w:val="18"/>
              </w:rPr>
              <w:t>iCGM-APP</w:t>
            </w:r>
            <w:r>
              <w:rPr>
                <w:rFonts w:ascii="Times New Roman" w:hAnsi="Times New Roman" w:hint="eastAsia"/>
                <w:sz w:val="18"/>
                <w:szCs w:val="18"/>
              </w:rPr>
              <w:t>，发布版本</w:t>
            </w:r>
            <w:r>
              <w:rPr>
                <w:rFonts w:ascii="Times New Roman" w:hAnsi="Times New Roman" w:cs="Times New Roman"/>
                <w:sz w:val="18"/>
                <w:szCs w:val="18"/>
              </w:rPr>
              <w:t>02</w:t>
            </w:r>
            <w:r>
              <w:rPr>
                <w:rFonts w:ascii="Times New Roman" w:hAnsi="Times New Roman" w:hint="eastAsia"/>
                <w:sz w:val="18"/>
                <w:szCs w:val="18"/>
              </w:rPr>
              <w:t>）使用，可用于糖尿病成年患者（≥</w:t>
            </w:r>
            <w:r>
              <w:rPr>
                <w:rFonts w:ascii="Times New Roman" w:hAnsi="Times New Roman" w:cs="Times New Roman"/>
                <w:sz w:val="18"/>
                <w:szCs w:val="18"/>
              </w:rPr>
              <w:t>18</w:t>
            </w:r>
            <w:r>
              <w:rPr>
                <w:rFonts w:ascii="Times New Roman" w:hAnsi="Times New Roman" w:hint="eastAsia"/>
                <w:sz w:val="18"/>
                <w:szCs w:val="18"/>
              </w:rPr>
              <w:t>岁）的组织液葡萄糖水平的连续或定期监测，仅供单个用户在家庭环境使用，不需要用户校准，使用时间最长</w:t>
            </w:r>
            <w:r>
              <w:rPr>
                <w:rFonts w:ascii="Times New Roman" w:hAnsi="Times New Roman" w:cs="Times New Roman"/>
                <w:sz w:val="18"/>
                <w:szCs w:val="18"/>
              </w:rPr>
              <w:t>15</w:t>
            </w:r>
            <w:r>
              <w:rPr>
                <w:rFonts w:ascii="Times New Roman" w:hAnsi="Times New Roman" w:hint="eastAsia"/>
                <w:sz w:val="18"/>
                <w:szCs w:val="18"/>
              </w:rPr>
              <w:t>天。该产品测量结果不作为决定和调整糖尿病患者治疗方案的依据。</w:t>
            </w:r>
          </w:p>
        </w:tc>
        <w:tc>
          <w:tcPr>
            <w:tcW w:w="992" w:type="dxa"/>
            <w:tcMar>
              <w:top w:w="10" w:type="dxa"/>
              <w:left w:w="10" w:type="dxa"/>
              <w:bottom w:w="10" w:type="dxa"/>
              <w:right w:w="10" w:type="dxa"/>
            </w:tcMar>
            <w:vAlign w:val="center"/>
          </w:tcPr>
          <w:p w14:paraId="75032628"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2029.12.12</w:t>
            </w:r>
          </w:p>
        </w:tc>
        <w:tc>
          <w:tcPr>
            <w:tcW w:w="1276" w:type="dxa"/>
            <w:tcMar>
              <w:top w:w="10" w:type="dxa"/>
              <w:left w:w="10" w:type="dxa"/>
              <w:bottom w:w="10" w:type="dxa"/>
              <w:right w:w="10" w:type="dxa"/>
            </w:tcMar>
            <w:vAlign w:val="center"/>
          </w:tcPr>
          <w:p w14:paraId="3394F2F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2025.06.13</w:t>
            </w:r>
            <w:r>
              <w:rPr>
                <w:rFonts w:ascii="Times New Roman" w:hAnsi="Times New Roman" w:hint="eastAsia"/>
                <w:sz w:val="18"/>
                <w:szCs w:val="18"/>
              </w:rPr>
              <w:t>获批变更注册</w:t>
            </w:r>
          </w:p>
        </w:tc>
      </w:tr>
      <w:tr w:rsidR="00113A51" w14:paraId="51670C35" w14:textId="77777777" w:rsidTr="00C707CF">
        <w:trPr>
          <w:cantSplit/>
          <w:jc w:val="center"/>
        </w:trPr>
        <w:tc>
          <w:tcPr>
            <w:tcW w:w="418" w:type="dxa"/>
            <w:tcMar>
              <w:top w:w="10" w:type="dxa"/>
              <w:left w:w="10" w:type="dxa"/>
              <w:bottom w:w="10" w:type="dxa"/>
              <w:right w:w="10" w:type="dxa"/>
            </w:tcMar>
            <w:vAlign w:val="center"/>
          </w:tcPr>
          <w:p w14:paraId="06C8E50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164</w:t>
            </w:r>
          </w:p>
        </w:tc>
        <w:tc>
          <w:tcPr>
            <w:tcW w:w="1530" w:type="dxa"/>
            <w:tcMar>
              <w:top w:w="10" w:type="dxa"/>
              <w:left w:w="10" w:type="dxa"/>
              <w:bottom w:w="10" w:type="dxa"/>
              <w:right w:w="10" w:type="dxa"/>
            </w:tcMar>
            <w:vAlign w:val="center"/>
          </w:tcPr>
          <w:p w14:paraId="00C6BCF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血糖尿酸血酮分析仪</w:t>
            </w:r>
          </w:p>
        </w:tc>
        <w:tc>
          <w:tcPr>
            <w:tcW w:w="1134" w:type="dxa"/>
            <w:tcMar>
              <w:top w:w="10" w:type="dxa"/>
              <w:left w:w="10" w:type="dxa"/>
              <w:bottom w:w="10" w:type="dxa"/>
              <w:right w:w="10" w:type="dxa"/>
            </w:tcMar>
            <w:vAlign w:val="center"/>
          </w:tcPr>
          <w:p w14:paraId="5EF93C0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湘械注准</w:t>
            </w:r>
            <w:r>
              <w:rPr>
                <w:rFonts w:ascii="Times New Roman" w:hAnsi="Times New Roman" w:cs="Times New Roman"/>
                <w:sz w:val="18"/>
                <w:szCs w:val="18"/>
              </w:rPr>
              <w:t>20252220980</w:t>
            </w:r>
          </w:p>
        </w:tc>
        <w:tc>
          <w:tcPr>
            <w:tcW w:w="425" w:type="dxa"/>
            <w:tcMar>
              <w:top w:w="10" w:type="dxa"/>
              <w:left w:w="10" w:type="dxa"/>
              <w:bottom w:w="10" w:type="dxa"/>
              <w:right w:w="10" w:type="dxa"/>
            </w:tcMar>
            <w:vAlign w:val="center"/>
          </w:tcPr>
          <w:p w14:paraId="6E215B8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II</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5A25C8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本产品与配套血糖试条配合使用，主要用于定量检测新鲜毛细血管全血、静脉全血、动脉全血和新生儿全血中的葡萄糖浓度，只用于医疗机构中对患者血糖水平的监测，不适用于糖尿病的最终诊断。与配套尿酸测试条配合使用，主要用于定量检测新鲜毛细血管全血、静脉全血中的尿酸浓度，临床上主要用于高尿酸血症的辅助诊断。与配套β</w:t>
            </w:r>
            <w:r>
              <w:rPr>
                <w:rFonts w:ascii="Times New Roman" w:hAnsi="Times New Roman" w:cs="Times New Roman"/>
                <w:sz w:val="18"/>
                <w:szCs w:val="18"/>
              </w:rPr>
              <w:t>-</w:t>
            </w:r>
            <w:r>
              <w:rPr>
                <w:rFonts w:ascii="Times New Roman" w:hAnsi="Times New Roman" w:hint="eastAsia"/>
                <w:sz w:val="18"/>
                <w:szCs w:val="18"/>
              </w:rPr>
              <w:t>羟丁酸试条配合使用，主要用于定量检测新鲜毛细血管全血、静脉全血中的</w:t>
            </w:r>
            <w:r>
              <w:rPr>
                <w:rFonts w:ascii="Times New Roman" w:hAnsi="Times New Roman" w:cs="Times New Roman"/>
                <w:sz w:val="18"/>
                <w:szCs w:val="18"/>
              </w:rPr>
              <w:t>β-</w:t>
            </w:r>
            <w:r>
              <w:rPr>
                <w:rFonts w:ascii="Times New Roman" w:hAnsi="Times New Roman" w:hint="eastAsia"/>
                <w:sz w:val="18"/>
                <w:szCs w:val="18"/>
              </w:rPr>
              <w:t>羟丁酸浓度，临床上主要用于酮症酸中毒的辅助诊断。本产品供各级医疗机构中专业人员检测，不能用于疾病的诊断和筛查，也不能作为治疗药物调整的依据。</w:t>
            </w:r>
          </w:p>
        </w:tc>
        <w:tc>
          <w:tcPr>
            <w:tcW w:w="992" w:type="dxa"/>
            <w:tcMar>
              <w:top w:w="10" w:type="dxa"/>
              <w:left w:w="10" w:type="dxa"/>
              <w:bottom w:w="10" w:type="dxa"/>
              <w:right w:w="10" w:type="dxa"/>
            </w:tcMar>
            <w:vAlign w:val="center"/>
          </w:tcPr>
          <w:p w14:paraId="71AB681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2030.12.07</w:t>
            </w:r>
          </w:p>
        </w:tc>
        <w:tc>
          <w:tcPr>
            <w:tcW w:w="1276" w:type="dxa"/>
            <w:tcMar>
              <w:top w:w="10" w:type="dxa"/>
              <w:left w:w="10" w:type="dxa"/>
              <w:bottom w:w="10" w:type="dxa"/>
              <w:right w:w="10" w:type="dxa"/>
            </w:tcMar>
            <w:vAlign w:val="center"/>
          </w:tcPr>
          <w:p w14:paraId="20FB043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2025.12.08</w:t>
            </w:r>
            <w:r>
              <w:rPr>
                <w:rFonts w:ascii="Times New Roman" w:hAnsi="Times New Roman" w:hint="eastAsia"/>
                <w:sz w:val="18"/>
                <w:szCs w:val="18"/>
              </w:rPr>
              <w:t>获批的新品注册证</w:t>
            </w:r>
          </w:p>
        </w:tc>
      </w:tr>
      <w:tr w:rsidR="00113A51" w14:paraId="4D2B6149" w14:textId="77777777" w:rsidTr="00C707CF">
        <w:trPr>
          <w:cantSplit/>
          <w:jc w:val="center"/>
        </w:trPr>
        <w:tc>
          <w:tcPr>
            <w:tcW w:w="418" w:type="dxa"/>
            <w:tcMar>
              <w:top w:w="10" w:type="dxa"/>
              <w:left w:w="10" w:type="dxa"/>
              <w:bottom w:w="10" w:type="dxa"/>
              <w:right w:w="10" w:type="dxa"/>
            </w:tcMar>
            <w:vAlign w:val="center"/>
          </w:tcPr>
          <w:p w14:paraId="72D8F7F3"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165</w:t>
            </w:r>
          </w:p>
        </w:tc>
        <w:tc>
          <w:tcPr>
            <w:tcW w:w="1530" w:type="dxa"/>
            <w:tcMar>
              <w:top w:w="10" w:type="dxa"/>
              <w:left w:w="10" w:type="dxa"/>
              <w:bottom w:w="10" w:type="dxa"/>
              <w:right w:w="10" w:type="dxa"/>
            </w:tcMar>
            <w:vAlign w:val="center"/>
          </w:tcPr>
          <w:p w14:paraId="1CA248C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细胞计数板</w:t>
            </w:r>
          </w:p>
        </w:tc>
        <w:tc>
          <w:tcPr>
            <w:tcW w:w="1134" w:type="dxa"/>
            <w:tcMar>
              <w:top w:w="10" w:type="dxa"/>
              <w:left w:w="10" w:type="dxa"/>
              <w:bottom w:w="10" w:type="dxa"/>
              <w:right w:w="10" w:type="dxa"/>
            </w:tcMar>
            <w:vAlign w:val="center"/>
          </w:tcPr>
          <w:p w14:paraId="48ECE6C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湘长械备</w:t>
            </w:r>
            <w:r>
              <w:rPr>
                <w:rFonts w:ascii="Times New Roman" w:hAnsi="Times New Roman" w:cs="Times New Roman"/>
                <w:sz w:val="18"/>
                <w:szCs w:val="18"/>
              </w:rPr>
              <w:t>20240104</w:t>
            </w:r>
            <w:r>
              <w:rPr>
                <w:rFonts w:ascii="Times New Roman" w:hAnsi="Times New Roman" w:hint="eastAsia"/>
                <w:sz w:val="18"/>
                <w:szCs w:val="18"/>
              </w:rPr>
              <w:t>号</w:t>
            </w:r>
          </w:p>
        </w:tc>
        <w:tc>
          <w:tcPr>
            <w:tcW w:w="425" w:type="dxa"/>
            <w:tcMar>
              <w:top w:w="10" w:type="dxa"/>
              <w:left w:w="10" w:type="dxa"/>
              <w:bottom w:w="10" w:type="dxa"/>
              <w:right w:w="10" w:type="dxa"/>
            </w:tcMar>
            <w:vAlign w:val="center"/>
          </w:tcPr>
          <w:p w14:paraId="6BF0FBFC"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Ⅰ</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23630CE3"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用于临床对血液、体液样本中有形成分进行计数。</w:t>
            </w:r>
          </w:p>
        </w:tc>
        <w:tc>
          <w:tcPr>
            <w:tcW w:w="992" w:type="dxa"/>
            <w:tcMar>
              <w:top w:w="10" w:type="dxa"/>
              <w:left w:w="10" w:type="dxa"/>
              <w:bottom w:w="10" w:type="dxa"/>
              <w:right w:w="10" w:type="dxa"/>
            </w:tcMar>
            <w:vAlign w:val="center"/>
          </w:tcPr>
          <w:p w14:paraId="266B32F4"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永久有效</w:t>
            </w:r>
          </w:p>
        </w:tc>
        <w:tc>
          <w:tcPr>
            <w:tcW w:w="1276" w:type="dxa"/>
            <w:tcMar>
              <w:top w:w="10" w:type="dxa"/>
              <w:left w:w="10" w:type="dxa"/>
              <w:bottom w:w="10" w:type="dxa"/>
              <w:right w:w="10" w:type="dxa"/>
            </w:tcMar>
            <w:vAlign w:val="center"/>
          </w:tcPr>
          <w:p w14:paraId="65C14AFA"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2025.08.05</w:t>
            </w:r>
            <w:r>
              <w:rPr>
                <w:rFonts w:ascii="Times New Roman" w:hAnsi="Times New Roman" w:hint="eastAsia"/>
                <w:sz w:val="18"/>
                <w:szCs w:val="18"/>
              </w:rPr>
              <w:t>变更备案</w:t>
            </w:r>
          </w:p>
        </w:tc>
      </w:tr>
      <w:tr w:rsidR="00113A51" w14:paraId="607D8FE3" w14:textId="77777777" w:rsidTr="00C707CF">
        <w:trPr>
          <w:cantSplit/>
          <w:jc w:val="center"/>
        </w:trPr>
        <w:tc>
          <w:tcPr>
            <w:tcW w:w="418" w:type="dxa"/>
            <w:tcMar>
              <w:top w:w="10" w:type="dxa"/>
              <w:left w:w="10" w:type="dxa"/>
              <w:bottom w:w="10" w:type="dxa"/>
              <w:right w:w="10" w:type="dxa"/>
            </w:tcMar>
            <w:vAlign w:val="center"/>
          </w:tcPr>
          <w:p w14:paraId="5221A66F"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166</w:t>
            </w:r>
          </w:p>
        </w:tc>
        <w:tc>
          <w:tcPr>
            <w:tcW w:w="1530" w:type="dxa"/>
            <w:tcMar>
              <w:top w:w="10" w:type="dxa"/>
              <w:left w:w="10" w:type="dxa"/>
              <w:bottom w:w="10" w:type="dxa"/>
              <w:right w:w="10" w:type="dxa"/>
            </w:tcMar>
            <w:vAlign w:val="center"/>
          </w:tcPr>
          <w:p w14:paraId="4BFC7D4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血液细胞样本处理用试剂</w:t>
            </w:r>
          </w:p>
        </w:tc>
        <w:tc>
          <w:tcPr>
            <w:tcW w:w="1134" w:type="dxa"/>
            <w:tcMar>
              <w:top w:w="10" w:type="dxa"/>
              <w:left w:w="10" w:type="dxa"/>
              <w:bottom w:w="10" w:type="dxa"/>
              <w:right w:w="10" w:type="dxa"/>
            </w:tcMar>
            <w:vAlign w:val="center"/>
          </w:tcPr>
          <w:p w14:paraId="2FC5FAC0"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湘长械备</w:t>
            </w:r>
            <w:r>
              <w:rPr>
                <w:rFonts w:ascii="Times New Roman" w:hAnsi="Times New Roman" w:cs="Times New Roman"/>
                <w:sz w:val="18"/>
                <w:szCs w:val="18"/>
              </w:rPr>
              <w:t>20240122</w:t>
            </w:r>
            <w:r>
              <w:rPr>
                <w:rFonts w:ascii="Times New Roman" w:hAnsi="Times New Roman" w:hint="eastAsia"/>
                <w:sz w:val="18"/>
                <w:szCs w:val="18"/>
              </w:rPr>
              <w:t>号</w:t>
            </w:r>
          </w:p>
        </w:tc>
        <w:tc>
          <w:tcPr>
            <w:tcW w:w="425" w:type="dxa"/>
            <w:tcMar>
              <w:top w:w="10" w:type="dxa"/>
              <w:left w:w="10" w:type="dxa"/>
              <w:bottom w:w="10" w:type="dxa"/>
              <w:right w:w="10" w:type="dxa"/>
            </w:tcMar>
          </w:tcPr>
          <w:p w14:paraId="446329DF"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Ⅰ</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094031AB"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血细胞分析用溶血剂：用于血细胞分析前破坏红细胞、溶出血红蛋白、维持所需分析细胞的形态，从而便于细胞分类计数或血红蛋白定量测定。血细胞分析用稀释液：用于血细胞分析前，样本的稀释，制备细胞悬液。样本稀释液：用于对待测样本进行稀释、液化，以便于使用体外诊断试剂和仪器对待测物进行检测，其本身并不参与检测。一次性使用末梢采血管：用于人体末梢血的采集、存储。血细胞分析用溶血剂、血细胞分析用稀释液、样本稀释液分别储存在特定的腔位中，均单独用于样本处理。产品检测的临床意义和临床用途：本产品仅用于样本处理，不具备独立出具检测指标结果的作用，需配合三诺生物传感股份有限公司生产的</w:t>
            </w:r>
            <w:r>
              <w:rPr>
                <w:rFonts w:ascii="Times New Roman" w:hAnsi="Times New Roman" w:cs="Times New Roman"/>
                <w:sz w:val="18"/>
                <w:szCs w:val="18"/>
              </w:rPr>
              <w:t>iCARE-1300</w:t>
            </w:r>
            <w:r>
              <w:rPr>
                <w:rFonts w:ascii="Times New Roman" w:hAnsi="Times New Roman" w:hint="eastAsia"/>
                <w:sz w:val="18"/>
                <w:szCs w:val="18"/>
              </w:rPr>
              <w:t>便携式全自动多功能检测仪使用。</w:t>
            </w:r>
          </w:p>
        </w:tc>
        <w:tc>
          <w:tcPr>
            <w:tcW w:w="992" w:type="dxa"/>
            <w:tcMar>
              <w:top w:w="10" w:type="dxa"/>
              <w:left w:w="10" w:type="dxa"/>
              <w:bottom w:w="10" w:type="dxa"/>
              <w:right w:w="10" w:type="dxa"/>
            </w:tcMar>
            <w:vAlign w:val="center"/>
          </w:tcPr>
          <w:p w14:paraId="518B241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永久有效</w:t>
            </w:r>
          </w:p>
        </w:tc>
        <w:tc>
          <w:tcPr>
            <w:tcW w:w="1276" w:type="dxa"/>
            <w:tcMar>
              <w:top w:w="10" w:type="dxa"/>
              <w:left w:w="10" w:type="dxa"/>
              <w:bottom w:w="10" w:type="dxa"/>
              <w:right w:w="10" w:type="dxa"/>
            </w:tcMar>
            <w:vAlign w:val="center"/>
          </w:tcPr>
          <w:p w14:paraId="13B6FAD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2025.08.28</w:t>
            </w:r>
            <w:r>
              <w:rPr>
                <w:rFonts w:ascii="Times New Roman" w:hAnsi="Times New Roman" w:hint="eastAsia"/>
                <w:sz w:val="18"/>
                <w:szCs w:val="18"/>
              </w:rPr>
              <w:t>变更备案</w:t>
            </w:r>
          </w:p>
        </w:tc>
      </w:tr>
      <w:tr w:rsidR="00113A51" w14:paraId="514EB8F0" w14:textId="77777777" w:rsidTr="00C707CF">
        <w:trPr>
          <w:cantSplit/>
          <w:jc w:val="center"/>
        </w:trPr>
        <w:tc>
          <w:tcPr>
            <w:tcW w:w="418" w:type="dxa"/>
            <w:tcMar>
              <w:top w:w="10" w:type="dxa"/>
              <w:left w:w="10" w:type="dxa"/>
              <w:bottom w:w="10" w:type="dxa"/>
              <w:right w:w="10" w:type="dxa"/>
            </w:tcMar>
            <w:vAlign w:val="center"/>
          </w:tcPr>
          <w:p w14:paraId="62C70EED"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167</w:t>
            </w:r>
          </w:p>
        </w:tc>
        <w:tc>
          <w:tcPr>
            <w:tcW w:w="1530" w:type="dxa"/>
            <w:tcMar>
              <w:top w:w="10" w:type="dxa"/>
              <w:left w:w="10" w:type="dxa"/>
              <w:bottom w:w="10" w:type="dxa"/>
              <w:right w:w="10" w:type="dxa"/>
            </w:tcMar>
            <w:vAlign w:val="center"/>
          </w:tcPr>
          <w:p w14:paraId="055EC719"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医用胶带</w:t>
            </w:r>
          </w:p>
        </w:tc>
        <w:tc>
          <w:tcPr>
            <w:tcW w:w="1134" w:type="dxa"/>
            <w:tcMar>
              <w:top w:w="10" w:type="dxa"/>
              <w:left w:w="10" w:type="dxa"/>
              <w:bottom w:w="10" w:type="dxa"/>
              <w:right w:w="10" w:type="dxa"/>
            </w:tcMar>
            <w:vAlign w:val="center"/>
          </w:tcPr>
          <w:p w14:paraId="340F9326"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湘长械备</w:t>
            </w:r>
            <w:r>
              <w:rPr>
                <w:rFonts w:ascii="Times New Roman" w:hAnsi="Times New Roman" w:cs="Times New Roman"/>
                <w:sz w:val="18"/>
                <w:szCs w:val="18"/>
              </w:rPr>
              <w:t>20250292</w:t>
            </w:r>
          </w:p>
        </w:tc>
        <w:tc>
          <w:tcPr>
            <w:tcW w:w="425" w:type="dxa"/>
            <w:tcMar>
              <w:top w:w="10" w:type="dxa"/>
              <w:left w:w="10" w:type="dxa"/>
              <w:bottom w:w="10" w:type="dxa"/>
              <w:right w:w="10" w:type="dxa"/>
            </w:tcMar>
          </w:tcPr>
          <w:p w14:paraId="2E98D74B"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Ⅰ</w:t>
            </w:r>
            <w:r>
              <w:rPr>
                <w:rFonts w:ascii="Times New Roman" w:hAnsi="Times New Roman" w:hint="eastAsia"/>
                <w:sz w:val="18"/>
                <w:szCs w:val="18"/>
              </w:rPr>
              <w:t>类</w:t>
            </w:r>
          </w:p>
        </w:tc>
        <w:tc>
          <w:tcPr>
            <w:tcW w:w="4677" w:type="dxa"/>
            <w:tcMar>
              <w:top w:w="10" w:type="dxa"/>
              <w:left w:w="10" w:type="dxa"/>
              <w:bottom w:w="10" w:type="dxa"/>
              <w:right w:w="10" w:type="dxa"/>
            </w:tcMar>
            <w:vAlign w:val="center"/>
          </w:tcPr>
          <w:p w14:paraId="7EBEF39D" w14:textId="77777777" w:rsidR="00113A51" w:rsidRDefault="00766EC7">
            <w:pPr>
              <w:pStyle w:val="a9"/>
              <w:spacing w:before="40" w:beforeAutospacing="0" w:after="40" w:afterAutospacing="0"/>
              <w:jc w:val="both"/>
              <w:rPr>
                <w:rFonts w:ascii="Times New Roman" w:hAnsi="Times New Roman"/>
                <w:sz w:val="21"/>
                <w:szCs w:val="18"/>
              </w:rPr>
            </w:pPr>
            <w:r>
              <w:rPr>
                <w:rFonts w:ascii="Times New Roman" w:hAnsi="Times New Roman" w:hint="eastAsia"/>
                <w:sz w:val="18"/>
                <w:szCs w:val="18"/>
              </w:rPr>
              <w:t>用于将医疗器械固定到人体的特定部位。</w:t>
            </w:r>
          </w:p>
        </w:tc>
        <w:tc>
          <w:tcPr>
            <w:tcW w:w="992" w:type="dxa"/>
            <w:tcMar>
              <w:top w:w="10" w:type="dxa"/>
              <w:left w:w="10" w:type="dxa"/>
              <w:bottom w:w="10" w:type="dxa"/>
              <w:right w:w="10" w:type="dxa"/>
            </w:tcMar>
            <w:vAlign w:val="center"/>
          </w:tcPr>
          <w:p w14:paraId="4052747D"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hint="eastAsia"/>
                <w:sz w:val="18"/>
                <w:szCs w:val="18"/>
              </w:rPr>
              <w:t>永久有效</w:t>
            </w:r>
          </w:p>
        </w:tc>
        <w:tc>
          <w:tcPr>
            <w:tcW w:w="1276" w:type="dxa"/>
            <w:tcMar>
              <w:top w:w="10" w:type="dxa"/>
              <w:left w:w="10" w:type="dxa"/>
              <w:bottom w:w="10" w:type="dxa"/>
              <w:right w:w="10" w:type="dxa"/>
            </w:tcMar>
            <w:vAlign w:val="center"/>
          </w:tcPr>
          <w:p w14:paraId="638B0D05"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2025.08.08</w:t>
            </w:r>
            <w:r>
              <w:rPr>
                <w:rFonts w:ascii="Times New Roman" w:hAnsi="Times New Roman" w:hint="eastAsia"/>
                <w:sz w:val="18"/>
                <w:szCs w:val="18"/>
              </w:rPr>
              <w:t>予以备案；</w:t>
            </w:r>
          </w:p>
          <w:p w14:paraId="7585B7F7" w14:textId="77777777" w:rsidR="00113A51" w:rsidRDefault="00766EC7">
            <w:pPr>
              <w:pStyle w:val="a9"/>
              <w:spacing w:before="40" w:beforeAutospacing="0" w:after="40" w:afterAutospacing="0"/>
              <w:jc w:val="center"/>
              <w:rPr>
                <w:rFonts w:ascii="Times New Roman" w:hAnsi="Times New Roman"/>
                <w:sz w:val="21"/>
                <w:szCs w:val="18"/>
              </w:rPr>
            </w:pPr>
            <w:r>
              <w:rPr>
                <w:rFonts w:ascii="Times New Roman" w:hAnsi="Times New Roman" w:cs="Times New Roman"/>
                <w:sz w:val="18"/>
                <w:szCs w:val="18"/>
              </w:rPr>
              <w:t>2025.09.17</w:t>
            </w:r>
            <w:r>
              <w:rPr>
                <w:rFonts w:ascii="Times New Roman" w:hAnsi="Times New Roman" w:hint="eastAsia"/>
                <w:sz w:val="18"/>
                <w:szCs w:val="18"/>
              </w:rPr>
              <w:t>变更备案</w:t>
            </w:r>
          </w:p>
        </w:tc>
      </w:tr>
    </w:tbl>
    <w:p w14:paraId="5019EE93"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报告期内，上市公司新增</w:t>
      </w:r>
      <w:r>
        <w:rPr>
          <w:rFonts w:ascii="Times New Roman" w:eastAsia="等线" w:hAnsi="Times New Roman" w:cs="Times New Roman"/>
          <w:sz w:val="21"/>
          <w:szCs w:val="21"/>
        </w:rPr>
        <w:t>3</w:t>
      </w:r>
      <w:r>
        <w:rPr>
          <w:rFonts w:hint="eastAsia"/>
          <w:sz w:val="21"/>
          <w:szCs w:val="21"/>
        </w:rPr>
        <w:t>项</w:t>
      </w:r>
      <w:r>
        <w:rPr>
          <w:rFonts w:ascii="Times New Roman" w:eastAsia="等线" w:hAnsi="Times New Roman" w:cs="Times New Roman"/>
          <w:sz w:val="21"/>
          <w:szCs w:val="21"/>
        </w:rPr>
        <w:t>CE</w:t>
      </w:r>
      <w:r>
        <w:rPr>
          <w:rFonts w:hint="eastAsia"/>
          <w:sz w:val="21"/>
          <w:szCs w:val="21"/>
        </w:rPr>
        <w:t>认证证书和</w:t>
      </w:r>
      <w:r>
        <w:rPr>
          <w:rFonts w:ascii="Times New Roman" w:eastAsia="等线" w:hAnsi="Times New Roman" w:cs="Times New Roman"/>
          <w:sz w:val="21"/>
          <w:szCs w:val="21"/>
        </w:rPr>
        <w:t>2</w:t>
      </w:r>
      <w:r>
        <w:rPr>
          <w:rFonts w:hint="eastAsia"/>
          <w:sz w:val="21"/>
          <w:szCs w:val="21"/>
        </w:rPr>
        <w:t>项</w:t>
      </w:r>
      <w:r>
        <w:rPr>
          <w:rFonts w:ascii="Times New Roman" w:eastAsia="等线" w:hAnsi="Times New Roman" w:cs="Times New Roman"/>
          <w:sz w:val="21"/>
          <w:szCs w:val="21"/>
        </w:rPr>
        <w:t>CE</w:t>
      </w:r>
      <w:r>
        <w:rPr>
          <w:rFonts w:hint="eastAsia"/>
          <w:sz w:val="21"/>
          <w:szCs w:val="21"/>
        </w:rPr>
        <w:t>自我宣称，具体明细如下：</w:t>
      </w:r>
    </w:p>
    <w:tbl>
      <w:tblPr>
        <w:tblW w:w="10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
        <w:gridCol w:w="1531"/>
        <w:gridCol w:w="1225"/>
        <w:gridCol w:w="5088"/>
        <w:gridCol w:w="1026"/>
        <w:gridCol w:w="1325"/>
      </w:tblGrid>
      <w:tr w:rsidR="00113A51" w14:paraId="3E36C218" w14:textId="77777777" w:rsidTr="00C707CF">
        <w:trPr>
          <w:cantSplit/>
          <w:jc w:val="center"/>
        </w:trPr>
        <w:tc>
          <w:tcPr>
            <w:tcW w:w="417" w:type="dxa"/>
            <w:shd w:val="clear" w:color="auto" w:fill="D0CECE"/>
            <w:tcMar>
              <w:top w:w="10" w:type="dxa"/>
              <w:left w:w="10" w:type="dxa"/>
              <w:bottom w:w="10" w:type="dxa"/>
              <w:right w:w="10" w:type="dxa"/>
            </w:tcMar>
            <w:vAlign w:val="center"/>
          </w:tcPr>
          <w:p w14:paraId="4A876103"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序号</w:t>
            </w:r>
          </w:p>
        </w:tc>
        <w:tc>
          <w:tcPr>
            <w:tcW w:w="1531" w:type="dxa"/>
            <w:shd w:val="clear" w:color="auto" w:fill="D0CECE"/>
            <w:tcMar>
              <w:top w:w="10" w:type="dxa"/>
              <w:left w:w="10" w:type="dxa"/>
              <w:bottom w:w="10" w:type="dxa"/>
              <w:right w:w="10" w:type="dxa"/>
            </w:tcMar>
            <w:vAlign w:val="center"/>
          </w:tcPr>
          <w:p w14:paraId="5A320E72"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名称</w:t>
            </w:r>
          </w:p>
        </w:tc>
        <w:tc>
          <w:tcPr>
            <w:tcW w:w="1225" w:type="dxa"/>
            <w:shd w:val="clear" w:color="auto" w:fill="D0CECE"/>
            <w:tcMar>
              <w:top w:w="10" w:type="dxa"/>
              <w:left w:w="10" w:type="dxa"/>
              <w:bottom w:w="10" w:type="dxa"/>
              <w:right w:w="10" w:type="dxa"/>
            </w:tcMar>
            <w:vAlign w:val="center"/>
          </w:tcPr>
          <w:p w14:paraId="289E79A0"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注册分类</w:t>
            </w:r>
          </w:p>
        </w:tc>
        <w:tc>
          <w:tcPr>
            <w:tcW w:w="5088" w:type="dxa"/>
            <w:shd w:val="clear" w:color="auto" w:fill="D0CECE"/>
            <w:tcMar>
              <w:top w:w="10" w:type="dxa"/>
              <w:left w:w="10" w:type="dxa"/>
              <w:bottom w:w="10" w:type="dxa"/>
              <w:right w:w="10" w:type="dxa"/>
            </w:tcMar>
            <w:vAlign w:val="center"/>
          </w:tcPr>
          <w:p w14:paraId="3228FBBD"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临床用途</w:t>
            </w:r>
          </w:p>
        </w:tc>
        <w:tc>
          <w:tcPr>
            <w:tcW w:w="1026" w:type="dxa"/>
            <w:shd w:val="clear" w:color="auto" w:fill="D0CECE"/>
            <w:tcMar>
              <w:top w:w="10" w:type="dxa"/>
              <w:left w:w="10" w:type="dxa"/>
              <w:bottom w:w="10" w:type="dxa"/>
              <w:right w:w="10" w:type="dxa"/>
            </w:tcMar>
            <w:vAlign w:val="center"/>
          </w:tcPr>
          <w:p w14:paraId="558B0A41"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注册证</w:t>
            </w:r>
          </w:p>
          <w:p w14:paraId="78B788D8"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有效期</w:t>
            </w:r>
          </w:p>
        </w:tc>
        <w:tc>
          <w:tcPr>
            <w:tcW w:w="1325" w:type="dxa"/>
            <w:shd w:val="clear" w:color="auto" w:fill="D0CECE"/>
            <w:tcMar>
              <w:top w:w="10" w:type="dxa"/>
              <w:left w:w="10" w:type="dxa"/>
              <w:bottom w:w="10" w:type="dxa"/>
              <w:right w:w="10" w:type="dxa"/>
            </w:tcMar>
            <w:vAlign w:val="center"/>
          </w:tcPr>
          <w:p w14:paraId="2F120842"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注册</w:t>
            </w:r>
          </w:p>
          <w:p w14:paraId="4AECA79A" w14:textId="77777777" w:rsidR="00113A51" w:rsidRDefault="00766EC7">
            <w:pPr>
              <w:pStyle w:val="a9"/>
              <w:spacing w:before="40" w:beforeAutospacing="0" w:after="40" w:afterAutospacing="0"/>
              <w:jc w:val="center"/>
              <w:rPr>
                <w:rFonts w:ascii="Times New Roman" w:hAnsi="Times New Roman"/>
                <w:sz w:val="18"/>
                <w:szCs w:val="18"/>
              </w:rPr>
            </w:pPr>
            <w:r>
              <w:rPr>
                <w:rStyle w:val="aa"/>
                <w:rFonts w:ascii="Times New Roman" w:hAnsi="Times New Roman" w:hint="eastAsia"/>
                <w:sz w:val="18"/>
                <w:szCs w:val="18"/>
              </w:rPr>
              <w:t>情况</w:t>
            </w:r>
          </w:p>
        </w:tc>
      </w:tr>
      <w:tr w:rsidR="00113A51" w14:paraId="342BBA5C" w14:textId="77777777" w:rsidTr="00C707CF">
        <w:trPr>
          <w:cantSplit/>
          <w:jc w:val="center"/>
        </w:trPr>
        <w:tc>
          <w:tcPr>
            <w:tcW w:w="417" w:type="dxa"/>
            <w:vMerge w:val="restart"/>
            <w:tcMar>
              <w:top w:w="10" w:type="dxa"/>
              <w:left w:w="10" w:type="dxa"/>
              <w:bottom w:w="10" w:type="dxa"/>
              <w:right w:w="10" w:type="dxa"/>
            </w:tcMar>
            <w:vAlign w:val="center"/>
          </w:tcPr>
          <w:p w14:paraId="4786D67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1</w:t>
            </w:r>
          </w:p>
        </w:tc>
        <w:tc>
          <w:tcPr>
            <w:tcW w:w="1531" w:type="dxa"/>
            <w:tcMar>
              <w:top w:w="10" w:type="dxa"/>
              <w:left w:w="10" w:type="dxa"/>
              <w:bottom w:w="10" w:type="dxa"/>
              <w:right w:w="10" w:type="dxa"/>
            </w:tcMar>
            <w:vAlign w:val="center"/>
          </w:tcPr>
          <w:p w14:paraId="3E553EEF"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AffirmNow Creatinine Test Strips</w:t>
            </w:r>
          </w:p>
        </w:tc>
        <w:tc>
          <w:tcPr>
            <w:tcW w:w="1225" w:type="dxa"/>
            <w:tcMar>
              <w:top w:w="10" w:type="dxa"/>
              <w:left w:w="10" w:type="dxa"/>
              <w:bottom w:w="10" w:type="dxa"/>
              <w:right w:w="10" w:type="dxa"/>
            </w:tcMar>
            <w:vAlign w:val="center"/>
          </w:tcPr>
          <w:p w14:paraId="2346D142"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Class B</w:t>
            </w:r>
          </w:p>
        </w:tc>
        <w:tc>
          <w:tcPr>
            <w:tcW w:w="5088" w:type="dxa"/>
            <w:tcMar>
              <w:top w:w="10" w:type="dxa"/>
              <w:left w:w="10" w:type="dxa"/>
              <w:bottom w:w="10" w:type="dxa"/>
              <w:right w:w="10" w:type="dxa"/>
            </w:tcMar>
            <w:vAlign w:val="center"/>
          </w:tcPr>
          <w:p w14:paraId="18F8F743"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The AffirmNow Creatinine Test Strips are used only with AffirmNow Creatinine Analyzers. It is for quantitative measurement of creatinine in capillary (fingerstick) whole blood or venous whole blood. Creatinine measurements may be used to monitor renal dialysis and an aid in the diagnosis and monitor renal diseases.</w:t>
            </w:r>
          </w:p>
        </w:tc>
        <w:tc>
          <w:tcPr>
            <w:tcW w:w="1026" w:type="dxa"/>
            <w:vMerge w:val="restart"/>
            <w:tcMar>
              <w:top w:w="10" w:type="dxa"/>
              <w:left w:w="10" w:type="dxa"/>
              <w:bottom w:w="10" w:type="dxa"/>
              <w:right w:w="10" w:type="dxa"/>
            </w:tcMar>
            <w:vAlign w:val="center"/>
          </w:tcPr>
          <w:p w14:paraId="68876EF9"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2030.06.22</w:t>
            </w:r>
          </w:p>
        </w:tc>
        <w:tc>
          <w:tcPr>
            <w:tcW w:w="1325" w:type="dxa"/>
            <w:vMerge w:val="restart"/>
            <w:tcMar>
              <w:top w:w="10" w:type="dxa"/>
              <w:left w:w="10" w:type="dxa"/>
              <w:bottom w:w="10" w:type="dxa"/>
              <w:right w:w="10" w:type="dxa"/>
            </w:tcMar>
            <w:vAlign w:val="center"/>
          </w:tcPr>
          <w:p w14:paraId="79A98704"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2025.06.24</w:t>
            </w:r>
            <w:r>
              <w:rPr>
                <w:rFonts w:ascii="Times New Roman" w:hAnsi="Times New Roman" w:hint="eastAsia"/>
                <w:sz w:val="18"/>
                <w:szCs w:val="18"/>
              </w:rPr>
              <w:t>获得</w:t>
            </w:r>
            <w:r>
              <w:rPr>
                <w:rFonts w:ascii="Times New Roman" w:hAnsi="Times New Roman" w:cs="Times New Roman"/>
                <w:sz w:val="18"/>
                <w:szCs w:val="18"/>
              </w:rPr>
              <w:t>CE</w:t>
            </w:r>
            <w:r>
              <w:rPr>
                <w:rFonts w:ascii="Times New Roman" w:hAnsi="Times New Roman" w:hint="eastAsia"/>
                <w:sz w:val="18"/>
                <w:szCs w:val="18"/>
              </w:rPr>
              <w:t>认证</w:t>
            </w:r>
          </w:p>
        </w:tc>
      </w:tr>
      <w:tr w:rsidR="00113A51" w14:paraId="44AAC6C3" w14:textId="77777777" w:rsidTr="00C707CF">
        <w:trPr>
          <w:cantSplit/>
          <w:jc w:val="center"/>
        </w:trPr>
        <w:tc>
          <w:tcPr>
            <w:tcW w:w="417" w:type="dxa"/>
            <w:vMerge/>
            <w:vAlign w:val="center"/>
          </w:tcPr>
          <w:p w14:paraId="5F49BB14" w14:textId="77777777" w:rsidR="00113A51" w:rsidRDefault="00113A51">
            <w:pPr>
              <w:jc w:val="center"/>
              <w:rPr>
                <w:rFonts w:ascii="Times New Roman" w:eastAsia="宋体" w:hAnsi="Times New Roman" w:cs="宋体"/>
                <w:sz w:val="18"/>
                <w:szCs w:val="18"/>
              </w:rPr>
            </w:pPr>
          </w:p>
        </w:tc>
        <w:tc>
          <w:tcPr>
            <w:tcW w:w="1531" w:type="dxa"/>
            <w:tcMar>
              <w:top w:w="10" w:type="dxa"/>
              <w:left w:w="10" w:type="dxa"/>
              <w:bottom w:w="10" w:type="dxa"/>
              <w:right w:w="10" w:type="dxa"/>
            </w:tcMar>
            <w:vAlign w:val="center"/>
          </w:tcPr>
          <w:p w14:paraId="4F76EC3F"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AffirmNow Creatinine Control Solution</w:t>
            </w:r>
          </w:p>
        </w:tc>
        <w:tc>
          <w:tcPr>
            <w:tcW w:w="1225" w:type="dxa"/>
            <w:tcMar>
              <w:top w:w="10" w:type="dxa"/>
              <w:left w:w="10" w:type="dxa"/>
              <w:bottom w:w="10" w:type="dxa"/>
              <w:right w:w="10" w:type="dxa"/>
            </w:tcMar>
            <w:vAlign w:val="center"/>
          </w:tcPr>
          <w:p w14:paraId="7FF2F67C"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Class B</w:t>
            </w:r>
          </w:p>
        </w:tc>
        <w:tc>
          <w:tcPr>
            <w:tcW w:w="5088" w:type="dxa"/>
            <w:tcMar>
              <w:top w:w="10" w:type="dxa"/>
              <w:left w:w="10" w:type="dxa"/>
              <w:bottom w:w="10" w:type="dxa"/>
              <w:right w:w="10" w:type="dxa"/>
            </w:tcMar>
            <w:vAlign w:val="center"/>
          </w:tcPr>
          <w:p w14:paraId="4ECC38C8"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The AffirmNow Creatinine Control Solution is for use only with AffirmNow Creatinine Analyzer and AffirmNow Creatinine Test Strips to check that the analyzer and test strip are working together properly and that the test is performing correctly.</w:t>
            </w:r>
          </w:p>
        </w:tc>
        <w:tc>
          <w:tcPr>
            <w:tcW w:w="1026" w:type="dxa"/>
            <w:vMerge/>
            <w:vAlign w:val="center"/>
          </w:tcPr>
          <w:p w14:paraId="2466FC02" w14:textId="77777777" w:rsidR="00113A51" w:rsidRDefault="00113A51">
            <w:pPr>
              <w:rPr>
                <w:rFonts w:ascii="Times New Roman" w:eastAsia="宋体" w:hAnsi="Times New Roman" w:cs="宋体"/>
                <w:sz w:val="18"/>
                <w:szCs w:val="18"/>
              </w:rPr>
            </w:pPr>
          </w:p>
        </w:tc>
        <w:tc>
          <w:tcPr>
            <w:tcW w:w="1325" w:type="dxa"/>
            <w:vMerge/>
            <w:vAlign w:val="center"/>
          </w:tcPr>
          <w:p w14:paraId="3987AD94" w14:textId="77777777" w:rsidR="00113A51" w:rsidRDefault="00113A51">
            <w:pPr>
              <w:rPr>
                <w:rFonts w:ascii="Times New Roman" w:eastAsia="宋体" w:hAnsi="Times New Roman" w:cs="宋体"/>
                <w:sz w:val="18"/>
                <w:szCs w:val="18"/>
              </w:rPr>
            </w:pPr>
          </w:p>
        </w:tc>
      </w:tr>
      <w:tr w:rsidR="00113A51" w14:paraId="56A35228" w14:textId="77777777" w:rsidTr="00C707CF">
        <w:trPr>
          <w:cantSplit/>
          <w:jc w:val="center"/>
        </w:trPr>
        <w:tc>
          <w:tcPr>
            <w:tcW w:w="417" w:type="dxa"/>
            <w:tcMar>
              <w:top w:w="10" w:type="dxa"/>
              <w:left w:w="10" w:type="dxa"/>
              <w:bottom w:w="10" w:type="dxa"/>
              <w:right w:w="10" w:type="dxa"/>
            </w:tcMar>
            <w:vAlign w:val="center"/>
          </w:tcPr>
          <w:p w14:paraId="42D006E8"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2</w:t>
            </w:r>
          </w:p>
        </w:tc>
        <w:tc>
          <w:tcPr>
            <w:tcW w:w="1531" w:type="dxa"/>
            <w:tcMar>
              <w:top w:w="10" w:type="dxa"/>
              <w:left w:w="10" w:type="dxa"/>
              <w:bottom w:w="10" w:type="dxa"/>
              <w:right w:w="10" w:type="dxa"/>
            </w:tcMar>
            <w:vAlign w:val="center"/>
          </w:tcPr>
          <w:p w14:paraId="32CCF30D"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iCan view Glucose Data Reader (model: iCGM-V3)</w:t>
            </w:r>
          </w:p>
        </w:tc>
        <w:tc>
          <w:tcPr>
            <w:tcW w:w="1225" w:type="dxa"/>
            <w:tcMar>
              <w:top w:w="10" w:type="dxa"/>
              <w:left w:w="10" w:type="dxa"/>
              <w:bottom w:w="10" w:type="dxa"/>
              <w:right w:w="10" w:type="dxa"/>
            </w:tcMar>
            <w:vAlign w:val="center"/>
          </w:tcPr>
          <w:p w14:paraId="1F7FEFB0"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IIb</w:t>
            </w:r>
          </w:p>
        </w:tc>
        <w:tc>
          <w:tcPr>
            <w:tcW w:w="5088" w:type="dxa"/>
            <w:tcMar>
              <w:top w:w="10" w:type="dxa"/>
              <w:left w:w="10" w:type="dxa"/>
              <w:bottom w:w="10" w:type="dxa"/>
              <w:right w:w="10" w:type="dxa"/>
            </w:tcMar>
            <w:vAlign w:val="center"/>
          </w:tcPr>
          <w:p w14:paraId="29B3595D"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iCan view Glucose Data Reader is used to display iCan CGM glucose data sent from the transmitter. It also provides alerts based on the glucose settings you choose. Reader is used with iCan CGM only. The iCan CGM is a real time, continuous glucose monitoring device indicated for the management of diabetes for people age 2 years and older. It is intended to replace fingerstick blood glucose testing for diabetes treatment decisions.</w:t>
            </w:r>
          </w:p>
        </w:tc>
        <w:tc>
          <w:tcPr>
            <w:tcW w:w="1026" w:type="dxa"/>
            <w:tcMar>
              <w:top w:w="10" w:type="dxa"/>
              <w:left w:w="10" w:type="dxa"/>
              <w:bottom w:w="10" w:type="dxa"/>
              <w:right w:w="10" w:type="dxa"/>
            </w:tcMar>
            <w:vAlign w:val="center"/>
          </w:tcPr>
          <w:p w14:paraId="786EADE8"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2028.09.27</w:t>
            </w:r>
          </w:p>
        </w:tc>
        <w:tc>
          <w:tcPr>
            <w:tcW w:w="1325" w:type="dxa"/>
            <w:tcMar>
              <w:top w:w="10" w:type="dxa"/>
              <w:left w:w="10" w:type="dxa"/>
              <w:bottom w:w="10" w:type="dxa"/>
              <w:right w:w="10" w:type="dxa"/>
            </w:tcMar>
            <w:vAlign w:val="center"/>
          </w:tcPr>
          <w:p w14:paraId="452ED6B6"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2025.04.24</w:t>
            </w:r>
            <w:r>
              <w:rPr>
                <w:rFonts w:ascii="Times New Roman" w:hAnsi="Times New Roman" w:hint="eastAsia"/>
                <w:sz w:val="18"/>
                <w:szCs w:val="18"/>
              </w:rPr>
              <w:t>获得</w:t>
            </w:r>
            <w:r>
              <w:rPr>
                <w:rFonts w:ascii="Times New Roman" w:hAnsi="Times New Roman" w:cs="Times New Roman"/>
                <w:sz w:val="18"/>
                <w:szCs w:val="18"/>
              </w:rPr>
              <w:t>CE</w:t>
            </w:r>
            <w:r>
              <w:rPr>
                <w:rFonts w:ascii="Times New Roman" w:hAnsi="Times New Roman" w:hint="eastAsia"/>
                <w:sz w:val="18"/>
                <w:szCs w:val="18"/>
              </w:rPr>
              <w:t>认证</w:t>
            </w:r>
          </w:p>
        </w:tc>
      </w:tr>
      <w:tr w:rsidR="00113A51" w14:paraId="1A0AA6B6" w14:textId="77777777" w:rsidTr="00C707CF">
        <w:trPr>
          <w:cantSplit/>
          <w:jc w:val="center"/>
        </w:trPr>
        <w:tc>
          <w:tcPr>
            <w:tcW w:w="417" w:type="dxa"/>
            <w:tcMar>
              <w:top w:w="10" w:type="dxa"/>
              <w:left w:w="10" w:type="dxa"/>
              <w:bottom w:w="10" w:type="dxa"/>
              <w:right w:w="10" w:type="dxa"/>
            </w:tcMar>
            <w:vAlign w:val="center"/>
          </w:tcPr>
          <w:p w14:paraId="6C77A602"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3</w:t>
            </w:r>
          </w:p>
        </w:tc>
        <w:tc>
          <w:tcPr>
            <w:tcW w:w="1531" w:type="dxa"/>
            <w:tcMar>
              <w:top w:w="10" w:type="dxa"/>
              <w:left w:w="10" w:type="dxa"/>
              <w:bottom w:w="10" w:type="dxa"/>
              <w:right w:w="10" w:type="dxa"/>
            </w:tcMar>
            <w:vAlign w:val="center"/>
          </w:tcPr>
          <w:p w14:paraId="3031ADA3"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AffirmNow Creatinine Analyzer</w:t>
            </w:r>
          </w:p>
        </w:tc>
        <w:tc>
          <w:tcPr>
            <w:tcW w:w="1225" w:type="dxa"/>
            <w:tcMar>
              <w:top w:w="10" w:type="dxa"/>
              <w:left w:w="10" w:type="dxa"/>
              <w:bottom w:w="10" w:type="dxa"/>
              <w:right w:w="10" w:type="dxa"/>
            </w:tcMar>
            <w:vAlign w:val="center"/>
          </w:tcPr>
          <w:p w14:paraId="440BF51E"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Class A</w:t>
            </w:r>
          </w:p>
        </w:tc>
        <w:tc>
          <w:tcPr>
            <w:tcW w:w="5088" w:type="dxa"/>
            <w:tcMar>
              <w:top w:w="10" w:type="dxa"/>
              <w:left w:w="10" w:type="dxa"/>
              <w:bottom w:w="10" w:type="dxa"/>
              <w:right w:w="10" w:type="dxa"/>
            </w:tcMar>
            <w:vAlign w:val="center"/>
          </w:tcPr>
          <w:p w14:paraId="6561D8B8"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The AffirmNow Creatinine Analyzer is a small, portable analyzer for healthcare professionals to perform near patient testing. The analyzer is intended for multiple patient use and is intended for in vitro diagnostic use only. This product is not to be used on neonates.</w:t>
            </w:r>
          </w:p>
        </w:tc>
        <w:tc>
          <w:tcPr>
            <w:tcW w:w="1026" w:type="dxa"/>
            <w:tcMar>
              <w:top w:w="10" w:type="dxa"/>
              <w:left w:w="10" w:type="dxa"/>
              <w:bottom w:w="10" w:type="dxa"/>
              <w:right w:w="10" w:type="dxa"/>
            </w:tcMar>
            <w:vAlign w:val="center"/>
          </w:tcPr>
          <w:p w14:paraId="0CF0C53E"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hint="eastAsia"/>
                <w:sz w:val="18"/>
                <w:szCs w:val="18"/>
              </w:rPr>
              <w:t>永久有效</w:t>
            </w:r>
          </w:p>
        </w:tc>
        <w:tc>
          <w:tcPr>
            <w:tcW w:w="1325" w:type="dxa"/>
            <w:tcMar>
              <w:top w:w="10" w:type="dxa"/>
              <w:left w:w="10" w:type="dxa"/>
              <w:bottom w:w="10" w:type="dxa"/>
              <w:right w:w="10" w:type="dxa"/>
            </w:tcMar>
            <w:vAlign w:val="center"/>
          </w:tcPr>
          <w:p w14:paraId="4923353A"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2025.06.15</w:t>
            </w:r>
            <w:r>
              <w:rPr>
                <w:rFonts w:ascii="Times New Roman" w:hAnsi="Times New Roman" w:hint="eastAsia"/>
                <w:sz w:val="18"/>
                <w:szCs w:val="18"/>
              </w:rPr>
              <w:t>获得</w:t>
            </w:r>
            <w:r>
              <w:rPr>
                <w:rFonts w:ascii="Times New Roman" w:hAnsi="Times New Roman" w:cs="Times New Roman"/>
                <w:sz w:val="18"/>
                <w:szCs w:val="18"/>
              </w:rPr>
              <w:t>CE</w:t>
            </w:r>
            <w:r>
              <w:rPr>
                <w:rFonts w:ascii="Times New Roman" w:hAnsi="Times New Roman" w:hint="eastAsia"/>
                <w:sz w:val="18"/>
                <w:szCs w:val="18"/>
              </w:rPr>
              <w:t>自我宣称</w:t>
            </w:r>
          </w:p>
        </w:tc>
      </w:tr>
      <w:tr w:rsidR="00113A51" w14:paraId="18900F9C" w14:textId="77777777" w:rsidTr="00C707CF">
        <w:trPr>
          <w:cantSplit/>
          <w:jc w:val="center"/>
        </w:trPr>
        <w:tc>
          <w:tcPr>
            <w:tcW w:w="417" w:type="dxa"/>
            <w:tcMar>
              <w:top w:w="10" w:type="dxa"/>
              <w:left w:w="10" w:type="dxa"/>
              <w:bottom w:w="10" w:type="dxa"/>
              <w:right w:w="10" w:type="dxa"/>
            </w:tcMar>
            <w:vAlign w:val="center"/>
          </w:tcPr>
          <w:p w14:paraId="643952A9"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4</w:t>
            </w:r>
          </w:p>
        </w:tc>
        <w:tc>
          <w:tcPr>
            <w:tcW w:w="1531" w:type="dxa"/>
            <w:tcMar>
              <w:top w:w="10" w:type="dxa"/>
              <w:left w:w="10" w:type="dxa"/>
              <w:bottom w:w="10" w:type="dxa"/>
              <w:right w:w="10" w:type="dxa"/>
            </w:tcMar>
            <w:vAlign w:val="center"/>
          </w:tcPr>
          <w:p w14:paraId="43FE18A4"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Portable Automatic Multi-Function Analyzer</w:t>
            </w:r>
            <w:r>
              <w:rPr>
                <w:rFonts w:ascii="Times New Roman" w:hAnsi="Times New Roman" w:hint="eastAsia"/>
                <w:sz w:val="18"/>
                <w:szCs w:val="18"/>
              </w:rPr>
              <w:t>（</w:t>
            </w:r>
            <w:r>
              <w:rPr>
                <w:rFonts w:ascii="Times New Roman" w:hAnsi="Times New Roman" w:cs="Times New Roman"/>
                <w:sz w:val="18"/>
                <w:szCs w:val="18"/>
              </w:rPr>
              <w:t>iCARE-1300</w:t>
            </w:r>
            <w:r>
              <w:rPr>
                <w:rFonts w:ascii="Times New Roman" w:hAnsi="Times New Roman" w:hint="eastAsia"/>
                <w:sz w:val="18"/>
                <w:szCs w:val="18"/>
              </w:rPr>
              <w:t>）</w:t>
            </w:r>
          </w:p>
        </w:tc>
        <w:tc>
          <w:tcPr>
            <w:tcW w:w="1225" w:type="dxa"/>
            <w:tcMar>
              <w:top w:w="10" w:type="dxa"/>
              <w:left w:w="10" w:type="dxa"/>
              <w:bottom w:w="10" w:type="dxa"/>
              <w:right w:w="10" w:type="dxa"/>
            </w:tcMar>
            <w:vAlign w:val="center"/>
          </w:tcPr>
          <w:p w14:paraId="73C61255"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Class A</w:t>
            </w:r>
          </w:p>
        </w:tc>
        <w:tc>
          <w:tcPr>
            <w:tcW w:w="5088" w:type="dxa"/>
            <w:tcMar>
              <w:top w:w="10" w:type="dxa"/>
              <w:left w:w="10" w:type="dxa"/>
              <w:bottom w:w="10" w:type="dxa"/>
              <w:right w:w="10" w:type="dxa"/>
            </w:tcMar>
            <w:vAlign w:val="center"/>
          </w:tcPr>
          <w:p w14:paraId="197470E5"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The Portable Automatic Multi-Function Analyzer is intended to be used with compatible reagent kits in laboratories of medical institutions and clinical departments. It is suitable for the automatically and quantitatively detection of the biochemical, coagulation and other physiological indicators in whole blood taken from the fingertip (capillary) or from the vein (venous), serum, plasma, urine and other samples (in vitro diagnostic use only). It is intended to be used by professional users for near patient testing or laboratory testing as an aid of diagnosis related disease.</w:t>
            </w:r>
          </w:p>
        </w:tc>
        <w:tc>
          <w:tcPr>
            <w:tcW w:w="1026" w:type="dxa"/>
            <w:tcMar>
              <w:top w:w="10" w:type="dxa"/>
              <w:left w:w="10" w:type="dxa"/>
              <w:bottom w:w="10" w:type="dxa"/>
              <w:right w:w="10" w:type="dxa"/>
            </w:tcMar>
            <w:vAlign w:val="center"/>
          </w:tcPr>
          <w:p w14:paraId="00C56531"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hint="eastAsia"/>
                <w:sz w:val="18"/>
                <w:szCs w:val="18"/>
              </w:rPr>
              <w:t>永久有效</w:t>
            </w:r>
          </w:p>
        </w:tc>
        <w:tc>
          <w:tcPr>
            <w:tcW w:w="1325" w:type="dxa"/>
            <w:tcMar>
              <w:top w:w="10" w:type="dxa"/>
              <w:left w:w="10" w:type="dxa"/>
              <w:bottom w:w="10" w:type="dxa"/>
              <w:right w:w="10" w:type="dxa"/>
            </w:tcMar>
            <w:vAlign w:val="center"/>
          </w:tcPr>
          <w:p w14:paraId="4E0584FC"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2025.06.15</w:t>
            </w:r>
            <w:r>
              <w:rPr>
                <w:rFonts w:ascii="Times New Roman" w:hAnsi="Times New Roman" w:hint="eastAsia"/>
                <w:sz w:val="18"/>
                <w:szCs w:val="18"/>
              </w:rPr>
              <w:t>获得</w:t>
            </w:r>
            <w:r>
              <w:rPr>
                <w:rFonts w:ascii="Times New Roman" w:hAnsi="Times New Roman" w:cs="Times New Roman"/>
                <w:sz w:val="18"/>
                <w:szCs w:val="18"/>
              </w:rPr>
              <w:t>CE</w:t>
            </w:r>
            <w:r>
              <w:rPr>
                <w:rFonts w:ascii="Times New Roman" w:hAnsi="Times New Roman" w:hint="eastAsia"/>
                <w:sz w:val="18"/>
                <w:szCs w:val="18"/>
              </w:rPr>
              <w:t>自我宣称</w:t>
            </w:r>
          </w:p>
        </w:tc>
      </w:tr>
      <w:tr w:rsidR="00113A51" w14:paraId="7659B101" w14:textId="77777777" w:rsidTr="00C707CF">
        <w:trPr>
          <w:cantSplit/>
          <w:jc w:val="center"/>
        </w:trPr>
        <w:tc>
          <w:tcPr>
            <w:tcW w:w="417" w:type="dxa"/>
            <w:tcMar>
              <w:top w:w="10" w:type="dxa"/>
              <w:left w:w="10" w:type="dxa"/>
              <w:bottom w:w="10" w:type="dxa"/>
              <w:right w:w="10" w:type="dxa"/>
            </w:tcMar>
            <w:vAlign w:val="center"/>
          </w:tcPr>
          <w:p w14:paraId="1C3FC116" w14:textId="77777777" w:rsidR="00113A51" w:rsidRDefault="00766EC7">
            <w:pPr>
              <w:widowControl/>
              <w:spacing w:before="100" w:beforeAutospacing="1" w:after="100" w:afterAutospacing="1"/>
              <w:jc w:val="center"/>
              <w:rPr>
                <w:rFonts w:ascii="Times New Roman" w:eastAsia="宋体" w:hAnsi="Times New Roman"/>
                <w:sz w:val="18"/>
                <w:szCs w:val="18"/>
              </w:rPr>
            </w:pPr>
            <w:r>
              <w:rPr>
                <w:rFonts w:ascii="Times New Roman" w:eastAsia="宋体" w:hAnsi="Times New Roman" w:hint="eastAsia"/>
                <w:sz w:val="18"/>
                <w:szCs w:val="18"/>
              </w:rPr>
              <w:t>5</w:t>
            </w:r>
          </w:p>
        </w:tc>
        <w:tc>
          <w:tcPr>
            <w:tcW w:w="1531" w:type="dxa"/>
            <w:tcMar>
              <w:top w:w="10" w:type="dxa"/>
              <w:left w:w="10" w:type="dxa"/>
              <w:bottom w:w="10" w:type="dxa"/>
              <w:right w:w="10" w:type="dxa"/>
            </w:tcMar>
            <w:vAlign w:val="center"/>
          </w:tcPr>
          <w:p w14:paraId="6333875E"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Continuous Glucose Monitoring System (model: i6, H6, i7 and H7)</w:t>
            </w:r>
          </w:p>
        </w:tc>
        <w:tc>
          <w:tcPr>
            <w:tcW w:w="1225" w:type="dxa"/>
            <w:tcMar>
              <w:top w:w="10" w:type="dxa"/>
              <w:left w:w="10" w:type="dxa"/>
              <w:bottom w:w="10" w:type="dxa"/>
              <w:right w:w="10" w:type="dxa"/>
            </w:tcMar>
            <w:vAlign w:val="center"/>
          </w:tcPr>
          <w:p w14:paraId="7260E954"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IIb</w:t>
            </w:r>
          </w:p>
        </w:tc>
        <w:tc>
          <w:tcPr>
            <w:tcW w:w="5088" w:type="dxa"/>
            <w:tcMar>
              <w:top w:w="10" w:type="dxa"/>
              <w:left w:w="10" w:type="dxa"/>
              <w:bottom w:w="10" w:type="dxa"/>
              <w:right w:w="10" w:type="dxa"/>
            </w:tcMar>
            <w:vAlign w:val="center"/>
          </w:tcPr>
          <w:p w14:paraId="5846B2B5"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Continuous Glucose Monitoring System (CGM System) is a real time, continuous glucose monitoring device indicated for the measuring glucose in the interstitial fluid in persons age 2 years and older. It is intended to replace fingerstick blood glucose testing for diabetes treatment decisions.</w:t>
            </w:r>
          </w:p>
          <w:p w14:paraId="7E0562E9"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The CGM System also detects trends and tracks patterns, and aids in the detection of episodes of hyperglycemia and hypoglycemia, facilitating both acute and long-term therapy adjustments. Interpretation of the CGM System results should be based on the glucose trends and several sequential readings over time.</w:t>
            </w:r>
          </w:p>
          <w:p w14:paraId="6DFA1690" w14:textId="77777777" w:rsidR="00113A51" w:rsidRDefault="00766EC7">
            <w:pPr>
              <w:pStyle w:val="a9"/>
              <w:spacing w:before="40" w:beforeAutospacing="0" w:after="40" w:afterAutospacing="0"/>
              <w:jc w:val="both"/>
              <w:rPr>
                <w:rFonts w:ascii="Times New Roman" w:hAnsi="Times New Roman"/>
                <w:sz w:val="18"/>
                <w:szCs w:val="18"/>
              </w:rPr>
            </w:pPr>
            <w:r>
              <w:rPr>
                <w:rFonts w:ascii="Times New Roman" w:hAnsi="Times New Roman" w:cs="Times New Roman"/>
                <w:sz w:val="18"/>
                <w:szCs w:val="18"/>
              </w:rPr>
              <w:t>The CGM System can be used in conjunction with smart devices with corresponding application where the user manually controls actions for therapy decisions.</w:t>
            </w:r>
          </w:p>
        </w:tc>
        <w:tc>
          <w:tcPr>
            <w:tcW w:w="1026" w:type="dxa"/>
            <w:tcMar>
              <w:top w:w="10" w:type="dxa"/>
              <w:left w:w="10" w:type="dxa"/>
              <w:bottom w:w="10" w:type="dxa"/>
              <w:right w:w="10" w:type="dxa"/>
            </w:tcMar>
            <w:vAlign w:val="center"/>
          </w:tcPr>
          <w:p w14:paraId="46948EE1"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2028.09.27</w:t>
            </w:r>
          </w:p>
        </w:tc>
        <w:tc>
          <w:tcPr>
            <w:tcW w:w="1325" w:type="dxa"/>
            <w:tcMar>
              <w:top w:w="10" w:type="dxa"/>
              <w:left w:w="10" w:type="dxa"/>
              <w:bottom w:w="10" w:type="dxa"/>
              <w:right w:w="10" w:type="dxa"/>
            </w:tcMar>
            <w:vAlign w:val="center"/>
          </w:tcPr>
          <w:p w14:paraId="00F37698" w14:textId="77777777" w:rsidR="00113A51" w:rsidRDefault="00766EC7">
            <w:pPr>
              <w:pStyle w:val="a9"/>
              <w:spacing w:before="40" w:beforeAutospacing="0" w:after="40" w:afterAutospacing="0"/>
              <w:jc w:val="center"/>
              <w:rPr>
                <w:rFonts w:ascii="Times New Roman" w:hAnsi="Times New Roman"/>
                <w:sz w:val="18"/>
                <w:szCs w:val="18"/>
              </w:rPr>
            </w:pPr>
            <w:r>
              <w:rPr>
                <w:rFonts w:ascii="Times New Roman" w:hAnsi="Times New Roman" w:cs="Times New Roman"/>
                <w:sz w:val="18"/>
                <w:szCs w:val="18"/>
              </w:rPr>
              <w:t>2025.07.02</w:t>
            </w:r>
            <w:r>
              <w:rPr>
                <w:rFonts w:ascii="Times New Roman" w:hAnsi="Times New Roman" w:hint="eastAsia"/>
                <w:sz w:val="18"/>
                <w:szCs w:val="18"/>
              </w:rPr>
              <w:t>获得</w:t>
            </w:r>
            <w:r>
              <w:rPr>
                <w:rFonts w:ascii="Times New Roman" w:hAnsi="Times New Roman" w:cs="Times New Roman"/>
                <w:sz w:val="18"/>
                <w:szCs w:val="18"/>
              </w:rPr>
              <w:t>CE</w:t>
            </w:r>
            <w:r>
              <w:rPr>
                <w:rFonts w:ascii="Times New Roman" w:hAnsi="Times New Roman" w:hint="eastAsia"/>
                <w:sz w:val="18"/>
                <w:szCs w:val="18"/>
              </w:rPr>
              <w:t>认证</w:t>
            </w:r>
          </w:p>
        </w:tc>
      </w:tr>
    </w:tbl>
    <w:p w14:paraId="7B4207AA"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截至</w:t>
      </w:r>
      <w:r>
        <w:rPr>
          <w:rFonts w:ascii="Times New Roman" w:eastAsia="等线" w:hAnsi="Times New Roman" w:cs="Times New Roman"/>
          <w:sz w:val="21"/>
          <w:szCs w:val="21"/>
        </w:rPr>
        <w:t>2025</w:t>
      </w:r>
      <w:r>
        <w:rPr>
          <w:rFonts w:hint="eastAsia"/>
          <w:sz w:val="21"/>
          <w:szCs w:val="21"/>
        </w:rPr>
        <w:t>年</w:t>
      </w:r>
      <w:r>
        <w:rPr>
          <w:rFonts w:ascii="Times New Roman" w:eastAsia="等线" w:hAnsi="Times New Roman" w:cs="Times New Roman"/>
          <w:sz w:val="21"/>
          <w:szCs w:val="21"/>
        </w:rPr>
        <w:t>12</w:t>
      </w:r>
      <w:r>
        <w:rPr>
          <w:rFonts w:hint="eastAsia"/>
          <w:sz w:val="21"/>
          <w:szCs w:val="21"/>
        </w:rPr>
        <w:t>月</w:t>
      </w:r>
      <w:r>
        <w:rPr>
          <w:rFonts w:ascii="Times New Roman" w:eastAsia="等线" w:hAnsi="Times New Roman" w:cs="Times New Roman"/>
          <w:sz w:val="21"/>
          <w:szCs w:val="21"/>
        </w:rPr>
        <w:t>31</w:t>
      </w:r>
      <w:r>
        <w:rPr>
          <w:rFonts w:hint="eastAsia"/>
          <w:sz w:val="21"/>
          <w:szCs w:val="21"/>
        </w:rPr>
        <w:t>日，上市公司处于注册阶段的产品</w:t>
      </w:r>
      <w:r>
        <w:rPr>
          <w:rFonts w:ascii="Times New Roman" w:eastAsia="等线" w:hAnsi="Times New Roman" w:cs="Times New Roman"/>
          <w:sz w:val="21"/>
          <w:szCs w:val="21"/>
        </w:rPr>
        <w:t>11</w:t>
      </w:r>
      <w:r>
        <w:rPr>
          <w:rFonts w:hint="eastAsia"/>
          <w:sz w:val="21"/>
          <w:szCs w:val="21"/>
        </w:rPr>
        <w:t>项，其中正在申请的国内医疗器械产品注册证</w:t>
      </w:r>
      <w:r>
        <w:rPr>
          <w:rFonts w:ascii="Times New Roman" w:eastAsia="等线" w:hAnsi="Times New Roman" w:cs="Times New Roman"/>
          <w:sz w:val="21"/>
          <w:szCs w:val="21"/>
        </w:rPr>
        <w:t>6</w:t>
      </w:r>
      <w:r>
        <w:rPr>
          <w:rFonts w:hint="eastAsia"/>
          <w:sz w:val="21"/>
          <w:szCs w:val="21"/>
        </w:rPr>
        <w:t>项，正在申请的</w:t>
      </w:r>
      <w:r>
        <w:rPr>
          <w:rFonts w:ascii="Times New Roman" w:eastAsia="等线" w:hAnsi="Times New Roman" w:cs="Times New Roman"/>
          <w:sz w:val="21"/>
          <w:szCs w:val="21"/>
        </w:rPr>
        <w:t>CE</w:t>
      </w:r>
      <w:r>
        <w:rPr>
          <w:rFonts w:hint="eastAsia"/>
          <w:sz w:val="21"/>
          <w:szCs w:val="21"/>
        </w:rPr>
        <w:t>产品注册证</w:t>
      </w:r>
      <w:r>
        <w:rPr>
          <w:rFonts w:ascii="Times New Roman" w:eastAsia="等线" w:hAnsi="Times New Roman" w:cs="Times New Roman"/>
          <w:sz w:val="21"/>
          <w:szCs w:val="21"/>
        </w:rPr>
        <w:t>5</w:t>
      </w:r>
      <w:r>
        <w:rPr>
          <w:rFonts w:hint="eastAsia"/>
          <w:sz w:val="21"/>
          <w:szCs w:val="21"/>
        </w:rPr>
        <w:t>项，具体明细如下：</w:t>
      </w: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5"/>
        <w:gridCol w:w="1814"/>
        <w:gridCol w:w="708"/>
        <w:gridCol w:w="5246"/>
        <w:gridCol w:w="1389"/>
        <w:gridCol w:w="975"/>
      </w:tblGrid>
      <w:tr w:rsidR="00113A51" w14:paraId="096A06FF" w14:textId="77777777" w:rsidTr="00C707CF">
        <w:trPr>
          <w:cantSplit/>
          <w:jc w:val="center"/>
        </w:trPr>
        <w:tc>
          <w:tcPr>
            <w:tcW w:w="455" w:type="dxa"/>
            <w:shd w:val="clear" w:color="auto" w:fill="D0CECE"/>
            <w:tcMar>
              <w:top w:w="10" w:type="dxa"/>
              <w:left w:w="10" w:type="dxa"/>
              <w:bottom w:w="10" w:type="dxa"/>
              <w:right w:w="10" w:type="dxa"/>
            </w:tcMar>
            <w:vAlign w:val="center"/>
          </w:tcPr>
          <w:p w14:paraId="0303D1C9"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序号</w:t>
            </w:r>
          </w:p>
        </w:tc>
        <w:tc>
          <w:tcPr>
            <w:tcW w:w="1814" w:type="dxa"/>
            <w:shd w:val="clear" w:color="auto" w:fill="D0CECE"/>
            <w:tcMar>
              <w:top w:w="10" w:type="dxa"/>
              <w:left w:w="10" w:type="dxa"/>
              <w:bottom w:w="10" w:type="dxa"/>
              <w:right w:w="10" w:type="dxa"/>
            </w:tcMar>
            <w:vAlign w:val="center"/>
          </w:tcPr>
          <w:p w14:paraId="7427DEA1"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名称</w:t>
            </w:r>
          </w:p>
        </w:tc>
        <w:tc>
          <w:tcPr>
            <w:tcW w:w="708" w:type="dxa"/>
            <w:shd w:val="clear" w:color="auto" w:fill="D0CECE"/>
            <w:tcMar>
              <w:top w:w="10" w:type="dxa"/>
              <w:left w:w="10" w:type="dxa"/>
              <w:bottom w:w="10" w:type="dxa"/>
              <w:right w:w="10" w:type="dxa"/>
            </w:tcMar>
            <w:vAlign w:val="center"/>
          </w:tcPr>
          <w:p w14:paraId="2C0F8FBF"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注册</w:t>
            </w:r>
          </w:p>
          <w:p w14:paraId="1D3D9B3A"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分类</w:t>
            </w:r>
          </w:p>
        </w:tc>
        <w:tc>
          <w:tcPr>
            <w:tcW w:w="5246" w:type="dxa"/>
            <w:shd w:val="clear" w:color="auto" w:fill="D0CECE"/>
            <w:tcMar>
              <w:top w:w="10" w:type="dxa"/>
              <w:left w:w="10" w:type="dxa"/>
              <w:bottom w:w="10" w:type="dxa"/>
              <w:right w:w="10" w:type="dxa"/>
            </w:tcMar>
            <w:vAlign w:val="center"/>
          </w:tcPr>
          <w:p w14:paraId="1A846597"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临床用途</w:t>
            </w:r>
          </w:p>
        </w:tc>
        <w:tc>
          <w:tcPr>
            <w:tcW w:w="1389" w:type="dxa"/>
            <w:shd w:val="clear" w:color="auto" w:fill="D0CECE"/>
            <w:tcMar>
              <w:top w:w="10" w:type="dxa"/>
              <w:left w:w="10" w:type="dxa"/>
              <w:bottom w:w="10" w:type="dxa"/>
              <w:right w:w="10" w:type="dxa"/>
            </w:tcMar>
            <w:vAlign w:val="center"/>
          </w:tcPr>
          <w:p w14:paraId="1476FCAF"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注册所处的阶段</w:t>
            </w:r>
          </w:p>
        </w:tc>
        <w:tc>
          <w:tcPr>
            <w:tcW w:w="975" w:type="dxa"/>
            <w:shd w:val="clear" w:color="auto" w:fill="D0CECE"/>
            <w:tcMar>
              <w:top w:w="10" w:type="dxa"/>
              <w:left w:w="10" w:type="dxa"/>
              <w:bottom w:w="10" w:type="dxa"/>
              <w:right w:w="10" w:type="dxa"/>
            </w:tcMar>
            <w:vAlign w:val="center"/>
          </w:tcPr>
          <w:p w14:paraId="15C452AB" w14:textId="77777777" w:rsidR="00113A51" w:rsidRDefault="00766EC7">
            <w:pPr>
              <w:pStyle w:val="a9"/>
              <w:spacing w:before="40" w:beforeAutospacing="0" w:after="40" w:afterAutospacing="0"/>
              <w:jc w:val="center"/>
              <w:rPr>
                <w:rFonts w:ascii="Times New Roman" w:hAnsi="Times New Roman"/>
                <w:sz w:val="18"/>
                <w:szCs w:val="21"/>
              </w:rPr>
            </w:pPr>
            <w:r>
              <w:rPr>
                <w:rStyle w:val="aa"/>
                <w:rFonts w:ascii="Times New Roman" w:hAnsi="Times New Roman" w:hint="eastAsia"/>
                <w:sz w:val="18"/>
                <w:szCs w:val="18"/>
              </w:rPr>
              <w:t>是否申报创新医疗器械</w:t>
            </w:r>
          </w:p>
        </w:tc>
      </w:tr>
      <w:tr w:rsidR="00113A51" w14:paraId="7627A785" w14:textId="77777777" w:rsidTr="00C707CF">
        <w:trPr>
          <w:cantSplit/>
          <w:jc w:val="center"/>
        </w:trPr>
        <w:tc>
          <w:tcPr>
            <w:tcW w:w="455" w:type="dxa"/>
            <w:tcMar>
              <w:top w:w="10" w:type="dxa"/>
              <w:left w:w="10" w:type="dxa"/>
              <w:bottom w:w="10" w:type="dxa"/>
              <w:right w:w="10" w:type="dxa"/>
            </w:tcMar>
            <w:vAlign w:val="center"/>
          </w:tcPr>
          <w:p w14:paraId="4B471FE8"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1</w:t>
            </w:r>
          </w:p>
        </w:tc>
        <w:tc>
          <w:tcPr>
            <w:tcW w:w="1814" w:type="dxa"/>
            <w:tcMar>
              <w:top w:w="10" w:type="dxa"/>
              <w:left w:w="10" w:type="dxa"/>
              <w:bottom w:w="10" w:type="dxa"/>
              <w:right w:w="10" w:type="dxa"/>
            </w:tcMar>
            <w:vAlign w:val="center"/>
          </w:tcPr>
          <w:p w14:paraId="54A3BABC"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708" w:type="dxa"/>
            <w:tcMar>
              <w:top w:w="10" w:type="dxa"/>
              <w:left w:w="10" w:type="dxa"/>
              <w:bottom w:w="10" w:type="dxa"/>
              <w:right w:w="10" w:type="dxa"/>
            </w:tcMar>
            <w:vAlign w:val="center"/>
          </w:tcPr>
          <w:p w14:paraId="41495C8C"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II</w:t>
            </w:r>
            <w:r>
              <w:rPr>
                <w:rFonts w:ascii="Times New Roman" w:hAnsi="Times New Roman" w:hint="eastAsia"/>
                <w:sz w:val="18"/>
                <w:szCs w:val="18"/>
              </w:rPr>
              <w:t>类</w:t>
            </w:r>
          </w:p>
        </w:tc>
        <w:tc>
          <w:tcPr>
            <w:tcW w:w="5246" w:type="dxa"/>
            <w:tcMar>
              <w:top w:w="10" w:type="dxa"/>
              <w:left w:w="10" w:type="dxa"/>
              <w:bottom w:w="10" w:type="dxa"/>
              <w:right w:w="10" w:type="dxa"/>
            </w:tcMar>
            <w:vAlign w:val="center"/>
          </w:tcPr>
          <w:p w14:paraId="2E97EBFE"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1389" w:type="dxa"/>
            <w:tcMar>
              <w:top w:w="10" w:type="dxa"/>
              <w:left w:w="10" w:type="dxa"/>
              <w:bottom w:w="10" w:type="dxa"/>
              <w:right w:w="10" w:type="dxa"/>
            </w:tcMar>
            <w:vAlign w:val="center"/>
          </w:tcPr>
          <w:p w14:paraId="29C81471"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03300ACD"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1D5B72E4" w14:textId="77777777" w:rsidTr="00C707CF">
        <w:trPr>
          <w:cantSplit/>
          <w:jc w:val="center"/>
        </w:trPr>
        <w:tc>
          <w:tcPr>
            <w:tcW w:w="455" w:type="dxa"/>
            <w:tcMar>
              <w:top w:w="10" w:type="dxa"/>
              <w:left w:w="10" w:type="dxa"/>
              <w:bottom w:w="10" w:type="dxa"/>
              <w:right w:w="10" w:type="dxa"/>
            </w:tcMar>
            <w:vAlign w:val="center"/>
          </w:tcPr>
          <w:p w14:paraId="10788F31"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2</w:t>
            </w:r>
          </w:p>
        </w:tc>
        <w:tc>
          <w:tcPr>
            <w:tcW w:w="1814" w:type="dxa"/>
            <w:tcMar>
              <w:top w:w="10" w:type="dxa"/>
              <w:left w:w="10" w:type="dxa"/>
              <w:bottom w:w="10" w:type="dxa"/>
              <w:right w:w="10" w:type="dxa"/>
            </w:tcMar>
            <w:vAlign w:val="center"/>
          </w:tcPr>
          <w:p w14:paraId="209CE613"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708" w:type="dxa"/>
            <w:tcMar>
              <w:top w:w="10" w:type="dxa"/>
              <w:left w:w="10" w:type="dxa"/>
              <w:bottom w:w="10" w:type="dxa"/>
              <w:right w:w="10" w:type="dxa"/>
            </w:tcMar>
            <w:vAlign w:val="center"/>
          </w:tcPr>
          <w:p w14:paraId="105F1988"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II</w:t>
            </w:r>
            <w:r>
              <w:rPr>
                <w:rFonts w:ascii="Times New Roman" w:hAnsi="Times New Roman" w:hint="eastAsia"/>
                <w:sz w:val="18"/>
                <w:szCs w:val="18"/>
              </w:rPr>
              <w:t>类</w:t>
            </w:r>
          </w:p>
        </w:tc>
        <w:tc>
          <w:tcPr>
            <w:tcW w:w="5246" w:type="dxa"/>
            <w:tcMar>
              <w:top w:w="10" w:type="dxa"/>
              <w:left w:w="10" w:type="dxa"/>
              <w:bottom w:w="10" w:type="dxa"/>
              <w:right w:w="10" w:type="dxa"/>
            </w:tcMar>
            <w:vAlign w:val="center"/>
          </w:tcPr>
          <w:p w14:paraId="7B244E19"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1389" w:type="dxa"/>
            <w:tcMar>
              <w:top w:w="10" w:type="dxa"/>
              <w:left w:w="10" w:type="dxa"/>
              <w:bottom w:w="10" w:type="dxa"/>
              <w:right w:w="10" w:type="dxa"/>
            </w:tcMar>
            <w:vAlign w:val="center"/>
          </w:tcPr>
          <w:p w14:paraId="3E89B70B"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5B4B4CA3"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6D0DD725" w14:textId="77777777" w:rsidTr="00C707CF">
        <w:trPr>
          <w:cantSplit/>
          <w:jc w:val="center"/>
        </w:trPr>
        <w:tc>
          <w:tcPr>
            <w:tcW w:w="455" w:type="dxa"/>
            <w:tcMar>
              <w:top w:w="10" w:type="dxa"/>
              <w:left w:w="10" w:type="dxa"/>
              <w:bottom w:w="10" w:type="dxa"/>
              <w:right w:w="10" w:type="dxa"/>
            </w:tcMar>
            <w:vAlign w:val="center"/>
          </w:tcPr>
          <w:p w14:paraId="37EC33BD"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3</w:t>
            </w:r>
          </w:p>
        </w:tc>
        <w:tc>
          <w:tcPr>
            <w:tcW w:w="1814" w:type="dxa"/>
            <w:tcMar>
              <w:top w:w="10" w:type="dxa"/>
              <w:left w:w="10" w:type="dxa"/>
              <w:bottom w:w="10" w:type="dxa"/>
              <w:right w:w="10" w:type="dxa"/>
            </w:tcMar>
            <w:vAlign w:val="center"/>
          </w:tcPr>
          <w:p w14:paraId="7C0B71CD"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血糖试条（葡萄糖脱氢酶法</w:t>
            </w:r>
            <w:r>
              <w:rPr>
                <w:rFonts w:ascii="Times New Roman" w:hAnsi="Times New Roman" w:cs="Times New Roman"/>
                <w:sz w:val="18"/>
                <w:szCs w:val="18"/>
              </w:rPr>
              <w:t>/</w:t>
            </w:r>
            <w:r>
              <w:rPr>
                <w:rFonts w:ascii="Times New Roman" w:hAnsi="Times New Roman" w:hint="eastAsia"/>
                <w:sz w:val="18"/>
                <w:szCs w:val="18"/>
              </w:rPr>
              <w:t>干化学法）</w:t>
            </w:r>
          </w:p>
        </w:tc>
        <w:tc>
          <w:tcPr>
            <w:tcW w:w="708" w:type="dxa"/>
            <w:tcMar>
              <w:top w:w="10" w:type="dxa"/>
              <w:left w:w="10" w:type="dxa"/>
              <w:bottom w:w="10" w:type="dxa"/>
              <w:right w:w="10" w:type="dxa"/>
            </w:tcMar>
            <w:vAlign w:val="center"/>
          </w:tcPr>
          <w:p w14:paraId="419BDFFB"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II</w:t>
            </w:r>
            <w:r>
              <w:rPr>
                <w:rFonts w:ascii="Times New Roman" w:hAnsi="Times New Roman" w:hint="eastAsia"/>
                <w:sz w:val="18"/>
                <w:szCs w:val="18"/>
              </w:rPr>
              <w:t>类</w:t>
            </w:r>
          </w:p>
        </w:tc>
        <w:tc>
          <w:tcPr>
            <w:tcW w:w="5246" w:type="dxa"/>
            <w:tcMar>
              <w:top w:w="10" w:type="dxa"/>
              <w:left w:w="10" w:type="dxa"/>
              <w:bottom w:w="10" w:type="dxa"/>
              <w:right w:w="10" w:type="dxa"/>
            </w:tcMar>
            <w:vAlign w:val="center"/>
          </w:tcPr>
          <w:p w14:paraId="44E76A47"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hint="eastAsia"/>
                <w:sz w:val="18"/>
                <w:szCs w:val="18"/>
              </w:rPr>
              <w:t>本产品主要用于定量检测新鲜毛细血管全血、静脉全血、动脉全血和新生儿全血中的葡萄糖浓度。本产品可用于医院或其他医疗机构对糖尿病患者、孕妇、肾透析患者或其他人群的快速血糖测试。本产品只用于血糖水平的监测及血糖异常的初筛，不适用于糖尿病的最终诊断。本产品不适用于新生儿脐带血样本的血糖测试。</w:t>
            </w:r>
          </w:p>
        </w:tc>
        <w:tc>
          <w:tcPr>
            <w:tcW w:w="1389" w:type="dxa"/>
            <w:tcMar>
              <w:top w:w="10" w:type="dxa"/>
              <w:left w:w="10" w:type="dxa"/>
              <w:bottom w:w="10" w:type="dxa"/>
              <w:right w:w="10" w:type="dxa"/>
            </w:tcMar>
            <w:vAlign w:val="center"/>
          </w:tcPr>
          <w:p w14:paraId="40120486"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25BC6E10"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3F91BA84" w14:textId="77777777" w:rsidTr="00C707CF">
        <w:trPr>
          <w:cantSplit/>
          <w:jc w:val="center"/>
        </w:trPr>
        <w:tc>
          <w:tcPr>
            <w:tcW w:w="455" w:type="dxa"/>
            <w:tcMar>
              <w:top w:w="10" w:type="dxa"/>
              <w:left w:w="10" w:type="dxa"/>
              <w:bottom w:w="10" w:type="dxa"/>
              <w:right w:w="10" w:type="dxa"/>
            </w:tcMar>
            <w:vAlign w:val="center"/>
          </w:tcPr>
          <w:p w14:paraId="18B15F76"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4</w:t>
            </w:r>
          </w:p>
        </w:tc>
        <w:tc>
          <w:tcPr>
            <w:tcW w:w="1814" w:type="dxa"/>
            <w:tcMar>
              <w:top w:w="10" w:type="dxa"/>
              <w:left w:w="10" w:type="dxa"/>
              <w:bottom w:w="10" w:type="dxa"/>
              <w:right w:w="10" w:type="dxa"/>
            </w:tcMar>
            <w:vAlign w:val="center"/>
          </w:tcPr>
          <w:p w14:paraId="6020D54A"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血糖乳酸分析仪</w:t>
            </w:r>
          </w:p>
        </w:tc>
        <w:tc>
          <w:tcPr>
            <w:tcW w:w="708" w:type="dxa"/>
            <w:tcMar>
              <w:top w:w="10" w:type="dxa"/>
              <w:left w:w="10" w:type="dxa"/>
              <w:bottom w:w="10" w:type="dxa"/>
              <w:right w:w="10" w:type="dxa"/>
            </w:tcMar>
            <w:vAlign w:val="center"/>
          </w:tcPr>
          <w:p w14:paraId="3ED31430"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II</w:t>
            </w:r>
            <w:r>
              <w:rPr>
                <w:rFonts w:ascii="Times New Roman" w:hAnsi="Times New Roman" w:hint="eastAsia"/>
                <w:sz w:val="18"/>
                <w:szCs w:val="18"/>
              </w:rPr>
              <w:t>类</w:t>
            </w:r>
          </w:p>
        </w:tc>
        <w:tc>
          <w:tcPr>
            <w:tcW w:w="5246" w:type="dxa"/>
            <w:tcMar>
              <w:top w:w="10" w:type="dxa"/>
              <w:left w:w="10" w:type="dxa"/>
              <w:bottom w:w="10" w:type="dxa"/>
              <w:right w:w="10" w:type="dxa"/>
            </w:tcMar>
            <w:vAlign w:val="center"/>
          </w:tcPr>
          <w:p w14:paraId="748037F7"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hint="eastAsia"/>
                <w:sz w:val="18"/>
                <w:szCs w:val="18"/>
              </w:rPr>
              <w:t>本产品与配套血糖试条、乳酸试条配套使用，用于定量检测全血中血糖、乳酸浓度</w:t>
            </w:r>
          </w:p>
        </w:tc>
        <w:tc>
          <w:tcPr>
            <w:tcW w:w="1389" w:type="dxa"/>
            <w:tcMar>
              <w:top w:w="10" w:type="dxa"/>
              <w:left w:w="10" w:type="dxa"/>
              <w:bottom w:w="10" w:type="dxa"/>
              <w:right w:w="10" w:type="dxa"/>
            </w:tcMar>
            <w:vAlign w:val="center"/>
          </w:tcPr>
          <w:p w14:paraId="72F5ACAE"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7A739F0A"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0F18B630" w14:textId="77777777" w:rsidTr="00C707CF">
        <w:trPr>
          <w:cantSplit/>
          <w:jc w:val="center"/>
        </w:trPr>
        <w:tc>
          <w:tcPr>
            <w:tcW w:w="455" w:type="dxa"/>
            <w:tcMar>
              <w:top w:w="10" w:type="dxa"/>
              <w:left w:w="10" w:type="dxa"/>
              <w:bottom w:w="10" w:type="dxa"/>
              <w:right w:w="10" w:type="dxa"/>
            </w:tcMar>
            <w:vAlign w:val="center"/>
          </w:tcPr>
          <w:p w14:paraId="20047F6C"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5</w:t>
            </w:r>
          </w:p>
        </w:tc>
        <w:tc>
          <w:tcPr>
            <w:tcW w:w="1814" w:type="dxa"/>
            <w:tcMar>
              <w:top w:w="10" w:type="dxa"/>
              <w:left w:w="10" w:type="dxa"/>
              <w:bottom w:w="10" w:type="dxa"/>
              <w:right w:w="10" w:type="dxa"/>
            </w:tcMar>
            <w:vAlign w:val="center"/>
          </w:tcPr>
          <w:p w14:paraId="4B59D82C"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乳酸试条（乳酸氧化酶法</w:t>
            </w:r>
            <w:r>
              <w:rPr>
                <w:rFonts w:ascii="Times New Roman" w:hAnsi="Times New Roman" w:cs="Times New Roman"/>
                <w:sz w:val="18"/>
                <w:szCs w:val="18"/>
              </w:rPr>
              <w:t>/</w:t>
            </w:r>
            <w:r>
              <w:rPr>
                <w:rFonts w:ascii="Times New Roman" w:hAnsi="Times New Roman" w:hint="eastAsia"/>
                <w:sz w:val="18"/>
                <w:szCs w:val="18"/>
              </w:rPr>
              <w:t>干化学法）</w:t>
            </w:r>
          </w:p>
        </w:tc>
        <w:tc>
          <w:tcPr>
            <w:tcW w:w="708" w:type="dxa"/>
            <w:tcMar>
              <w:top w:w="10" w:type="dxa"/>
              <w:left w:w="10" w:type="dxa"/>
              <w:bottom w:w="10" w:type="dxa"/>
              <w:right w:w="10" w:type="dxa"/>
            </w:tcMar>
            <w:vAlign w:val="center"/>
          </w:tcPr>
          <w:p w14:paraId="00E8FDE6"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II</w:t>
            </w:r>
            <w:r>
              <w:rPr>
                <w:rFonts w:ascii="Times New Roman" w:hAnsi="Times New Roman" w:hint="eastAsia"/>
                <w:sz w:val="18"/>
                <w:szCs w:val="18"/>
              </w:rPr>
              <w:t>类</w:t>
            </w:r>
          </w:p>
        </w:tc>
        <w:tc>
          <w:tcPr>
            <w:tcW w:w="5246" w:type="dxa"/>
            <w:tcMar>
              <w:top w:w="10" w:type="dxa"/>
              <w:left w:w="10" w:type="dxa"/>
              <w:bottom w:w="10" w:type="dxa"/>
              <w:right w:w="10" w:type="dxa"/>
            </w:tcMar>
            <w:vAlign w:val="center"/>
          </w:tcPr>
          <w:p w14:paraId="69F38D86"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hint="eastAsia"/>
                <w:sz w:val="18"/>
                <w:szCs w:val="18"/>
              </w:rPr>
              <w:t>本产品主要用于体外定量检测新鲜毛细血管全血、静脉全血、动脉全血中的乳酸浓度。本产品临床上用于代谢性酸中毒的辅助诊断。</w:t>
            </w:r>
          </w:p>
        </w:tc>
        <w:tc>
          <w:tcPr>
            <w:tcW w:w="1389" w:type="dxa"/>
            <w:tcMar>
              <w:top w:w="10" w:type="dxa"/>
              <w:left w:w="10" w:type="dxa"/>
              <w:bottom w:w="10" w:type="dxa"/>
              <w:right w:w="10" w:type="dxa"/>
            </w:tcMar>
            <w:vAlign w:val="center"/>
          </w:tcPr>
          <w:p w14:paraId="72F9BF94"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001A52E3"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66A7EA02" w14:textId="77777777" w:rsidTr="00C707CF">
        <w:trPr>
          <w:cantSplit/>
          <w:jc w:val="center"/>
        </w:trPr>
        <w:tc>
          <w:tcPr>
            <w:tcW w:w="455" w:type="dxa"/>
            <w:tcMar>
              <w:top w:w="10" w:type="dxa"/>
              <w:left w:w="10" w:type="dxa"/>
              <w:bottom w:w="10" w:type="dxa"/>
              <w:right w:w="10" w:type="dxa"/>
            </w:tcMar>
            <w:vAlign w:val="center"/>
          </w:tcPr>
          <w:p w14:paraId="7BE83136"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6</w:t>
            </w:r>
          </w:p>
        </w:tc>
        <w:tc>
          <w:tcPr>
            <w:tcW w:w="1814" w:type="dxa"/>
            <w:tcMar>
              <w:top w:w="10" w:type="dxa"/>
              <w:left w:w="10" w:type="dxa"/>
              <w:bottom w:w="10" w:type="dxa"/>
              <w:right w:w="10" w:type="dxa"/>
            </w:tcMar>
            <w:vAlign w:val="center"/>
          </w:tcPr>
          <w:p w14:paraId="3683D86F"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乳酸质控液</w:t>
            </w:r>
          </w:p>
        </w:tc>
        <w:tc>
          <w:tcPr>
            <w:tcW w:w="708" w:type="dxa"/>
            <w:tcMar>
              <w:top w:w="10" w:type="dxa"/>
              <w:left w:w="10" w:type="dxa"/>
              <w:bottom w:w="10" w:type="dxa"/>
              <w:right w:w="10" w:type="dxa"/>
            </w:tcMar>
            <w:vAlign w:val="center"/>
          </w:tcPr>
          <w:p w14:paraId="12EFD9BD"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II</w:t>
            </w:r>
            <w:r>
              <w:rPr>
                <w:rFonts w:ascii="Times New Roman" w:hAnsi="Times New Roman" w:hint="eastAsia"/>
                <w:sz w:val="18"/>
                <w:szCs w:val="18"/>
              </w:rPr>
              <w:t>类</w:t>
            </w:r>
          </w:p>
        </w:tc>
        <w:tc>
          <w:tcPr>
            <w:tcW w:w="5246" w:type="dxa"/>
            <w:tcMar>
              <w:top w:w="10" w:type="dxa"/>
              <w:left w:w="10" w:type="dxa"/>
              <w:bottom w:w="10" w:type="dxa"/>
              <w:right w:w="10" w:type="dxa"/>
            </w:tcMar>
            <w:vAlign w:val="center"/>
          </w:tcPr>
          <w:p w14:paraId="48F4D848"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hint="eastAsia"/>
                <w:sz w:val="18"/>
                <w:szCs w:val="18"/>
              </w:rPr>
              <w:t>质控液与本公司生产的血糖乳酸分析仪、乳酸试条配套使用，用于乳酸测试系统检测过程中的质量控制。</w:t>
            </w:r>
          </w:p>
        </w:tc>
        <w:tc>
          <w:tcPr>
            <w:tcW w:w="1389" w:type="dxa"/>
            <w:tcMar>
              <w:top w:w="10" w:type="dxa"/>
              <w:left w:w="10" w:type="dxa"/>
              <w:bottom w:w="10" w:type="dxa"/>
              <w:right w:w="10" w:type="dxa"/>
            </w:tcMar>
            <w:vAlign w:val="center"/>
          </w:tcPr>
          <w:p w14:paraId="3F8CCC6C"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3A8F6FD3"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0316721C" w14:textId="77777777" w:rsidTr="00C707CF">
        <w:trPr>
          <w:cantSplit/>
          <w:jc w:val="center"/>
        </w:trPr>
        <w:tc>
          <w:tcPr>
            <w:tcW w:w="455" w:type="dxa"/>
            <w:tcMar>
              <w:top w:w="10" w:type="dxa"/>
              <w:left w:w="10" w:type="dxa"/>
              <w:bottom w:w="10" w:type="dxa"/>
              <w:right w:w="10" w:type="dxa"/>
            </w:tcMar>
            <w:vAlign w:val="center"/>
          </w:tcPr>
          <w:p w14:paraId="276EC1EA"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7</w:t>
            </w:r>
          </w:p>
        </w:tc>
        <w:tc>
          <w:tcPr>
            <w:tcW w:w="1814" w:type="dxa"/>
            <w:tcMar>
              <w:top w:w="10" w:type="dxa"/>
              <w:left w:w="10" w:type="dxa"/>
              <w:bottom w:w="10" w:type="dxa"/>
              <w:right w:w="10" w:type="dxa"/>
            </w:tcMar>
            <w:vAlign w:val="center"/>
          </w:tcPr>
          <w:p w14:paraId="798CD5D2"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Blood Glucose Monitoring System (model: Safe AQ Smart, Safe AQ Air, Safe AQ Voice)</w:t>
            </w:r>
          </w:p>
        </w:tc>
        <w:tc>
          <w:tcPr>
            <w:tcW w:w="708" w:type="dxa"/>
            <w:tcMar>
              <w:top w:w="10" w:type="dxa"/>
              <w:left w:w="10" w:type="dxa"/>
              <w:bottom w:w="10" w:type="dxa"/>
              <w:right w:w="10" w:type="dxa"/>
            </w:tcMar>
            <w:vAlign w:val="center"/>
          </w:tcPr>
          <w:p w14:paraId="43617D1D"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C</w:t>
            </w:r>
          </w:p>
        </w:tc>
        <w:tc>
          <w:tcPr>
            <w:tcW w:w="5246" w:type="dxa"/>
            <w:tcMar>
              <w:top w:w="10" w:type="dxa"/>
              <w:left w:w="10" w:type="dxa"/>
              <w:bottom w:w="10" w:type="dxa"/>
              <w:right w:w="10" w:type="dxa"/>
            </w:tcMar>
            <w:vAlign w:val="center"/>
          </w:tcPr>
          <w:p w14:paraId="014BA893" w14:textId="77777777" w:rsidR="00113A51" w:rsidRDefault="00766EC7">
            <w:pPr>
              <w:pStyle w:val="a9"/>
              <w:spacing w:before="0" w:beforeAutospacing="0" w:after="0" w:afterAutospacing="0"/>
              <w:rPr>
                <w:rFonts w:ascii="Times New Roman" w:hAnsi="Times New Roman" w:cs="Times New Roman"/>
                <w:color w:val="000000"/>
                <w:sz w:val="18"/>
              </w:rPr>
            </w:pPr>
            <w:r>
              <w:rPr>
                <w:rFonts w:ascii="Times New Roman" w:hAnsi="Times New Roman" w:cs="Times New Roman"/>
                <w:sz w:val="18"/>
                <w:szCs w:val="20"/>
              </w:rPr>
              <w:t>The Safe AQ Smart blood glucose meter is used only with Safe AQ blood glucose test strip for quantitative measurement of glucose in human whole blood as an aid for monitoring the effectiveness of diabetes control. It is intended to be used for self-testing at home by people with diabetes or near -patient testing by healthcare professionals to measure glucose in capillary whole blood. Only professionals may also test venous blood samples.</w:t>
            </w:r>
          </w:p>
          <w:p w14:paraId="174C7B7E" w14:textId="77777777" w:rsidR="00113A51" w:rsidRDefault="00766EC7">
            <w:pPr>
              <w:pStyle w:val="a9"/>
              <w:spacing w:before="0" w:beforeAutospacing="0" w:after="0" w:afterAutospacing="0"/>
              <w:rPr>
                <w:rFonts w:ascii="Times New Roman" w:hAnsi="Times New Roman" w:cs="Times New Roman"/>
                <w:color w:val="000000"/>
                <w:sz w:val="18"/>
              </w:rPr>
            </w:pPr>
            <w:r>
              <w:rPr>
                <w:rFonts w:ascii="Times New Roman" w:hAnsi="Times New Roman" w:cs="Times New Roman"/>
                <w:sz w:val="18"/>
                <w:szCs w:val="20"/>
              </w:rPr>
              <w:t>The Safe AQ Voice blood glucose meter is used only with Safe AQ blood glucose test strip for quantitative measurement of glucose in human whole blood as an aid for monitoring the effectiveness of diabetes control. It is intended to be used for self-testing at home by people with diabetes or near -patient testing by healthcare professionals to measure glucose in capillary whole blood. Only professionals may also test venous blood samples.</w:t>
            </w:r>
          </w:p>
          <w:p w14:paraId="414F0872" w14:textId="77777777" w:rsidR="00113A51" w:rsidRDefault="00766EC7">
            <w:pPr>
              <w:pStyle w:val="a9"/>
              <w:spacing w:before="0" w:beforeAutospacing="0" w:after="0" w:afterAutospacing="0"/>
              <w:rPr>
                <w:rFonts w:ascii="Times New Roman" w:hAnsi="Times New Roman" w:cs="Times New Roman"/>
                <w:color w:val="000000"/>
                <w:sz w:val="18"/>
              </w:rPr>
            </w:pPr>
            <w:r>
              <w:rPr>
                <w:rFonts w:ascii="Times New Roman" w:hAnsi="Times New Roman" w:cs="Times New Roman"/>
                <w:sz w:val="18"/>
                <w:szCs w:val="20"/>
              </w:rPr>
              <w:t>The Safe AQ Air blood glucose meter is used only with Safe AQ blood glucose test strip for quantitative measurement of glucose in human whole blood as an aid for monitoring the effectiveness of diabetes control. It is intended to be used for self-testing at home by people with diabetes or near -patient testing by healthcare professionals to measure glucose in capillary whole blood. Only professionals may also test venous blood samples.</w:t>
            </w:r>
          </w:p>
        </w:tc>
        <w:tc>
          <w:tcPr>
            <w:tcW w:w="1389" w:type="dxa"/>
            <w:tcMar>
              <w:top w:w="10" w:type="dxa"/>
              <w:left w:w="10" w:type="dxa"/>
              <w:bottom w:w="10" w:type="dxa"/>
              <w:right w:w="10" w:type="dxa"/>
            </w:tcMar>
            <w:vAlign w:val="center"/>
          </w:tcPr>
          <w:p w14:paraId="7E0271F5"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03A7D38A"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1FCE98E6" w14:textId="77777777" w:rsidTr="00C707CF">
        <w:trPr>
          <w:cantSplit/>
          <w:jc w:val="center"/>
        </w:trPr>
        <w:tc>
          <w:tcPr>
            <w:tcW w:w="455" w:type="dxa"/>
            <w:tcMar>
              <w:top w:w="10" w:type="dxa"/>
              <w:left w:w="10" w:type="dxa"/>
              <w:bottom w:w="10" w:type="dxa"/>
              <w:right w:w="10" w:type="dxa"/>
            </w:tcMar>
            <w:vAlign w:val="center"/>
          </w:tcPr>
          <w:p w14:paraId="5E72A656"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8</w:t>
            </w:r>
          </w:p>
        </w:tc>
        <w:tc>
          <w:tcPr>
            <w:tcW w:w="1814" w:type="dxa"/>
            <w:tcMar>
              <w:top w:w="10" w:type="dxa"/>
              <w:left w:w="10" w:type="dxa"/>
              <w:bottom w:w="10" w:type="dxa"/>
              <w:right w:w="10" w:type="dxa"/>
            </w:tcMar>
            <w:vAlign w:val="center"/>
          </w:tcPr>
          <w:p w14:paraId="5D807147"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Multi-monitoring System</w:t>
            </w:r>
          </w:p>
          <w:p w14:paraId="453FEB5E"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(model: KUG-11, KUG-12)</w:t>
            </w:r>
          </w:p>
        </w:tc>
        <w:tc>
          <w:tcPr>
            <w:tcW w:w="708" w:type="dxa"/>
            <w:tcMar>
              <w:top w:w="10" w:type="dxa"/>
              <w:left w:w="10" w:type="dxa"/>
              <w:bottom w:w="10" w:type="dxa"/>
              <w:right w:w="10" w:type="dxa"/>
            </w:tcMar>
            <w:vAlign w:val="center"/>
          </w:tcPr>
          <w:p w14:paraId="09ABE2F6"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C</w:t>
            </w:r>
          </w:p>
        </w:tc>
        <w:tc>
          <w:tcPr>
            <w:tcW w:w="5246" w:type="dxa"/>
            <w:tcMar>
              <w:top w:w="10" w:type="dxa"/>
              <w:left w:w="10" w:type="dxa"/>
              <w:bottom w:w="10" w:type="dxa"/>
              <w:right w:w="10" w:type="dxa"/>
            </w:tcMar>
            <w:vAlign w:val="center"/>
          </w:tcPr>
          <w:p w14:paraId="47ABBE67" w14:textId="77777777" w:rsidR="00113A51" w:rsidRDefault="00766EC7">
            <w:pPr>
              <w:pStyle w:val="a9"/>
              <w:spacing w:before="0" w:beforeAutospacing="0" w:after="0" w:afterAutospacing="0" w:line="360" w:lineRule="auto"/>
              <w:rPr>
                <w:rFonts w:ascii="Times New Roman" w:hAnsi="Times New Roman"/>
                <w:sz w:val="18"/>
                <w:szCs w:val="21"/>
              </w:rPr>
            </w:pPr>
            <w:r>
              <w:rPr>
                <w:rFonts w:ascii="Times New Roman" w:hAnsi="Times New Roman" w:cs="Times New Roman"/>
                <w:sz w:val="18"/>
                <w:szCs w:val="20"/>
              </w:rPr>
              <w:t>The KUG-11 multi-monitoring system is intended for use in the quantitative measurement of glucose in fresh capillary/venous/arterial/neonatal whole blood, the uric acid and the blood ketone in fresh capillary/venous whole blood. It is intended to be used for near-patient testing by healthcare professionals or self-testing at home by people as</w:t>
            </w:r>
            <w:r>
              <w:rPr>
                <w:rFonts w:ascii="Times New Roman" w:hAnsi="Times New Roman" w:cs="Times New Roman"/>
                <w:sz w:val="18"/>
                <w:szCs w:val="20"/>
              </w:rPr>
              <w:br/>
              <w:t>an aid for monitoring the effectiveness of  diabetes and hyperuricement (HUA) control. Only professionals may test neonatal, arterial and venous blood samples.</w:t>
            </w:r>
          </w:p>
          <w:p w14:paraId="68C687B6"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cs="Times New Roman"/>
                <w:sz w:val="18"/>
                <w:szCs w:val="20"/>
              </w:rPr>
              <w:t>The KUG-12 multi-monitoring system is intended for use in the quantitative measurement of glucose, uric acid and blood ketone in fresh capillary whole blood. It is intended to be used for self-testing at home by people as an aid  for monitoring the effectiveness of diabetes and hyperuricement(HUA) control.</w:t>
            </w:r>
          </w:p>
        </w:tc>
        <w:tc>
          <w:tcPr>
            <w:tcW w:w="1389" w:type="dxa"/>
            <w:tcMar>
              <w:top w:w="10" w:type="dxa"/>
              <w:left w:w="10" w:type="dxa"/>
              <w:bottom w:w="10" w:type="dxa"/>
              <w:right w:w="10" w:type="dxa"/>
            </w:tcMar>
            <w:vAlign w:val="center"/>
          </w:tcPr>
          <w:p w14:paraId="2D810B23"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305D19ED"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17DE5207" w14:textId="77777777" w:rsidTr="00C707CF">
        <w:trPr>
          <w:cantSplit/>
          <w:jc w:val="center"/>
        </w:trPr>
        <w:tc>
          <w:tcPr>
            <w:tcW w:w="455" w:type="dxa"/>
            <w:tcMar>
              <w:top w:w="10" w:type="dxa"/>
              <w:left w:w="10" w:type="dxa"/>
              <w:bottom w:w="10" w:type="dxa"/>
              <w:right w:w="10" w:type="dxa"/>
            </w:tcMar>
            <w:vAlign w:val="center"/>
          </w:tcPr>
          <w:p w14:paraId="225BFE48"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9</w:t>
            </w:r>
          </w:p>
        </w:tc>
        <w:tc>
          <w:tcPr>
            <w:tcW w:w="1814" w:type="dxa"/>
            <w:tcMar>
              <w:top w:w="10" w:type="dxa"/>
              <w:left w:w="10" w:type="dxa"/>
              <w:bottom w:w="10" w:type="dxa"/>
              <w:right w:w="10" w:type="dxa"/>
            </w:tcMar>
            <w:vAlign w:val="center"/>
          </w:tcPr>
          <w:p w14:paraId="2A90E3F0"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UA101 Uric Acid Monitoring System</w:t>
            </w:r>
          </w:p>
        </w:tc>
        <w:tc>
          <w:tcPr>
            <w:tcW w:w="708" w:type="dxa"/>
            <w:tcMar>
              <w:top w:w="10" w:type="dxa"/>
              <w:left w:w="10" w:type="dxa"/>
              <w:bottom w:w="10" w:type="dxa"/>
              <w:right w:w="10" w:type="dxa"/>
            </w:tcMar>
            <w:vAlign w:val="center"/>
          </w:tcPr>
          <w:p w14:paraId="760D02D3"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C</w:t>
            </w:r>
          </w:p>
        </w:tc>
        <w:tc>
          <w:tcPr>
            <w:tcW w:w="5246" w:type="dxa"/>
            <w:tcMar>
              <w:top w:w="10" w:type="dxa"/>
              <w:left w:w="10" w:type="dxa"/>
              <w:bottom w:w="10" w:type="dxa"/>
              <w:right w:w="10" w:type="dxa"/>
            </w:tcMar>
            <w:vAlign w:val="center"/>
          </w:tcPr>
          <w:p w14:paraId="4C80349E"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cs="Times New Roman"/>
                <w:sz w:val="18"/>
                <w:szCs w:val="18"/>
              </w:rPr>
              <w:t>The UA101 uric acid meter is used only with UA101 uric acid test strip for quantitative measurement of uric acid in human capillary whole blood. It is intended to be used for self-testing at home by people as an aid in the management of hyperuricement(HUA) or gout.</w:t>
            </w:r>
          </w:p>
        </w:tc>
        <w:tc>
          <w:tcPr>
            <w:tcW w:w="1389" w:type="dxa"/>
            <w:tcMar>
              <w:top w:w="10" w:type="dxa"/>
              <w:left w:w="10" w:type="dxa"/>
              <w:bottom w:w="10" w:type="dxa"/>
              <w:right w:w="10" w:type="dxa"/>
            </w:tcMar>
            <w:vAlign w:val="center"/>
          </w:tcPr>
          <w:p w14:paraId="0334480B"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0ED3C4A9"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4A5E4EA4" w14:textId="77777777" w:rsidTr="00C707CF">
        <w:trPr>
          <w:cantSplit/>
          <w:jc w:val="center"/>
        </w:trPr>
        <w:tc>
          <w:tcPr>
            <w:tcW w:w="455" w:type="dxa"/>
            <w:tcMar>
              <w:top w:w="10" w:type="dxa"/>
              <w:left w:w="10" w:type="dxa"/>
              <w:bottom w:w="10" w:type="dxa"/>
              <w:right w:w="10" w:type="dxa"/>
            </w:tcMar>
            <w:vAlign w:val="center"/>
          </w:tcPr>
          <w:p w14:paraId="1E13E6D6"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10</w:t>
            </w:r>
          </w:p>
        </w:tc>
        <w:tc>
          <w:tcPr>
            <w:tcW w:w="1814" w:type="dxa"/>
            <w:tcMar>
              <w:top w:w="10" w:type="dxa"/>
              <w:left w:w="10" w:type="dxa"/>
              <w:bottom w:w="10" w:type="dxa"/>
              <w:right w:w="10" w:type="dxa"/>
            </w:tcMar>
            <w:vAlign w:val="center"/>
          </w:tcPr>
          <w:p w14:paraId="11D0902C"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Sinocare Blood Ketone Control Solution</w:t>
            </w:r>
          </w:p>
        </w:tc>
        <w:tc>
          <w:tcPr>
            <w:tcW w:w="708" w:type="dxa"/>
            <w:tcMar>
              <w:top w:w="10" w:type="dxa"/>
              <w:left w:w="10" w:type="dxa"/>
              <w:bottom w:w="10" w:type="dxa"/>
              <w:right w:w="10" w:type="dxa"/>
            </w:tcMar>
            <w:vAlign w:val="center"/>
          </w:tcPr>
          <w:p w14:paraId="41B6CCCC"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C</w:t>
            </w:r>
          </w:p>
        </w:tc>
        <w:tc>
          <w:tcPr>
            <w:tcW w:w="5246" w:type="dxa"/>
            <w:tcMar>
              <w:top w:w="10" w:type="dxa"/>
              <w:left w:w="10" w:type="dxa"/>
              <w:bottom w:w="10" w:type="dxa"/>
              <w:right w:w="10" w:type="dxa"/>
            </w:tcMar>
            <w:vAlign w:val="center"/>
          </w:tcPr>
          <w:p w14:paraId="10923C60"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cs="Times"/>
                <w:sz w:val="18"/>
                <w:szCs w:val="20"/>
              </w:rPr>
              <w:t>The Sinocare blood ketone control solution is for use only with Multi-monitoring Meter and Blood Ketone test strip produced by Sinocare to check that they are working together properly and that the test is performing correctly. It is for self-testing or near-patient testing.</w:t>
            </w:r>
          </w:p>
        </w:tc>
        <w:tc>
          <w:tcPr>
            <w:tcW w:w="1389" w:type="dxa"/>
            <w:tcMar>
              <w:top w:w="10" w:type="dxa"/>
              <w:left w:w="10" w:type="dxa"/>
              <w:bottom w:w="10" w:type="dxa"/>
              <w:right w:w="10" w:type="dxa"/>
            </w:tcMar>
            <w:vAlign w:val="center"/>
          </w:tcPr>
          <w:p w14:paraId="166B807E"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53C448C8"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r w:rsidR="00113A51" w14:paraId="336FED99" w14:textId="77777777" w:rsidTr="00C707CF">
        <w:trPr>
          <w:cantSplit/>
          <w:jc w:val="center"/>
        </w:trPr>
        <w:tc>
          <w:tcPr>
            <w:tcW w:w="455" w:type="dxa"/>
            <w:tcMar>
              <w:top w:w="10" w:type="dxa"/>
              <w:left w:w="10" w:type="dxa"/>
              <w:bottom w:w="10" w:type="dxa"/>
              <w:right w:w="10" w:type="dxa"/>
            </w:tcMar>
            <w:vAlign w:val="center"/>
          </w:tcPr>
          <w:p w14:paraId="190786C5" w14:textId="77777777" w:rsidR="00113A51" w:rsidRDefault="00766EC7">
            <w:pPr>
              <w:widowControl/>
              <w:spacing w:before="100" w:beforeAutospacing="1" w:after="100" w:afterAutospacing="1"/>
              <w:jc w:val="center"/>
              <w:rPr>
                <w:rFonts w:ascii="Times New Roman" w:eastAsia="宋体" w:hAnsi="Times New Roman"/>
                <w:sz w:val="18"/>
                <w:szCs w:val="24"/>
              </w:rPr>
            </w:pPr>
            <w:r>
              <w:rPr>
                <w:rFonts w:ascii="Times New Roman" w:eastAsia="宋体" w:hAnsi="Times New Roman" w:hint="eastAsia"/>
                <w:sz w:val="18"/>
                <w:szCs w:val="24"/>
              </w:rPr>
              <w:t>11</w:t>
            </w:r>
          </w:p>
        </w:tc>
        <w:tc>
          <w:tcPr>
            <w:tcW w:w="1814" w:type="dxa"/>
            <w:tcMar>
              <w:top w:w="10" w:type="dxa"/>
              <w:left w:w="10" w:type="dxa"/>
              <w:bottom w:w="10" w:type="dxa"/>
              <w:right w:w="10" w:type="dxa"/>
            </w:tcMar>
            <w:vAlign w:val="center"/>
          </w:tcPr>
          <w:p w14:paraId="1089DB51"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Sinocare Uric Acid Control Solution</w:t>
            </w:r>
          </w:p>
        </w:tc>
        <w:tc>
          <w:tcPr>
            <w:tcW w:w="708" w:type="dxa"/>
            <w:tcMar>
              <w:top w:w="10" w:type="dxa"/>
              <w:left w:w="10" w:type="dxa"/>
              <w:bottom w:w="10" w:type="dxa"/>
              <w:right w:w="10" w:type="dxa"/>
            </w:tcMar>
            <w:vAlign w:val="center"/>
          </w:tcPr>
          <w:p w14:paraId="1FCB2B9F"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cs="Times New Roman"/>
                <w:sz w:val="18"/>
                <w:szCs w:val="18"/>
              </w:rPr>
              <w:t>C</w:t>
            </w:r>
          </w:p>
        </w:tc>
        <w:tc>
          <w:tcPr>
            <w:tcW w:w="5246" w:type="dxa"/>
            <w:tcMar>
              <w:top w:w="10" w:type="dxa"/>
              <w:left w:w="10" w:type="dxa"/>
              <w:bottom w:w="10" w:type="dxa"/>
              <w:right w:w="10" w:type="dxa"/>
            </w:tcMar>
            <w:vAlign w:val="center"/>
          </w:tcPr>
          <w:p w14:paraId="06193FE7" w14:textId="77777777" w:rsidR="00113A51" w:rsidRDefault="00766EC7">
            <w:pPr>
              <w:pStyle w:val="a9"/>
              <w:spacing w:before="40" w:beforeAutospacing="0" w:after="40" w:afterAutospacing="0"/>
              <w:jc w:val="both"/>
              <w:rPr>
                <w:rFonts w:ascii="Times New Roman" w:hAnsi="Times New Roman"/>
                <w:sz w:val="18"/>
                <w:szCs w:val="21"/>
              </w:rPr>
            </w:pPr>
            <w:r>
              <w:rPr>
                <w:rFonts w:ascii="Times New Roman" w:hAnsi="Times New Roman" w:cs="Times"/>
                <w:sz w:val="18"/>
                <w:szCs w:val="20"/>
              </w:rPr>
              <w:t>The Sinocare uric acid control solution is for use only with Uric Acid Meter or Multi-monitoring Meter and Uric Acid test strip produced by Sinocare to check that the meter and strip are working together properly and the test is performing correctly. It is for self-testing or near-patient testing.</w:t>
            </w:r>
          </w:p>
        </w:tc>
        <w:tc>
          <w:tcPr>
            <w:tcW w:w="1389" w:type="dxa"/>
            <w:tcMar>
              <w:top w:w="10" w:type="dxa"/>
              <w:left w:w="10" w:type="dxa"/>
              <w:bottom w:w="10" w:type="dxa"/>
              <w:right w:w="10" w:type="dxa"/>
            </w:tcMar>
            <w:vAlign w:val="center"/>
          </w:tcPr>
          <w:p w14:paraId="5DE29281"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技术审评阶段</w:t>
            </w:r>
          </w:p>
        </w:tc>
        <w:tc>
          <w:tcPr>
            <w:tcW w:w="975" w:type="dxa"/>
            <w:tcMar>
              <w:top w:w="10" w:type="dxa"/>
              <w:left w:w="10" w:type="dxa"/>
              <w:bottom w:w="10" w:type="dxa"/>
              <w:right w:w="10" w:type="dxa"/>
            </w:tcMar>
            <w:vAlign w:val="center"/>
          </w:tcPr>
          <w:p w14:paraId="74F363B6" w14:textId="77777777" w:rsidR="00113A51" w:rsidRDefault="00766EC7">
            <w:pPr>
              <w:pStyle w:val="a9"/>
              <w:spacing w:before="40" w:beforeAutospacing="0" w:after="40" w:afterAutospacing="0"/>
              <w:jc w:val="center"/>
              <w:rPr>
                <w:rFonts w:ascii="Times New Roman" w:hAnsi="Times New Roman"/>
                <w:sz w:val="18"/>
                <w:szCs w:val="21"/>
              </w:rPr>
            </w:pPr>
            <w:r>
              <w:rPr>
                <w:rFonts w:ascii="Times New Roman" w:hAnsi="Times New Roman" w:hint="eastAsia"/>
                <w:sz w:val="18"/>
                <w:szCs w:val="18"/>
              </w:rPr>
              <w:t>否</w:t>
            </w:r>
          </w:p>
        </w:tc>
      </w:tr>
    </w:tbl>
    <w:p w14:paraId="319EA72B"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截至</w:t>
      </w:r>
      <w:r>
        <w:rPr>
          <w:rFonts w:ascii="Times New Roman" w:eastAsia="等线" w:hAnsi="Times New Roman" w:cs="Times New Roman"/>
          <w:sz w:val="21"/>
          <w:szCs w:val="21"/>
        </w:rPr>
        <w:t>2025</w:t>
      </w:r>
      <w:r>
        <w:rPr>
          <w:rFonts w:hint="eastAsia"/>
          <w:sz w:val="21"/>
          <w:szCs w:val="21"/>
        </w:rPr>
        <w:t>年</w:t>
      </w:r>
      <w:r>
        <w:rPr>
          <w:rFonts w:ascii="Times New Roman" w:eastAsia="等线" w:hAnsi="Times New Roman" w:cs="Times New Roman"/>
          <w:sz w:val="21"/>
          <w:szCs w:val="21"/>
        </w:rPr>
        <w:t>12</w:t>
      </w:r>
      <w:r>
        <w:rPr>
          <w:rFonts w:hint="eastAsia"/>
          <w:sz w:val="21"/>
          <w:szCs w:val="21"/>
        </w:rPr>
        <w:t>月</w:t>
      </w:r>
      <w:r>
        <w:rPr>
          <w:rFonts w:ascii="Times New Roman" w:eastAsia="等线" w:hAnsi="Times New Roman" w:cs="Times New Roman"/>
          <w:sz w:val="21"/>
          <w:szCs w:val="21"/>
        </w:rPr>
        <w:t>31</w:t>
      </w:r>
      <w:r>
        <w:rPr>
          <w:rFonts w:hint="eastAsia"/>
          <w:sz w:val="21"/>
          <w:szCs w:val="21"/>
        </w:rPr>
        <w:t>日，公司全资子公司</w:t>
      </w:r>
      <w:r>
        <w:rPr>
          <w:rFonts w:ascii="Times New Roman" w:eastAsia="等线" w:hAnsi="Times New Roman" w:cs="Times New Roman"/>
          <w:sz w:val="21"/>
          <w:szCs w:val="21"/>
        </w:rPr>
        <w:t>Polymer Technology Systems, Inc.</w:t>
      </w:r>
      <w:r>
        <w:rPr>
          <w:rFonts w:hint="eastAsia"/>
          <w:sz w:val="21"/>
          <w:szCs w:val="21"/>
        </w:rPr>
        <w:t>共持有</w:t>
      </w:r>
      <w:r>
        <w:rPr>
          <w:rFonts w:ascii="Times New Roman" w:eastAsia="等线" w:hAnsi="Times New Roman" w:cs="Times New Roman"/>
          <w:sz w:val="21"/>
          <w:szCs w:val="21"/>
        </w:rPr>
        <w:t>21</w:t>
      </w:r>
      <w:r>
        <w:rPr>
          <w:rFonts w:hint="eastAsia"/>
          <w:sz w:val="21"/>
          <w:szCs w:val="21"/>
        </w:rPr>
        <w:t>项有效的美国</w:t>
      </w:r>
      <w:r>
        <w:rPr>
          <w:rFonts w:ascii="Times New Roman" w:eastAsia="等线" w:hAnsi="Times New Roman" w:cs="Times New Roman"/>
          <w:sz w:val="21"/>
          <w:szCs w:val="21"/>
        </w:rPr>
        <w:t>FDA</w:t>
      </w:r>
      <w:r>
        <w:rPr>
          <w:rFonts w:hint="eastAsia"/>
          <w:sz w:val="21"/>
          <w:szCs w:val="21"/>
        </w:rPr>
        <w:t>注册证和</w:t>
      </w:r>
      <w:r>
        <w:rPr>
          <w:rFonts w:ascii="Times New Roman" w:eastAsia="等线" w:hAnsi="Times New Roman" w:cs="Times New Roman"/>
          <w:sz w:val="21"/>
          <w:szCs w:val="21"/>
        </w:rPr>
        <w:t>11</w:t>
      </w:r>
      <w:r>
        <w:rPr>
          <w:rFonts w:hint="eastAsia"/>
          <w:sz w:val="21"/>
          <w:szCs w:val="21"/>
        </w:rPr>
        <w:t>项有效的</w:t>
      </w:r>
      <w:r>
        <w:rPr>
          <w:rFonts w:ascii="Times New Roman" w:eastAsia="等线" w:hAnsi="Times New Roman" w:cs="Times New Roman"/>
          <w:sz w:val="21"/>
          <w:szCs w:val="21"/>
        </w:rPr>
        <w:t>CE</w:t>
      </w:r>
      <w:r>
        <w:rPr>
          <w:rFonts w:hint="eastAsia"/>
          <w:sz w:val="21"/>
          <w:szCs w:val="21"/>
        </w:rPr>
        <w:t>认证证书，具体明细如下：</w:t>
      </w:r>
    </w:p>
    <w:tbl>
      <w:tblPr>
        <w:tblW w:w="5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0"/>
        <w:gridCol w:w="1803"/>
        <w:gridCol w:w="708"/>
        <w:gridCol w:w="5269"/>
        <w:gridCol w:w="1394"/>
        <w:gridCol w:w="963"/>
      </w:tblGrid>
      <w:tr w:rsidR="00113A51" w14:paraId="5D2517C3" w14:textId="77777777" w:rsidTr="00C707CF">
        <w:trPr>
          <w:cantSplit/>
          <w:tblHeader/>
          <w:jc w:val="center"/>
        </w:trPr>
        <w:tc>
          <w:tcPr>
            <w:tcW w:w="230" w:type="pct"/>
            <w:shd w:val="clear" w:color="auto" w:fill="D0CECE"/>
            <w:tcMar>
              <w:top w:w="10" w:type="dxa"/>
              <w:left w:w="10" w:type="dxa"/>
              <w:bottom w:w="10" w:type="dxa"/>
              <w:right w:w="10" w:type="dxa"/>
            </w:tcMar>
            <w:vAlign w:val="center"/>
          </w:tcPr>
          <w:p w14:paraId="0898F771"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序号</w:t>
            </w:r>
          </w:p>
        </w:tc>
        <w:tc>
          <w:tcPr>
            <w:tcW w:w="847" w:type="pct"/>
            <w:shd w:val="clear" w:color="auto" w:fill="D0CECE"/>
            <w:tcMar>
              <w:top w:w="10" w:type="dxa"/>
              <w:left w:w="10" w:type="dxa"/>
              <w:bottom w:w="10" w:type="dxa"/>
              <w:right w:w="10" w:type="dxa"/>
            </w:tcMar>
            <w:vAlign w:val="center"/>
          </w:tcPr>
          <w:p w14:paraId="7EE5D690"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名称</w:t>
            </w:r>
          </w:p>
        </w:tc>
        <w:tc>
          <w:tcPr>
            <w:tcW w:w="333" w:type="pct"/>
            <w:shd w:val="clear" w:color="auto" w:fill="D0CECE"/>
            <w:tcMar>
              <w:top w:w="10" w:type="dxa"/>
              <w:left w:w="10" w:type="dxa"/>
              <w:bottom w:w="10" w:type="dxa"/>
              <w:right w:w="10" w:type="dxa"/>
            </w:tcMar>
            <w:vAlign w:val="center"/>
          </w:tcPr>
          <w:p w14:paraId="39EC5B44"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注册分类</w:t>
            </w:r>
          </w:p>
        </w:tc>
        <w:tc>
          <w:tcPr>
            <w:tcW w:w="2478" w:type="pct"/>
            <w:shd w:val="clear" w:color="auto" w:fill="D0CECE"/>
            <w:tcMar>
              <w:top w:w="10" w:type="dxa"/>
              <w:left w:w="10" w:type="dxa"/>
              <w:bottom w:w="10" w:type="dxa"/>
              <w:right w:w="10" w:type="dxa"/>
            </w:tcMar>
            <w:vAlign w:val="center"/>
          </w:tcPr>
          <w:p w14:paraId="42CD4A12"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临床用途</w:t>
            </w:r>
          </w:p>
        </w:tc>
        <w:tc>
          <w:tcPr>
            <w:tcW w:w="656" w:type="pct"/>
            <w:shd w:val="clear" w:color="auto" w:fill="D0CECE"/>
            <w:tcMar>
              <w:top w:w="10" w:type="dxa"/>
              <w:left w:w="10" w:type="dxa"/>
              <w:bottom w:w="10" w:type="dxa"/>
              <w:right w:w="10" w:type="dxa"/>
            </w:tcMar>
            <w:vAlign w:val="center"/>
          </w:tcPr>
          <w:p w14:paraId="07E85023"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注册证有效期</w:t>
            </w:r>
          </w:p>
        </w:tc>
        <w:tc>
          <w:tcPr>
            <w:tcW w:w="453" w:type="pct"/>
            <w:shd w:val="clear" w:color="auto" w:fill="D0CECE"/>
            <w:tcMar>
              <w:top w:w="10" w:type="dxa"/>
              <w:left w:w="10" w:type="dxa"/>
              <w:bottom w:w="10" w:type="dxa"/>
              <w:right w:w="10" w:type="dxa"/>
            </w:tcMar>
            <w:vAlign w:val="center"/>
          </w:tcPr>
          <w:p w14:paraId="074BCAF5"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注册情况</w:t>
            </w:r>
          </w:p>
        </w:tc>
      </w:tr>
      <w:tr w:rsidR="00113A51" w14:paraId="236EA78D" w14:textId="77777777" w:rsidTr="00C707CF">
        <w:trPr>
          <w:cantSplit/>
          <w:jc w:val="center"/>
        </w:trPr>
        <w:tc>
          <w:tcPr>
            <w:tcW w:w="230" w:type="pct"/>
            <w:tcMar>
              <w:top w:w="10" w:type="dxa"/>
              <w:left w:w="10" w:type="dxa"/>
              <w:bottom w:w="10" w:type="dxa"/>
              <w:right w:w="10" w:type="dxa"/>
            </w:tcMar>
            <w:vAlign w:val="center"/>
          </w:tcPr>
          <w:p w14:paraId="56E531D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w:t>
            </w:r>
          </w:p>
        </w:tc>
        <w:tc>
          <w:tcPr>
            <w:tcW w:w="847" w:type="pct"/>
            <w:tcMar>
              <w:top w:w="10" w:type="dxa"/>
              <w:left w:w="10" w:type="dxa"/>
              <w:bottom w:w="10" w:type="dxa"/>
              <w:right w:w="10" w:type="dxa"/>
            </w:tcMar>
            <w:vAlign w:val="center"/>
          </w:tcPr>
          <w:p w14:paraId="2B3EC54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CardioChek analyzer</w:t>
            </w:r>
          </w:p>
        </w:tc>
        <w:tc>
          <w:tcPr>
            <w:tcW w:w="333" w:type="pct"/>
            <w:tcMar>
              <w:top w:w="10" w:type="dxa"/>
              <w:left w:w="10" w:type="dxa"/>
              <w:bottom w:w="10" w:type="dxa"/>
              <w:right w:w="10" w:type="dxa"/>
            </w:tcMar>
            <w:vAlign w:val="center"/>
          </w:tcPr>
          <w:p w14:paraId="5BB1398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3F8B1A84"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CardioChek</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xml:space="preserve"> brand analyzers are intended for in vitro diagnostic use to test whole blood.  This system is intended for in-home (self-testing) or professional use for accurately and reproducibly measuring analytes in human whole blood obtained from a fingerstick sample. </w:t>
            </w:r>
          </w:p>
        </w:tc>
        <w:tc>
          <w:tcPr>
            <w:tcW w:w="656" w:type="pct"/>
            <w:tcMar>
              <w:top w:w="10" w:type="dxa"/>
              <w:left w:w="10" w:type="dxa"/>
              <w:bottom w:w="10" w:type="dxa"/>
              <w:right w:w="10" w:type="dxa"/>
            </w:tcMar>
            <w:vAlign w:val="center"/>
          </w:tcPr>
          <w:p w14:paraId="24D47920"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6242C84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2001.12.21</w:t>
            </w:r>
            <w:r>
              <w:rPr>
                <w:rFonts w:hint="eastAsia"/>
                <w:sz w:val="18"/>
                <w:szCs w:val="18"/>
              </w:rPr>
              <w:t>获批</w:t>
            </w:r>
          </w:p>
        </w:tc>
      </w:tr>
      <w:tr w:rsidR="00113A51" w14:paraId="649EC724" w14:textId="77777777" w:rsidTr="00C707CF">
        <w:trPr>
          <w:cantSplit/>
          <w:jc w:val="center"/>
        </w:trPr>
        <w:tc>
          <w:tcPr>
            <w:tcW w:w="230" w:type="pct"/>
            <w:tcMar>
              <w:top w:w="10" w:type="dxa"/>
              <w:left w:w="10" w:type="dxa"/>
              <w:bottom w:w="10" w:type="dxa"/>
              <w:right w:w="10" w:type="dxa"/>
            </w:tcMar>
            <w:vAlign w:val="center"/>
          </w:tcPr>
          <w:p w14:paraId="2F71B1F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w:t>
            </w:r>
          </w:p>
        </w:tc>
        <w:tc>
          <w:tcPr>
            <w:tcW w:w="847" w:type="pct"/>
            <w:tcMar>
              <w:top w:w="10" w:type="dxa"/>
              <w:left w:w="10" w:type="dxa"/>
              <w:bottom w:w="10" w:type="dxa"/>
              <w:right w:w="10" w:type="dxa"/>
            </w:tcMar>
            <w:vAlign w:val="center"/>
          </w:tcPr>
          <w:p w14:paraId="68685A6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CardioChek for Home Use analyzer</w:t>
            </w:r>
          </w:p>
        </w:tc>
        <w:tc>
          <w:tcPr>
            <w:tcW w:w="333" w:type="pct"/>
            <w:tcMar>
              <w:top w:w="10" w:type="dxa"/>
              <w:left w:w="10" w:type="dxa"/>
              <w:bottom w:w="10" w:type="dxa"/>
              <w:right w:w="10" w:type="dxa"/>
            </w:tcMar>
            <w:vAlign w:val="center"/>
          </w:tcPr>
          <w:p w14:paraId="7B37C89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13BD4128"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 xml:space="preserve">The CardioChek test system (consisting of the CardioChek analyzer and PTS Panels self-test strips) is for the measurement of glucose, total cholesterol, HDL (high density lipoprotein) cholesterol and triglycerides in capillary whole blood from the fingertip and is intended for self-testing use. This system should only be used with single-use, auto-disabling lancing devices. This system is for </w:t>
            </w:r>
            <w:r>
              <w:rPr>
                <w:rStyle w:val="ab"/>
                <w:rFonts w:ascii="Times New Roman" w:eastAsia="等线" w:hAnsi="Times New Roman" w:cs="Times New Roman"/>
                <w:sz w:val="17"/>
                <w:szCs w:val="17"/>
              </w:rPr>
              <w:t xml:space="preserve">in vitro </w:t>
            </w:r>
            <w:r>
              <w:rPr>
                <w:rFonts w:ascii="Times New Roman" w:eastAsia="等线" w:hAnsi="Times New Roman" w:cs="Times New Roman"/>
                <w:sz w:val="17"/>
                <w:szCs w:val="17"/>
              </w:rPr>
              <w:t>diagnostic use only.</w:t>
            </w:r>
          </w:p>
        </w:tc>
        <w:tc>
          <w:tcPr>
            <w:tcW w:w="656" w:type="pct"/>
            <w:tcMar>
              <w:top w:w="10" w:type="dxa"/>
              <w:left w:w="10" w:type="dxa"/>
              <w:bottom w:w="10" w:type="dxa"/>
              <w:right w:w="10" w:type="dxa"/>
            </w:tcMar>
            <w:vAlign w:val="center"/>
          </w:tcPr>
          <w:p w14:paraId="1E8DDC4F"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7BE62CA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2001.12.21</w:t>
            </w:r>
            <w:r>
              <w:rPr>
                <w:rFonts w:hint="eastAsia"/>
                <w:sz w:val="18"/>
                <w:szCs w:val="18"/>
              </w:rPr>
              <w:t>获批</w:t>
            </w:r>
          </w:p>
        </w:tc>
      </w:tr>
      <w:tr w:rsidR="00113A51" w14:paraId="347FF69C" w14:textId="77777777" w:rsidTr="00C707CF">
        <w:trPr>
          <w:cantSplit/>
          <w:jc w:val="center"/>
        </w:trPr>
        <w:tc>
          <w:tcPr>
            <w:tcW w:w="230" w:type="pct"/>
            <w:tcMar>
              <w:top w:w="10" w:type="dxa"/>
              <w:left w:w="10" w:type="dxa"/>
              <w:bottom w:w="10" w:type="dxa"/>
              <w:right w:w="10" w:type="dxa"/>
            </w:tcMar>
            <w:vAlign w:val="center"/>
          </w:tcPr>
          <w:p w14:paraId="2BB048F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3</w:t>
            </w:r>
          </w:p>
        </w:tc>
        <w:tc>
          <w:tcPr>
            <w:tcW w:w="847" w:type="pct"/>
            <w:tcMar>
              <w:top w:w="10" w:type="dxa"/>
              <w:left w:w="10" w:type="dxa"/>
              <w:bottom w:w="10" w:type="dxa"/>
              <w:right w:w="10" w:type="dxa"/>
            </w:tcMar>
            <w:vAlign w:val="center"/>
          </w:tcPr>
          <w:p w14:paraId="1D7A8B7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CardioChek PA analyzer</w:t>
            </w:r>
          </w:p>
          <w:p w14:paraId="359AD66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(Pro)</w:t>
            </w:r>
          </w:p>
        </w:tc>
        <w:tc>
          <w:tcPr>
            <w:tcW w:w="333" w:type="pct"/>
            <w:tcMar>
              <w:top w:w="10" w:type="dxa"/>
              <w:left w:w="10" w:type="dxa"/>
              <w:bottom w:w="10" w:type="dxa"/>
              <w:right w:w="10" w:type="dxa"/>
            </w:tcMar>
            <w:vAlign w:val="center"/>
          </w:tcPr>
          <w:p w14:paraId="61E9A92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5AE1166A"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The CardioChek PA test system (consisting of the CardioChek PA analyzer and PTS Panels test strips) is for the quantitative determination of glucose, total cholesterol, HDL (high density lipoprotein) cholesterol and triglycerides in venous whole blood and capillary whole blood from the fingertip and is intended for multiple patient use in professional</w:t>
            </w:r>
          </w:p>
          <w:p w14:paraId="35C0E5E0"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healthcare settings. This system should only be used with single-use, auto-disabling lancing devices. This system is for in vitro diagnostic use only.</w:t>
            </w:r>
          </w:p>
        </w:tc>
        <w:tc>
          <w:tcPr>
            <w:tcW w:w="656" w:type="pct"/>
            <w:tcMar>
              <w:top w:w="10" w:type="dxa"/>
              <w:left w:w="10" w:type="dxa"/>
              <w:bottom w:w="10" w:type="dxa"/>
              <w:right w:w="10" w:type="dxa"/>
            </w:tcMar>
            <w:vAlign w:val="center"/>
          </w:tcPr>
          <w:p w14:paraId="3FA3ECCD"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1320678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511795F5" w14:textId="77777777" w:rsidTr="00C707CF">
        <w:trPr>
          <w:cantSplit/>
          <w:jc w:val="center"/>
        </w:trPr>
        <w:tc>
          <w:tcPr>
            <w:tcW w:w="230" w:type="pct"/>
            <w:tcMar>
              <w:top w:w="10" w:type="dxa"/>
              <w:left w:w="10" w:type="dxa"/>
              <w:bottom w:w="10" w:type="dxa"/>
              <w:right w:w="10" w:type="dxa"/>
            </w:tcMar>
            <w:vAlign w:val="center"/>
          </w:tcPr>
          <w:p w14:paraId="23BB92E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4</w:t>
            </w:r>
          </w:p>
        </w:tc>
        <w:tc>
          <w:tcPr>
            <w:tcW w:w="847" w:type="pct"/>
            <w:tcMar>
              <w:top w:w="10" w:type="dxa"/>
              <w:left w:w="10" w:type="dxa"/>
              <w:bottom w:w="10" w:type="dxa"/>
              <w:right w:w="10" w:type="dxa"/>
            </w:tcMar>
            <w:vAlign w:val="center"/>
          </w:tcPr>
          <w:p w14:paraId="4F47282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CardioChek PA Home </w:t>
            </w:r>
          </w:p>
          <w:p w14:paraId="0EFD8BB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(OTC)</w:t>
            </w:r>
          </w:p>
        </w:tc>
        <w:tc>
          <w:tcPr>
            <w:tcW w:w="333" w:type="pct"/>
            <w:tcMar>
              <w:top w:w="10" w:type="dxa"/>
              <w:left w:w="10" w:type="dxa"/>
              <w:bottom w:w="10" w:type="dxa"/>
              <w:right w:w="10" w:type="dxa"/>
            </w:tcMar>
            <w:vAlign w:val="center"/>
          </w:tcPr>
          <w:p w14:paraId="6D8FDDD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6B4E6413"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 xml:space="preserve">The CardioChek self-test system (consisting of the CardioChek self-test analyzer and PTS Panels self-test strips) is for the measurement of glucose, total cholesterol, HDL (high density lipoprotein) cholesterol and triglycerides in capillary whole blood from the fingertip and is intended for self-testing use. This system should only be used with single-use, auto-disabling lancing devices. This system is for </w:t>
            </w:r>
            <w:r>
              <w:rPr>
                <w:rStyle w:val="ab"/>
                <w:rFonts w:ascii="Times New Roman" w:eastAsia="等线" w:hAnsi="Times New Roman" w:cs="Times New Roman"/>
                <w:sz w:val="17"/>
                <w:szCs w:val="17"/>
              </w:rPr>
              <w:t xml:space="preserve">in vitro </w:t>
            </w:r>
            <w:r>
              <w:rPr>
                <w:rFonts w:ascii="Times New Roman" w:eastAsia="等线" w:hAnsi="Times New Roman" w:cs="Times New Roman"/>
                <w:sz w:val="17"/>
                <w:szCs w:val="17"/>
              </w:rPr>
              <w:t>diagnostic use only.</w:t>
            </w:r>
          </w:p>
        </w:tc>
        <w:tc>
          <w:tcPr>
            <w:tcW w:w="656" w:type="pct"/>
            <w:tcMar>
              <w:top w:w="10" w:type="dxa"/>
              <w:left w:w="10" w:type="dxa"/>
              <w:bottom w:w="10" w:type="dxa"/>
              <w:right w:w="10" w:type="dxa"/>
            </w:tcMar>
            <w:vAlign w:val="center"/>
          </w:tcPr>
          <w:p w14:paraId="4E8BF792"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1B1DABC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167A06C8" w14:textId="77777777" w:rsidTr="00C707CF">
        <w:trPr>
          <w:cantSplit/>
          <w:jc w:val="center"/>
        </w:trPr>
        <w:tc>
          <w:tcPr>
            <w:tcW w:w="230" w:type="pct"/>
            <w:tcMar>
              <w:top w:w="10" w:type="dxa"/>
              <w:left w:w="10" w:type="dxa"/>
              <w:bottom w:w="10" w:type="dxa"/>
              <w:right w:w="10" w:type="dxa"/>
            </w:tcMar>
            <w:vAlign w:val="center"/>
          </w:tcPr>
          <w:p w14:paraId="1992B73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5</w:t>
            </w:r>
          </w:p>
        </w:tc>
        <w:tc>
          <w:tcPr>
            <w:tcW w:w="847" w:type="pct"/>
            <w:tcMar>
              <w:top w:w="10" w:type="dxa"/>
              <w:left w:w="10" w:type="dxa"/>
              <w:bottom w:w="10" w:type="dxa"/>
              <w:right w:w="10" w:type="dxa"/>
            </w:tcMar>
            <w:vAlign w:val="center"/>
          </w:tcPr>
          <w:p w14:paraId="7B45E27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CardioChek Plus analyzer </w:t>
            </w:r>
          </w:p>
        </w:tc>
        <w:tc>
          <w:tcPr>
            <w:tcW w:w="333" w:type="pct"/>
            <w:tcMar>
              <w:top w:w="10" w:type="dxa"/>
              <w:left w:w="10" w:type="dxa"/>
              <w:bottom w:w="10" w:type="dxa"/>
              <w:right w:w="10" w:type="dxa"/>
            </w:tcMar>
            <w:vAlign w:val="center"/>
          </w:tcPr>
          <w:p w14:paraId="5C4FAE6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7F6794FC"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 xml:space="preserve">The CardioChek Plus Test System is a small portable analyzer and test strip system intended for multiple patient use in professional healthcare settings. This system should only be used with single-use, auto-disabling lancing devices. This system is for in vitro diagnostic use only. The tests strips are for the quantitative determination of glucose, total cholesterol, HDL (high density lipoprotein) cholesterol and triglycerides in venous whole blood and capillary whole blood from the fingertip. A Chol/HDL ratio and estimated values for LDL (low density lipoprotein) cholesterol and non-HDL cholesterol are calculated by the CardioChek Plus analyzer. </w:t>
            </w:r>
          </w:p>
        </w:tc>
        <w:tc>
          <w:tcPr>
            <w:tcW w:w="656" w:type="pct"/>
            <w:tcMar>
              <w:top w:w="10" w:type="dxa"/>
              <w:left w:w="10" w:type="dxa"/>
              <w:bottom w:w="10" w:type="dxa"/>
              <w:right w:w="10" w:type="dxa"/>
            </w:tcMar>
            <w:vAlign w:val="center"/>
          </w:tcPr>
          <w:p w14:paraId="392759E4"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56AF299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063BF547" w14:textId="77777777" w:rsidTr="00C707CF">
        <w:trPr>
          <w:cantSplit/>
          <w:jc w:val="center"/>
        </w:trPr>
        <w:tc>
          <w:tcPr>
            <w:tcW w:w="230" w:type="pct"/>
            <w:tcMar>
              <w:top w:w="10" w:type="dxa"/>
              <w:left w:w="10" w:type="dxa"/>
              <w:bottom w:w="10" w:type="dxa"/>
              <w:right w:w="10" w:type="dxa"/>
            </w:tcMar>
            <w:vAlign w:val="center"/>
          </w:tcPr>
          <w:p w14:paraId="20A4A10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6</w:t>
            </w:r>
          </w:p>
        </w:tc>
        <w:tc>
          <w:tcPr>
            <w:tcW w:w="847" w:type="pct"/>
            <w:tcMar>
              <w:top w:w="10" w:type="dxa"/>
              <w:left w:w="10" w:type="dxa"/>
              <w:bottom w:w="10" w:type="dxa"/>
              <w:right w:w="10" w:type="dxa"/>
            </w:tcMar>
            <w:vAlign w:val="center"/>
          </w:tcPr>
          <w:p w14:paraId="7A7AF37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CardioChek Plus Self-Test Analyzer </w:t>
            </w:r>
          </w:p>
        </w:tc>
        <w:tc>
          <w:tcPr>
            <w:tcW w:w="333" w:type="pct"/>
            <w:tcMar>
              <w:top w:w="10" w:type="dxa"/>
              <w:left w:w="10" w:type="dxa"/>
              <w:bottom w:w="10" w:type="dxa"/>
              <w:right w:w="10" w:type="dxa"/>
            </w:tcMar>
            <w:vAlign w:val="center"/>
          </w:tcPr>
          <w:p w14:paraId="1BD1301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1ECA7C4F" w14:textId="77777777" w:rsidR="00113A51" w:rsidRDefault="00766EC7">
            <w:pPr>
              <w:pStyle w:val="a9"/>
              <w:spacing w:before="0" w:beforeAutospacing="0" w:after="0" w:afterAutospacing="0" w:line="241" w:lineRule="atLeast"/>
              <w:rPr>
                <w:rFonts w:ascii="Myriad Pro Cond" w:hAnsi="Myriad Pro Cond"/>
              </w:rPr>
            </w:pPr>
            <w:r>
              <w:rPr>
                <w:rFonts w:ascii="Times New Roman" w:hAnsi="Times New Roman" w:cs="Times New Roman"/>
                <w:sz w:val="17"/>
                <w:szCs w:val="17"/>
              </w:rPr>
              <w:t xml:space="preserve">The CardioChek Plus Home test system is a small, portable analyzer and test strip system for self-testing by lay users. It is intended to be used by a single person and should not be shared. This system is for </w:t>
            </w:r>
            <w:r>
              <w:rPr>
                <w:rStyle w:val="ab"/>
                <w:rFonts w:ascii="Times New Roman" w:hAnsi="Times New Roman" w:cs="Times New Roman"/>
                <w:sz w:val="17"/>
                <w:szCs w:val="17"/>
              </w:rPr>
              <w:t xml:space="preserve">in vitro </w:t>
            </w:r>
            <w:r>
              <w:rPr>
                <w:rFonts w:ascii="Times New Roman" w:hAnsi="Times New Roman" w:cs="Times New Roman"/>
                <w:sz w:val="17"/>
                <w:szCs w:val="17"/>
              </w:rPr>
              <w:t xml:space="preserve">diagnostic use only. This system should only be used with single-use, auto-disabling lancing devices. The test strips are for the quantitative determination of glucose, total cholesterol, HDL (high density lipoprotein) cholesterol, and triglycerides in capillary whole blood from the fingertip. A Chol/HDL ratio and estimated values for LDL (low density lipoprotein) cholesterol and non-HDL cholesterol are calculated by the CardioChek Plus Home analyzer. </w:t>
            </w:r>
          </w:p>
        </w:tc>
        <w:tc>
          <w:tcPr>
            <w:tcW w:w="656" w:type="pct"/>
            <w:tcMar>
              <w:top w:w="10" w:type="dxa"/>
              <w:left w:w="10" w:type="dxa"/>
              <w:bottom w:w="10" w:type="dxa"/>
              <w:right w:w="10" w:type="dxa"/>
            </w:tcMar>
            <w:vAlign w:val="center"/>
          </w:tcPr>
          <w:p w14:paraId="07EAB098"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7864889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59ECD855" w14:textId="77777777" w:rsidTr="00C707CF">
        <w:trPr>
          <w:cantSplit/>
          <w:jc w:val="center"/>
        </w:trPr>
        <w:tc>
          <w:tcPr>
            <w:tcW w:w="230" w:type="pct"/>
            <w:tcMar>
              <w:top w:w="10" w:type="dxa"/>
              <w:left w:w="10" w:type="dxa"/>
              <w:bottom w:w="10" w:type="dxa"/>
              <w:right w:w="10" w:type="dxa"/>
            </w:tcMar>
            <w:vAlign w:val="center"/>
          </w:tcPr>
          <w:p w14:paraId="65B50B3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7</w:t>
            </w:r>
          </w:p>
        </w:tc>
        <w:tc>
          <w:tcPr>
            <w:tcW w:w="847" w:type="pct"/>
            <w:tcMar>
              <w:top w:w="10" w:type="dxa"/>
              <w:left w:w="10" w:type="dxa"/>
              <w:bottom w:w="10" w:type="dxa"/>
              <w:right w:w="10" w:type="dxa"/>
            </w:tcMar>
            <w:vAlign w:val="center"/>
          </w:tcPr>
          <w:p w14:paraId="612C973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w:t>
            </w:r>
            <w:r>
              <w:rPr>
                <w:rFonts w:ascii="Times New Roman" w:eastAsia="等线" w:hAnsi="Times New Roman" w:cs="Times New Roman"/>
                <w:sz w:val="18"/>
                <w:szCs w:val="18"/>
                <w:vertAlign w:val="superscript"/>
              </w:rPr>
              <w:t>®</w:t>
            </w:r>
            <w:r>
              <w:rPr>
                <w:rFonts w:ascii="Times New Roman" w:eastAsia="等线" w:hAnsi="Times New Roman" w:cs="Times New Roman"/>
                <w:sz w:val="18"/>
                <w:szCs w:val="18"/>
              </w:rPr>
              <w:t xml:space="preserve"> CHOL+GLU Test Panel Test Strips</w:t>
            </w:r>
          </w:p>
        </w:tc>
        <w:tc>
          <w:tcPr>
            <w:tcW w:w="333" w:type="pct"/>
            <w:tcMar>
              <w:top w:w="10" w:type="dxa"/>
              <w:left w:w="10" w:type="dxa"/>
              <w:bottom w:w="10" w:type="dxa"/>
              <w:right w:w="10" w:type="dxa"/>
            </w:tcMar>
            <w:vAlign w:val="center"/>
          </w:tcPr>
          <w:p w14:paraId="05E6B59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55ADCB59" w14:textId="77777777" w:rsidR="00113A51" w:rsidRDefault="00766EC7">
            <w:pPr>
              <w:pStyle w:val="a9"/>
              <w:spacing w:before="0" w:beforeAutospacing="0" w:after="0" w:afterAutospacing="0"/>
              <w:rPr>
                <w:rFonts w:ascii="Myriad Pro Cond" w:hAnsi="Myriad Pro Cond"/>
              </w:rPr>
            </w:pPr>
            <w:r>
              <w:rPr>
                <w:rFonts w:ascii="Times New Roman" w:hAnsi="Times New Roman" w:cs="Times New Roman"/>
                <w:sz w:val="17"/>
                <w:szCs w:val="17"/>
              </w:rPr>
              <w:t xml:space="preserve">The CardioChek PA and CardioChek Plus test systems (consisting of the CardioChek PA and CardioChek Plus professional analyzers and PTS Panels® CHOL+GLU test strips) is for the quantitative determination of total cholesterol and glucose in venous whole blood and capillary whole blood from the fingertip and is intended for multiple patient use in professional healthcare settings. This system should only be used with single-use, auto-disabling lancing devices. This system is for </w:t>
            </w:r>
            <w:r>
              <w:rPr>
                <w:rStyle w:val="ab"/>
                <w:rFonts w:ascii="Times New Roman" w:hAnsi="Times New Roman" w:cs="Times New Roman"/>
                <w:sz w:val="17"/>
                <w:szCs w:val="17"/>
              </w:rPr>
              <w:t xml:space="preserve">in vitro </w:t>
            </w:r>
            <w:r>
              <w:rPr>
                <w:rFonts w:ascii="Times New Roman" w:hAnsi="Times New Roman" w:cs="Times New Roman"/>
                <w:sz w:val="17"/>
                <w:szCs w:val="17"/>
              </w:rPr>
              <w:t>diagnostic use only.  </w:t>
            </w:r>
          </w:p>
        </w:tc>
        <w:tc>
          <w:tcPr>
            <w:tcW w:w="656" w:type="pct"/>
            <w:tcMar>
              <w:top w:w="10" w:type="dxa"/>
              <w:left w:w="10" w:type="dxa"/>
              <w:bottom w:w="10" w:type="dxa"/>
              <w:right w:w="10" w:type="dxa"/>
            </w:tcMar>
            <w:vAlign w:val="center"/>
          </w:tcPr>
          <w:p w14:paraId="6694E245"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0A336F2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48936562" w14:textId="77777777" w:rsidTr="00C707CF">
        <w:trPr>
          <w:cantSplit/>
          <w:jc w:val="center"/>
        </w:trPr>
        <w:tc>
          <w:tcPr>
            <w:tcW w:w="230" w:type="pct"/>
            <w:tcMar>
              <w:top w:w="10" w:type="dxa"/>
              <w:left w:w="10" w:type="dxa"/>
              <w:bottom w:w="10" w:type="dxa"/>
              <w:right w:w="10" w:type="dxa"/>
            </w:tcMar>
            <w:vAlign w:val="center"/>
          </w:tcPr>
          <w:p w14:paraId="678B7A5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8</w:t>
            </w:r>
          </w:p>
        </w:tc>
        <w:tc>
          <w:tcPr>
            <w:tcW w:w="847" w:type="pct"/>
            <w:tcMar>
              <w:top w:w="10" w:type="dxa"/>
              <w:left w:w="10" w:type="dxa"/>
              <w:bottom w:w="10" w:type="dxa"/>
              <w:right w:w="10" w:type="dxa"/>
            </w:tcMar>
            <w:vAlign w:val="center"/>
          </w:tcPr>
          <w:p w14:paraId="7387DD2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CHOL+HDL Test Panel Test Strips</w:t>
            </w:r>
          </w:p>
        </w:tc>
        <w:tc>
          <w:tcPr>
            <w:tcW w:w="333" w:type="pct"/>
            <w:tcMar>
              <w:top w:w="10" w:type="dxa"/>
              <w:left w:w="10" w:type="dxa"/>
              <w:bottom w:w="10" w:type="dxa"/>
              <w:right w:w="10" w:type="dxa"/>
            </w:tcMar>
            <w:vAlign w:val="center"/>
          </w:tcPr>
          <w:p w14:paraId="52677DF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15AFA7C7" w14:textId="77777777" w:rsidR="00113A51" w:rsidRDefault="00766EC7">
            <w:pPr>
              <w:pStyle w:val="a9"/>
              <w:spacing w:before="0" w:beforeAutospacing="0" w:after="0" w:afterAutospacing="0"/>
              <w:rPr>
                <w:rFonts w:ascii="Myriad Pro Cond" w:hAnsi="Myriad Pro Cond"/>
              </w:rPr>
            </w:pPr>
            <w:r>
              <w:rPr>
                <w:rFonts w:ascii="Times New Roman" w:hAnsi="Times New Roman" w:cs="Times New Roman"/>
                <w:sz w:val="17"/>
                <w:szCs w:val="17"/>
              </w:rPr>
              <w:t xml:space="preserve">The CardioChek PA and CardioChek Plus test systems (consisting of the CardioChek PA and CardioChek Plus professional analyzers and PTS Panels® CHOL+HDL test strips) is for the quantitative determination of total cholesterol and HDL (high density lipoprotein) cholesterol in venous whole blood and capillary whole blood from the fingertip and is intended for multiple patient use in professional healthcare settings. This system should only be used with single-use, auto-disabling lancing devices. This system is for </w:t>
            </w:r>
            <w:r>
              <w:rPr>
                <w:rStyle w:val="ab"/>
                <w:rFonts w:ascii="Times New Roman" w:hAnsi="Times New Roman" w:cs="Times New Roman"/>
                <w:sz w:val="17"/>
                <w:szCs w:val="17"/>
              </w:rPr>
              <w:t xml:space="preserve">in vitro </w:t>
            </w:r>
            <w:r>
              <w:rPr>
                <w:rFonts w:ascii="Times New Roman" w:hAnsi="Times New Roman" w:cs="Times New Roman"/>
                <w:sz w:val="17"/>
                <w:szCs w:val="17"/>
              </w:rPr>
              <w:t xml:space="preserve">diagnostic use only. </w:t>
            </w:r>
          </w:p>
        </w:tc>
        <w:tc>
          <w:tcPr>
            <w:tcW w:w="656" w:type="pct"/>
            <w:tcMar>
              <w:top w:w="10" w:type="dxa"/>
              <w:left w:w="10" w:type="dxa"/>
              <w:bottom w:w="10" w:type="dxa"/>
              <w:right w:w="10" w:type="dxa"/>
            </w:tcMar>
            <w:vAlign w:val="center"/>
          </w:tcPr>
          <w:p w14:paraId="18CF0ED2"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7125EEA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37A057C8" w14:textId="77777777" w:rsidTr="00C707CF">
        <w:trPr>
          <w:cantSplit/>
          <w:jc w:val="center"/>
        </w:trPr>
        <w:tc>
          <w:tcPr>
            <w:tcW w:w="230" w:type="pct"/>
            <w:tcMar>
              <w:top w:w="10" w:type="dxa"/>
              <w:left w:w="10" w:type="dxa"/>
              <w:bottom w:w="10" w:type="dxa"/>
              <w:right w:w="10" w:type="dxa"/>
            </w:tcMar>
            <w:vAlign w:val="center"/>
          </w:tcPr>
          <w:p w14:paraId="700A741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9</w:t>
            </w:r>
          </w:p>
        </w:tc>
        <w:tc>
          <w:tcPr>
            <w:tcW w:w="847" w:type="pct"/>
            <w:tcMar>
              <w:top w:w="10" w:type="dxa"/>
              <w:left w:w="10" w:type="dxa"/>
              <w:bottom w:w="10" w:type="dxa"/>
              <w:right w:w="10" w:type="dxa"/>
            </w:tcMar>
            <w:vAlign w:val="center"/>
          </w:tcPr>
          <w:p w14:paraId="4CE9715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w:t>
            </w:r>
            <w:r>
              <w:rPr>
                <w:rFonts w:ascii="Times New Roman" w:eastAsia="等线" w:hAnsi="Times New Roman" w:cs="Times New Roman"/>
                <w:sz w:val="18"/>
                <w:szCs w:val="18"/>
                <w:vertAlign w:val="superscript"/>
              </w:rPr>
              <w:t>®</w:t>
            </w:r>
            <w:r>
              <w:rPr>
                <w:rFonts w:ascii="Times New Roman" w:eastAsia="等线" w:hAnsi="Times New Roman" w:cs="Times New Roman"/>
                <w:sz w:val="18"/>
                <w:szCs w:val="18"/>
              </w:rPr>
              <w:t xml:space="preserve"> CHOL+HDL+GLU Test Strips</w:t>
            </w:r>
          </w:p>
        </w:tc>
        <w:tc>
          <w:tcPr>
            <w:tcW w:w="333" w:type="pct"/>
            <w:tcMar>
              <w:top w:w="10" w:type="dxa"/>
              <w:left w:w="10" w:type="dxa"/>
              <w:bottom w:w="10" w:type="dxa"/>
              <w:right w:w="10" w:type="dxa"/>
            </w:tcMar>
            <w:vAlign w:val="center"/>
          </w:tcPr>
          <w:p w14:paraId="5319D4B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6A301836" w14:textId="77777777" w:rsidR="00113A51" w:rsidRDefault="00766EC7">
            <w:pPr>
              <w:pStyle w:val="a9"/>
              <w:spacing w:before="0" w:beforeAutospacing="0" w:after="0" w:afterAutospacing="0"/>
              <w:rPr>
                <w:rFonts w:ascii="Myriad Pro Cond" w:hAnsi="Myriad Pro Cond"/>
              </w:rPr>
            </w:pPr>
            <w:r>
              <w:rPr>
                <w:rFonts w:ascii="Times New Roman" w:hAnsi="Times New Roman" w:cs="Times New Roman"/>
                <w:sz w:val="17"/>
                <w:szCs w:val="17"/>
              </w:rPr>
              <w:t xml:space="preserve">The CardioChek PA and CardioChek Plus test systems (consisting of the CardioChek PA and CardioChek Plus professional analyzers and PTS Panels® CHOL+HDL+GLU test strips) is for the quantitative determination of total cholesterol, HDL (high density lipoprotein) cholesterol and glucose in venous whole blood and capillary whole blood from the fingertip and is intended for multiple patient use in professional healthcare settings. This system should only be used with single-use, auto-disabling lancing devices. This system is for </w:t>
            </w:r>
            <w:r>
              <w:rPr>
                <w:rStyle w:val="ab"/>
                <w:rFonts w:ascii="Times New Roman" w:hAnsi="Times New Roman" w:cs="Times New Roman"/>
                <w:sz w:val="17"/>
                <w:szCs w:val="17"/>
              </w:rPr>
              <w:t xml:space="preserve">in vitro </w:t>
            </w:r>
            <w:r>
              <w:rPr>
                <w:rFonts w:ascii="Times New Roman" w:hAnsi="Times New Roman" w:cs="Times New Roman"/>
                <w:sz w:val="17"/>
                <w:szCs w:val="17"/>
              </w:rPr>
              <w:t xml:space="preserve">diagnostic use only. </w:t>
            </w:r>
          </w:p>
        </w:tc>
        <w:tc>
          <w:tcPr>
            <w:tcW w:w="656" w:type="pct"/>
            <w:tcMar>
              <w:top w:w="10" w:type="dxa"/>
              <w:left w:w="10" w:type="dxa"/>
              <w:bottom w:w="10" w:type="dxa"/>
              <w:right w:w="10" w:type="dxa"/>
            </w:tcMar>
            <w:vAlign w:val="center"/>
          </w:tcPr>
          <w:p w14:paraId="51DF1E33"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7A86AD3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3E707064" w14:textId="77777777" w:rsidTr="00C707CF">
        <w:trPr>
          <w:cantSplit/>
          <w:jc w:val="center"/>
        </w:trPr>
        <w:tc>
          <w:tcPr>
            <w:tcW w:w="230" w:type="pct"/>
            <w:tcMar>
              <w:top w:w="10" w:type="dxa"/>
              <w:left w:w="10" w:type="dxa"/>
              <w:bottom w:w="10" w:type="dxa"/>
              <w:right w:w="10" w:type="dxa"/>
            </w:tcMar>
            <w:vAlign w:val="center"/>
          </w:tcPr>
          <w:p w14:paraId="07D7468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10</w:t>
            </w:r>
          </w:p>
        </w:tc>
        <w:tc>
          <w:tcPr>
            <w:tcW w:w="847" w:type="pct"/>
            <w:tcMar>
              <w:top w:w="10" w:type="dxa"/>
              <w:left w:w="10" w:type="dxa"/>
              <w:bottom w:w="10" w:type="dxa"/>
              <w:right w:w="10" w:type="dxa"/>
            </w:tcMar>
            <w:vAlign w:val="center"/>
          </w:tcPr>
          <w:p w14:paraId="1C0391A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w:t>
            </w:r>
            <w:r>
              <w:rPr>
                <w:rFonts w:ascii="Times New Roman" w:eastAsia="等线" w:hAnsi="Times New Roman" w:cs="Times New Roman"/>
                <w:sz w:val="18"/>
                <w:szCs w:val="18"/>
                <w:vertAlign w:val="superscript"/>
              </w:rPr>
              <w:t>®</w:t>
            </w:r>
            <w:r>
              <w:rPr>
                <w:rFonts w:ascii="Times New Roman" w:eastAsia="等线" w:hAnsi="Times New Roman" w:cs="Times New Roman"/>
                <w:sz w:val="18"/>
                <w:szCs w:val="18"/>
              </w:rPr>
              <w:t xml:space="preserve"> Cholesterol Test Strips </w:t>
            </w:r>
          </w:p>
        </w:tc>
        <w:tc>
          <w:tcPr>
            <w:tcW w:w="333" w:type="pct"/>
            <w:tcMar>
              <w:top w:w="10" w:type="dxa"/>
              <w:left w:w="10" w:type="dxa"/>
              <w:bottom w:w="10" w:type="dxa"/>
              <w:right w:w="10" w:type="dxa"/>
            </w:tcMar>
            <w:vAlign w:val="center"/>
          </w:tcPr>
          <w:p w14:paraId="10197BA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24CA5D21"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PTS Panels® cholesterol test strips are for the quantitative determination of total cholesterol in venous whole blood and capillary whole blood from the fingertip. Cholesterol measurements are used in the diagnosis and treatment of disorders involving excess cholesterol in the blood and lipid and lipoprotein metabolism disorders. This system is intended for professional use.</w:t>
            </w:r>
          </w:p>
        </w:tc>
        <w:tc>
          <w:tcPr>
            <w:tcW w:w="656" w:type="pct"/>
            <w:tcMar>
              <w:top w:w="10" w:type="dxa"/>
              <w:left w:w="10" w:type="dxa"/>
              <w:bottom w:w="10" w:type="dxa"/>
              <w:right w:w="10" w:type="dxa"/>
            </w:tcMar>
            <w:vAlign w:val="center"/>
          </w:tcPr>
          <w:p w14:paraId="03141D94"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1648161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1998.07.22</w:t>
            </w:r>
            <w:r>
              <w:rPr>
                <w:rFonts w:hint="eastAsia"/>
                <w:sz w:val="18"/>
                <w:szCs w:val="18"/>
              </w:rPr>
              <w:t>获批</w:t>
            </w:r>
          </w:p>
        </w:tc>
      </w:tr>
      <w:tr w:rsidR="00113A51" w14:paraId="6F094A2F" w14:textId="77777777" w:rsidTr="00C707CF">
        <w:trPr>
          <w:cantSplit/>
          <w:jc w:val="center"/>
        </w:trPr>
        <w:tc>
          <w:tcPr>
            <w:tcW w:w="230" w:type="pct"/>
            <w:tcMar>
              <w:top w:w="10" w:type="dxa"/>
              <w:left w:w="10" w:type="dxa"/>
              <w:bottom w:w="10" w:type="dxa"/>
              <w:right w:w="10" w:type="dxa"/>
            </w:tcMar>
            <w:vAlign w:val="center"/>
          </w:tcPr>
          <w:p w14:paraId="3389CAB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11</w:t>
            </w:r>
          </w:p>
        </w:tc>
        <w:tc>
          <w:tcPr>
            <w:tcW w:w="847" w:type="pct"/>
            <w:tcMar>
              <w:top w:w="10" w:type="dxa"/>
              <w:left w:w="10" w:type="dxa"/>
              <w:bottom w:w="10" w:type="dxa"/>
              <w:right w:w="10" w:type="dxa"/>
            </w:tcMar>
            <w:vAlign w:val="center"/>
          </w:tcPr>
          <w:p w14:paraId="1DD7F8D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w:t>
            </w:r>
            <w:r>
              <w:rPr>
                <w:rFonts w:ascii="Times New Roman" w:eastAsia="等线" w:hAnsi="Times New Roman" w:cs="Times New Roman"/>
                <w:sz w:val="18"/>
                <w:szCs w:val="18"/>
                <w:vertAlign w:val="superscript"/>
              </w:rPr>
              <w:t>®</w:t>
            </w:r>
            <w:r>
              <w:rPr>
                <w:rFonts w:ascii="Times New Roman" w:eastAsia="等线" w:hAnsi="Times New Roman" w:cs="Times New Roman"/>
                <w:sz w:val="18"/>
                <w:szCs w:val="18"/>
              </w:rPr>
              <w:t xml:space="preserve"> Cholesterol Test Strips </w:t>
            </w:r>
          </w:p>
          <w:p w14:paraId="11D21B9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c>
          <w:tcPr>
            <w:tcW w:w="333" w:type="pct"/>
            <w:tcMar>
              <w:top w:w="10" w:type="dxa"/>
              <w:left w:w="10" w:type="dxa"/>
              <w:bottom w:w="10" w:type="dxa"/>
              <w:right w:w="10" w:type="dxa"/>
            </w:tcMar>
            <w:vAlign w:val="center"/>
          </w:tcPr>
          <w:p w14:paraId="571A786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6A7B5B92"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PTS Panels</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xml:space="preserve"> cholesterol self-test strips are for the quantitative measurement of total cholesterol in capillary whole blood from the fingertip. Cholesterol measurements are used in the diagnosis and treatment of disorders involving excess cholesterol in the blood and lipid and lipoprotein metabolism disorders. This system is intended for self-testing use.</w:t>
            </w:r>
          </w:p>
          <w:p w14:paraId="0B084F4E" w14:textId="77777777" w:rsidR="00113A51" w:rsidRDefault="00766EC7">
            <w:pPr>
              <w:pStyle w:val="a9"/>
              <w:spacing w:before="40" w:beforeAutospacing="0" w:after="40" w:afterAutospacing="0"/>
              <w:rPr>
                <w:rFonts w:ascii="等线" w:eastAsia="等线" w:hAnsi="等线"/>
                <w:sz w:val="21"/>
                <w:szCs w:val="21"/>
              </w:rPr>
            </w:pPr>
            <w:r>
              <w:rPr>
                <w:rStyle w:val="aa"/>
                <w:rFonts w:ascii="Times New Roman" w:eastAsia="等线" w:hAnsi="Times New Roman" w:cs="Times New Roman"/>
                <w:sz w:val="17"/>
                <w:szCs w:val="17"/>
              </w:rPr>
              <w:t>When using this test, do not take any decision of medical relevance without first consulting your medical practitioner.</w:t>
            </w:r>
          </w:p>
        </w:tc>
        <w:tc>
          <w:tcPr>
            <w:tcW w:w="656" w:type="pct"/>
            <w:tcMar>
              <w:top w:w="10" w:type="dxa"/>
              <w:left w:w="10" w:type="dxa"/>
              <w:bottom w:w="10" w:type="dxa"/>
              <w:right w:w="10" w:type="dxa"/>
            </w:tcMar>
            <w:vAlign w:val="center"/>
          </w:tcPr>
          <w:p w14:paraId="490ECB75"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3CF86E8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1999.06.24</w:t>
            </w:r>
            <w:r>
              <w:rPr>
                <w:rFonts w:hint="eastAsia"/>
                <w:sz w:val="18"/>
                <w:szCs w:val="18"/>
              </w:rPr>
              <w:t>获批</w:t>
            </w:r>
          </w:p>
        </w:tc>
      </w:tr>
      <w:tr w:rsidR="00113A51" w14:paraId="65F91B7A" w14:textId="77777777" w:rsidTr="00C707CF">
        <w:trPr>
          <w:cantSplit/>
          <w:jc w:val="center"/>
        </w:trPr>
        <w:tc>
          <w:tcPr>
            <w:tcW w:w="230" w:type="pct"/>
            <w:tcMar>
              <w:top w:w="10" w:type="dxa"/>
              <w:left w:w="10" w:type="dxa"/>
              <w:bottom w:w="10" w:type="dxa"/>
              <w:right w:w="10" w:type="dxa"/>
            </w:tcMar>
            <w:vAlign w:val="center"/>
          </w:tcPr>
          <w:p w14:paraId="66BE632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12</w:t>
            </w:r>
          </w:p>
        </w:tc>
        <w:tc>
          <w:tcPr>
            <w:tcW w:w="847" w:type="pct"/>
            <w:tcMar>
              <w:top w:w="10" w:type="dxa"/>
              <w:left w:w="10" w:type="dxa"/>
              <w:bottom w:w="10" w:type="dxa"/>
              <w:right w:w="10" w:type="dxa"/>
            </w:tcMar>
            <w:vAlign w:val="center"/>
          </w:tcPr>
          <w:p w14:paraId="5F71050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w:t>
            </w:r>
            <w:r>
              <w:rPr>
                <w:rFonts w:ascii="Times New Roman" w:eastAsia="等线" w:hAnsi="Times New Roman" w:cs="Times New Roman"/>
                <w:sz w:val="18"/>
                <w:szCs w:val="18"/>
                <w:vertAlign w:val="superscript"/>
              </w:rPr>
              <w:t>®</w:t>
            </w:r>
            <w:r>
              <w:rPr>
                <w:rFonts w:ascii="Times New Roman" w:eastAsia="等线" w:hAnsi="Times New Roman" w:cs="Times New Roman"/>
                <w:sz w:val="18"/>
                <w:szCs w:val="18"/>
              </w:rPr>
              <w:t xml:space="preserve"> eGLU Test Strips</w:t>
            </w:r>
          </w:p>
        </w:tc>
        <w:tc>
          <w:tcPr>
            <w:tcW w:w="333" w:type="pct"/>
            <w:tcMar>
              <w:top w:w="10" w:type="dxa"/>
              <w:left w:w="10" w:type="dxa"/>
              <w:bottom w:w="10" w:type="dxa"/>
              <w:right w:w="10" w:type="dxa"/>
            </w:tcMar>
            <w:vAlign w:val="center"/>
          </w:tcPr>
          <w:p w14:paraId="7E1C0FF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0E62FFFC"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The CardioChek Plus glucose test system is intended for the quantitative determination of glucose in human whole blood for use by healthcare professionals. Glucose measurements are used in the diagnosis and treatment of carbohydrate metabolism disorders including diabetes mellitus, neonatal hypoglycemia, and idiopathic hypoglycemia, and of pancreatic islet cell carcinoma.</w:t>
            </w:r>
          </w:p>
        </w:tc>
        <w:tc>
          <w:tcPr>
            <w:tcW w:w="656" w:type="pct"/>
            <w:tcMar>
              <w:top w:w="10" w:type="dxa"/>
              <w:left w:w="10" w:type="dxa"/>
              <w:bottom w:w="10" w:type="dxa"/>
              <w:right w:w="10" w:type="dxa"/>
            </w:tcMar>
            <w:vAlign w:val="center"/>
          </w:tcPr>
          <w:p w14:paraId="15A21E60"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06834C4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4681416C" w14:textId="77777777" w:rsidTr="00C707CF">
        <w:trPr>
          <w:cantSplit/>
          <w:jc w:val="center"/>
        </w:trPr>
        <w:tc>
          <w:tcPr>
            <w:tcW w:w="230" w:type="pct"/>
            <w:tcMar>
              <w:top w:w="10" w:type="dxa"/>
              <w:left w:w="10" w:type="dxa"/>
              <w:bottom w:w="10" w:type="dxa"/>
              <w:right w:w="10" w:type="dxa"/>
            </w:tcMar>
            <w:vAlign w:val="center"/>
          </w:tcPr>
          <w:p w14:paraId="1C837EB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13</w:t>
            </w:r>
          </w:p>
        </w:tc>
        <w:tc>
          <w:tcPr>
            <w:tcW w:w="847" w:type="pct"/>
            <w:tcMar>
              <w:top w:w="10" w:type="dxa"/>
              <w:left w:w="10" w:type="dxa"/>
              <w:bottom w:w="10" w:type="dxa"/>
              <w:right w:w="10" w:type="dxa"/>
            </w:tcMar>
            <w:vAlign w:val="center"/>
          </w:tcPr>
          <w:p w14:paraId="5F0B7A8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w:t>
            </w:r>
            <w:r>
              <w:rPr>
                <w:rFonts w:ascii="Times New Roman" w:eastAsia="等线" w:hAnsi="Times New Roman" w:cs="Times New Roman"/>
                <w:sz w:val="18"/>
                <w:szCs w:val="18"/>
                <w:vertAlign w:val="superscript"/>
              </w:rPr>
              <w:t>®</w:t>
            </w:r>
            <w:r>
              <w:rPr>
                <w:rFonts w:ascii="Times New Roman" w:eastAsia="等线" w:hAnsi="Times New Roman" w:cs="Times New Roman"/>
                <w:sz w:val="18"/>
                <w:szCs w:val="18"/>
              </w:rPr>
              <w:t xml:space="preserve"> Glucose Test Strips </w:t>
            </w:r>
          </w:p>
        </w:tc>
        <w:tc>
          <w:tcPr>
            <w:tcW w:w="333" w:type="pct"/>
            <w:tcMar>
              <w:top w:w="10" w:type="dxa"/>
              <w:left w:w="10" w:type="dxa"/>
              <w:bottom w:w="10" w:type="dxa"/>
              <w:right w:w="10" w:type="dxa"/>
            </w:tcMar>
            <w:vAlign w:val="center"/>
          </w:tcPr>
          <w:p w14:paraId="20F49C7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67343A97"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This system is intended for the quantitative determination of glucose in human whole blood for use by healthcare professionals. Glucose measurements are used in the diagnosis and treatment of carbohydrate metabolism disorders including diabetes mellitus, neonatal hypoglycemia, and idiopathic hypoglycemia, and of pancreatic islet cell carcinoma.</w:t>
            </w:r>
          </w:p>
        </w:tc>
        <w:tc>
          <w:tcPr>
            <w:tcW w:w="656" w:type="pct"/>
            <w:tcMar>
              <w:top w:w="10" w:type="dxa"/>
              <w:left w:w="10" w:type="dxa"/>
              <w:bottom w:w="10" w:type="dxa"/>
              <w:right w:w="10" w:type="dxa"/>
            </w:tcMar>
            <w:vAlign w:val="center"/>
          </w:tcPr>
          <w:p w14:paraId="50AEA68F"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68D6219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6BFFC605" w14:textId="77777777" w:rsidTr="00C707CF">
        <w:trPr>
          <w:cantSplit/>
          <w:jc w:val="center"/>
        </w:trPr>
        <w:tc>
          <w:tcPr>
            <w:tcW w:w="230" w:type="pct"/>
            <w:tcMar>
              <w:top w:w="10" w:type="dxa"/>
              <w:left w:w="10" w:type="dxa"/>
              <w:bottom w:w="10" w:type="dxa"/>
              <w:right w:w="10" w:type="dxa"/>
            </w:tcMar>
            <w:vAlign w:val="center"/>
          </w:tcPr>
          <w:p w14:paraId="45403F5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14</w:t>
            </w:r>
          </w:p>
        </w:tc>
        <w:tc>
          <w:tcPr>
            <w:tcW w:w="847" w:type="pct"/>
            <w:tcMar>
              <w:top w:w="10" w:type="dxa"/>
              <w:left w:w="10" w:type="dxa"/>
              <w:bottom w:w="10" w:type="dxa"/>
              <w:right w:w="10" w:type="dxa"/>
            </w:tcMar>
            <w:vAlign w:val="center"/>
          </w:tcPr>
          <w:p w14:paraId="760E2A1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Lipid Panel Test Strips</w:t>
            </w:r>
          </w:p>
          <w:p w14:paraId="5F2DC62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c>
          <w:tcPr>
            <w:tcW w:w="333" w:type="pct"/>
            <w:tcMar>
              <w:top w:w="10" w:type="dxa"/>
              <w:left w:w="10" w:type="dxa"/>
              <w:bottom w:w="10" w:type="dxa"/>
              <w:right w:w="10" w:type="dxa"/>
            </w:tcMar>
            <w:vAlign w:val="center"/>
          </w:tcPr>
          <w:p w14:paraId="7168224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01580841"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The Lipid Panel Test Strips are intended to measure cholesterol, HDL cholesterol and triglycerides in whole blood on a CardioChek brand analyzer. The test strips are intended to be used by healthcare professionals to measure three blood analytes: cholesterol, HDL cholesterol and triglycerides. Cholesterol measurements are used in the diagnosis and treatment of disorders involving excess cholesterol in the blood and lipid and lipoprotein metabolism disorders. Lipoprotein measurements are used in the diagnosis and treatment of lipid disorders (such as diabetes mellitus), atherosclerosis, and various liver and renal diseases. Triglycerides measurements are used in the diagnosis and treatment of patients with diabetes mellitus, nephrosis, liver obstruction, other diseases involving lipid metabolism, or various endocrine disorders</w:t>
            </w:r>
          </w:p>
        </w:tc>
        <w:tc>
          <w:tcPr>
            <w:tcW w:w="656" w:type="pct"/>
            <w:tcMar>
              <w:top w:w="10" w:type="dxa"/>
              <w:left w:w="10" w:type="dxa"/>
              <w:bottom w:w="10" w:type="dxa"/>
              <w:right w:w="10" w:type="dxa"/>
            </w:tcMar>
            <w:vAlign w:val="center"/>
          </w:tcPr>
          <w:p w14:paraId="46BC51B4"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0A5FD82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2022.02.26</w:t>
            </w:r>
            <w:r>
              <w:rPr>
                <w:rFonts w:hint="eastAsia"/>
                <w:sz w:val="18"/>
                <w:szCs w:val="18"/>
              </w:rPr>
              <w:t>获批</w:t>
            </w:r>
          </w:p>
        </w:tc>
      </w:tr>
      <w:tr w:rsidR="00113A51" w14:paraId="41580815" w14:textId="77777777" w:rsidTr="00C707CF">
        <w:trPr>
          <w:cantSplit/>
          <w:jc w:val="center"/>
        </w:trPr>
        <w:tc>
          <w:tcPr>
            <w:tcW w:w="230" w:type="pct"/>
            <w:tcMar>
              <w:top w:w="10" w:type="dxa"/>
              <w:left w:w="10" w:type="dxa"/>
              <w:bottom w:w="10" w:type="dxa"/>
              <w:right w:w="10" w:type="dxa"/>
            </w:tcMar>
            <w:vAlign w:val="center"/>
          </w:tcPr>
          <w:p w14:paraId="0BC89B4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15</w:t>
            </w:r>
          </w:p>
        </w:tc>
        <w:tc>
          <w:tcPr>
            <w:tcW w:w="847" w:type="pct"/>
            <w:tcMar>
              <w:top w:w="10" w:type="dxa"/>
              <w:left w:w="10" w:type="dxa"/>
              <w:bottom w:w="10" w:type="dxa"/>
              <w:right w:w="10" w:type="dxa"/>
            </w:tcMar>
            <w:vAlign w:val="center"/>
          </w:tcPr>
          <w:p w14:paraId="3EABBB2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Triglycerides Test Strips</w:t>
            </w:r>
          </w:p>
        </w:tc>
        <w:tc>
          <w:tcPr>
            <w:tcW w:w="333" w:type="pct"/>
            <w:tcMar>
              <w:top w:w="10" w:type="dxa"/>
              <w:left w:w="10" w:type="dxa"/>
              <w:bottom w:w="10" w:type="dxa"/>
              <w:right w:w="10" w:type="dxa"/>
            </w:tcMar>
            <w:vAlign w:val="center"/>
          </w:tcPr>
          <w:p w14:paraId="7712242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137AF894"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PTS Panels</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xml:space="preserve"> Triglycerides test strips are intended to measure triglyceride in whole blood for use in the diagnosis and treatment of diabetes mellitus, nephrosis, liver obstruction and other diseases involving lipid metabolism, or various endocrine disorders. This testing system is intended for professional use.</w:t>
            </w:r>
          </w:p>
        </w:tc>
        <w:tc>
          <w:tcPr>
            <w:tcW w:w="656" w:type="pct"/>
            <w:tcMar>
              <w:top w:w="10" w:type="dxa"/>
              <w:left w:w="10" w:type="dxa"/>
              <w:bottom w:w="10" w:type="dxa"/>
              <w:right w:w="10" w:type="dxa"/>
            </w:tcMar>
            <w:vAlign w:val="center"/>
          </w:tcPr>
          <w:p w14:paraId="73F58A72"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1F14D37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2000.05.24</w:t>
            </w:r>
            <w:r>
              <w:rPr>
                <w:rFonts w:hint="eastAsia"/>
                <w:sz w:val="18"/>
                <w:szCs w:val="18"/>
              </w:rPr>
              <w:t>获批</w:t>
            </w:r>
          </w:p>
        </w:tc>
      </w:tr>
      <w:tr w:rsidR="00113A51" w14:paraId="18A2280A" w14:textId="77777777" w:rsidTr="00C707CF">
        <w:trPr>
          <w:cantSplit/>
          <w:jc w:val="center"/>
        </w:trPr>
        <w:tc>
          <w:tcPr>
            <w:tcW w:w="230" w:type="pct"/>
            <w:tcMar>
              <w:top w:w="10" w:type="dxa"/>
              <w:left w:w="10" w:type="dxa"/>
              <w:bottom w:w="10" w:type="dxa"/>
              <w:right w:w="10" w:type="dxa"/>
            </w:tcMar>
            <w:vAlign w:val="center"/>
          </w:tcPr>
          <w:p w14:paraId="1EB2B9E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16</w:t>
            </w:r>
          </w:p>
        </w:tc>
        <w:tc>
          <w:tcPr>
            <w:tcW w:w="847" w:type="pct"/>
            <w:tcMar>
              <w:top w:w="10" w:type="dxa"/>
              <w:left w:w="10" w:type="dxa"/>
              <w:bottom w:w="10" w:type="dxa"/>
              <w:right w:w="10" w:type="dxa"/>
            </w:tcMar>
            <w:vAlign w:val="center"/>
          </w:tcPr>
          <w:p w14:paraId="40486E2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MultiChem Controls</w:t>
            </w:r>
          </w:p>
          <w:p w14:paraId="4BD3C2C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(glu, chol, HDL, trig)</w:t>
            </w:r>
          </w:p>
        </w:tc>
        <w:tc>
          <w:tcPr>
            <w:tcW w:w="333" w:type="pct"/>
            <w:tcMar>
              <w:top w:w="10" w:type="dxa"/>
              <w:left w:w="10" w:type="dxa"/>
              <w:bottom w:w="10" w:type="dxa"/>
              <w:right w:w="10" w:type="dxa"/>
            </w:tcMar>
            <w:vAlign w:val="center"/>
          </w:tcPr>
          <w:p w14:paraId="3A92F99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439EA2B3"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For use with PTS Panels</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xml:space="preserve"> test strips as quality control materials to estimate precision and to detect systematic analytical deviations of your test system.</w:t>
            </w:r>
          </w:p>
        </w:tc>
        <w:tc>
          <w:tcPr>
            <w:tcW w:w="656" w:type="pct"/>
            <w:tcMar>
              <w:top w:w="10" w:type="dxa"/>
              <w:left w:w="10" w:type="dxa"/>
              <w:bottom w:w="10" w:type="dxa"/>
              <w:right w:w="10" w:type="dxa"/>
            </w:tcMar>
            <w:vAlign w:val="center"/>
          </w:tcPr>
          <w:p w14:paraId="28AE8AC3"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41E1826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2002.08.21</w:t>
            </w:r>
            <w:r>
              <w:rPr>
                <w:rFonts w:hint="eastAsia"/>
                <w:sz w:val="18"/>
                <w:szCs w:val="18"/>
              </w:rPr>
              <w:t>获批</w:t>
            </w:r>
          </w:p>
        </w:tc>
      </w:tr>
      <w:tr w:rsidR="00113A51" w14:paraId="21A0689C" w14:textId="77777777" w:rsidTr="00C707CF">
        <w:trPr>
          <w:cantSplit/>
          <w:jc w:val="center"/>
        </w:trPr>
        <w:tc>
          <w:tcPr>
            <w:tcW w:w="230" w:type="pct"/>
            <w:tcMar>
              <w:top w:w="10" w:type="dxa"/>
              <w:left w:w="10" w:type="dxa"/>
              <w:bottom w:w="10" w:type="dxa"/>
              <w:right w:w="10" w:type="dxa"/>
            </w:tcMar>
            <w:vAlign w:val="center"/>
          </w:tcPr>
          <w:p w14:paraId="558578D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17</w:t>
            </w:r>
          </w:p>
        </w:tc>
        <w:tc>
          <w:tcPr>
            <w:tcW w:w="847" w:type="pct"/>
            <w:tcMar>
              <w:top w:w="10" w:type="dxa"/>
              <w:left w:w="10" w:type="dxa"/>
              <w:bottom w:w="10" w:type="dxa"/>
              <w:right w:w="10" w:type="dxa"/>
            </w:tcMar>
            <w:vAlign w:val="center"/>
          </w:tcPr>
          <w:p w14:paraId="2562DFA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HDL Control</w:t>
            </w:r>
          </w:p>
        </w:tc>
        <w:tc>
          <w:tcPr>
            <w:tcW w:w="333" w:type="pct"/>
            <w:tcMar>
              <w:top w:w="10" w:type="dxa"/>
              <w:left w:w="10" w:type="dxa"/>
              <w:bottom w:w="10" w:type="dxa"/>
              <w:right w:w="10" w:type="dxa"/>
            </w:tcMar>
            <w:vAlign w:val="center"/>
          </w:tcPr>
          <w:p w14:paraId="1BD03CE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2A80C772"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For use with PTS Panels</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xml:space="preserve"> professional test strips as quality control materials to estimate precision and to detect systematic analytical deviations of your test system.</w:t>
            </w:r>
          </w:p>
        </w:tc>
        <w:tc>
          <w:tcPr>
            <w:tcW w:w="656" w:type="pct"/>
            <w:tcMar>
              <w:top w:w="10" w:type="dxa"/>
              <w:left w:w="10" w:type="dxa"/>
              <w:bottom w:w="10" w:type="dxa"/>
              <w:right w:w="10" w:type="dxa"/>
            </w:tcMar>
            <w:vAlign w:val="center"/>
          </w:tcPr>
          <w:p w14:paraId="25EFDB8E"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57BF032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2002.08.21</w:t>
            </w:r>
            <w:r>
              <w:rPr>
                <w:rFonts w:hint="eastAsia"/>
                <w:sz w:val="18"/>
                <w:szCs w:val="18"/>
              </w:rPr>
              <w:t>获批</w:t>
            </w:r>
          </w:p>
        </w:tc>
      </w:tr>
      <w:tr w:rsidR="00113A51" w14:paraId="065E84B5" w14:textId="77777777" w:rsidTr="00C707CF">
        <w:trPr>
          <w:cantSplit/>
          <w:jc w:val="center"/>
        </w:trPr>
        <w:tc>
          <w:tcPr>
            <w:tcW w:w="230" w:type="pct"/>
            <w:tcMar>
              <w:top w:w="10" w:type="dxa"/>
              <w:left w:w="10" w:type="dxa"/>
              <w:bottom w:w="10" w:type="dxa"/>
              <w:right w:w="10" w:type="dxa"/>
            </w:tcMar>
            <w:vAlign w:val="center"/>
          </w:tcPr>
          <w:p w14:paraId="1929158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18</w:t>
            </w:r>
          </w:p>
        </w:tc>
        <w:tc>
          <w:tcPr>
            <w:tcW w:w="847" w:type="pct"/>
            <w:tcMar>
              <w:top w:w="10" w:type="dxa"/>
              <w:left w:w="10" w:type="dxa"/>
              <w:bottom w:w="10" w:type="dxa"/>
              <w:right w:w="10" w:type="dxa"/>
            </w:tcMar>
            <w:vAlign w:val="center"/>
          </w:tcPr>
          <w:p w14:paraId="45A752E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A1CNOW+ TEST KIT (PROFESSIONAL USE)</w:t>
            </w:r>
          </w:p>
        </w:tc>
        <w:tc>
          <w:tcPr>
            <w:tcW w:w="333" w:type="pct"/>
            <w:tcMar>
              <w:top w:w="10" w:type="dxa"/>
              <w:left w:w="10" w:type="dxa"/>
              <w:bottom w:w="10" w:type="dxa"/>
              <w:right w:w="10" w:type="dxa"/>
            </w:tcMar>
            <w:vAlign w:val="center"/>
          </w:tcPr>
          <w:p w14:paraId="223EDAA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1B6883F5"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The A1CNow</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test provides quantitative measurement of glycated haemoglobin levels in capillary (fingerprick) or venous whole blood. This test can be used to monitor glycemic control in people with diabetes and as an aid to diagnose diabetes and identify patients at risk of developing diabetes.</w:t>
            </w:r>
          </w:p>
        </w:tc>
        <w:tc>
          <w:tcPr>
            <w:tcW w:w="656" w:type="pct"/>
            <w:tcMar>
              <w:top w:w="10" w:type="dxa"/>
              <w:left w:w="10" w:type="dxa"/>
              <w:bottom w:w="10" w:type="dxa"/>
              <w:right w:w="10" w:type="dxa"/>
            </w:tcMar>
            <w:vAlign w:val="center"/>
          </w:tcPr>
          <w:p w14:paraId="08A3F46E"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3A775D3C"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2009.05.14</w:t>
            </w:r>
            <w:r>
              <w:rPr>
                <w:rFonts w:hint="eastAsia"/>
                <w:sz w:val="18"/>
                <w:szCs w:val="18"/>
              </w:rPr>
              <w:t>获批</w:t>
            </w:r>
          </w:p>
        </w:tc>
      </w:tr>
      <w:tr w:rsidR="00113A51" w14:paraId="68F5C358" w14:textId="77777777" w:rsidTr="00C707CF">
        <w:trPr>
          <w:cantSplit/>
          <w:jc w:val="center"/>
        </w:trPr>
        <w:tc>
          <w:tcPr>
            <w:tcW w:w="230" w:type="pct"/>
            <w:tcMar>
              <w:top w:w="10" w:type="dxa"/>
              <w:left w:w="10" w:type="dxa"/>
              <w:bottom w:w="10" w:type="dxa"/>
              <w:right w:w="10" w:type="dxa"/>
            </w:tcMar>
            <w:vAlign w:val="center"/>
          </w:tcPr>
          <w:p w14:paraId="3FD6982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19</w:t>
            </w:r>
          </w:p>
        </w:tc>
        <w:tc>
          <w:tcPr>
            <w:tcW w:w="847" w:type="pct"/>
            <w:tcMar>
              <w:top w:w="10" w:type="dxa"/>
              <w:left w:w="10" w:type="dxa"/>
              <w:bottom w:w="10" w:type="dxa"/>
              <w:right w:w="10" w:type="dxa"/>
            </w:tcMar>
            <w:vAlign w:val="center"/>
          </w:tcPr>
          <w:p w14:paraId="69A2B24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A1CNOW SELF CHECK</w:t>
            </w:r>
          </w:p>
        </w:tc>
        <w:tc>
          <w:tcPr>
            <w:tcW w:w="333" w:type="pct"/>
            <w:tcMar>
              <w:top w:w="10" w:type="dxa"/>
              <w:left w:w="10" w:type="dxa"/>
              <w:bottom w:w="10" w:type="dxa"/>
              <w:right w:w="10" w:type="dxa"/>
            </w:tcMar>
            <w:vAlign w:val="center"/>
          </w:tcPr>
          <w:p w14:paraId="6BCC417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1B6EC757" w14:textId="77777777" w:rsidR="00113A51" w:rsidRDefault="00766EC7">
            <w:pPr>
              <w:pStyle w:val="a9"/>
              <w:spacing w:before="40" w:beforeAutospacing="0" w:after="40" w:afterAutospacing="0"/>
              <w:rPr>
                <w:rFonts w:ascii="等线" w:eastAsia="等线" w:hAnsi="等线"/>
                <w:sz w:val="21"/>
                <w:szCs w:val="21"/>
              </w:rPr>
            </w:pPr>
            <w:r>
              <w:rPr>
                <w:rFonts w:ascii="Times New Roman" w:eastAsia="等线" w:hAnsi="Times New Roman" w:cs="Times New Roman"/>
                <w:sz w:val="17"/>
                <w:szCs w:val="17"/>
              </w:rPr>
              <w:t>The A1CNow</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test provides quantitative measurement of glycated haemoglobin levels in capillary (fingerprick) or venous whole blood. This test can be used to monitor glycemic control in people with diabetes and as an aid to diagnose diabetes and identify patients at risk of developing diabetes.</w:t>
            </w:r>
          </w:p>
        </w:tc>
        <w:tc>
          <w:tcPr>
            <w:tcW w:w="656" w:type="pct"/>
            <w:tcMar>
              <w:top w:w="10" w:type="dxa"/>
              <w:left w:w="10" w:type="dxa"/>
              <w:bottom w:w="10" w:type="dxa"/>
              <w:right w:w="10" w:type="dxa"/>
            </w:tcMar>
            <w:vAlign w:val="center"/>
          </w:tcPr>
          <w:p w14:paraId="3AC2FE1C"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6F255A4C"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2009.05.14</w:t>
            </w:r>
            <w:r>
              <w:rPr>
                <w:rFonts w:hint="eastAsia"/>
                <w:sz w:val="18"/>
                <w:szCs w:val="18"/>
              </w:rPr>
              <w:t>获批</w:t>
            </w:r>
          </w:p>
        </w:tc>
      </w:tr>
      <w:tr w:rsidR="00113A51" w14:paraId="2871E31C" w14:textId="77777777" w:rsidTr="00C707CF">
        <w:trPr>
          <w:cantSplit/>
          <w:jc w:val="center"/>
        </w:trPr>
        <w:tc>
          <w:tcPr>
            <w:tcW w:w="230" w:type="pct"/>
            <w:tcMar>
              <w:top w:w="10" w:type="dxa"/>
              <w:left w:w="10" w:type="dxa"/>
              <w:bottom w:w="10" w:type="dxa"/>
              <w:right w:w="10" w:type="dxa"/>
            </w:tcMar>
            <w:vAlign w:val="center"/>
          </w:tcPr>
          <w:p w14:paraId="0138A8F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w:t>
            </w:r>
          </w:p>
        </w:tc>
        <w:tc>
          <w:tcPr>
            <w:tcW w:w="847" w:type="pct"/>
            <w:tcMar>
              <w:top w:w="10" w:type="dxa"/>
              <w:left w:w="10" w:type="dxa"/>
              <w:bottom w:w="10" w:type="dxa"/>
              <w:right w:w="10" w:type="dxa"/>
            </w:tcMar>
            <w:vAlign w:val="center"/>
          </w:tcPr>
          <w:p w14:paraId="4E55FD7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7"/>
                <w:szCs w:val="17"/>
              </w:rPr>
              <w:t>A1CNow Self Check test system</w:t>
            </w:r>
          </w:p>
        </w:tc>
        <w:tc>
          <w:tcPr>
            <w:tcW w:w="333" w:type="pct"/>
            <w:tcMar>
              <w:top w:w="10" w:type="dxa"/>
              <w:left w:w="10" w:type="dxa"/>
              <w:bottom w:w="10" w:type="dxa"/>
              <w:right w:w="10" w:type="dxa"/>
            </w:tcMar>
            <w:vAlign w:val="center"/>
          </w:tcPr>
          <w:p w14:paraId="6656588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2478" w:type="pct"/>
            <w:tcMar>
              <w:top w:w="10" w:type="dxa"/>
              <w:left w:w="10" w:type="dxa"/>
              <w:bottom w:w="10" w:type="dxa"/>
              <w:right w:w="10" w:type="dxa"/>
            </w:tcMar>
            <w:vAlign w:val="center"/>
          </w:tcPr>
          <w:p w14:paraId="1847E16A"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The A1CNow</w:t>
            </w:r>
            <w:r>
              <w:rPr>
                <w:rFonts w:ascii="Times New Roman" w:eastAsia="等线" w:hAnsi="Times New Roman" w:cs="Times New Roman"/>
                <w:sz w:val="17"/>
                <w:szCs w:val="17"/>
                <w:vertAlign w:val="superscript"/>
              </w:rPr>
              <w:t>®</w:t>
            </w:r>
            <w:r>
              <w:rPr>
                <w:rFonts w:ascii="Times New Roman" w:eastAsia="等线" w:hAnsi="Times New Roman" w:cs="Times New Roman"/>
                <w:sz w:val="17"/>
                <w:szCs w:val="17"/>
              </w:rPr>
              <w:t xml:space="preserve"> Self Check test system provides a quantitative measurement of the percent of glycated hemoglobin levels in capillary (fingerstick) blood samples. The test is for home use to monitor glycemic control in people with diabetes.</w:t>
            </w:r>
          </w:p>
        </w:tc>
        <w:tc>
          <w:tcPr>
            <w:tcW w:w="656" w:type="pct"/>
            <w:tcMar>
              <w:top w:w="10" w:type="dxa"/>
              <w:left w:w="10" w:type="dxa"/>
              <w:bottom w:w="10" w:type="dxa"/>
              <w:right w:w="10" w:type="dxa"/>
            </w:tcMar>
            <w:vAlign w:val="center"/>
          </w:tcPr>
          <w:p w14:paraId="675C9738"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693846D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2009.05.14</w:t>
            </w:r>
            <w:r>
              <w:rPr>
                <w:rFonts w:hint="eastAsia"/>
                <w:sz w:val="18"/>
                <w:szCs w:val="18"/>
              </w:rPr>
              <w:t>获批</w:t>
            </w:r>
          </w:p>
        </w:tc>
      </w:tr>
      <w:tr w:rsidR="00113A51" w14:paraId="0A9034B1" w14:textId="77777777" w:rsidTr="00C707CF">
        <w:trPr>
          <w:cantSplit/>
          <w:jc w:val="center"/>
        </w:trPr>
        <w:tc>
          <w:tcPr>
            <w:tcW w:w="230" w:type="pct"/>
            <w:tcMar>
              <w:top w:w="10" w:type="dxa"/>
              <w:left w:w="10" w:type="dxa"/>
              <w:bottom w:w="10" w:type="dxa"/>
              <w:right w:w="10" w:type="dxa"/>
            </w:tcMar>
            <w:vAlign w:val="center"/>
          </w:tcPr>
          <w:p w14:paraId="6A6C080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21</w:t>
            </w:r>
          </w:p>
        </w:tc>
        <w:tc>
          <w:tcPr>
            <w:tcW w:w="847" w:type="pct"/>
            <w:tcMar>
              <w:top w:w="10" w:type="dxa"/>
              <w:left w:w="10" w:type="dxa"/>
              <w:bottom w:w="10" w:type="dxa"/>
              <w:right w:w="10" w:type="dxa"/>
            </w:tcMar>
            <w:vAlign w:val="center"/>
          </w:tcPr>
          <w:p w14:paraId="05D50AE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7"/>
                <w:szCs w:val="17"/>
              </w:rPr>
              <w:t>A1CNow+ Control</w:t>
            </w:r>
          </w:p>
        </w:tc>
        <w:tc>
          <w:tcPr>
            <w:tcW w:w="333" w:type="pct"/>
            <w:tcMar>
              <w:top w:w="10" w:type="dxa"/>
              <w:left w:w="10" w:type="dxa"/>
              <w:bottom w:w="10" w:type="dxa"/>
              <w:right w:w="10" w:type="dxa"/>
            </w:tcMar>
            <w:vAlign w:val="center"/>
          </w:tcPr>
          <w:p w14:paraId="5F1E15E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w:t>
            </w:r>
          </w:p>
        </w:tc>
        <w:tc>
          <w:tcPr>
            <w:tcW w:w="2478" w:type="pct"/>
            <w:tcMar>
              <w:top w:w="10" w:type="dxa"/>
              <w:left w:w="10" w:type="dxa"/>
              <w:bottom w:w="10" w:type="dxa"/>
              <w:right w:w="10" w:type="dxa"/>
            </w:tcMar>
            <w:vAlign w:val="center"/>
          </w:tcPr>
          <w:p w14:paraId="34BB9FA4"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17"/>
                <w:szCs w:val="17"/>
              </w:rPr>
              <w:t>The A1CNow+ Controls™ are intended for the quality control of PTS Diagnostics’ A1Cnow HbA1c tests</w:t>
            </w:r>
          </w:p>
        </w:tc>
        <w:tc>
          <w:tcPr>
            <w:tcW w:w="656" w:type="pct"/>
            <w:tcMar>
              <w:top w:w="10" w:type="dxa"/>
              <w:left w:w="10" w:type="dxa"/>
              <w:bottom w:w="10" w:type="dxa"/>
              <w:right w:w="10" w:type="dxa"/>
            </w:tcMar>
            <w:vAlign w:val="center"/>
          </w:tcPr>
          <w:p w14:paraId="7F85B6C0"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453" w:type="pct"/>
            <w:tcMar>
              <w:top w:w="10" w:type="dxa"/>
              <w:left w:w="10" w:type="dxa"/>
              <w:bottom w:w="10" w:type="dxa"/>
              <w:right w:w="10" w:type="dxa"/>
            </w:tcMar>
            <w:vAlign w:val="center"/>
          </w:tcPr>
          <w:p w14:paraId="23508828"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豁免</w:t>
            </w:r>
          </w:p>
        </w:tc>
      </w:tr>
      <w:tr w:rsidR="00113A51" w14:paraId="0FD02081" w14:textId="77777777" w:rsidTr="00C707CF">
        <w:trPr>
          <w:cantSplit/>
          <w:jc w:val="center"/>
        </w:trPr>
        <w:tc>
          <w:tcPr>
            <w:tcW w:w="230" w:type="pct"/>
            <w:tcMar>
              <w:top w:w="10" w:type="dxa"/>
              <w:left w:w="10" w:type="dxa"/>
              <w:bottom w:w="10" w:type="dxa"/>
              <w:right w:w="10" w:type="dxa"/>
            </w:tcMar>
            <w:vAlign w:val="center"/>
          </w:tcPr>
          <w:p w14:paraId="0E5D8D7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22</w:t>
            </w:r>
          </w:p>
        </w:tc>
        <w:tc>
          <w:tcPr>
            <w:tcW w:w="847" w:type="pct"/>
            <w:tcMar>
              <w:top w:w="10" w:type="dxa"/>
              <w:left w:w="10" w:type="dxa"/>
              <w:bottom w:w="10" w:type="dxa"/>
              <w:right w:w="10" w:type="dxa"/>
            </w:tcMar>
            <w:vAlign w:val="center"/>
          </w:tcPr>
          <w:p w14:paraId="518E126E"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CardioChek Plus analyzer</w:t>
            </w:r>
          </w:p>
          <w:p w14:paraId="2178AC16"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(Pro)</w:t>
            </w:r>
          </w:p>
          <w:p w14:paraId="1AEF261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IVDR</w:t>
            </w:r>
          </w:p>
        </w:tc>
        <w:tc>
          <w:tcPr>
            <w:tcW w:w="333" w:type="pct"/>
            <w:tcMar>
              <w:top w:w="10" w:type="dxa"/>
              <w:left w:w="10" w:type="dxa"/>
              <w:bottom w:w="10" w:type="dxa"/>
              <w:right w:w="10" w:type="dxa"/>
            </w:tcMar>
            <w:vAlign w:val="center"/>
          </w:tcPr>
          <w:p w14:paraId="2971605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Class A</w:t>
            </w:r>
          </w:p>
        </w:tc>
        <w:tc>
          <w:tcPr>
            <w:tcW w:w="2478" w:type="pct"/>
            <w:tcMar>
              <w:top w:w="10" w:type="dxa"/>
              <w:left w:w="10" w:type="dxa"/>
              <w:bottom w:w="10" w:type="dxa"/>
              <w:right w:w="10" w:type="dxa"/>
            </w:tcMar>
            <w:vAlign w:val="center"/>
          </w:tcPr>
          <w:p w14:paraId="6759EBC5"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 xml:space="preserve">The CardioChek Plus Test System is a small portable analyzer and test strip system intended for multiple patient use in professional healthcare settings. This system should only be used with single-use, auto-disabling lancing devices. This system is for in vitro diagnostic use only. The tests strips are for the quantitative determination of glucose, total cholesterol, HDL (high density lipoprotein) cholesterol and triglycerides in venous whole blood and capillary whole blood from the fingertip. A Chol/HDL ratio and estimated values for LDL (low density lipoprotein) cholesterol and non-HDL cholesterol are calculated by the CardioChek Plus analyzer. </w:t>
            </w:r>
          </w:p>
        </w:tc>
        <w:tc>
          <w:tcPr>
            <w:tcW w:w="656" w:type="pct"/>
            <w:tcMar>
              <w:top w:w="10" w:type="dxa"/>
              <w:left w:w="10" w:type="dxa"/>
              <w:bottom w:w="10" w:type="dxa"/>
              <w:right w:w="10" w:type="dxa"/>
            </w:tcMar>
            <w:vAlign w:val="center"/>
          </w:tcPr>
          <w:p w14:paraId="4E172837"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21"/>
                <w:szCs w:val="21"/>
              </w:rPr>
              <w:t>永久有效</w:t>
            </w:r>
          </w:p>
        </w:tc>
        <w:tc>
          <w:tcPr>
            <w:tcW w:w="453" w:type="pct"/>
            <w:tcMar>
              <w:top w:w="10" w:type="dxa"/>
              <w:left w:w="10" w:type="dxa"/>
              <w:bottom w:w="10" w:type="dxa"/>
              <w:right w:w="10" w:type="dxa"/>
            </w:tcMar>
            <w:vAlign w:val="center"/>
          </w:tcPr>
          <w:p w14:paraId="491348A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2023.01.17</w:t>
            </w:r>
            <w:r>
              <w:rPr>
                <w:rFonts w:hint="eastAsia"/>
                <w:sz w:val="21"/>
                <w:szCs w:val="21"/>
              </w:rPr>
              <w:t>获批</w:t>
            </w:r>
            <w:r>
              <w:rPr>
                <w:rFonts w:ascii="Times New Roman" w:eastAsia="等线" w:hAnsi="Times New Roman" w:cs="Times New Roman"/>
                <w:sz w:val="21"/>
                <w:szCs w:val="21"/>
              </w:rPr>
              <w:t xml:space="preserve"> </w:t>
            </w:r>
          </w:p>
        </w:tc>
      </w:tr>
      <w:tr w:rsidR="00113A51" w14:paraId="67638A2B" w14:textId="77777777" w:rsidTr="00C707CF">
        <w:trPr>
          <w:cantSplit/>
          <w:jc w:val="center"/>
        </w:trPr>
        <w:tc>
          <w:tcPr>
            <w:tcW w:w="230" w:type="pct"/>
            <w:tcMar>
              <w:top w:w="10" w:type="dxa"/>
              <w:left w:w="10" w:type="dxa"/>
              <w:bottom w:w="10" w:type="dxa"/>
              <w:right w:w="10" w:type="dxa"/>
            </w:tcMar>
            <w:vAlign w:val="center"/>
          </w:tcPr>
          <w:p w14:paraId="243900D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23</w:t>
            </w:r>
          </w:p>
        </w:tc>
        <w:tc>
          <w:tcPr>
            <w:tcW w:w="847" w:type="pct"/>
            <w:tcMar>
              <w:top w:w="10" w:type="dxa"/>
              <w:left w:w="10" w:type="dxa"/>
              <w:bottom w:w="10" w:type="dxa"/>
              <w:right w:w="10" w:type="dxa"/>
            </w:tcMar>
            <w:vAlign w:val="center"/>
          </w:tcPr>
          <w:p w14:paraId="7FA571B0"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CHOL+HDL+GLU Test Strips</w:t>
            </w:r>
          </w:p>
          <w:p w14:paraId="70EDDBB5"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IVDD</w:t>
            </w:r>
          </w:p>
        </w:tc>
        <w:tc>
          <w:tcPr>
            <w:tcW w:w="333" w:type="pct"/>
            <w:tcMar>
              <w:top w:w="10" w:type="dxa"/>
              <w:left w:w="10" w:type="dxa"/>
              <w:bottom w:w="10" w:type="dxa"/>
              <w:right w:w="10" w:type="dxa"/>
            </w:tcMar>
            <w:vAlign w:val="center"/>
          </w:tcPr>
          <w:p w14:paraId="2C08A73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4BF72F1D"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The CardioChek PA and CardioChek Plus test systems (consisting of the CardioChek PA and CardioChek Plus professional analyzers and 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CHOL+HDL+GLU test strips) is for the quantitative determination of total cholesterol, HDL (high density lipoprotein) cholesterol and glucose in venous whole blood and capillary whole blood from the fingertip and is intended for multiple patient use in professional healthcare settings. This system should only be used with single-use, auto-disabling lancing devices. This system is for </w:t>
            </w:r>
            <w:r>
              <w:rPr>
                <w:rStyle w:val="ab"/>
                <w:rFonts w:ascii="Times New Roman" w:eastAsia="等线" w:hAnsi="Times New Roman" w:cs="Times New Roman"/>
                <w:sz w:val="21"/>
                <w:szCs w:val="21"/>
              </w:rPr>
              <w:t xml:space="preserve">in vitro </w:t>
            </w:r>
            <w:r>
              <w:rPr>
                <w:rFonts w:ascii="Times New Roman" w:eastAsia="等线" w:hAnsi="Times New Roman" w:cs="Times New Roman"/>
                <w:sz w:val="21"/>
                <w:szCs w:val="21"/>
              </w:rPr>
              <w:t xml:space="preserve">diagnostic use only. </w:t>
            </w:r>
          </w:p>
        </w:tc>
        <w:tc>
          <w:tcPr>
            <w:tcW w:w="656" w:type="pct"/>
            <w:tcMar>
              <w:top w:w="10" w:type="dxa"/>
              <w:left w:w="10" w:type="dxa"/>
              <w:bottom w:w="10" w:type="dxa"/>
              <w:right w:w="10" w:type="dxa"/>
            </w:tcMar>
            <w:vAlign w:val="center"/>
          </w:tcPr>
          <w:p w14:paraId="5019082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 xml:space="preserve">2028.12.31 </w:t>
            </w:r>
          </w:p>
        </w:tc>
        <w:tc>
          <w:tcPr>
            <w:tcW w:w="453" w:type="pct"/>
            <w:tcMar>
              <w:top w:w="10" w:type="dxa"/>
              <w:left w:w="10" w:type="dxa"/>
              <w:bottom w:w="10" w:type="dxa"/>
              <w:right w:w="10" w:type="dxa"/>
            </w:tcMar>
            <w:vAlign w:val="center"/>
          </w:tcPr>
          <w:p w14:paraId="632051B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r w:rsidR="00113A51" w14:paraId="513AB397" w14:textId="77777777" w:rsidTr="00C707CF">
        <w:trPr>
          <w:cantSplit/>
          <w:jc w:val="center"/>
        </w:trPr>
        <w:tc>
          <w:tcPr>
            <w:tcW w:w="230" w:type="pct"/>
            <w:tcMar>
              <w:top w:w="10" w:type="dxa"/>
              <w:left w:w="10" w:type="dxa"/>
              <w:bottom w:w="10" w:type="dxa"/>
              <w:right w:w="10" w:type="dxa"/>
            </w:tcMar>
            <w:vAlign w:val="center"/>
          </w:tcPr>
          <w:p w14:paraId="29EE2B9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24</w:t>
            </w:r>
          </w:p>
        </w:tc>
        <w:tc>
          <w:tcPr>
            <w:tcW w:w="847" w:type="pct"/>
            <w:tcMar>
              <w:top w:w="10" w:type="dxa"/>
              <w:left w:w="10" w:type="dxa"/>
              <w:bottom w:w="10" w:type="dxa"/>
              <w:right w:w="10" w:type="dxa"/>
            </w:tcMar>
            <w:vAlign w:val="center"/>
          </w:tcPr>
          <w:p w14:paraId="54A5575A"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Cholesterol Test Strips</w:t>
            </w:r>
          </w:p>
          <w:p w14:paraId="47515A7D"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IVDD</w:t>
            </w:r>
          </w:p>
        </w:tc>
        <w:tc>
          <w:tcPr>
            <w:tcW w:w="333" w:type="pct"/>
            <w:tcMar>
              <w:top w:w="10" w:type="dxa"/>
              <w:left w:w="10" w:type="dxa"/>
              <w:bottom w:w="10" w:type="dxa"/>
              <w:right w:w="10" w:type="dxa"/>
            </w:tcMar>
            <w:vAlign w:val="center"/>
          </w:tcPr>
          <w:p w14:paraId="6198748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08E4949F"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cholesterol test strips are for the quantitative determination of total cholesterol in venous whole blood and capillary whole blood from the fingertip. Cholesterol measurements are used in the diagnosis and treatment of disorders involving excess cholesterol in the blood and lipid and lipoprotein metabolism disorders. This system is intended for professional use.</w:t>
            </w:r>
          </w:p>
        </w:tc>
        <w:tc>
          <w:tcPr>
            <w:tcW w:w="656" w:type="pct"/>
            <w:tcMar>
              <w:top w:w="10" w:type="dxa"/>
              <w:left w:w="10" w:type="dxa"/>
              <w:bottom w:w="10" w:type="dxa"/>
              <w:right w:w="10" w:type="dxa"/>
            </w:tcMar>
            <w:vAlign w:val="center"/>
          </w:tcPr>
          <w:p w14:paraId="14CD47A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 xml:space="preserve">2029.12.31 </w:t>
            </w:r>
          </w:p>
        </w:tc>
        <w:tc>
          <w:tcPr>
            <w:tcW w:w="453" w:type="pct"/>
            <w:tcMar>
              <w:top w:w="10" w:type="dxa"/>
              <w:left w:w="10" w:type="dxa"/>
              <w:bottom w:w="10" w:type="dxa"/>
              <w:right w:w="10" w:type="dxa"/>
            </w:tcMar>
            <w:vAlign w:val="center"/>
          </w:tcPr>
          <w:p w14:paraId="3807605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p>
        </w:tc>
      </w:tr>
      <w:tr w:rsidR="00113A51" w14:paraId="7B39F085" w14:textId="77777777" w:rsidTr="00C707CF">
        <w:trPr>
          <w:cantSplit/>
          <w:jc w:val="center"/>
        </w:trPr>
        <w:tc>
          <w:tcPr>
            <w:tcW w:w="230" w:type="pct"/>
            <w:tcMar>
              <w:top w:w="10" w:type="dxa"/>
              <w:left w:w="10" w:type="dxa"/>
              <w:bottom w:w="10" w:type="dxa"/>
              <w:right w:w="10" w:type="dxa"/>
            </w:tcMar>
            <w:vAlign w:val="center"/>
          </w:tcPr>
          <w:p w14:paraId="56910EE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25</w:t>
            </w:r>
          </w:p>
        </w:tc>
        <w:tc>
          <w:tcPr>
            <w:tcW w:w="847" w:type="pct"/>
            <w:tcMar>
              <w:top w:w="10" w:type="dxa"/>
              <w:left w:w="10" w:type="dxa"/>
              <w:bottom w:w="10" w:type="dxa"/>
              <w:right w:w="10" w:type="dxa"/>
            </w:tcMar>
            <w:vAlign w:val="center"/>
          </w:tcPr>
          <w:p w14:paraId="1673C1ED"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Cholesterol Test Strips</w:t>
            </w:r>
          </w:p>
          <w:p w14:paraId="7493BB3A"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IVDR</w:t>
            </w:r>
          </w:p>
        </w:tc>
        <w:tc>
          <w:tcPr>
            <w:tcW w:w="333" w:type="pct"/>
            <w:tcMar>
              <w:top w:w="10" w:type="dxa"/>
              <w:left w:w="10" w:type="dxa"/>
              <w:bottom w:w="10" w:type="dxa"/>
              <w:right w:w="10" w:type="dxa"/>
            </w:tcMar>
            <w:vAlign w:val="center"/>
          </w:tcPr>
          <w:p w14:paraId="439736A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B</w:t>
            </w:r>
          </w:p>
        </w:tc>
        <w:tc>
          <w:tcPr>
            <w:tcW w:w="2478" w:type="pct"/>
            <w:tcMar>
              <w:top w:w="10" w:type="dxa"/>
              <w:left w:w="10" w:type="dxa"/>
              <w:bottom w:w="10" w:type="dxa"/>
              <w:right w:w="10" w:type="dxa"/>
            </w:tcMar>
            <w:vAlign w:val="center"/>
          </w:tcPr>
          <w:p w14:paraId="6F5CB3BB"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cholesterol test strips are intended to measure total cholesterol in whole blood on a CardioChek Plus analyzer and provide a quantitative result. The results from the cholesterol test strip may be used to screen and monitor excess cholesterol in the blood and to aid in the diagnosis of lipid and lipoprotein metabolism disorders.</w:t>
            </w:r>
          </w:p>
        </w:tc>
        <w:tc>
          <w:tcPr>
            <w:tcW w:w="656" w:type="pct"/>
            <w:tcMar>
              <w:top w:w="10" w:type="dxa"/>
              <w:left w:w="10" w:type="dxa"/>
              <w:bottom w:w="10" w:type="dxa"/>
              <w:right w:w="10" w:type="dxa"/>
            </w:tcMar>
            <w:vAlign w:val="center"/>
          </w:tcPr>
          <w:p w14:paraId="278D1F5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 xml:space="preserve">2028.03.02 </w:t>
            </w:r>
          </w:p>
        </w:tc>
        <w:tc>
          <w:tcPr>
            <w:tcW w:w="453" w:type="pct"/>
            <w:tcMar>
              <w:top w:w="10" w:type="dxa"/>
              <w:left w:w="10" w:type="dxa"/>
              <w:bottom w:w="10" w:type="dxa"/>
              <w:right w:w="10" w:type="dxa"/>
            </w:tcMar>
            <w:vAlign w:val="center"/>
          </w:tcPr>
          <w:p w14:paraId="7F3C088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2023.04.11</w:t>
            </w:r>
            <w:r>
              <w:rPr>
                <w:rFonts w:hint="eastAsia"/>
                <w:sz w:val="21"/>
                <w:szCs w:val="21"/>
              </w:rPr>
              <w:t>获批</w:t>
            </w:r>
            <w:r>
              <w:rPr>
                <w:rFonts w:ascii="Times New Roman" w:eastAsia="等线" w:hAnsi="Times New Roman" w:cs="Times New Roman"/>
                <w:sz w:val="21"/>
                <w:szCs w:val="21"/>
              </w:rPr>
              <w:t xml:space="preserve"> </w:t>
            </w:r>
          </w:p>
        </w:tc>
      </w:tr>
      <w:tr w:rsidR="00113A51" w14:paraId="5BAA65F6" w14:textId="77777777" w:rsidTr="00C707CF">
        <w:trPr>
          <w:cantSplit/>
          <w:jc w:val="center"/>
        </w:trPr>
        <w:tc>
          <w:tcPr>
            <w:tcW w:w="230" w:type="pct"/>
            <w:tcMar>
              <w:top w:w="10" w:type="dxa"/>
              <w:left w:w="10" w:type="dxa"/>
              <w:bottom w:w="10" w:type="dxa"/>
              <w:right w:w="10" w:type="dxa"/>
            </w:tcMar>
            <w:vAlign w:val="center"/>
          </w:tcPr>
          <w:p w14:paraId="69D95B2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26</w:t>
            </w:r>
          </w:p>
        </w:tc>
        <w:tc>
          <w:tcPr>
            <w:tcW w:w="847" w:type="pct"/>
            <w:tcMar>
              <w:top w:w="10" w:type="dxa"/>
              <w:left w:w="10" w:type="dxa"/>
              <w:bottom w:w="10" w:type="dxa"/>
              <w:right w:w="10" w:type="dxa"/>
            </w:tcMar>
            <w:vAlign w:val="center"/>
          </w:tcPr>
          <w:p w14:paraId="020FE416"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eGLU Test Strips</w:t>
            </w:r>
          </w:p>
          <w:p w14:paraId="766256C1"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IVDD</w:t>
            </w:r>
          </w:p>
        </w:tc>
        <w:tc>
          <w:tcPr>
            <w:tcW w:w="333" w:type="pct"/>
            <w:tcMar>
              <w:top w:w="10" w:type="dxa"/>
              <w:left w:w="10" w:type="dxa"/>
              <w:bottom w:w="10" w:type="dxa"/>
              <w:right w:w="10" w:type="dxa"/>
            </w:tcMar>
            <w:vAlign w:val="center"/>
          </w:tcPr>
          <w:p w14:paraId="4501DFD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1AD3CD81"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The CardioChek Plus glucose test system is intended for the quantitative determination of glucose in human whole blood for use by healthcare professionals. Glucose measurements are used in the diagnosis and treatment of carbohydrate metabolism disorders including diabetes mellitus, neonatal hypoglycemia, and idiopathic hypoglycemia, and of pancreatic islet cell carcinoma.</w:t>
            </w:r>
          </w:p>
        </w:tc>
        <w:tc>
          <w:tcPr>
            <w:tcW w:w="656" w:type="pct"/>
            <w:tcMar>
              <w:top w:w="10" w:type="dxa"/>
              <w:left w:w="10" w:type="dxa"/>
              <w:bottom w:w="10" w:type="dxa"/>
              <w:right w:w="10" w:type="dxa"/>
            </w:tcMar>
            <w:vAlign w:val="center"/>
          </w:tcPr>
          <w:p w14:paraId="5A9C3E7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 xml:space="preserve">2028.12.31 </w:t>
            </w:r>
          </w:p>
        </w:tc>
        <w:tc>
          <w:tcPr>
            <w:tcW w:w="453" w:type="pct"/>
            <w:tcMar>
              <w:top w:w="10" w:type="dxa"/>
              <w:left w:w="10" w:type="dxa"/>
              <w:bottom w:w="10" w:type="dxa"/>
              <w:right w:w="10" w:type="dxa"/>
            </w:tcMar>
            <w:vAlign w:val="center"/>
          </w:tcPr>
          <w:p w14:paraId="1BB775F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r w:rsidR="00113A51" w14:paraId="0349EE71" w14:textId="77777777" w:rsidTr="00C707CF">
        <w:trPr>
          <w:cantSplit/>
          <w:jc w:val="center"/>
        </w:trPr>
        <w:tc>
          <w:tcPr>
            <w:tcW w:w="230" w:type="pct"/>
            <w:tcMar>
              <w:top w:w="10" w:type="dxa"/>
              <w:left w:w="10" w:type="dxa"/>
              <w:bottom w:w="10" w:type="dxa"/>
              <w:right w:w="10" w:type="dxa"/>
            </w:tcMar>
            <w:vAlign w:val="center"/>
          </w:tcPr>
          <w:p w14:paraId="035C1AE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27</w:t>
            </w:r>
          </w:p>
        </w:tc>
        <w:tc>
          <w:tcPr>
            <w:tcW w:w="847" w:type="pct"/>
            <w:tcMar>
              <w:top w:w="10" w:type="dxa"/>
              <w:left w:w="10" w:type="dxa"/>
              <w:bottom w:w="10" w:type="dxa"/>
              <w:right w:w="10" w:type="dxa"/>
            </w:tcMar>
            <w:vAlign w:val="center"/>
          </w:tcPr>
          <w:p w14:paraId="115ED805"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PTS PANELS Lipid Panel Test Strips</w:t>
            </w:r>
          </w:p>
          <w:p w14:paraId="75151A9F"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IVDD</w:t>
            </w:r>
          </w:p>
        </w:tc>
        <w:tc>
          <w:tcPr>
            <w:tcW w:w="333" w:type="pct"/>
            <w:tcMar>
              <w:top w:w="10" w:type="dxa"/>
              <w:left w:w="10" w:type="dxa"/>
              <w:bottom w:w="10" w:type="dxa"/>
              <w:right w:w="10" w:type="dxa"/>
            </w:tcMar>
            <w:vAlign w:val="center"/>
          </w:tcPr>
          <w:p w14:paraId="6031C26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222EA4CB"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The Lipid Panel Test Strips are intended to measure cholesterol, HDL cholesterol and triglycerides in whole blood on a CardioChek brand analyzer. The test strips are intended to be used by healthcare professionals to measure three blood analytes: cholesterol, HDL cholesterol and triglycerides. Cholesterol measurements are used in the diagnosis and treatment of disorders involving excess cholesterol in the blood and lipid and lipoprotein metabolism disorders. Lipoprotein measurements are used in the diagnosis and treatment of lipid disorders (such as diabetes mellitus), atherosclerosis, and various liver and renal diseases. Triglycerides measurements are used in the diagnosis and treatment of patients with diabetes mellitus, nephrosis, liver obstruction, other diseases involving lipid metabolism, or various endocrine disorders</w:t>
            </w:r>
          </w:p>
        </w:tc>
        <w:tc>
          <w:tcPr>
            <w:tcW w:w="656" w:type="pct"/>
            <w:tcMar>
              <w:top w:w="10" w:type="dxa"/>
              <w:left w:w="10" w:type="dxa"/>
              <w:bottom w:w="10" w:type="dxa"/>
              <w:right w:w="10" w:type="dxa"/>
            </w:tcMar>
            <w:vAlign w:val="center"/>
          </w:tcPr>
          <w:p w14:paraId="6BB6760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2029.12.31</w:t>
            </w:r>
          </w:p>
        </w:tc>
        <w:tc>
          <w:tcPr>
            <w:tcW w:w="453" w:type="pct"/>
            <w:tcMar>
              <w:top w:w="10" w:type="dxa"/>
              <w:left w:w="10" w:type="dxa"/>
              <w:bottom w:w="10" w:type="dxa"/>
              <w:right w:w="10" w:type="dxa"/>
            </w:tcMar>
            <w:vAlign w:val="center"/>
          </w:tcPr>
          <w:p w14:paraId="2F318FFC"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r w:rsidR="00113A51" w14:paraId="44A710FB" w14:textId="77777777" w:rsidTr="00C707CF">
        <w:trPr>
          <w:cantSplit/>
          <w:jc w:val="center"/>
        </w:trPr>
        <w:tc>
          <w:tcPr>
            <w:tcW w:w="230" w:type="pct"/>
            <w:tcMar>
              <w:top w:w="10" w:type="dxa"/>
              <w:left w:w="10" w:type="dxa"/>
              <w:bottom w:w="10" w:type="dxa"/>
              <w:right w:w="10" w:type="dxa"/>
            </w:tcMar>
            <w:vAlign w:val="center"/>
          </w:tcPr>
          <w:p w14:paraId="25B3647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28</w:t>
            </w:r>
          </w:p>
        </w:tc>
        <w:tc>
          <w:tcPr>
            <w:tcW w:w="847" w:type="pct"/>
            <w:tcMar>
              <w:top w:w="10" w:type="dxa"/>
              <w:left w:w="10" w:type="dxa"/>
              <w:bottom w:w="10" w:type="dxa"/>
              <w:right w:w="10" w:type="dxa"/>
            </w:tcMar>
            <w:vAlign w:val="center"/>
          </w:tcPr>
          <w:p w14:paraId="00827CDD"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PTS PANELS Lipid Panel Test Strips</w:t>
            </w:r>
          </w:p>
          <w:p w14:paraId="4F4D3D11"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IVDR</w:t>
            </w:r>
          </w:p>
        </w:tc>
        <w:tc>
          <w:tcPr>
            <w:tcW w:w="333" w:type="pct"/>
            <w:tcMar>
              <w:top w:w="10" w:type="dxa"/>
              <w:left w:w="10" w:type="dxa"/>
              <w:bottom w:w="10" w:type="dxa"/>
              <w:right w:w="10" w:type="dxa"/>
            </w:tcMar>
            <w:vAlign w:val="center"/>
          </w:tcPr>
          <w:p w14:paraId="29ABF0D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B</w:t>
            </w:r>
          </w:p>
        </w:tc>
        <w:tc>
          <w:tcPr>
            <w:tcW w:w="2478" w:type="pct"/>
            <w:tcMar>
              <w:top w:w="10" w:type="dxa"/>
              <w:left w:w="10" w:type="dxa"/>
              <w:bottom w:w="10" w:type="dxa"/>
              <w:right w:w="10" w:type="dxa"/>
            </w:tcMar>
            <w:vAlign w:val="center"/>
          </w:tcPr>
          <w:p w14:paraId="65DC8271"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lipid panel test strips are intended to measure total cholesterol, HDL cholesterol, and triglycerides in whole blood on a CardioChek Plus analyzer and provide a quantitative result. The results from the lipid panel test strip may be used to screen for, monitor, or aid in the diagnosis of lipid disorders.</w:t>
            </w:r>
          </w:p>
        </w:tc>
        <w:tc>
          <w:tcPr>
            <w:tcW w:w="656" w:type="pct"/>
            <w:tcMar>
              <w:top w:w="10" w:type="dxa"/>
              <w:left w:w="10" w:type="dxa"/>
              <w:bottom w:w="10" w:type="dxa"/>
              <w:right w:w="10" w:type="dxa"/>
            </w:tcMar>
            <w:vAlign w:val="center"/>
          </w:tcPr>
          <w:p w14:paraId="5E740C2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 xml:space="preserve">2028.03.02 </w:t>
            </w:r>
          </w:p>
        </w:tc>
        <w:tc>
          <w:tcPr>
            <w:tcW w:w="453" w:type="pct"/>
            <w:tcMar>
              <w:top w:w="10" w:type="dxa"/>
              <w:left w:w="10" w:type="dxa"/>
              <w:bottom w:w="10" w:type="dxa"/>
              <w:right w:w="10" w:type="dxa"/>
            </w:tcMar>
            <w:vAlign w:val="center"/>
          </w:tcPr>
          <w:p w14:paraId="51020C3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2023.04.11</w:t>
            </w:r>
            <w:r>
              <w:rPr>
                <w:rFonts w:hint="eastAsia"/>
                <w:sz w:val="21"/>
                <w:szCs w:val="21"/>
              </w:rPr>
              <w:t>获批</w:t>
            </w:r>
            <w:r>
              <w:rPr>
                <w:rFonts w:ascii="Times New Roman" w:eastAsia="等线" w:hAnsi="Times New Roman" w:cs="Times New Roman"/>
                <w:sz w:val="21"/>
                <w:szCs w:val="21"/>
              </w:rPr>
              <w:t xml:space="preserve"> </w:t>
            </w:r>
          </w:p>
        </w:tc>
      </w:tr>
      <w:tr w:rsidR="00113A51" w14:paraId="5B1B2FAE" w14:textId="77777777" w:rsidTr="00C707CF">
        <w:trPr>
          <w:cantSplit/>
          <w:jc w:val="center"/>
        </w:trPr>
        <w:tc>
          <w:tcPr>
            <w:tcW w:w="230" w:type="pct"/>
            <w:tcMar>
              <w:top w:w="10" w:type="dxa"/>
              <w:left w:w="10" w:type="dxa"/>
              <w:bottom w:w="10" w:type="dxa"/>
              <w:right w:w="10" w:type="dxa"/>
            </w:tcMar>
            <w:vAlign w:val="center"/>
          </w:tcPr>
          <w:p w14:paraId="07C20A8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29</w:t>
            </w:r>
          </w:p>
        </w:tc>
        <w:tc>
          <w:tcPr>
            <w:tcW w:w="847" w:type="pct"/>
            <w:tcMar>
              <w:top w:w="10" w:type="dxa"/>
              <w:left w:w="10" w:type="dxa"/>
              <w:bottom w:w="10" w:type="dxa"/>
              <w:right w:w="10" w:type="dxa"/>
            </w:tcMar>
            <w:vAlign w:val="center"/>
          </w:tcPr>
          <w:p w14:paraId="25F42741"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Multi-Chem Controls</w:t>
            </w:r>
          </w:p>
          <w:p w14:paraId="3DC1BA89"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(glu, chol, HDL, trig)</w:t>
            </w:r>
          </w:p>
        </w:tc>
        <w:tc>
          <w:tcPr>
            <w:tcW w:w="333" w:type="pct"/>
            <w:tcMar>
              <w:top w:w="10" w:type="dxa"/>
              <w:left w:w="10" w:type="dxa"/>
              <w:bottom w:w="10" w:type="dxa"/>
              <w:right w:w="10" w:type="dxa"/>
            </w:tcMar>
            <w:vAlign w:val="center"/>
          </w:tcPr>
          <w:p w14:paraId="6808CF3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0E1D2715"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For use with PTS Panels</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test strips as quality control materials to estimate precision and to detect systematic analytical deviations of your test system.</w:t>
            </w:r>
          </w:p>
        </w:tc>
        <w:tc>
          <w:tcPr>
            <w:tcW w:w="656" w:type="pct"/>
            <w:tcMar>
              <w:top w:w="10" w:type="dxa"/>
              <w:left w:w="10" w:type="dxa"/>
              <w:bottom w:w="10" w:type="dxa"/>
              <w:right w:w="10" w:type="dxa"/>
            </w:tcMar>
            <w:vAlign w:val="center"/>
          </w:tcPr>
          <w:p w14:paraId="1A4CCFC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2028.12.31</w:t>
            </w:r>
          </w:p>
        </w:tc>
        <w:tc>
          <w:tcPr>
            <w:tcW w:w="453" w:type="pct"/>
            <w:tcMar>
              <w:top w:w="10" w:type="dxa"/>
              <w:left w:w="10" w:type="dxa"/>
              <w:bottom w:w="10" w:type="dxa"/>
              <w:right w:w="10" w:type="dxa"/>
            </w:tcMar>
            <w:vAlign w:val="center"/>
          </w:tcPr>
          <w:p w14:paraId="7AF66B8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r w:rsidR="00113A51" w14:paraId="0D1F1AA4" w14:textId="77777777" w:rsidTr="00C707CF">
        <w:trPr>
          <w:cantSplit/>
          <w:jc w:val="center"/>
        </w:trPr>
        <w:tc>
          <w:tcPr>
            <w:tcW w:w="230" w:type="pct"/>
            <w:tcMar>
              <w:top w:w="10" w:type="dxa"/>
              <w:left w:w="10" w:type="dxa"/>
              <w:bottom w:w="10" w:type="dxa"/>
              <w:right w:w="10" w:type="dxa"/>
            </w:tcMar>
            <w:vAlign w:val="center"/>
          </w:tcPr>
          <w:p w14:paraId="69C83C9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30</w:t>
            </w:r>
          </w:p>
        </w:tc>
        <w:tc>
          <w:tcPr>
            <w:tcW w:w="847" w:type="pct"/>
            <w:tcMar>
              <w:top w:w="10" w:type="dxa"/>
              <w:left w:w="10" w:type="dxa"/>
              <w:bottom w:w="10" w:type="dxa"/>
              <w:right w:w="10" w:type="dxa"/>
            </w:tcMar>
            <w:vAlign w:val="center"/>
          </w:tcPr>
          <w:p w14:paraId="79558BD4"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A1C Now+ 20 count</w:t>
            </w:r>
          </w:p>
        </w:tc>
        <w:tc>
          <w:tcPr>
            <w:tcW w:w="333" w:type="pct"/>
            <w:tcMar>
              <w:top w:w="10" w:type="dxa"/>
              <w:left w:w="10" w:type="dxa"/>
              <w:bottom w:w="10" w:type="dxa"/>
              <w:right w:w="10" w:type="dxa"/>
            </w:tcMar>
            <w:vAlign w:val="center"/>
          </w:tcPr>
          <w:p w14:paraId="47C9202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4EDF2315"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The A1CNow</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test provides quantitative measurement of glycated haemoglobin levels in capillary (fingerprick) or venous whole blood. This test can be used to monitor glycemic control in people with diabetes and as an aid to diagnose diabetes and identify patients at risk of developing diabetes.</w:t>
            </w:r>
          </w:p>
        </w:tc>
        <w:tc>
          <w:tcPr>
            <w:tcW w:w="656" w:type="pct"/>
            <w:tcMar>
              <w:top w:w="10" w:type="dxa"/>
              <w:left w:w="10" w:type="dxa"/>
              <w:bottom w:w="10" w:type="dxa"/>
              <w:right w:w="10" w:type="dxa"/>
            </w:tcMar>
            <w:vAlign w:val="center"/>
          </w:tcPr>
          <w:p w14:paraId="4327280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2028.12.31</w:t>
            </w:r>
          </w:p>
        </w:tc>
        <w:tc>
          <w:tcPr>
            <w:tcW w:w="453" w:type="pct"/>
            <w:tcMar>
              <w:top w:w="10" w:type="dxa"/>
              <w:left w:w="10" w:type="dxa"/>
              <w:bottom w:w="10" w:type="dxa"/>
              <w:right w:w="10" w:type="dxa"/>
            </w:tcMar>
            <w:vAlign w:val="center"/>
          </w:tcPr>
          <w:p w14:paraId="5EE982F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r w:rsidR="00113A51" w14:paraId="2271BE35" w14:textId="77777777" w:rsidTr="00C707CF">
        <w:trPr>
          <w:cantSplit/>
          <w:jc w:val="center"/>
        </w:trPr>
        <w:tc>
          <w:tcPr>
            <w:tcW w:w="230" w:type="pct"/>
            <w:tcMar>
              <w:top w:w="10" w:type="dxa"/>
              <w:left w:w="10" w:type="dxa"/>
              <w:bottom w:w="10" w:type="dxa"/>
              <w:right w:w="10" w:type="dxa"/>
            </w:tcMar>
            <w:vAlign w:val="center"/>
          </w:tcPr>
          <w:p w14:paraId="35B0987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31</w:t>
            </w:r>
          </w:p>
        </w:tc>
        <w:tc>
          <w:tcPr>
            <w:tcW w:w="847" w:type="pct"/>
            <w:tcMar>
              <w:top w:w="10" w:type="dxa"/>
              <w:left w:w="10" w:type="dxa"/>
              <w:bottom w:w="10" w:type="dxa"/>
              <w:right w:w="10" w:type="dxa"/>
            </w:tcMar>
            <w:vAlign w:val="center"/>
          </w:tcPr>
          <w:p w14:paraId="58E3A0B4"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A1C Now+ 10 count</w:t>
            </w:r>
          </w:p>
        </w:tc>
        <w:tc>
          <w:tcPr>
            <w:tcW w:w="333" w:type="pct"/>
            <w:tcMar>
              <w:top w:w="10" w:type="dxa"/>
              <w:left w:w="10" w:type="dxa"/>
              <w:bottom w:w="10" w:type="dxa"/>
              <w:right w:w="10" w:type="dxa"/>
            </w:tcMar>
            <w:vAlign w:val="center"/>
          </w:tcPr>
          <w:p w14:paraId="41AF6FC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“Other”</w:t>
            </w:r>
          </w:p>
        </w:tc>
        <w:tc>
          <w:tcPr>
            <w:tcW w:w="2478" w:type="pct"/>
            <w:tcMar>
              <w:top w:w="10" w:type="dxa"/>
              <w:left w:w="10" w:type="dxa"/>
              <w:bottom w:w="10" w:type="dxa"/>
              <w:right w:w="10" w:type="dxa"/>
            </w:tcMar>
            <w:vAlign w:val="center"/>
          </w:tcPr>
          <w:p w14:paraId="251C1876"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The A1CNow</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test provides quantitative measurement of glycated haemoglobin levels in capillary (fingerprick) or venous whole blood. This test can be used to monitor glycemic control in people with diabetes and as an aid to diagnose diabetes and identify patients at risk of developing diabetes.</w:t>
            </w:r>
          </w:p>
        </w:tc>
        <w:tc>
          <w:tcPr>
            <w:tcW w:w="656" w:type="pct"/>
            <w:tcMar>
              <w:top w:w="10" w:type="dxa"/>
              <w:left w:w="10" w:type="dxa"/>
              <w:bottom w:w="10" w:type="dxa"/>
              <w:right w:w="10" w:type="dxa"/>
            </w:tcMar>
            <w:vAlign w:val="center"/>
          </w:tcPr>
          <w:p w14:paraId="35304B5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2028.12.31</w:t>
            </w:r>
          </w:p>
        </w:tc>
        <w:tc>
          <w:tcPr>
            <w:tcW w:w="453" w:type="pct"/>
            <w:tcMar>
              <w:top w:w="10" w:type="dxa"/>
              <w:left w:w="10" w:type="dxa"/>
              <w:bottom w:w="10" w:type="dxa"/>
              <w:right w:w="10" w:type="dxa"/>
            </w:tcMar>
            <w:vAlign w:val="center"/>
          </w:tcPr>
          <w:p w14:paraId="3CD9D6D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r w:rsidR="00113A51" w14:paraId="78C9845D" w14:textId="77777777" w:rsidTr="00C707CF">
        <w:trPr>
          <w:cantSplit/>
          <w:jc w:val="center"/>
        </w:trPr>
        <w:tc>
          <w:tcPr>
            <w:tcW w:w="230" w:type="pct"/>
            <w:tcMar>
              <w:top w:w="10" w:type="dxa"/>
              <w:left w:w="10" w:type="dxa"/>
              <w:bottom w:w="10" w:type="dxa"/>
              <w:right w:w="10" w:type="dxa"/>
            </w:tcMar>
            <w:vAlign w:val="center"/>
          </w:tcPr>
          <w:p w14:paraId="1377598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32</w:t>
            </w:r>
          </w:p>
        </w:tc>
        <w:tc>
          <w:tcPr>
            <w:tcW w:w="847" w:type="pct"/>
            <w:tcMar>
              <w:top w:w="10" w:type="dxa"/>
              <w:left w:w="10" w:type="dxa"/>
              <w:bottom w:w="10" w:type="dxa"/>
              <w:right w:w="10" w:type="dxa"/>
            </w:tcMar>
            <w:vAlign w:val="center"/>
          </w:tcPr>
          <w:p w14:paraId="03EAF733"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21"/>
                <w:szCs w:val="21"/>
              </w:rPr>
              <w:t>A1C Now+ 4 count OTC</w:t>
            </w:r>
          </w:p>
        </w:tc>
        <w:tc>
          <w:tcPr>
            <w:tcW w:w="333" w:type="pct"/>
            <w:tcMar>
              <w:top w:w="10" w:type="dxa"/>
              <w:left w:w="10" w:type="dxa"/>
              <w:bottom w:w="10" w:type="dxa"/>
              <w:right w:w="10" w:type="dxa"/>
            </w:tcMar>
            <w:vAlign w:val="center"/>
          </w:tcPr>
          <w:p w14:paraId="69734AA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Self Test</w:t>
            </w:r>
          </w:p>
        </w:tc>
        <w:tc>
          <w:tcPr>
            <w:tcW w:w="2478" w:type="pct"/>
            <w:tcMar>
              <w:top w:w="10" w:type="dxa"/>
              <w:left w:w="10" w:type="dxa"/>
              <w:bottom w:w="10" w:type="dxa"/>
              <w:right w:w="10" w:type="dxa"/>
            </w:tcMar>
            <w:vAlign w:val="center"/>
          </w:tcPr>
          <w:p w14:paraId="2D50A478"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The A1CNow</w:t>
            </w:r>
            <w:r>
              <w:rPr>
                <w:rFonts w:ascii="Times New Roman" w:eastAsia="等线" w:hAnsi="Times New Roman" w:cs="Times New Roman"/>
                <w:sz w:val="21"/>
                <w:szCs w:val="21"/>
                <w:vertAlign w:val="superscript"/>
              </w:rPr>
              <w:t>®</w:t>
            </w:r>
            <w:r>
              <w:rPr>
                <w:rFonts w:ascii="Times New Roman" w:eastAsia="等线" w:hAnsi="Times New Roman" w:cs="Times New Roman"/>
                <w:sz w:val="21"/>
                <w:szCs w:val="21"/>
              </w:rPr>
              <w:t xml:space="preserve"> Self Check test system provides a quantitative measurement of the percent of glycated hemoglobin levels in capillary (fingerstick) blood samples. The test is for home use to monitor glycemic control in people with diabetes.</w:t>
            </w:r>
          </w:p>
          <w:p w14:paraId="28F48065"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Before using this test, please read all instructions carefully.</w:t>
            </w:r>
          </w:p>
          <w:p w14:paraId="0774A014"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If you need further help, call 1-877-870-5610.</w:t>
            </w:r>
          </w:p>
          <w:p w14:paraId="3EFAD07F"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We invite you to call and we will guide you through the test.</w:t>
            </w:r>
          </w:p>
          <w:p w14:paraId="37499017" w14:textId="77777777" w:rsidR="00113A51" w:rsidRDefault="00766EC7">
            <w:pPr>
              <w:pStyle w:val="a9"/>
              <w:spacing w:before="0" w:beforeAutospacing="0" w:after="0" w:afterAutospacing="0"/>
              <w:rPr>
                <w:rFonts w:ascii="等线" w:eastAsia="等线" w:hAnsi="等线"/>
                <w:sz w:val="21"/>
                <w:szCs w:val="21"/>
              </w:rPr>
            </w:pPr>
            <w:r>
              <w:rPr>
                <w:rFonts w:ascii="Times New Roman" w:eastAsia="等线" w:hAnsi="Times New Roman" w:cs="Times New Roman"/>
                <w:sz w:val="21"/>
                <w:szCs w:val="21"/>
              </w:rPr>
              <w:t>Do not take any decision of medical relevance without first consulting your medical practitioner.</w:t>
            </w:r>
          </w:p>
        </w:tc>
        <w:tc>
          <w:tcPr>
            <w:tcW w:w="656" w:type="pct"/>
            <w:tcMar>
              <w:top w:w="10" w:type="dxa"/>
              <w:left w:w="10" w:type="dxa"/>
              <w:bottom w:w="10" w:type="dxa"/>
              <w:right w:w="10" w:type="dxa"/>
            </w:tcMar>
            <w:vAlign w:val="center"/>
          </w:tcPr>
          <w:p w14:paraId="19760B6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2028.12.31</w:t>
            </w:r>
          </w:p>
        </w:tc>
        <w:tc>
          <w:tcPr>
            <w:tcW w:w="453" w:type="pct"/>
            <w:tcMar>
              <w:top w:w="10" w:type="dxa"/>
              <w:left w:w="10" w:type="dxa"/>
              <w:bottom w:w="10" w:type="dxa"/>
              <w:right w:w="10" w:type="dxa"/>
            </w:tcMar>
            <w:vAlign w:val="center"/>
          </w:tcPr>
          <w:p w14:paraId="34CFCE9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21"/>
                <w:szCs w:val="21"/>
              </w:rPr>
              <w:t>2023.10.04</w:t>
            </w:r>
            <w:r>
              <w:rPr>
                <w:rFonts w:hint="eastAsia"/>
                <w:sz w:val="21"/>
                <w:szCs w:val="21"/>
              </w:rPr>
              <w:t>获批</w:t>
            </w:r>
            <w:r>
              <w:rPr>
                <w:rFonts w:ascii="Times New Roman" w:eastAsia="等线" w:hAnsi="Times New Roman" w:cs="Times New Roman"/>
                <w:sz w:val="21"/>
                <w:szCs w:val="21"/>
              </w:rPr>
              <w:t xml:space="preserve">  </w:t>
            </w:r>
          </w:p>
        </w:tc>
      </w:tr>
    </w:tbl>
    <w:p w14:paraId="68E7D400"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截至</w:t>
      </w:r>
      <w:r>
        <w:rPr>
          <w:rFonts w:ascii="Times New Roman" w:eastAsia="等线" w:hAnsi="Times New Roman" w:cs="Times New Roman"/>
          <w:sz w:val="21"/>
          <w:szCs w:val="21"/>
        </w:rPr>
        <w:t>2025</w:t>
      </w:r>
      <w:r>
        <w:rPr>
          <w:rFonts w:hint="eastAsia"/>
          <w:sz w:val="21"/>
          <w:szCs w:val="21"/>
        </w:rPr>
        <w:t>年</w:t>
      </w:r>
      <w:r>
        <w:rPr>
          <w:rFonts w:ascii="Times New Roman" w:eastAsia="等线" w:hAnsi="Times New Roman" w:cs="Times New Roman"/>
          <w:sz w:val="21"/>
          <w:szCs w:val="21"/>
        </w:rPr>
        <w:t>12</w:t>
      </w:r>
      <w:r>
        <w:rPr>
          <w:rFonts w:hint="eastAsia"/>
          <w:sz w:val="21"/>
          <w:szCs w:val="21"/>
        </w:rPr>
        <w:t>月</w:t>
      </w:r>
      <w:r>
        <w:rPr>
          <w:rFonts w:ascii="Times New Roman" w:eastAsia="等线" w:hAnsi="Times New Roman" w:cs="Times New Roman"/>
          <w:sz w:val="21"/>
          <w:szCs w:val="21"/>
        </w:rPr>
        <w:t>31</w:t>
      </w:r>
      <w:r>
        <w:rPr>
          <w:rFonts w:hint="eastAsia"/>
          <w:sz w:val="21"/>
          <w:szCs w:val="21"/>
        </w:rPr>
        <w:t>日，公司全资子公司</w:t>
      </w:r>
      <w:r>
        <w:rPr>
          <w:rFonts w:ascii="Times New Roman" w:eastAsia="等线" w:hAnsi="Times New Roman" w:cs="Times New Roman"/>
          <w:sz w:val="21"/>
          <w:szCs w:val="21"/>
        </w:rPr>
        <w:t>Polymer Technology Systems, Inc.</w:t>
      </w:r>
      <w:r>
        <w:rPr>
          <w:rFonts w:hint="eastAsia"/>
          <w:sz w:val="21"/>
          <w:szCs w:val="21"/>
        </w:rPr>
        <w:t>已经取得国内医疗器械进口注册证的产品</w:t>
      </w:r>
      <w:r>
        <w:rPr>
          <w:rFonts w:ascii="Times New Roman" w:eastAsia="等线" w:hAnsi="Times New Roman" w:cs="Times New Roman"/>
          <w:sz w:val="21"/>
          <w:szCs w:val="21"/>
        </w:rPr>
        <w:t>7</w:t>
      </w:r>
      <w:r>
        <w:rPr>
          <w:rFonts w:hint="eastAsia"/>
          <w:sz w:val="21"/>
          <w:szCs w:val="21"/>
        </w:rPr>
        <w:t>项，取得国内医疗器械进口备案凭证</w:t>
      </w:r>
      <w:r>
        <w:rPr>
          <w:rFonts w:ascii="Times New Roman" w:eastAsia="等线" w:hAnsi="Times New Roman" w:cs="Times New Roman"/>
          <w:sz w:val="21"/>
          <w:szCs w:val="21"/>
        </w:rPr>
        <w:t>1</w:t>
      </w:r>
      <w:r>
        <w:rPr>
          <w:rFonts w:hint="eastAsia"/>
          <w:sz w:val="21"/>
          <w:szCs w:val="21"/>
        </w:rPr>
        <w:t>项，具体明细如下：</w:t>
      </w:r>
    </w:p>
    <w:tbl>
      <w:tblPr>
        <w:tblW w:w="10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
        <w:gridCol w:w="2409"/>
        <w:gridCol w:w="1134"/>
        <w:gridCol w:w="851"/>
        <w:gridCol w:w="2978"/>
        <w:gridCol w:w="1276"/>
        <w:gridCol w:w="1504"/>
      </w:tblGrid>
      <w:tr w:rsidR="00113A51" w14:paraId="4C8656F3" w14:textId="77777777" w:rsidTr="00C707CF">
        <w:trPr>
          <w:cantSplit/>
          <w:jc w:val="center"/>
        </w:trPr>
        <w:tc>
          <w:tcPr>
            <w:tcW w:w="420" w:type="dxa"/>
            <w:shd w:val="clear" w:color="auto" w:fill="D0CECE"/>
            <w:tcMar>
              <w:top w:w="10" w:type="dxa"/>
              <w:left w:w="10" w:type="dxa"/>
              <w:bottom w:w="10" w:type="dxa"/>
              <w:right w:w="10" w:type="dxa"/>
            </w:tcMar>
            <w:vAlign w:val="center"/>
          </w:tcPr>
          <w:p w14:paraId="5A00A0ED"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序号</w:t>
            </w:r>
          </w:p>
        </w:tc>
        <w:tc>
          <w:tcPr>
            <w:tcW w:w="2409" w:type="dxa"/>
            <w:shd w:val="clear" w:color="auto" w:fill="D0CECE"/>
            <w:tcMar>
              <w:top w:w="10" w:type="dxa"/>
              <w:left w:w="10" w:type="dxa"/>
              <w:bottom w:w="10" w:type="dxa"/>
              <w:right w:w="10" w:type="dxa"/>
            </w:tcMar>
            <w:vAlign w:val="center"/>
          </w:tcPr>
          <w:p w14:paraId="42A96973"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名称</w:t>
            </w:r>
          </w:p>
        </w:tc>
        <w:tc>
          <w:tcPr>
            <w:tcW w:w="1134" w:type="dxa"/>
            <w:shd w:val="clear" w:color="auto" w:fill="D0CECE"/>
            <w:tcMar>
              <w:top w:w="10" w:type="dxa"/>
              <w:left w:w="10" w:type="dxa"/>
              <w:bottom w:w="10" w:type="dxa"/>
              <w:right w:w="10" w:type="dxa"/>
            </w:tcMar>
            <w:vAlign w:val="center"/>
          </w:tcPr>
          <w:p w14:paraId="05B4D485"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注册证编号</w:t>
            </w:r>
          </w:p>
        </w:tc>
        <w:tc>
          <w:tcPr>
            <w:tcW w:w="851" w:type="dxa"/>
            <w:shd w:val="clear" w:color="auto" w:fill="D0CECE"/>
            <w:tcMar>
              <w:top w:w="10" w:type="dxa"/>
              <w:left w:w="10" w:type="dxa"/>
              <w:bottom w:w="10" w:type="dxa"/>
              <w:right w:w="10" w:type="dxa"/>
            </w:tcMar>
            <w:vAlign w:val="center"/>
          </w:tcPr>
          <w:p w14:paraId="62767E13"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注册分类</w:t>
            </w:r>
          </w:p>
        </w:tc>
        <w:tc>
          <w:tcPr>
            <w:tcW w:w="2978" w:type="dxa"/>
            <w:shd w:val="clear" w:color="auto" w:fill="D0CECE"/>
            <w:tcMar>
              <w:top w:w="10" w:type="dxa"/>
              <w:left w:w="10" w:type="dxa"/>
              <w:bottom w:w="10" w:type="dxa"/>
              <w:right w:w="10" w:type="dxa"/>
            </w:tcMar>
            <w:vAlign w:val="center"/>
          </w:tcPr>
          <w:p w14:paraId="613510D2"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临床用途</w:t>
            </w:r>
          </w:p>
        </w:tc>
        <w:tc>
          <w:tcPr>
            <w:tcW w:w="1276" w:type="dxa"/>
            <w:shd w:val="clear" w:color="auto" w:fill="D0CECE"/>
            <w:tcMar>
              <w:top w:w="10" w:type="dxa"/>
              <w:left w:w="10" w:type="dxa"/>
              <w:bottom w:w="10" w:type="dxa"/>
              <w:right w:w="10" w:type="dxa"/>
            </w:tcMar>
            <w:vAlign w:val="center"/>
          </w:tcPr>
          <w:p w14:paraId="0CDAFEFE"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注册证有效期</w:t>
            </w:r>
          </w:p>
        </w:tc>
        <w:tc>
          <w:tcPr>
            <w:tcW w:w="1504" w:type="dxa"/>
            <w:shd w:val="clear" w:color="auto" w:fill="D0CECE"/>
            <w:tcMar>
              <w:top w:w="10" w:type="dxa"/>
              <w:left w:w="10" w:type="dxa"/>
              <w:bottom w:w="10" w:type="dxa"/>
              <w:right w:w="10" w:type="dxa"/>
            </w:tcMar>
            <w:vAlign w:val="center"/>
          </w:tcPr>
          <w:p w14:paraId="056F489A" w14:textId="77777777" w:rsidR="00113A51" w:rsidRDefault="00766EC7">
            <w:pPr>
              <w:pStyle w:val="a9"/>
              <w:spacing w:before="40" w:beforeAutospacing="0" w:after="40" w:afterAutospacing="0"/>
              <w:jc w:val="center"/>
              <w:rPr>
                <w:rFonts w:ascii="等线" w:eastAsia="等线" w:hAnsi="等线"/>
                <w:sz w:val="21"/>
                <w:szCs w:val="21"/>
              </w:rPr>
            </w:pPr>
            <w:r>
              <w:rPr>
                <w:rStyle w:val="aa"/>
                <w:rFonts w:ascii="Times New Roman" w:eastAsia="等线" w:hAnsi="Times New Roman" w:cs="Times New Roman"/>
                <w:sz w:val="18"/>
                <w:szCs w:val="18"/>
              </w:rPr>
              <w:t>2025</w:t>
            </w:r>
            <w:r>
              <w:rPr>
                <w:rStyle w:val="aa"/>
                <w:rFonts w:hint="eastAsia"/>
                <w:sz w:val="18"/>
                <w:szCs w:val="18"/>
              </w:rPr>
              <w:t>年变化情况</w:t>
            </w:r>
          </w:p>
        </w:tc>
      </w:tr>
      <w:tr w:rsidR="00113A51" w14:paraId="2D9CD219" w14:textId="77777777" w:rsidTr="00C707CF">
        <w:trPr>
          <w:cantSplit/>
          <w:jc w:val="center"/>
        </w:trPr>
        <w:tc>
          <w:tcPr>
            <w:tcW w:w="420" w:type="dxa"/>
            <w:tcMar>
              <w:top w:w="10" w:type="dxa"/>
              <w:left w:w="10" w:type="dxa"/>
              <w:bottom w:w="10" w:type="dxa"/>
              <w:right w:w="10" w:type="dxa"/>
            </w:tcMar>
            <w:vAlign w:val="center"/>
          </w:tcPr>
          <w:p w14:paraId="4354868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w:t>
            </w:r>
          </w:p>
        </w:tc>
        <w:tc>
          <w:tcPr>
            <w:tcW w:w="2409" w:type="dxa"/>
            <w:tcMar>
              <w:top w:w="10" w:type="dxa"/>
              <w:left w:w="10" w:type="dxa"/>
              <w:bottom w:w="10" w:type="dxa"/>
              <w:right w:w="10" w:type="dxa"/>
            </w:tcMar>
            <w:vAlign w:val="center"/>
          </w:tcPr>
          <w:p w14:paraId="7F4497AD"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干式生化分析仪</w:t>
            </w:r>
          </w:p>
          <w:p w14:paraId="1AF1D6E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CardioChek PA Analyzer</w:t>
            </w:r>
          </w:p>
        </w:tc>
        <w:tc>
          <w:tcPr>
            <w:tcW w:w="1134" w:type="dxa"/>
            <w:tcMar>
              <w:top w:w="10" w:type="dxa"/>
              <w:left w:w="10" w:type="dxa"/>
              <w:bottom w:w="10" w:type="dxa"/>
              <w:right w:w="10" w:type="dxa"/>
            </w:tcMar>
            <w:vAlign w:val="center"/>
          </w:tcPr>
          <w:p w14:paraId="01842682"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20162221859</w:t>
            </w:r>
          </w:p>
        </w:tc>
        <w:tc>
          <w:tcPr>
            <w:tcW w:w="851" w:type="dxa"/>
            <w:tcMar>
              <w:top w:w="10" w:type="dxa"/>
              <w:left w:w="10" w:type="dxa"/>
              <w:bottom w:w="10" w:type="dxa"/>
              <w:right w:w="10" w:type="dxa"/>
            </w:tcMar>
            <w:vAlign w:val="center"/>
          </w:tcPr>
          <w:p w14:paraId="6541311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0CD981CD"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该产品利用反射式测光法，与配套的检测条一同使用，可对人全血样本中的相应血液成分进行检测。</w:t>
            </w:r>
          </w:p>
        </w:tc>
        <w:tc>
          <w:tcPr>
            <w:tcW w:w="1276" w:type="dxa"/>
            <w:tcMar>
              <w:top w:w="10" w:type="dxa"/>
              <w:left w:w="10" w:type="dxa"/>
              <w:bottom w:w="10" w:type="dxa"/>
              <w:right w:w="10" w:type="dxa"/>
            </w:tcMar>
            <w:vAlign w:val="center"/>
          </w:tcPr>
          <w:p w14:paraId="50F9739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2030.12.24</w:t>
            </w:r>
          </w:p>
        </w:tc>
        <w:tc>
          <w:tcPr>
            <w:tcW w:w="1504" w:type="dxa"/>
            <w:tcMar>
              <w:top w:w="10" w:type="dxa"/>
              <w:left w:w="10" w:type="dxa"/>
              <w:bottom w:w="10" w:type="dxa"/>
              <w:right w:w="10" w:type="dxa"/>
            </w:tcMar>
            <w:vAlign w:val="center"/>
          </w:tcPr>
          <w:p w14:paraId="0FCB3EF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2025.7.25</w:t>
            </w:r>
            <w:r>
              <w:rPr>
                <w:rFonts w:hint="eastAsia"/>
                <w:sz w:val="18"/>
                <w:szCs w:val="18"/>
              </w:rPr>
              <w:t>已延续</w:t>
            </w:r>
          </w:p>
        </w:tc>
      </w:tr>
      <w:tr w:rsidR="00113A51" w14:paraId="7DFC23EF" w14:textId="77777777" w:rsidTr="00C707CF">
        <w:trPr>
          <w:cantSplit/>
          <w:jc w:val="center"/>
        </w:trPr>
        <w:tc>
          <w:tcPr>
            <w:tcW w:w="420" w:type="dxa"/>
            <w:tcMar>
              <w:top w:w="10" w:type="dxa"/>
              <w:left w:w="10" w:type="dxa"/>
              <w:bottom w:w="10" w:type="dxa"/>
              <w:right w:w="10" w:type="dxa"/>
            </w:tcMar>
            <w:vAlign w:val="center"/>
          </w:tcPr>
          <w:p w14:paraId="1E2CF3A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w:t>
            </w:r>
          </w:p>
        </w:tc>
        <w:tc>
          <w:tcPr>
            <w:tcW w:w="2409" w:type="dxa"/>
            <w:tcMar>
              <w:top w:w="10" w:type="dxa"/>
              <w:left w:w="10" w:type="dxa"/>
              <w:bottom w:w="10" w:type="dxa"/>
              <w:right w:w="10" w:type="dxa"/>
            </w:tcMar>
            <w:vAlign w:val="center"/>
          </w:tcPr>
          <w:p w14:paraId="2C063B44"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血糖试纸（葡萄糖氧化酶法）</w:t>
            </w:r>
          </w:p>
          <w:p w14:paraId="1A807A8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Glucose Test Strips</w:t>
            </w:r>
          </w:p>
        </w:tc>
        <w:tc>
          <w:tcPr>
            <w:tcW w:w="1134" w:type="dxa"/>
            <w:tcMar>
              <w:top w:w="10" w:type="dxa"/>
              <w:left w:w="10" w:type="dxa"/>
              <w:bottom w:w="10" w:type="dxa"/>
              <w:right w:w="10" w:type="dxa"/>
            </w:tcMar>
            <w:vAlign w:val="center"/>
          </w:tcPr>
          <w:p w14:paraId="5E01A909"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20172400498</w:t>
            </w:r>
          </w:p>
        </w:tc>
        <w:tc>
          <w:tcPr>
            <w:tcW w:w="851" w:type="dxa"/>
            <w:tcMar>
              <w:top w:w="10" w:type="dxa"/>
              <w:left w:w="10" w:type="dxa"/>
              <w:bottom w:w="10" w:type="dxa"/>
              <w:right w:w="10" w:type="dxa"/>
            </w:tcMar>
            <w:vAlign w:val="center"/>
          </w:tcPr>
          <w:p w14:paraId="59DA072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2FF2919C"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用于体外定量检测新鲜毛细血管全血和静脉全血中的葡萄糖浓度。</w:t>
            </w:r>
          </w:p>
        </w:tc>
        <w:tc>
          <w:tcPr>
            <w:tcW w:w="1276" w:type="dxa"/>
            <w:tcMar>
              <w:top w:w="10" w:type="dxa"/>
              <w:left w:w="10" w:type="dxa"/>
              <w:bottom w:w="10" w:type="dxa"/>
              <w:right w:w="10" w:type="dxa"/>
            </w:tcMar>
            <w:vAlign w:val="center"/>
          </w:tcPr>
          <w:p w14:paraId="2F3946A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2027.02.26</w:t>
            </w:r>
          </w:p>
        </w:tc>
        <w:tc>
          <w:tcPr>
            <w:tcW w:w="1504" w:type="dxa"/>
            <w:tcMar>
              <w:top w:w="10" w:type="dxa"/>
              <w:left w:w="10" w:type="dxa"/>
              <w:bottom w:w="10" w:type="dxa"/>
              <w:right w:w="10" w:type="dxa"/>
            </w:tcMar>
            <w:vAlign w:val="center"/>
          </w:tcPr>
          <w:p w14:paraId="626C602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163FCB00" w14:textId="77777777" w:rsidTr="00C707CF">
        <w:trPr>
          <w:cantSplit/>
          <w:jc w:val="center"/>
        </w:trPr>
        <w:tc>
          <w:tcPr>
            <w:tcW w:w="420" w:type="dxa"/>
            <w:tcMar>
              <w:top w:w="10" w:type="dxa"/>
              <w:left w:w="10" w:type="dxa"/>
              <w:bottom w:w="10" w:type="dxa"/>
              <w:right w:w="10" w:type="dxa"/>
            </w:tcMar>
            <w:vAlign w:val="center"/>
          </w:tcPr>
          <w:p w14:paraId="7006880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3</w:t>
            </w:r>
          </w:p>
        </w:tc>
        <w:tc>
          <w:tcPr>
            <w:tcW w:w="2409" w:type="dxa"/>
            <w:tcMar>
              <w:top w:w="10" w:type="dxa"/>
              <w:left w:w="10" w:type="dxa"/>
              <w:bottom w:w="10" w:type="dxa"/>
              <w:right w:w="10" w:type="dxa"/>
            </w:tcMar>
            <w:vAlign w:val="center"/>
          </w:tcPr>
          <w:p w14:paraId="07600101"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酮体检测条</w:t>
            </w:r>
            <w:r>
              <w:rPr>
                <w:rFonts w:ascii="Times New Roman" w:eastAsia="等线" w:hAnsi="Times New Roman" w:cs="Times New Roman"/>
                <w:sz w:val="18"/>
                <w:szCs w:val="18"/>
              </w:rPr>
              <w:t>(</w:t>
            </w:r>
            <w:r>
              <w:rPr>
                <w:rFonts w:hint="eastAsia"/>
                <w:sz w:val="18"/>
                <w:szCs w:val="18"/>
              </w:rPr>
              <w:t>干化学法</w:t>
            </w:r>
            <w:r>
              <w:rPr>
                <w:rFonts w:ascii="Times New Roman" w:eastAsia="等线" w:hAnsi="Times New Roman" w:cs="Times New Roman"/>
                <w:sz w:val="18"/>
                <w:szCs w:val="18"/>
              </w:rPr>
              <w:t>)</w:t>
            </w:r>
          </w:p>
          <w:p w14:paraId="20C4DA9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Ketone Test Strips</w:t>
            </w:r>
          </w:p>
        </w:tc>
        <w:tc>
          <w:tcPr>
            <w:tcW w:w="1134" w:type="dxa"/>
            <w:tcMar>
              <w:top w:w="10" w:type="dxa"/>
              <w:left w:w="10" w:type="dxa"/>
              <w:bottom w:w="10" w:type="dxa"/>
              <w:right w:w="10" w:type="dxa"/>
            </w:tcMar>
            <w:vAlign w:val="center"/>
          </w:tcPr>
          <w:p w14:paraId="19864022"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20172400522</w:t>
            </w:r>
          </w:p>
        </w:tc>
        <w:tc>
          <w:tcPr>
            <w:tcW w:w="851" w:type="dxa"/>
            <w:tcMar>
              <w:top w:w="10" w:type="dxa"/>
              <w:left w:w="10" w:type="dxa"/>
              <w:bottom w:w="10" w:type="dxa"/>
              <w:right w:w="10" w:type="dxa"/>
            </w:tcMar>
            <w:vAlign w:val="center"/>
          </w:tcPr>
          <w:p w14:paraId="6A613F9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461BB4D6"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该产品用于体外定量检测指尖全血中的酮体（</w:t>
            </w:r>
            <w:r>
              <w:rPr>
                <w:rFonts w:ascii="Times New Roman" w:eastAsia="等线" w:hAnsi="Times New Roman" w:cs="Times New Roman"/>
                <w:sz w:val="18"/>
                <w:szCs w:val="18"/>
              </w:rPr>
              <w:t>β-</w:t>
            </w:r>
            <w:r>
              <w:rPr>
                <w:rFonts w:hint="eastAsia"/>
                <w:sz w:val="18"/>
                <w:szCs w:val="18"/>
              </w:rPr>
              <w:t>羟基丁酸）的浓度。</w:t>
            </w:r>
          </w:p>
        </w:tc>
        <w:tc>
          <w:tcPr>
            <w:tcW w:w="1276" w:type="dxa"/>
            <w:tcMar>
              <w:top w:w="10" w:type="dxa"/>
              <w:left w:w="10" w:type="dxa"/>
              <w:bottom w:w="10" w:type="dxa"/>
              <w:right w:w="10" w:type="dxa"/>
            </w:tcMar>
            <w:vAlign w:val="center"/>
          </w:tcPr>
          <w:p w14:paraId="250EDCAC"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2027.02.26</w:t>
            </w:r>
          </w:p>
        </w:tc>
        <w:tc>
          <w:tcPr>
            <w:tcW w:w="1504" w:type="dxa"/>
            <w:tcMar>
              <w:top w:w="10" w:type="dxa"/>
              <w:left w:w="10" w:type="dxa"/>
              <w:bottom w:w="10" w:type="dxa"/>
              <w:right w:w="10" w:type="dxa"/>
            </w:tcMar>
            <w:vAlign w:val="center"/>
          </w:tcPr>
          <w:p w14:paraId="6021670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45F0F675" w14:textId="77777777" w:rsidTr="00C707CF">
        <w:trPr>
          <w:cantSplit/>
          <w:jc w:val="center"/>
        </w:trPr>
        <w:tc>
          <w:tcPr>
            <w:tcW w:w="420" w:type="dxa"/>
            <w:tcMar>
              <w:top w:w="10" w:type="dxa"/>
              <w:left w:w="10" w:type="dxa"/>
              <w:bottom w:w="10" w:type="dxa"/>
              <w:right w:w="10" w:type="dxa"/>
            </w:tcMar>
            <w:vAlign w:val="center"/>
          </w:tcPr>
          <w:p w14:paraId="7E132F1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4</w:t>
            </w:r>
          </w:p>
        </w:tc>
        <w:tc>
          <w:tcPr>
            <w:tcW w:w="2409" w:type="dxa"/>
            <w:tcMar>
              <w:top w:w="10" w:type="dxa"/>
              <w:left w:w="10" w:type="dxa"/>
              <w:bottom w:w="10" w:type="dxa"/>
              <w:right w:w="10" w:type="dxa"/>
            </w:tcMar>
            <w:vAlign w:val="center"/>
          </w:tcPr>
          <w:p w14:paraId="66CB94D6" w14:textId="77777777" w:rsidR="00113A51" w:rsidRDefault="00766EC7">
            <w:pPr>
              <w:pStyle w:val="a9"/>
              <w:spacing w:before="40" w:beforeAutospacing="0" w:after="40" w:afterAutospacing="0"/>
              <w:ind w:firstLine="180"/>
              <w:jc w:val="both"/>
              <w:rPr>
                <w:rFonts w:ascii="等线" w:eastAsia="等线" w:hAnsi="等线"/>
                <w:sz w:val="21"/>
                <w:szCs w:val="21"/>
              </w:rPr>
            </w:pPr>
            <w:r>
              <w:rPr>
                <w:rFonts w:hint="eastAsia"/>
                <w:sz w:val="18"/>
                <w:szCs w:val="18"/>
              </w:rPr>
              <w:t>甘油三酯检测条（干化学法）</w:t>
            </w:r>
            <w:r>
              <w:rPr>
                <w:rFonts w:ascii="Times New Roman" w:eastAsia="等线" w:hAnsi="Times New Roman" w:cs="Times New Roman"/>
                <w:sz w:val="18"/>
                <w:szCs w:val="18"/>
              </w:rPr>
              <w:t>PTS PANELS Triglycerides Test Strips</w:t>
            </w:r>
          </w:p>
          <w:p w14:paraId="1E44485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c>
          <w:tcPr>
            <w:tcW w:w="1134" w:type="dxa"/>
            <w:tcMar>
              <w:top w:w="10" w:type="dxa"/>
              <w:left w:w="10" w:type="dxa"/>
              <w:bottom w:w="10" w:type="dxa"/>
              <w:right w:w="10" w:type="dxa"/>
            </w:tcMar>
            <w:vAlign w:val="center"/>
          </w:tcPr>
          <w:p w14:paraId="56F10483"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20172400518</w:t>
            </w:r>
          </w:p>
        </w:tc>
        <w:tc>
          <w:tcPr>
            <w:tcW w:w="851" w:type="dxa"/>
            <w:tcMar>
              <w:top w:w="10" w:type="dxa"/>
              <w:left w:w="10" w:type="dxa"/>
              <w:bottom w:w="10" w:type="dxa"/>
              <w:right w:w="10" w:type="dxa"/>
            </w:tcMar>
            <w:vAlign w:val="center"/>
          </w:tcPr>
          <w:p w14:paraId="5D2CF57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0C36FD38"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该产品用于体外定量检测指尖全血中的甘油三酯浓度。</w:t>
            </w:r>
          </w:p>
        </w:tc>
        <w:tc>
          <w:tcPr>
            <w:tcW w:w="1276" w:type="dxa"/>
            <w:tcMar>
              <w:top w:w="10" w:type="dxa"/>
              <w:left w:w="10" w:type="dxa"/>
              <w:bottom w:w="10" w:type="dxa"/>
              <w:right w:w="10" w:type="dxa"/>
            </w:tcMar>
            <w:vAlign w:val="center"/>
          </w:tcPr>
          <w:p w14:paraId="0CBC19E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2026.09.08</w:t>
            </w:r>
          </w:p>
        </w:tc>
        <w:tc>
          <w:tcPr>
            <w:tcW w:w="1504" w:type="dxa"/>
            <w:tcMar>
              <w:top w:w="10" w:type="dxa"/>
              <w:left w:w="10" w:type="dxa"/>
              <w:bottom w:w="10" w:type="dxa"/>
              <w:right w:w="10" w:type="dxa"/>
            </w:tcMar>
            <w:vAlign w:val="center"/>
          </w:tcPr>
          <w:p w14:paraId="24A9A7C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083B0799" w14:textId="77777777" w:rsidTr="00C707CF">
        <w:trPr>
          <w:cantSplit/>
          <w:jc w:val="center"/>
        </w:trPr>
        <w:tc>
          <w:tcPr>
            <w:tcW w:w="420" w:type="dxa"/>
            <w:tcMar>
              <w:top w:w="10" w:type="dxa"/>
              <w:left w:w="10" w:type="dxa"/>
              <w:bottom w:w="10" w:type="dxa"/>
              <w:right w:w="10" w:type="dxa"/>
            </w:tcMar>
            <w:vAlign w:val="center"/>
          </w:tcPr>
          <w:p w14:paraId="750BA8B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5</w:t>
            </w:r>
          </w:p>
        </w:tc>
        <w:tc>
          <w:tcPr>
            <w:tcW w:w="2409" w:type="dxa"/>
            <w:tcMar>
              <w:top w:w="10" w:type="dxa"/>
              <w:left w:w="10" w:type="dxa"/>
              <w:bottom w:w="10" w:type="dxa"/>
              <w:right w:w="10" w:type="dxa"/>
            </w:tcMar>
            <w:vAlign w:val="center"/>
          </w:tcPr>
          <w:p w14:paraId="2E7D265B"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高密度脂蛋白胆固醇检测条（干化学法）</w:t>
            </w:r>
          </w:p>
          <w:p w14:paraId="4F4B08F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HDL Cholesterol Test Strips</w:t>
            </w:r>
          </w:p>
        </w:tc>
        <w:tc>
          <w:tcPr>
            <w:tcW w:w="1134" w:type="dxa"/>
            <w:tcMar>
              <w:top w:w="10" w:type="dxa"/>
              <w:left w:w="10" w:type="dxa"/>
              <w:bottom w:w="10" w:type="dxa"/>
              <w:right w:w="10" w:type="dxa"/>
            </w:tcMar>
            <w:vAlign w:val="center"/>
          </w:tcPr>
          <w:p w14:paraId="3E7722CC"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20172400508</w:t>
            </w:r>
          </w:p>
        </w:tc>
        <w:tc>
          <w:tcPr>
            <w:tcW w:w="851" w:type="dxa"/>
            <w:tcMar>
              <w:top w:w="10" w:type="dxa"/>
              <w:left w:w="10" w:type="dxa"/>
              <w:bottom w:w="10" w:type="dxa"/>
              <w:right w:w="10" w:type="dxa"/>
            </w:tcMar>
            <w:vAlign w:val="center"/>
          </w:tcPr>
          <w:p w14:paraId="2DF2E8C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7361165A"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该产品用于体外定量检测全血中的高密度脂蛋白（</w:t>
            </w:r>
            <w:r>
              <w:rPr>
                <w:rFonts w:ascii="Times New Roman" w:eastAsia="等线" w:hAnsi="Times New Roman" w:cs="Times New Roman"/>
                <w:sz w:val="18"/>
                <w:szCs w:val="18"/>
              </w:rPr>
              <w:t>HDL</w:t>
            </w:r>
            <w:r>
              <w:rPr>
                <w:rFonts w:hint="eastAsia"/>
                <w:sz w:val="18"/>
                <w:szCs w:val="18"/>
              </w:rPr>
              <w:t>）胆固醇的浓度。</w:t>
            </w:r>
          </w:p>
        </w:tc>
        <w:tc>
          <w:tcPr>
            <w:tcW w:w="1276" w:type="dxa"/>
            <w:tcMar>
              <w:top w:w="10" w:type="dxa"/>
              <w:left w:w="10" w:type="dxa"/>
              <w:bottom w:w="10" w:type="dxa"/>
              <w:right w:w="10" w:type="dxa"/>
            </w:tcMar>
            <w:vAlign w:val="center"/>
          </w:tcPr>
          <w:p w14:paraId="25668A9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2027.02.26</w:t>
            </w:r>
          </w:p>
        </w:tc>
        <w:tc>
          <w:tcPr>
            <w:tcW w:w="1504" w:type="dxa"/>
            <w:tcMar>
              <w:top w:w="10" w:type="dxa"/>
              <w:left w:w="10" w:type="dxa"/>
              <w:bottom w:w="10" w:type="dxa"/>
              <w:right w:w="10" w:type="dxa"/>
            </w:tcMar>
            <w:vAlign w:val="center"/>
          </w:tcPr>
          <w:p w14:paraId="7E4589A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70423F81" w14:textId="77777777" w:rsidTr="00C707CF">
        <w:trPr>
          <w:cantSplit/>
          <w:jc w:val="center"/>
        </w:trPr>
        <w:tc>
          <w:tcPr>
            <w:tcW w:w="420" w:type="dxa"/>
            <w:tcMar>
              <w:top w:w="10" w:type="dxa"/>
              <w:left w:w="10" w:type="dxa"/>
              <w:bottom w:w="10" w:type="dxa"/>
              <w:right w:w="10" w:type="dxa"/>
            </w:tcMar>
            <w:vAlign w:val="center"/>
          </w:tcPr>
          <w:p w14:paraId="3FF4B1C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6</w:t>
            </w:r>
          </w:p>
        </w:tc>
        <w:tc>
          <w:tcPr>
            <w:tcW w:w="2409" w:type="dxa"/>
            <w:tcMar>
              <w:top w:w="10" w:type="dxa"/>
              <w:left w:w="10" w:type="dxa"/>
              <w:bottom w:w="10" w:type="dxa"/>
              <w:right w:w="10" w:type="dxa"/>
            </w:tcMar>
            <w:vAlign w:val="center"/>
          </w:tcPr>
          <w:p w14:paraId="291F89F2"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脂类检测条（干化学法）</w:t>
            </w:r>
          </w:p>
          <w:p w14:paraId="579B7DC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PTS PANELS Lipid Panel Test Strips</w:t>
            </w:r>
          </w:p>
        </w:tc>
        <w:tc>
          <w:tcPr>
            <w:tcW w:w="1134" w:type="dxa"/>
            <w:tcMar>
              <w:top w:w="10" w:type="dxa"/>
              <w:left w:w="10" w:type="dxa"/>
              <w:bottom w:w="10" w:type="dxa"/>
              <w:right w:w="10" w:type="dxa"/>
            </w:tcMar>
            <w:vAlign w:val="center"/>
          </w:tcPr>
          <w:p w14:paraId="0DFCFE3F"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20172400298</w:t>
            </w:r>
          </w:p>
        </w:tc>
        <w:tc>
          <w:tcPr>
            <w:tcW w:w="851" w:type="dxa"/>
            <w:tcMar>
              <w:top w:w="10" w:type="dxa"/>
              <w:left w:w="10" w:type="dxa"/>
              <w:bottom w:w="10" w:type="dxa"/>
              <w:right w:w="10" w:type="dxa"/>
            </w:tcMar>
            <w:vAlign w:val="center"/>
          </w:tcPr>
          <w:p w14:paraId="136488B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6A3C49FC"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该产品用于体外定量检测全血中的胆固醇、高密度脂蛋白胆固醇（</w:t>
            </w:r>
            <w:r>
              <w:rPr>
                <w:rFonts w:ascii="Times New Roman" w:eastAsia="等线" w:hAnsi="Times New Roman" w:cs="Times New Roman"/>
                <w:sz w:val="18"/>
                <w:szCs w:val="18"/>
              </w:rPr>
              <w:t>HDL</w:t>
            </w:r>
            <w:r>
              <w:rPr>
                <w:rFonts w:hint="eastAsia"/>
                <w:sz w:val="18"/>
                <w:szCs w:val="18"/>
              </w:rPr>
              <w:t>胆固醇）和甘油三酯的浓度。</w:t>
            </w:r>
          </w:p>
        </w:tc>
        <w:tc>
          <w:tcPr>
            <w:tcW w:w="1276" w:type="dxa"/>
            <w:tcMar>
              <w:top w:w="10" w:type="dxa"/>
              <w:left w:w="10" w:type="dxa"/>
              <w:bottom w:w="10" w:type="dxa"/>
              <w:right w:w="10" w:type="dxa"/>
            </w:tcMar>
            <w:vAlign w:val="center"/>
          </w:tcPr>
          <w:p w14:paraId="1C1AB3D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2026.09.26</w:t>
            </w:r>
          </w:p>
        </w:tc>
        <w:tc>
          <w:tcPr>
            <w:tcW w:w="1504" w:type="dxa"/>
            <w:tcMar>
              <w:top w:w="10" w:type="dxa"/>
              <w:left w:w="10" w:type="dxa"/>
              <w:bottom w:w="10" w:type="dxa"/>
              <w:right w:w="10" w:type="dxa"/>
            </w:tcMar>
            <w:vAlign w:val="center"/>
          </w:tcPr>
          <w:p w14:paraId="0986927C"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6428A89D" w14:textId="77777777" w:rsidTr="00C707CF">
        <w:trPr>
          <w:cantSplit/>
          <w:jc w:val="center"/>
        </w:trPr>
        <w:tc>
          <w:tcPr>
            <w:tcW w:w="420" w:type="dxa"/>
            <w:tcMar>
              <w:top w:w="10" w:type="dxa"/>
              <w:left w:w="10" w:type="dxa"/>
              <w:bottom w:w="10" w:type="dxa"/>
              <w:right w:w="10" w:type="dxa"/>
            </w:tcMar>
            <w:vAlign w:val="center"/>
          </w:tcPr>
          <w:p w14:paraId="6177B15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7</w:t>
            </w:r>
          </w:p>
        </w:tc>
        <w:tc>
          <w:tcPr>
            <w:tcW w:w="2409" w:type="dxa"/>
            <w:tcMar>
              <w:top w:w="10" w:type="dxa"/>
              <w:left w:w="10" w:type="dxa"/>
              <w:bottom w:w="10" w:type="dxa"/>
              <w:right w:w="10" w:type="dxa"/>
            </w:tcMar>
            <w:vAlign w:val="center"/>
          </w:tcPr>
          <w:p w14:paraId="7D452BA7"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糖化血红蛋白仪</w:t>
            </w:r>
          </w:p>
          <w:p w14:paraId="11CDA1A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A1CNow+ Monitor</w:t>
            </w:r>
          </w:p>
        </w:tc>
        <w:tc>
          <w:tcPr>
            <w:tcW w:w="1134" w:type="dxa"/>
            <w:tcMar>
              <w:top w:w="10" w:type="dxa"/>
              <w:left w:w="10" w:type="dxa"/>
              <w:bottom w:w="10" w:type="dxa"/>
              <w:right w:w="10" w:type="dxa"/>
            </w:tcMar>
            <w:vAlign w:val="center"/>
          </w:tcPr>
          <w:p w14:paraId="44CBE36A"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20172222359</w:t>
            </w:r>
          </w:p>
        </w:tc>
        <w:tc>
          <w:tcPr>
            <w:tcW w:w="851" w:type="dxa"/>
            <w:tcMar>
              <w:top w:w="10" w:type="dxa"/>
              <w:left w:w="10" w:type="dxa"/>
              <w:bottom w:w="10" w:type="dxa"/>
              <w:right w:w="10" w:type="dxa"/>
            </w:tcMar>
            <w:vAlign w:val="center"/>
          </w:tcPr>
          <w:p w14:paraId="654BBE4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465B7DEC"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该产品基于免疫测试法和化学技术，与配套的糖化血红蛋白测试卡（含糖化血红蛋白溶血剂）共同使用，在临床上对来源于人体的全血样本中的糖化血红蛋白进行定量检测。可供医疗机构监测糖尿病患者血糖控制情况。可供糖尿病患者监测血糖控制情况。本产品可供非专业用户自测使用。</w:t>
            </w:r>
          </w:p>
        </w:tc>
        <w:tc>
          <w:tcPr>
            <w:tcW w:w="1276" w:type="dxa"/>
            <w:tcMar>
              <w:top w:w="10" w:type="dxa"/>
              <w:left w:w="10" w:type="dxa"/>
              <w:bottom w:w="10" w:type="dxa"/>
              <w:right w:w="10" w:type="dxa"/>
            </w:tcMar>
            <w:vAlign w:val="center"/>
          </w:tcPr>
          <w:p w14:paraId="707B8947"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2027.09.29</w:t>
            </w:r>
          </w:p>
        </w:tc>
        <w:tc>
          <w:tcPr>
            <w:tcW w:w="1504" w:type="dxa"/>
            <w:tcMar>
              <w:top w:w="10" w:type="dxa"/>
              <w:left w:w="10" w:type="dxa"/>
              <w:bottom w:w="10" w:type="dxa"/>
              <w:right w:w="10" w:type="dxa"/>
            </w:tcMar>
            <w:vAlign w:val="center"/>
          </w:tcPr>
          <w:p w14:paraId="5A4AFAD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5EDCE337" w14:textId="77777777" w:rsidTr="00C707CF">
        <w:trPr>
          <w:cantSplit/>
          <w:jc w:val="center"/>
        </w:trPr>
        <w:tc>
          <w:tcPr>
            <w:tcW w:w="420" w:type="dxa"/>
            <w:tcMar>
              <w:top w:w="10" w:type="dxa"/>
              <w:left w:w="10" w:type="dxa"/>
              <w:bottom w:w="10" w:type="dxa"/>
              <w:right w:w="10" w:type="dxa"/>
            </w:tcMar>
            <w:vAlign w:val="center"/>
          </w:tcPr>
          <w:p w14:paraId="2311590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8</w:t>
            </w:r>
          </w:p>
        </w:tc>
        <w:tc>
          <w:tcPr>
            <w:tcW w:w="2409" w:type="dxa"/>
            <w:tcMar>
              <w:top w:w="10" w:type="dxa"/>
              <w:left w:w="10" w:type="dxa"/>
              <w:bottom w:w="10" w:type="dxa"/>
              <w:right w:w="10" w:type="dxa"/>
            </w:tcMar>
            <w:vAlign w:val="center"/>
          </w:tcPr>
          <w:p w14:paraId="0016598B"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糖化血红蛋白溶血剂</w:t>
            </w:r>
          </w:p>
          <w:p w14:paraId="1E35960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A1C Now+ Dilution Kit</w:t>
            </w:r>
          </w:p>
        </w:tc>
        <w:tc>
          <w:tcPr>
            <w:tcW w:w="1134" w:type="dxa"/>
            <w:tcMar>
              <w:top w:w="10" w:type="dxa"/>
              <w:left w:w="10" w:type="dxa"/>
              <w:bottom w:w="10" w:type="dxa"/>
              <w:right w:w="10" w:type="dxa"/>
            </w:tcMar>
            <w:vAlign w:val="center"/>
          </w:tcPr>
          <w:p w14:paraId="069E406B"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国械备</w:t>
            </w:r>
            <w:r>
              <w:rPr>
                <w:rFonts w:ascii="Times New Roman" w:eastAsia="等线" w:hAnsi="Times New Roman" w:cs="Times New Roman"/>
                <w:sz w:val="18"/>
                <w:szCs w:val="18"/>
              </w:rPr>
              <w:t>20160314</w:t>
            </w:r>
          </w:p>
        </w:tc>
        <w:tc>
          <w:tcPr>
            <w:tcW w:w="851" w:type="dxa"/>
            <w:tcMar>
              <w:top w:w="10" w:type="dxa"/>
              <w:left w:w="10" w:type="dxa"/>
              <w:bottom w:w="10" w:type="dxa"/>
              <w:right w:w="10" w:type="dxa"/>
            </w:tcMar>
            <w:vAlign w:val="center"/>
          </w:tcPr>
          <w:p w14:paraId="1C9B49A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w:t>
            </w:r>
            <w:r>
              <w:rPr>
                <w:rFonts w:ascii="微软雅黑" w:eastAsia="微软雅黑" w:hAnsi="微软雅黑" w:hint="eastAsia"/>
                <w:sz w:val="18"/>
                <w:szCs w:val="18"/>
              </w:rPr>
              <w:t>类</w:t>
            </w:r>
          </w:p>
        </w:tc>
        <w:tc>
          <w:tcPr>
            <w:tcW w:w="2978" w:type="dxa"/>
            <w:tcMar>
              <w:top w:w="10" w:type="dxa"/>
              <w:left w:w="10" w:type="dxa"/>
              <w:bottom w:w="10" w:type="dxa"/>
              <w:right w:w="10" w:type="dxa"/>
            </w:tcMar>
            <w:vAlign w:val="center"/>
          </w:tcPr>
          <w:p w14:paraId="11283184"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用于进行糖化血红蛋白检测时的血液样本前处理。</w:t>
            </w:r>
          </w:p>
        </w:tc>
        <w:tc>
          <w:tcPr>
            <w:tcW w:w="1276" w:type="dxa"/>
            <w:tcMar>
              <w:top w:w="10" w:type="dxa"/>
              <w:left w:w="10" w:type="dxa"/>
              <w:bottom w:w="10" w:type="dxa"/>
              <w:right w:w="10" w:type="dxa"/>
            </w:tcMar>
            <w:vAlign w:val="center"/>
          </w:tcPr>
          <w:p w14:paraId="517D182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w:t>
            </w:r>
          </w:p>
        </w:tc>
        <w:tc>
          <w:tcPr>
            <w:tcW w:w="1504" w:type="dxa"/>
            <w:tcMar>
              <w:top w:w="10" w:type="dxa"/>
              <w:left w:w="10" w:type="dxa"/>
              <w:bottom w:w="10" w:type="dxa"/>
              <w:right w:w="10" w:type="dxa"/>
            </w:tcMar>
            <w:vAlign w:val="center"/>
          </w:tcPr>
          <w:p w14:paraId="225D7A86"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进口备案凭证</w:t>
            </w:r>
          </w:p>
        </w:tc>
      </w:tr>
    </w:tbl>
    <w:p w14:paraId="034B334D"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截至</w:t>
      </w:r>
      <w:r>
        <w:rPr>
          <w:rFonts w:ascii="Times New Roman" w:eastAsia="等线" w:hAnsi="Times New Roman" w:cs="Times New Roman"/>
          <w:sz w:val="21"/>
          <w:szCs w:val="21"/>
        </w:rPr>
        <w:t>2025</w:t>
      </w:r>
      <w:r>
        <w:rPr>
          <w:rFonts w:hint="eastAsia"/>
          <w:sz w:val="21"/>
          <w:szCs w:val="21"/>
        </w:rPr>
        <w:t>年</w:t>
      </w:r>
      <w:r>
        <w:rPr>
          <w:rFonts w:ascii="Times New Roman" w:eastAsia="等线" w:hAnsi="Times New Roman" w:cs="Times New Roman"/>
          <w:sz w:val="21"/>
          <w:szCs w:val="21"/>
        </w:rPr>
        <w:t>12</w:t>
      </w:r>
      <w:r>
        <w:rPr>
          <w:rFonts w:hint="eastAsia"/>
          <w:sz w:val="21"/>
          <w:szCs w:val="21"/>
        </w:rPr>
        <w:t>月</w:t>
      </w:r>
      <w:r>
        <w:rPr>
          <w:rFonts w:ascii="Times New Roman" w:eastAsia="等线" w:hAnsi="Times New Roman" w:cs="Times New Roman"/>
          <w:sz w:val="21"/>
          <w:szCs w:val="21"/>
        </w:rPr>
        <w:t>31</w:t>
      </w:r>
      <w:r>
        <w:rPr>
          <w:rFonts w:hint="eastAsia"/>
          <w:sz w:val="21"/>
          <w:szCs w:val="21"/>
        </w:rPr>
        <w:t>日，公司控股子公司</w:t>
      </w:r>
      <w:r>
        <w:rPr>
          <w:rFonts w:ascii="Times New Roman" w:eastAsia="等线" w:hAnsi="Times New Roman" w:cs="Times New Roman"/>
          <w:sz w:val="21"/>
          <w:szCs w:val="21"/>
        </w:rPr>
        <w:t>Trividia Health Inc.</w:t>
      </w:r>
      <w:r>
        <w:rPr>
          <w:rFonts w:hint="eastAsia"/>
          <w:sz w:val="21"/>
          <w:szCs w:val="21"/>
        </w:rPr>
        <w:t>共持有</w:t>
      </w:r>
      <w:r>
        <w:rPr>
          <w:rFonts w:ascii="Times New Roman" w:eastAsia="等线" w:hAnsi="Times New Roman" w:cs="Times New Roman"/>
          <w:sz w:val="21"/>
          <w:szCs w:val="21"/>
        </w:rPr>
        <w:t>5</w:t>
      </w:r>
      <w:r>
        <w:rPr>
          <w:rFonts w:hint="eastAsia"/>
          <w:sz w:val="21"/>
          <w:szCs w:val="21"/>
        </w:rPr>
        <w:t>项有效的美国</w:t>
      </w:r>
      <w:r>
        <w:rPr>
          <w:rFonts w:ascii="Times New Roman" w:eastAsia="等线" w:hAnsi="Times New Roman" w:cs="Times New Roman"/>
          <w:sz w:val="21"/>
          <w:szCs w:val="21"/>
        </w:rPr>
        <w:t>FDA</w:t>
      </w:r>
      <w:r>
        <w:rPr>
          <w:rFonts w:hint="eastAsia"/>
          <w:sz w:val="21"/>
          <w:szCs w:val="21"/>
        </w:rPr>
        <w:t>注册证和</w:t>
      </w:r>
      <w:r>
        <w:rPr>
          <w:rFonts w:ascii="Times New Roman" w:eastAsia="等线" w:hAnsi="Times New Roman" w:cs="Times New Roman"/>
          <w:sz w:val="21"/>
          <w:szCs w:val="21"/>
        </w:rPr>
        <w:t>4</w:t>
      </w:r>
      <w:r>
        <w:rPr>
          <w:rFonts w:hint="eastAsia"/>
          <w:sz w:val="21"/>
          <w:szCs w:val="21"/>
        </w:rPr>
        <w:t>项有效的</w:t>
      </w:r>
      <w:r>
        <w:rPr>
          <w:rFonts w:ascii="Times New Roman" w:eastAsia="等线" w:hAnsi="Times New Roman" w:cs="Times New Roman"/>
          <w:sz w:val="21"/>
          <w:szCs w:val="21"/>
        </w:rPr>
        <w:t>CE</w:t>
      </w:r>
      <w:r>
        <w:rPr>
          <w:rFonts w:hint="eastAsia"/>
          <w:sz w:val="21"/>
          <w:szCs w:val="21"/>
        </w:rPr>
        <w:t>认证证书，具体明细如下：</w:t>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
        <w:gridCol w:w="1278"/>
        <w:gridCol w:w="851"/>
        <w:gridCol w:w="6087"/>
        <w:gridCol w:w="983"/>
        <w:gridCol w:w="912"/>
      </w:tblGrid>
      <w:tr w:rsidR="00113A51" w14:paraId="6B536F3B" w14:textId="77777777" w:rsidTr="00C707CF">
        <w:trPr>
          <w:cantSplit/>
          <w:jc w:val="center"/>
        </w:trPr>
        <w:tc>
          <w:tcPr>
            <w:tcW w:w="418" w:type="dxa"/>
            <w:shd w:val="clear" w:color="auto" w:fill="D0CECE"/>
            <w:tcMar>
              <w:top w:w="10" w:type="dxa"/>
              <w:left w:w="10" w:type="dxa"/>
              <w:bottom w:w="10" w:type="dxa"/>
              <w:right w:w="10" w:type="dxa"/>
            </w:tcMar>
            <w:vAlign w:val="center"/>
          </w:tcPr>
          <w:p w14:paraId="38EAA1A1"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序号</w:t>
            </w:r>
          </w:p>
        </w:tc>
        <w:tc>
          <w:tcPr>
            <w:tcW w:w="1278" w:type="dxa"/>
            <w:shd w:val="clear" w:color="auto" w:fill="D0CECE"/>
            <w:tcMar>
              <w:top w:w="10" w:type="dxa"/>
              <w:left w:w="10" w:type="dxa"/>
              <w:bottom w:w="10" w:type="dxa"/>
              <w:right w:w="10" w:type="dxa"/>
            </w:tcMar>
            <w:vAlign w:val="center"/>
          </w:tcPr>
          <w:p w14:paraId="0892DA59"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名称</w:t>
            </w:r>
          </w:p>
        </w:tc>
        <w:tc>
          <w:tcPr>
            <w:tcW w:w="851" w:type="dxa"/>
            <w:shd w:val="clear" w:color="auto" w:fill="D0CECE"/>
            <w:tcMar>
              <w:top w:w="10" w:type="dxa"/>
              <w:left w:w="10" w:type="dxa"/>
              <w:bottom w:w="10" w:type="dxa"/>
              <w:right w:w="10" w:type="dxa"/>
            </w:tcMar>
            <w:vAlign w:val="center"/>
          </w:tcPr>
          <w:p w14:paraId="5BE00BFD"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w:t>
            </w:r>
          </w:p>
          <w:p w14:paraId="70D8420A"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分类</w:t>
            </w:r>
          </w:p>
        </w:tc>
        <w:tc>
          <w:tcPr>
            <w:tcW w:w="6087" w:type="dxa"/>
            <w:shd w:val="clear" w:color="auto" w:fill="D0CECE"/>
            <w:tcMar>
              <w:top w:w="10" w:type="dxa"/>
              <w:left w:w="10" w:type="dxa"/>
              <w:bottom w:w="10" w:type="dxa"/>
              <w:right w:w="10" w:type="dxa"/>
            </w:tcMar>
            <w:vAlign w:val="center"/>
          </w:tcPr>
          <w:p w14:paraId="4FE373D3"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临床用途</w:t>
            </w:r>
          </w:p>
        </w:tc>
        <w:tc>
          <w:tcPr>
            <w:tcW w:w="983" w:type="dxa"/>
            <w:shd w:val="clear" w:color="auto" w:fill="D0CECE"/>
            <w:tcMar>
              <w:top w:w="10" w:type="dxa"/>
              <w:left w:w="10" w:type="dxa"/>
              <w:bottom w:w="10" w:type="dxa"/>
              <w:right w:w="10" w:type="dxa"/>
            </w:tcMar>
            <w:vAlign w:val="center"/>
          </w:tcPr>
          <w:p w14:paraId="489EF5B0"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注册证</w:t>
            </w:r>
          </w:p>
          <w:p w14:paraId="1220292C"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有效期</w:t>
            </w:r>
          </w:p>
        </w:tc>
        <w:tc>
          <w:tcPr>
            <w:tcW w:w="912" w:type="dxa"/>
            <w:shd w:val="clear" w:color="auto" w:fill="D0CECE"/>
            <w:tcMar>
              <w:top w:w="10" w:type="dxa"/>
              <w:left w:w="10" w:type="dxa"/>
              <w:bottom w:w="10" w:type="dxa"/>
              <w:right w:w="10" w:type="dxa"/>
            </w:tcMar>
            <w:vAlign w:val="center"/>
          </w:tcPr>
          <w:p w14:paraId="5ADEA946"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注册情况</w:t>
            </w:r>
          </w:p>
        </w:tc>
      </w:tr>
      <w:tr w:rsidR="00113A51" w14:paraId="70EC77DC" w14:textId="77777777" w:rsidTr="00C707CF">
        <w:trPr>
          <w:cantSplit/>
          <w:jc w:val="center"/>
        </w:trPr>
        <w:tc>
          <w:tcPr>
            <w:tcW w:w="418" w:type="dxa"/>
            <w:tcMar>
              <w:top w:w="10" w:type="dxa"/>
              <w:left w:w="10" w:type="dxa"/>
              <w:bottom w:w="10" w:type="dxa"/>
              <w:right w:w="10" w:type="dxa"/>
            </w:tcMar>
            <w:vAlign w:val="center"/>
          </w:tcPr>
          <w:p w14:paraId="67BF5F5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w:t>
            </w:r>
          </w:p>
        </w:tc>
        <w:tc>
          <w:tcPr>
            <w:tcW w:w="1278" w:type="dxa"/>
            <w:tcMar>
              <w:top w:w="10" w:type="dxa"/>
              <w:left w:w="10" w:type="dxa"/>
              <w:bottom w:w="10" w:type="dxa"/>
              <w:right w:w="10" w:type="dxa"/>
            </w:tcMar>
            <w:vAlign w:val="center"/>
          </w:tcPr>
          <w:p w14:paraId="485C493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Self Monitoring Blood Glucose System/TRUE METRIX PRO Professional Monitoring Blood Glucose System</w:t>
            </w:r>
          </w:p>
        </w:tc>
        <w:tc>
          <w:tcPr>
            <w:tcW w:w="851" w:type="dxa"/>
            <w:tcMar>
              <w:top w:w="10" w:type="dxa"/>
              <w:left w:w="10" w:type="dxa"/>
              <w:bottom w:w="10" w:type="dxa"/>
              <w:right w:w="10" w:type="dxa"/>
            </w:tcMar>
            <w:vAlign w:val="center"/>
          </w:tcPr>
          <w:p w14:paraId="27F1F15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Class II </w:t>
            </w:r>
          </w:p>
        </w:tc>
        <w:tc>
          <w:tcPr>
            <w:tcW w:w="6087" w:type="dxa"/>
            <w:tcMar>
              <w:top w:w="10" w:type="dxa"/>
              <w:left w:w="10" w:type="dxa"/>
              <w:bottom w:w="10" w:type="dxa"/>
              <w:right w:w="10" w:type="dxa"/>
            </w:tcMar>
            <w:vAlign w:val="center"/>
          </w:tcPr>
          <w:p w14:paraId="6602AF52"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Self Monitoring Blood Glucose System is intended for the quantitative measurement of glucose (sugar) in fresh capillary whole blood samples drawn from the fingertip or forearm. The TRUE METRIX Self Monitoring Blood Glucose System is intended to be used by a single person and not shared. The TRUE METRIX Self Monitoring Blood Glucose System is intended for self-testing outside the body (in vitro diagnostic use) by people with diabetes at home as an aid to monitor the effectiveness of diabetes control. The TRUE METRIX Self Monitoring Blood Glucose System should not be used for the diagnosis or screening of diabetes or for neonatal use. Alternative site testing should be done only during steady-state times (when glucose is not changing rapidly). The TRUE METRIX Test Strips are for use with the TRUE METRIX Self Monitoring Meter to quantitatively measure glucose (sugar) in fresh capillary whole blood samples drawn from the fingertip or forearm. Type of Use: Prescription </w:t>
            </w:r>
            <w:r>
              <w:rPr>
                <w:rFonts w:ascii="Times New Roman" w:eastAsia="等线" w:hAnsi="Times New Roman" w:cs="Times New Roman"/>
                <w:sz w:val="18"/>
                <w:szCs w:val="18"/>
              </w:rPr>
              <w:t>＆</w:t>
            </w:r>
            <w:r>
              <w:rPr>
                <w:rFonts w:ascii="Times New Roman" w:eastAsia="等线" w:hAnsi="Times New Roman" w:cs="Times New Roman"/>
                <w:sz w:val="18"/>
                <w:szCs w:val="18"/>
              </w:rPr>
              <w:t xml:space="preserve"> Over the Counter</w:t>
            </w:r>
            <w:r>
              <w:rPr>
                <w:rFonts w:ascii="等线" w:eastAsia="等线" w:hAnsi="等线" w:hint="eastAsia"/>
                <w:sz w:val="18"/>
                <w:szCs w:val="18"/>
              </w:rPr>
              <w:t>.</w:t>
            </w:r>
          </w:p>
          <w:p w14:paraId="20C21E36"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PRO Professional Monitoring Blood Glucose System is intended for the quantitative measurement of glucose (sugar) in fresh capillary whole blood samples drawn from the fingertip or forearm and venous whole blood. The TRUE METRIX PRO Professional Monitoring Blood Glucose System is intended for multiple-patient use in professional healthcare settings. Testing is performed outside the body (in vitro diagnostic use) as an aid to monitor the effectiveness of diabetes control. The TRUE METRIX PRO Professional Monitoring Blood Glucose System is used only with single-use, auto-disabling lancing devices. The system is not to be used for neonates or for the diagnosis or screening of diabetes. Alternative site testing should be done only during steady-state times (when glucose is not changing rapidly). The TRUE METRIX PRO Test Strips are for use with the TRUE METRIX PRO Blood Glucose Meter to quantitatively measure glucose (sugar) in fresh capillary whole blood samples drawn from the fingertip or forearm or venous whole blood. Type of Use: Prescription </w:t>
            </w:r>
            <w:r>
              <w:rPr>
                <w:rFonts w:ascii="Times New Roman" w:eastAsia="等线" w:hAnsi="Times New Roman" w:cs="Times New Roman"/>
                <w:sz w:val="18"/>
                <w:szCs w:val="18"/>
              </w:rPr>
              <w:t>＆</w:t>
            </w:r>
            <w:r>
              <w:rPr>
                <w:rFonts w:ascii="Times New Roman" w:eastAsia="等线" w:hAnsi="Times New Roman" w:cs="Times New Roman"/>
                <w:sz w:val="18"/>
                <w:szCs w:val="18"/>
              </w:rPr>
              <w:t xml:space="preserve"> Over the Counter.</w:t>
            </w:r>
          </w:p>
        </w:tc>
        <w:tc>
          <w:tcPr>
            <w:tcW w:w="983" w:type="dxa"/>
            <w:tcMar>
              <w:top w:w="10" w:type="dxa"/>
              <w:left w:w="10" w:type="dxa"/>
              <w:bottom w:w="10" w:type="dxa"/>
              <w:right w:w="10" w:type="dxa"/>
            </w:tcMar>
            <w:vAlign w:val="center"/>
          </w:tcPr>
          <w:p w14:paraId="62A56C41"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912" w:type="dxa"/>
            <w:tcMar>
              <w:top w:w="10" w:type="dxa"/>
              <w:left w:w="10" w:type="dxa"/>
              <w:bottom w:w="10" w:type="dxa"/>
              <w:right w:w="10" w:type="dxa"/>
            </w:tcMar>
            <w:vAlign w:val="center"/>
          </w:tcPr>
          <w:p w14:paraId="26C7496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3BBCF0D2" w14:textId="77777777" w:rsidTr="00C707CF">
        <w:trPr>
          <w:cantSplit/>
          <w:jc w:val="center"/>
        </w:trPr>
        <w:tc>
          <w:tcPr>
            <w:tcW w:w="418" w:type="dxa"/>
            <w:tcMar>
              <w:top w:w="10" w:type="dxa"/>
              <w:left w:w="10" w:type="dxa"/>
              <w:bottom w:w="10" w:type="dxa"/>
              <w:right w:w="10" w:type="dxa"/>
            </w:tcMar>
            <w:vAlign w:val="center"/>
          </w:tcPr>
          <w:p w14:paraId="32436F1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w:t>
            </w:r>
          </w:p>
        </w:tc>
        <w:tc>
          <w:tcPr>
            <w:tcW w:w="1278" w:type="dxa"/>
            <w:tcMar>
              <w:top w:w="10" w:type="dxa"/>
              <w:left w:w="10" w:type="dxa"/>
              <w:bottom w:w="10" w:type="dxa"/>
              <w:right w:w="10" w:type="dxa"/>
            </w:tcMar>
            <w:vAlign w:val="center"/>
          </w:tcPr>
          <w:p w14:paraId="29B7CD7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GO Self Monitoring Blood Glucose System</w:t>
            </w:r>
          </w:p>
        </w:tc>
        <w:tc>
          <w:tcPr>
            <w:tcW w:w="851" w:type="dxa"/>
            <w:tcMar>
              <w:top w:w="10" w:type="dxa"/>
              <w:left w:w="10" w:type="dxa"/>
              <w:bottom w:w="10" w:type="dxa"/>
              <w:right w:w="10" w:type="dxa"/>
            </w:tcMar>
            <w:vAlign w:val="center"/>
          </w:tcPr>
          <w:p w14:paraId="79A4F46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6087" w:type="dxa"/>
            <w:tcMar>
              <w:top w:w="10" w:type="dxa"/>
              <w:left w:w="10" w:type="dxa"/>
              <w:bottom w:w="10" w:type="dxa"/>
              <w:right w:w="10" w:type="dxa"/>
            </w:tcMar>
            <w:vAlign w:val="center"/>
          </w:tcPr>
          <w:p w14:paraId="3D016FCB"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GO Self Monitoring Blood Glucose System is intended for the quantitative measurement of glucose (sugar) in fresh capillary whole blood samples drawn from the fingertip. The TRUE METRIX GO Self Monitoring Blood Glucose System is intended to be used by a single person and not shared. The TRUE METRIX GO Self Monitoring Blood Glucose System is intended for self-testing outside the body (in vitro diagnostic use) by people with diabetes at home as an aid to monitor the effectiveness of diabetes control. The TRUE METRIX GO Self Monitoring Blood Glucose System should not be used for the diagnosis or screening of diabetes or for neonate use. Type of Use: Prescription </w:t>
            </w:r>
            <w:r>
              <w:rPr>
                <w:rFonts w:ascii="Times New Roman" w:eastAsia="等线" w:hAnsi="Times New Roman" w:cs="Times New Roman"/>
                <w:sz w:val="18"/>
                <w:szCs w:val="18"/>
              </w:rPr>
              <w:t>＆</w:t>
            </w:r>
            <w:r>
              <w:rPr>
                <w:rFonts w:ascii="Times New Roman" w:eastAsia="等线" w:hAnsi="Times New Roman" w:cs="Times New Roman"/>
                <w:sz w:val="18"/>
                <w:szCs w:val="18"/>
              </w:rPr>
              <w:t xml:space="preserve"> Over the Counter.</w:t>
            </w:r>
          </w:p>
        </w:tc>
        <w:tc>
          <w:tcPr>
            <w:tcW w:w="983" w:type="dxa"/>
            <w:tcMar>
              <w:top w:w="10" w:type="dxa"/>
              <w:left w:w="10" w:type="dxa"/>
              <w:bottom w:w="10" w:type="dxa"/>
              <w:right w:w="10" w:type="dxa"/>
            </w:tcMar>
            <w:vAlign w:val="center"/>
          </w:tcPr>
          <w:p w14:paraId="4159CB91"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912" w:type="dxa"/>
            <w:tcMar>
              <w:top w:w="10" w:type="dxa"/>
              <w:left w:w="10" w:type="dxa"/>
              <w:bottom w:w="10" w:type="dxa"/>
              <w:right w:w="10" w:type="dxa"/>
            </w:tcMar>
            <w:vAlign w:val="center"/>
          </w:tcPr>
          <w:p w14:paraId="0BDAD97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5AF0D8A2" w14:textId="77777777" w:rsidTr="00C707CF">
        <w:trPr>
          <w:cantSplit/>
          <w:jc w:val="center"/>
        </w:trPr>
        <w:tc>
          <w:tcPr>
            <w:tcW w:w="418" w:type="dxa"/>
            <w:tcMar>
              <w:top w:w="10" w:type="dxa"/>
              <w:left w:w="10" w:type="dxa"/>
              <w:bottom w:w="10" w:type="dxa"/>
              <w:right w:w="10" w:type="dxa"/>
            </w:tcMar>
            <w:vAlign w:val="center"/>
          </w:tcPr>
          <w:p w14:paraId="37ED50F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3</w:t>
            </w:r>
          </w:p>
        </w:tc>
        <w:tc>
          <w:tcPr>
            <w:tcW w:w="1278" w:type="dxa"/>
            <w:tcMar>
              <w:top w:w="10" w:type="dxa"/>
              <w:left w:w="10" w:type="dxa"/>
              <w:bottom w:w="10" w:type="dxa"/>
              <w:right w:w="10" w:type="dxa"/>
            </w:tcMar>
            <w:vAlign w:val="center"/>
          </w:tcPr>
          <w:p w14:paraId="695809E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AIR Self Monitoring Blood Glucose System/</w:t>
            </w:r>
          </w:p>
          <w:p w14:paraId="4812660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AIR PRO Professional Monitoring Blood Glucose System</w:t>
            </w:r>
          </w:p>
        </w:tc>
        <w:tc>
          <w:tcPr>
            <w:tcW w:w="851" w:type="dxa"/>
            <w:tcMar>
              <w:top w:w="10" w:type="dxa"/>
              <w:left w:w="10" w:type="dxa"/>
              <w:bottom w:w="10" w:type="dxa"/>
              <w:right w:w="10" w:type="dxa"/>
            </w:tcMar>
            <w:vAlign w:val="center"/>
          </w:tcPr>
          <w:p w14:paraId="2610F00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6087" w:type="dxa"/>
            <w:tcMar>
              <w:top w:w="10" w:type="dxa"/>
              <w:left w:w="10" w:type="dxa"/>
              <w:bottom w:w="10" w:type="dxa"/>
              <w:right w:w="10" w:type="dxa"/>
            </w:tcMar>
            <w:vAlign w:val="center"/>
          </w:tcPr>
          <w:p w14:paraId="1BD7F83D"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 METRIX AIR Self Monitoring Blood Glucose System is intended for the quantitative measurement of glucose (sugar) in fresh capillary whole blood samples drawn from the fingertip or forearm. TRUE METRIX AIR Self Monitoring Blood Glucose System is intended to be used by a single person and not shared. The TRUE METRIX AIR Self Monitoring Blood Glucose System is intended for self-testing outside the body (in vitro diagnostic use) by people with diabetes at home as an aid to monitor the effectiveness of diabetes control. The TRUE METRIX AIR Self Monitoring Blood Glucose System should not be used for the diagnosis or screening of diabetes or for neonate use. Alternative site testing can only be performed during steady-state blood times (when glucose is not changing rapidly). The TRUE METRIX Self Monitoring Test Strips are for use with the TRUE METRIX AIR Self Monitoring Meter to quantitatively measure glucose (sugar) in fresh capillary whole blood samples drawn from the fingertip or forearm.</w:t>
            </w:r>
          </w:p>
          <w:p w14:paraId="5A5E8ABD"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AIR PRO Professional Monitoring Blood Glucose System is intended for the quantitative measurement of glucose (sugar) in fresh capillary whole blood samples drawn from the fingertip or forearm and venous whole blood. The TRUE METRIX AIR PRO Professional Blood Glucose System is intended for multiple patient use in professional healthcare settings. Testing is performed outside the body (in vitro diagnostic use) as an aid to monitor the effectiveness of diabetes control. The TRUE METRIX AIR PRO Professional Monitoring Blood Glucose System is used only with single-use, auto-disabling lancing devices. The system is not to be used for neonates or for the diagnosis or screening of diabetes. Alternative site testing should be done only during steady-state times (when glucose is not changing rapidly). The TRUE METRIX PRO Test Strips are for use with the TRUE METRIX AIR PRO Professional Blood Glucose Meter to quantitatively measure glucose (sugar) in fresh capillary whole blood samples drawn from the fingertip or forearm or venous whole blood. Type of Use: Prescription </w:t>
            </w:r>
            <w:r>
              <w:rPr>
                <w:rFonts w:ascii="Times New Roman" w:eastAsia="等线" w:hAnsi="Times New Roman" w:cs="Times New Roman"/>
                <w:sz w:val="18"/>
                <w:szCs w:val="18"/>
              </w:rPr>
              <w:t>＆</w:t>
            </w:r>
            <w:r>
              <w:rPr>
                <w:rFonts w:ascii="Times New Roman" w:eastAsia="等线" w:hAnsi="Times New Roman" w:cs="Times New Roman"/>
                <w:sz w:val="18"/>
                <w:szCs w:val="18"/>
              </w:rPr>
              <w:t xml:space="preserve"> Over the Counter.</w:t>
            </w:r>
          </w:p>
        </w:tc>
        <w:tc>
          <w:tcPr>
            <w:tcW w:w="983" w:type="dxa"/>
            <w:tcMar>
              <w:top w:w="10" w:type="dxa"/>
              <w:left w:w="10" w:type="dxa"/>
              <w:bottom w:w="10" w:type="dxa"/>
              <w:right w:w="10" w:type="dxa"/>
            </w:tcMar>
            <w:vAlign w:val="center"/>
          </w:tcPr>
          <w:p w14:paraId="3EB3326F"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912" w:type="dxa"/>
            <w:tcMar>
              <w:top w:w="10" w:type="dxa"/>
              <w:left w:w="10" w:type="dxa"/>
              <w:bottom w:w="10" w:type="dxa"/>
              <w:right w:w="10" w:type="dxa"/>
            </w:tcMar>
            <w:vAlign w:val="center"/>
          </w:tcPr>
          <w:p w14:paraId="03EB928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7DA0298E" w14:textId="77777777" w:rsidTr="00C707CF">
        <w:trPr>
          <w:cantSplit/>
          <w:jc w:val="center"/>
        </w:trPr>
        <w:tc>
          <w:tcPr>
            <w:tcW w:w="418" w:type="dxa"/>
            <w:tcMar>
              <w:top w:w="10" w:type="dxa"/>
              <w:left w:w="10" w:type="dxa"/>
              <w:bottom w:w="10" w:type="dxa"/>
              <w:right w:w="10" w:type="dxa"/>
            </w:tcMar>
            <w:vAlign w:val="center"/>
          </w:tcPr>
          <w:p w14:paraId="151C40A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4</w:t>
            </w:r>
          </w:p>
        </w:tc>
        <w:tc>
          <w:tcPr>
            <w:tcW w:w="1278" w:type="dxa"/>
            <w:tcMar>
              <w:top w:w="10" w:type="dxa"/>
              <w:left w:w="10" w:type="dxa"/>
              <w:bottom w:w="10" w:type="dxa"/>
              <w:right w:w="10" w:type="dxa"/>
            </w:tcMar>
            <w:vAlign w:val="center"/>
          </w:tcPr>
          <w:p w14:paraId="464C7E2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TRUEdraw Lancing Device Mini Lancing Device</w:t>
            </w:r>
          </w:p>
        </w:tc>
        <w:tc>
          <w:tcPr>
            <w:tcW w:w="851" w:type="dxa"/>
            <w:tcMar>
              <w:top w:w="10" w:type="dxa"/>
              <w:left w:w="10" w:type="dxa"/>
              <w:bottom w:w="10" w:type="dxa"/>
              <w:right w:w="10" w:type="dxa"/>
            </w:tcMar>
            <w:vAlign w:val="center"/>
          </w:tcPr>
          <w:p w14:paraId="4600767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6087" w:type="dxa"/>
            <w:tcMar>
              <w:top w:w="10" w:type="dxa"/>
              <w:left w:w="10" w:type="dxa"/>
              <w:bottom w:w="10" w:type="dxa"/>
              <w:right w:w="10" w:type="dxa"/>
            </w:tcMar>
            <w:vAlign w:val="center"/>
          </w:tcPr>
          <w:p w14:paraId="32CD74BE"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TRUEdraw Lancing Device is for use with a disposable sterile lancet for the hygienic collection of capillary blood for testing purposes from the side of a fingertip and from alternative sites, such as the forearm. The Mini Lancing Device is for use with a disposable sterile lancet for the hygienic collection of capillary blood for testing purposes from the side of a fingertip and from alternative sites, such as the forearm. The TRUEdraw Lancing Device/ Mini Lancing Device is for use only on a single patient in a home setting. The TRUEdraw Lancing Device/ Mini Lancing Device is not suitable for use by healthcare professionals with multiple patients in a healthcare setting. Type of Use: Over the Counter.</w:t>
            </w:r>
          </w:p>
        </w:tc>
        <w:tc>
          <w:tcPr>
            <w:tcW w:w="983" w:type="dxa"/>
            <w:tcMar>
              <w:top w:w="10" w:type="dxa"/>
              <w:left w:w="10" w:type="dxa"/>
              <w:bottom w:w="10" w:type="dxa"/>
              <w:right w:w="10" w:type="dxa"/>
            </w:tcMar>
            <w:vAlign w:val="center"/>
          </w:tcPr>
          <w:p w14:paraId="65BEC0A1"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912" w:type="dxa"/>
            <w:tcMar>
              <w:top w:w="10" w:type="dxa"/>
              <w:left w:w="10" w:type="dxa"/>
              <w:bottom w:w="10" w:type="dxa"/>
              <w:right w:w="10" w:type="dxa"/>
            </w:tcMar>
            <w:vAlign w:val="center"/>
          </w:tcPr>
          <w:p w14:paraId="30DE6AE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010742A6" w14:textId="77777777" w:rsidTr="00C707CF">
        <w:trPr>
          <w:cantSplit/>
          <w:jc w:val="center"/>
        </w:trPr>
        <w:tc>
          <w:tcPr>
            <w:tcW w:w="418" w:type="dxa"/>
            <w:tcMar>
              <w:top w:w="10" w:type="dxa"/>
              <w:left w:w="10" w:type="dxa"/>
              <w:bottom w:w="10" w:type="dxa"/>
              <w:right w:w="10" w:type="dxa"/>
            </w:tcMar>
            <w:vAlign w:val="center"/>
          </w:tcPr>
          <w:p w14:paraId="29F8709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5</w:t>
            </w:r>
          </w:p>
        </w:tc>
        <w:tc>
          <w:tcPr>
            <w:tcW w:w="1278" w:type="dxa"/>
            <w:tcMar>
              <w:top w:w="10" w:type="dxa"/>
              <w:left w:w="10" w:type="dxa"/>
              <w:bottom w:w="10" w:type="dxa"/>
              <w:right w:w="10" w:type="dxa"/>
            </w:tcMar>
            <w:vAlign w:val="center"/>
          </w:tcPr>
          <w:p w14:paraId="548C185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TRUEmanager Diabetes Management Software</w:t>
            </w:r>
          </w:p>
        </w:tc>
        <w:tc>
          <w:tcPr>
            <w:tcW w:w="851" w:type="dxa"/>
            <w:tcMar>
              <w:top w:w="10" w:type="dxa"/>
              <w:left w:w="10" w:type="dxa"/>
              <w:bottom w:w="10" w:type="dxa"/>
              <w:right w:w="10" w:type="dxa"/>
            </w:tcMar>
            <w:vAlign w:val="center"/>
          </w:tcPr>
          <w:p w14:paraId="06FD03A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II</w:t>
            </w:r>
          </w:p>
        </w:tc>
        <w:tc>
          <w:tcPr>
            <w:tcW w:w="6087" w:type="dxa"/>
            <w:tcMar>
              <w:top w:w="10" w:type="dxa"/>
              <w:left w:w="10" w:type="dxa"/>
              <w:bottom w:w="10" w:type="dxa"/>
              <w:right w:w="10" w:type="dxa"/>
            </w:tcMar>
            <w:vAlign w:val="center"/>
          </w:tcPr>
          <w:p w14:paraId="272EAEFA"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TRUEmanager Data Management Software is intended for use in home or in clinical settings, for single or multi-patient use, to assist people with diabetes as well as their healthcare professionals in the review, analysis and evaluation of historical blood glucose test results to support effective diabetes management. Type of Use: Over the Counter</w:t>
            </w:r>
            <w:r>
              <w:rPr>
                <w:rFonts w:ascii="等线" w:eastAsia="等线" w:hAnsi="等线" w:hint="eastAsia"/>
                <w:sz w:val="18"/>
                <w:szCs w:val="18"/>
              </w:rPr>
              <w:t>.</w:t>
            </w:r>
          </w:p>
        </w:tc>
        <w:tc>
          <w:tcPr>
            <w:tcW w:w="983" w:type="dxa"/>
            <w:tcMar>
              <w:top w:w="10" w:type="dxa"/>
              <w:left w:w="10" w:type="dxa"/>
              <w:bottom w:w="10" w:type="dxa"/>
              <w:right w:w="10" w:type="dxa"/>
            </w:tcMar>
            <w:vAlign w:val="center"/>
          </w:tcPr>
          <w:p w14:paraId="0DADD604"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912" w:type="dxa"/>
            <w:tcMar>
              <w:top w:w="10" w:type="dxa"/>
              <w:left w:w="10" w:type="dxa"/>
              <w:bottom w:w="10" w:type="dxa"/>
              <w:right w:w="10" w:type="dxa"/>
            </w:tcMar>
            <w:vAlign w:val="center"/>
          </w:tcPr>
          <w:p w14:paraId="2AD189B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13E1CB33" w14:textId="77777777" w:rsidTr="00C707CF">
        <w:trPr>
          <w:cantSplit/>
          <w:jc w:val="center"/>
        </w:trPr>
        <w:tc>
          <w:tcPr>
            <w:tcW w:w="418" w:type="dxa"/>
            <w:tcMar>
              <w:top w:w="10" w:type="dxa"/>
              <w:left w:w="10" w:type="dxa"/>
              <w:bottom w:w="10" w:type="dxa"/>
              <w:right w:w="10" w:type="dxa"/>
            </w:tcMar>
            <w:vAlign w:val="center"/>
          </w:tcPr>
          <w:p w14:paraId="2BFC452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6</w:t>
            </w:r>
          </w:p>
        </w:tc>
        <w:tc>
          <w:tcPr>
            <w:tcW w:w="1278" w:type="dxa"/>
            <w:tcMar>
              <w:top w:w="10" w:type="dxa"/>
              <w:left w:w="10" w:type="dxa"/>
              <w:bottom w:w="10" w:type="dxa"/>
              <w:right w:w="10" w:type="dxa"/>
            </w:tcMar>
            <w:vAlign w:val="center"/>
          </w:tcPr>
          <w:p w14:paraId="4312C6A3"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TRUE METRIX </w:t>
            </w:r>
          </w:p>
        </w:tc>
        <w:tc>
          <w:tcPr>
            <w:tcW w:w="851" w:type="dxa"/>
            <w:tcMar>
              <w:top w:w="10" w:type="dxa"/>
              <w:left w:w="10" w:type="dxa"/>
              <w:bottom w:w="10" w:type="dxa"/>
              <w:right w:w="10" w:type="dxa"/>
            </w:tcMar>
            <w:vAlign w:val="center"/>
          </w:tcPr>
          <w:p w14:paraId="5642566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List B</w:t>
            </w:r>
          </w:p>
        </w:tc>
        <w:tc>
          <w:tcPr>
            <w:tcW w:w="6087" w:type="dxa"/>
            <w:tcMar>
              <w:top w:w="10" w:type="dxa"/>
              <w:left w:w="10" w:type="dxa"/>
              <w:bottom w:w="10" w:type="dxa"/>
              <w:right w:w="10" w:type="dxa"/>
            </w:tcMar>
            <w:vAlign w:val="center"/>
          </w:tcPr>
          <w:p w14:paraId="1F50DAD8" w14:textId="77777777" w:rsidR="00113A51" w:rsidRDefault="00766EC7">
            <w:pPr>
              <w:pStyle w:val="a9"/>
              <w:spacing w:before="0" w:beforeAutospacing="0" w:after="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Blood Glucose Monitoring System is a medical device intended to be used in vitro for the measurement of glucose in human whole blood for the purpose of monitoring the effectiveness of diabetes control. The TRUE METRIX Blood Glucose Meter is intended for the quantitative determination of glucose in human whole blood taken from the fingertip or forearm (capillary) or from the vein (venous). The System may not be used for neonates. The System is intended for at-home use (self-testing) and for use by Healthcare Professionals in both physicians’ offices and in acute and convalescent-care bedside testing facilities in order to assist in the management of diabetes. </w:t>
            </w:r>
          </w:p>
        </w:tc>
        <w:tc>
          <w:tcPr>
            <w:tcW w:w="983" w:type="dxa"/>
            <w:tcMar>
              <w:top w:w="10" w:type="dxa"/>
              <w:left w:w="10" w:type="dxa"/>
              <w:bottom w:w="10" w:type="dxa"/>
              <w:right w:w="10" w:type="dxa"/>
            </w:tcMar>
            <w:vAlign w:val="center"/>
          </w:tcPr>
          <w:p w14:paraId="1C9BB987"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18"/>
                <w:szCs w:val="18"/>
              </w:rPr>
              <w:t>2027.12.31</w:t>
            </w:r>
          </w:p>
        </w:tc>
        <w:tc>
          <w:tcPr>
            <w:tcW w:w="912" w:type="dxa"/>
            <w:tcMar>
              <w:top w:w="10" w:type="dxa"/>
              <w:left w:w="10" w:type="dxa"/>
              <w:bottom w:w="10" w:type="dxa"/>
              <w:right w:w="10" w:type="dxa"/>
            </w:tcMar>
            <w:vAlign w:val="center"/>
          </w:tcPr>
          <w:p w14:paraId="5D33544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4A73C0D2" w14:textId="77777777" w:rsidTr="00C707CF">
        <w:trPr>
          <w:cantSplit/>
          <w:jc w:val="center"/>
        </w:trPr>
        <w:tc>
          <w:tcPr>
            <w:tcW w:w="418" w:type="dxa"/>
            <w:tcMar>
              <w:top w:w="10" w:type="dxa"/>
              <w:left w:w="10" w:type="dxa"/>
              <w:bottom w:w="10" w:type="dxa"/>
              <w:right w:w="10" w:type="dxa"/>
            </w:tcMar>
            <w:vAlign w:val="center"/>
          </w:tcPr>
          <w:p w14:paraId="11EF780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7</w:t>
            </w:r>
          </w:p>
        </w:tc>
        <w:tc>
          <w:tcPr>
            <w:tcW w:w="1278" w:type="dxa"/>
            <w:tcMar>
              <w:top w:w="10" w:type="dxa"/>
              <w:left w:w="10" w:type="dxa"/>
              <w:bottom w:w="10" w:type="dxa"/>
              <w:right w:w="10" w:type="dxa"/>
            </w:tcMar>
            <w:vAlign w:val="center"/>
          </w:tcPr>
          <w:p w14:paraId="242FF01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GO</w:t>
            </w:r>
          </w:p>
        </w:tc>
        <w:tc>
          <w:tcPr>
            <w:tcW w:w="851" w:type="dxa"/>
            <w:tcMar>
              <w:top w:w="10" w:type="dxa"/>
              <w:left w:w="10" w:type="dxa"/>
              <w:bottom w:w="10" w:type="dxa"/>
              <w:right w:w="10" w:type="dxa"/>
            </w:tcMar>
            <w:vAlign w:val="center"/>
          </w:tcPr>
          <w:p w14:paraId="0C5CF2A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List B</w:t>
            </w:r>
          </w:p>
        </w:tc>
        <w:tc>
          <w:tcPr>
            <w:tcW w:w="6087" w:type="dxa"/>
            <w:tcMar>
              <w:top w:w="10" w:type="dxa"/>
              <w:left w:w="10" w:type="dxa"/>
              <w:bottom w:w="10" w:type="dxa"/>
              <w:right w:w="10" w:type="dxa"/>
            </w:tcMar>
            <w:vAlign w:val="center"/>
          </w:tcPr>
          <w:p w14:paraId="289FE8B7" w14:textId="77777777" w:rsidR="00113A51" w:rsidRDefault="00766EC7">
            <w:pPr>
              <w:pStyle w:val="a9"/>
              <w:spacing w:before="0" w:beforeAutospacing="0" w:after="0" w:afterAutospacing="0"/>
              <w:jc w:val="both"/>
              <w:rPr>
                <w:rFonts w:ascii="等线" w:eastAsia="等线" w:hAnsi="等线"/>
                <w:sz w:val="21"/>
                <w:szCs w:val="21"/>
              </w:rPr>
            </w:pPr>
            <w:r>
              <w:rPr>
                <w:rFonts w:ascii="Times New Roman" w:eastAsia="等线" w:hAnsi="Times New Roman" w:cs="Times New Roman"/>
                <w:sz w:val="18"/>
                <w:szCs w:val="18"/>
              </w:rPr>
              <w:t>The TRUE METRIX GO Blood Glucose Monitoring System is a medical device intended to be used in vitro for the measurement of glucose in human whole blood for the purpose of monitoring the effectiveness of diabetes control. The TRUE METRIX GO Blood Glucose Monitoring System is intended for the quantitative determination of glucose (sugar) in fresh, human whole blood taken from the fingertip or forearm (capillary) and from the vein (venous). The System is intended for at-home use (self-testing by a single person and not shared) and for use by healthcare professionals for multiple-patient use in professional healthcare settings. The system is not to be used on neonates or for the diagnosis or screening of diabetes mellitus. Alternate site (forearm) testing can only be performed during steady-state blood glucose conditions.</w:t>
            </w:r>
          </w:p>
        </w:tc>
        <w:tc>
          <w:tcPr>
            <w:tcW w:w="983" w:type="dxa"/>
            <w:tcMar>
              <w:top w:w="10" w:type="dxa"/>
              <w:left w:w="10" w:type="dxa"/>
              <w:bottom w:w="10" w:type="dxa"/>
              <w:right w:w="10" w:type="dxa"/>
            </w:tcMar>
            <w:vAlign w:val="center"/>
          </w:tcPr>
          <w:p w14:paraId="0F2E4173"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18"/>
                <w:szCs w:val="18"/>
              </w:rPr>
              <w:t>2027.12.31</w:t>
            </w:r>
          </w:p>
        </w:tc>
        <w:tc>
          <w:tcPr>
            <w:tcW w:w="912" w:type="dxa"/>
            <w:tcMar>
              <w:top w:w="10" w:type="dxa"/>
              <w:left w:w="10" w:type="dxa"/>
              <w:bottom w:w="10" w:type="dxa"/>
              <w:right w:w="10" w:type="dxa"/>
            </w:tcMar>
            <w:vAlign w:val="center"/>
          </w:tcPr>
          <w:p w14:paraId="221B9369"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4B815C38" w14:textId="77777777" w:rsidTr="00C707CF">
        <w:trPr>
          <w:cantSplit/>
          <w:jc w:val="center"/>
        </w:trPr>
        <w:tc>
          <w:tcPr>
            <w:tcW w:w="418" w:type="dxa"/>
            <w:tcMar>
              <w:top w:w="10" w:type="dxa"/>
              <w:left w:w="10" w:type="dxa"/>
              <w:bottom w:w="10" w:type="dxa"/>
              <w:right w:w="10" w:type="dxa"/>
            </w:tcMar>
            <w:vAlign w:val="center"/>
          </w:tcPr>
          <w:p w14:paraId="43BCB36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8</w:t>
            </w:r>
          </w:p>
        </w:tc>
        <w:tc>
          <w:tcPr>
            <w:tcW w:w="1278" w:type="dxa"/>
            <w:tcMar>
              <w:top w:w="10" w:type="dxa"/>
              <w:left w:w="10" w:type="dxa"/>
              <w:bottom w:w="10" w:type="dxa"/>
              <w:right w:w="10" w:type="dxa"/>
            </w:tcMar>
            <w:vAlign w:val="center"/>
          </w:tcPr>
          <w:p w14:paraId="054ECB5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TRUE METRIX AIR </w:t>
            </w:r>
          </w:p>
        </w:tc>
        <w:tc>
          <w:tcPr>
            <w:tcW w:w="851" w:type="dxa"/>
            <w:tcMar>
              <w:top w:w="10" w:type="dxa"/>
              <w:left w:w="10" w:type="dxa"/>
              <w:bottom w:w="10" w:type="dxa"/>
              <w:right w:w="10" w:type="dxa"/>
            </w:tcMar>
            <w:vAlign w:val="center"/>
          </w:tcPr>
          <w:p w14:paraId="1F2D1C9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List B</w:t>
            </w:r>
          </w:p>
        </w:tc>
        <w:tc>
          <w:tcPr>
            <w:tcW w:w="6087" w:type="dxa"/>
            <w:tcMar>
              <w:top w:w="10" w:type="dxa"/>
              <w:left w:w="10" w:type="dxa"/>
              <w:bottom w:w="10" w:type="dxa"/>
              <w:right w:w="10" w:type="dxa"/>
            </w:tcMar>
            <w:vAlign w:val="center"/>
          </w:tcPr>
          <w:p w14:paraId="3F1C79CE" w14:textId="77777777" w:rsidR="00113A51" w:rsidRDefault="00766EC7">
            <w:pPr>
              <w:pStyle w:val="a9"/>
              <w:spacing w:before="0" w:beforeAutospacing="0" w:after="0" w:afterAutospacing="0"/>
              <w:jc w:val="both"/>
              <w:rPr>
                <w:rFonts w:ascii="等线" w:eastAsia="等线" w:hAnsi="等线"/>
                <w:sz w:val="21"/>
                <w:szCs w:val="21"/>
              </w:rPr>
            </w:pPr>
            <w:r>
              <w:rPr>
                <w:rFonts w:ascii="Times New Roman" w:eastAsia="等线" w:hAnsi="Times New Roman" w:cs="Times New Roman"/>
                <w:sz w:val="20"/>
                <w:szCs w:val="20"/>
              </w:rPr>
              <w:t>T</w:t>
            </w:r>
            <w:r>
              <w:rPr>
                <w:rFonts w:ascii="Times New Roman" w:eastAsia="等线" w:hAnsi="Times New Roman" w:cs="Times New Roman"/>
                <w:sz w:val="18"/>
                <w:szCs w:val="18"/>
              </w:rPr>
              <w:t>he TRUE METRIX AIR Blood Glucose Monitoring System is a medical device intended to be used in vitro for the measurement of glucose in human whole blood for the purpose of monitoring the effectiveness of diabetes control with wireless transmission capability via Bluetooth Smart of results stored in meter memory. The TRUE METRIX AIR Blood Glucose Monitoring System is intended for the quantitative measurement of glucose (sugar) in fresh, human whole blood taken from the fingertip or forearm (capillary) or from the vein (venous). The system is intended for at-home use (self-testing by a single person and not shared) and for use by Healthcare Professionals for multiple patient use in professional healthcare settings. The system is not to be used on neonates or for the diagnosis or screening of diabetes mellitus.</w:t>
            </w:r>
          </w:p>
        </w:tc>
        <w:tc>
          <w:tcPr>
            <w:tcW w:w="983" w:type="dxa"/>
            <w:tcMar>
              <w:top w:w="10" w:type="dxa"/>
              <w:left w:w="10" w:type="dxa"/>
              <w:bottom w:w="10" w:type="dxa"/>
              <w:right w:w="10" w:type="dxa"/>
            </w:tcMar>
            <w:vAlign w:val="center"/>
          </w:tcPr>
          <w:p w14:paraId="704502B9" w14:textId="77777777" w:rsidR="00113A51" w:rsidRDefault="00766EC7">
            <w:pPr>
              <w:pStyle w:val="a9"/>
              <w:spacing w:before="0" w:beforeAutospacing="0" w:after="0" w:afterAutospacing="0"/>
              <w:jc w:val="center"/>
              <w:rPr>
                <w:rFonts w:ascii="等线" w:eastAsia="等线" w:hAnsi="等线"/>
                <w:sz w:val="21"/>
                <w:szCs w:val="21"/>
              </w:rPr>
            </w:pPr>
            <w:r>
              <w:rPr>
                <w:rFonts w:ascii="Times New Roman" w:eastAsia="等线" w:hAnsi="Times New Roman" w:cs="Times New Roman"/>
                <w:sz w:val="18"/>
                <w:szCs w:val="18"/>
              </w:rPr>
              <w:t>2027.12.31</w:t>
            </w:r>
          </w:p>
        </w:tc>
        <w:tc>
          <w:tcPr>
            <w:tcW w:w="912" w:type="dxa"/>
            <w:tcMar>
              <w:top w:w="10" w:type="dxa"/>
              <w:left w:w="10" w:type="dxa"/>
              <w:bottom w:w="10" w:type="dxa"/>
              <w:right w:w="10" w:type="dxa"/>
            </w:tcMar>
            <w:vAlign w:val="center"/>
          </w:tcPr>
          <w:p w14:paraId="36DB1C0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r w:rsidR="00113A51" w14:paraId="36DC37AA" w14:textId="77777777" w:rsidTr="00C707CF">
        <w:trPr>
          <w:cantSplit/>
          <w:jc w:val="center"/>
        </w:trPr>
        <w:tc>
          <w:tcPr>
            <w:tcW w:w="418" w:type="dxa"/>
            <w:tcMar>
              <w:top w:w="10" w:type="dxa"/>
              <w:left w:w="10" w:type="dxa"/>
              <w:bottom w:w="10" w:type="dxa"/>
              <w:right w:w="10" w:type="dxa"/>
            </w:tcMar>
            <w:vAlign w:val="center"/>
          </w:tcPr>
          <w:p w14:paraId="57590B2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9</w:t>
            </w:r>
          </w:p>
        </w:tc>
        <w:tc>
          <w:tcPr>
            <w:tcW w:w="1278" w:type="dxa"/>
            <w:tcMar>
              <w:top w:w="10" w:type="dxa"/>
              <w:left w:w="10" w:type="dxa"/>
              <w:bottom w:w="10" w:type="dxa"/>
              <w:right w:w="10" w:type="dxa"/>
            </w:tcMar>
            <w:vAlign w:val="center"/>
          </w:tcPr>
          <w:p w14:paraId="5351D94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TRUEdraw Lancing Device</w:t>
            </w:r>
          </w:p>
        </w:tc>
        <w:tc>
          <w:tcPr>
            <w:tcW w:w="851" w:type="dxa"/>
            <w:tcMar>
              <w:top w:w="10" w:type="dxa"/>
              <w:left w:w="10" w:type="dxa"/>
              <w:bottom w:w="10" w:type="dxa"/>
              <w:right w:w="10" w:type="dxa"/>
            </w:tcMar>
            <w:vAlign w:val="center"/>
          </w:tcPr>
          <w:p w14:paraId="35ABE22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Ⅰ</w:t>
            </w:r>
          </w:p>
        </w:tc>
        <w:tc>
          <w:tcPr>
            <w:tcW w:w="6087" w:type="dxa"/>
            <w:tcMar>
              <w:top w:w="10" w:type="dxa"/>
              <w:left w:w="10" w:type="dxa"/>
              <w:bottom w:w="10" w:type="dxa"/>
              <w:right w:w="10" w:type="dxa"/>
            </w:tcMar>
            <w:vAlign w:val="center"/>
          </w:tcPr>
          <w:p w14:paraId="24D7FE0F"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TRUEdraw Lancing Devices are single patient reusable medical devices intended to be used in conjunction with a lancet in the penetration of human skin to obtain a capillary whole blood samples for blood glucose monitoring. The devices can be used for normal fingertip lancing or for alternate site testing.</w:t>
            </w:r>
          </w:p>
        </w:tc>
        <w:tc>
          <w:tcPr>
            <w:tcW w:w="983" w:type="dxa"/>
            <w:tcMar>
              <w:top w:w="10" w:type="dxa"/>
              <w:left w:w="10" w:type="dxa"/>
              <w:bottom w:w="10" w:type="dxa"/>
              <w:right w:w="10" w:type="dxa"/>
            </w:tcMar>
            <w:vAlign w:val="center"/>
          </w:tcPr>
          <w:p w14:paraId="452DD80B"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永久有效</w:t>
            </w:r>
          </w:p>
        </w:tc>
        <w:tc>
          <w:tcPr>
            <w:tcW w:w="912" w:type="dxa"/>
            <w:tcMar>
              <w:top w:w="10" w:type="dxa"/>
              <w:left w:w="10" w:type="dxa"/>
              <w:bottom w:w="10" w:type="dxa"/>
              <w:right w:w="10" w:type="dxa"/>
            </w:tcMar>
            <w:vAlign w:val="center"/>
          </w:tcPr>
          <w:p w14:paraId="20E5931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w:t>
            </w:r>
          </w:p>
        </w:tc>
      </w:tr>
    </w:tbl>
    <w:p w14:paraId="379E717D"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截至</w:t>
      </w:r>
      <w:r>
        <w:rPr>
          <w:rFonts w:ascii="Times New Roman" w:eastAsia="等线" w:hAnsi="Times New Roman" w:cs="Times New Roman"/>
          <w:sz w:val="21"/>
          <w:szCs w:val="21"/>
        </w:rPr>
        <w:t>2025</w:t>
      </w:r>
      <w:r>
        <w:rPr>
          <w:rFonts w:hint="eastAsia"/>
          <w:sz w:val="21"/>
          <w:szCs w:val="21"/>
        </w:rPr>
        <w:t>年</w:t>
      </w:r>
      <w:r>
        <w:rPr>
          <w:rFonts w:ascii="Times New Roman" w:eastAsia="等线" w:hAnsi="Times New Roman" w:cs="Times New Roman"/>
          <w:sz w:val="21"/>
          <w:szCs w:val="21"/>
        </w:rPr>
        <w:t>12</w:t>
      </w:r>
      <w:r>
        <w:rPr>
          <w:rFonts w:hint="eastAsia"/>
          <w:sz w:val="21"/>
          <w:szCs w:val="21"/>
        </w:rPr>
        <w:t>月</w:t>
      </w:r>
      <w:r>
        <w:rPr>
          <w:rFonts w:ascii="Times New Roman" w:eastAsia="等线" w:hAnsi="Times New Roman" w:cs="Times New Roman"/>
          <w:sz w:val="21"/>
          <w:szCs w:val="21"/>
        </w:rPr>
        <w:t>31</w:t>
      </w:r>
      <w:r>
        <w:rPr>
          <w:rFonts w:hint="eastAsia"/>
          <w:sz w:val="21"/>
          <w:szCs w:val="21"/>
        </w:rPr>
        <w:t>日，公司控股子公司</w:t>
      </w:r>
      <w:r>
        <w:rPr>
          <w:rFonts w:ascii="Times New Roman" w:eastAsia="等线" w:hAnsi="Times New Roman" w:cs="Times New Roman"/>
          <w:sz w:val="21"/>
          <w:szCs w:val="21"/>
        </w:rPr>
        <w:t>Trividia Health Inc.</w:t>
      </w:r>
      <w:r>
        <w:rPr>
          <w:rFonts w:hint="eastAsia"/>
          <w:sz w:val="21"/>
          <w:szCs w:val="21"/>
        </w:rPr>
        <w:t>已经取得国内医疗器械进口注册证</w:t>
      </w:r>
      <w:r>
        <w:rPr>
          <w:rFonts w:ascii="Times New Roman" w:eastAsia="等线" w:hAnsi="Times New Roman" w:cs="Times New Roman"/>
          <w:sz w:val="21"/>
          <w:szCs w:val="21"/>
        </w:rPr>
        <w:t>2</w:t>
      </w:r>
      <w:r>
        <w:rPr>
          <w:rFonts w:hint="eastAsia"/>
          <w:sz w:val="21"/>
          <w:szCs w:val="21"/>
        </w:rPr>
        <w:t>项，具体明细如下：</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
        <w:gridCol w:w="1277"/>
        <w:gridCol w:w="1134"/>
        <w:gridCol w:w="709"/>
        <w:gridCol w:w="5096"/>
        <w:gridCol w:w="983"/>
        <w:gridCol w:w="869"/>
      </w:tblGrid>
      <w:tr w:rsidR="00113A51" w14:paraId="685037A4" w14:textId="77777777" w:rsidTr="00C707CF">
        <w:trPr>
          <w:cantSplit/>
          <w:jc w:val="center"/>
        </w:trPr>
        <w:tc>
          <w:tcPr>
            <w:tcW w:w="418" w:type="dxa"/>
            <w:shd w:val="clear" w:color="auto" w:fill="D0CECE"/>
            <w:tcMar>
              <w:top w:w="10" w:type="dxa"/>
              <w:left w:w="10" w:type="dxa"/>
              <w:bottom w:w="10" w:type="dxa"/>
              <w:right w:w="10" w:type="dxa"/>
            </w:tcMar>
            <w:vAlign w:val="center"/>
          </w:tcPr>
          <w:p w14:paraId="4B92747A"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序号</w:t>
            </w:r>
          </w:p>
        </w:tc>
        <w:tc>
          <w:tcPr>
            <w:tcW w:w="1278" w:type="dxa"/>
            <w:shd w:val="clear" w:color="auto" w:fill="D0CECE"/>
            <w:tcMar>
              <w:top w:w="10" w:type="dxa"/>
              <w:left w:w="10" w:type="dxa"/>
              <w:bottom w:w="10" w:type="dxa"/>
              <w:right w:w="10" w:type="dxa"/>
            </w:tcMar>
            <w:vAlign w:val="center"/>
          </w:tcPr>
          <w:p w14:paraId="3EDDD937"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名称</w:t>
            </w:r>
          </w:p>
        </w:tc>
        <w:tc>
          <w:tcPr>
            <w:tcW w:w="1134" w:type="dxa"/>
            <w:shd w:val="clear" w:color="auto" w:fill="D0CECE"/>
            <w:tcMar>
              <w:top w:w="10" w:type="dxa"/>
              <w:left w:w="10" w:type="dxa"/>
              <w:bottom w:w="10" w:type="dxa"/>
              <w:right w:w="10" w:type="dxa"/>
            </w:tcMar>
            <w:vAlign w:val="center"/>
          </w:tcPr>
          <w:p w14:paraId="6A9090B8"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注册证编号</w:t>
            </w:r>
          </w:p>
        </w:tc>
        <w:tc>
          <w:tcPr>
            <w:tcW w:w="709" w:type="dxa"/>
            <w:shd w:val="clear" w:color="auto" w:fill="D0CECE"/>
            <w:tcMar>
              <w:top w:w="10" w:type="dxa"/>
              <w:left w:w="10" w:type="dxa"/>
              <w:bottom w:w="10" w:type="dxa"/>
              <w:right w:w="10" w:type="dxa"/>
            </w:tcMar>
            <w:vAlign w:val="center"/>
          </w:tcPr>
          <w:p w14:paraId="1E4B9FA9"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w:t>
            </w:r>
          </w:p>
          <w:p w14:paraId="7AFFC79A"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分类</w:t>
            </w:r>
          </w:p>
        </w:tc>
        <w:tc>
          <w:tcPr>
            <w:tcW w:w="5100" w:type="dxa"/>
            <w:shd w:val="clear" w:color="auto" w:fill="D0CECE"/>
            <w:tcMar>
              <w:top w:w="10" w:type="dxa"/>
              <w:left w:w="10" w:type="dxa"/>
              <w:bottom w:w="10" w:type="dxa"/>
              <w:right w:w="10" w:type="dxa"/>
            </w:tcMar>
            <w:vAlign w:val="center"/>
          </w:tcPr>
          <w:p w14:paraId="6512AB3F"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临床用途</w:t>
            </w:r>
          </w:p>
        </w:tc>
        <w:tc>
          <w:tcPr>
            <w:tcW w:w="983" w:type="dxa"/>
            <w:shd w:val="clear" w:color="auto" w:fill="D0CECE"/>
            <w:tcMar>
              <w:top w:w="10" w:type="dxa"/>
              <w:left w:w="10" w:type="dxa"/>
              <w:bottom w:w="10" w:type="dxa"/>
              <w:right w:w="10" w:type="dxa"/>
            </w:tcMar>
            <w:vAlign w:val="center"/>
          </w:tcPr>
          <w:p w14:paraId="6316B1AC"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注册证</w:t>
            </w:r>
          </w:p>
          <w:p w14:paraId="3D212239"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有效期</w:t>
            </w:r>
          </w:p>
        </w:tc>
        <w:tc>
          <w:tcPr>
            <w:tcW w:w="869" w:type="dxa"/>
            <w:shd w:val="clear" w:color="auto" w:fill="D0CECE"/>
            <w:tcMar>
              <w:top w:w="10" w:type="dxa"/>
              <w:left w:w="10" w:type="dxa"/>
              <w:bottom w:w="10" w:type="dxa"/>
              <w:right w:w="10" w:type="dxa"/>
            </w:tcMar>
          </w:tcPr>
          <w:p w14:paraId="37BC21D4" w14:textId="0A4FB151" w:rsidR="00113A51" w:rsidRDefault="00766EC7">
            <w:pPr>
              <w:pStyle w:val="a9"/>
              <w:spacing w:before="40" w:beforeAutospacing="0" w:after="40" w:afterAutospacing="0"/>
              <w:jc w:val="center"/>
              <w:rPr>
                <w:rFonts w:ascii="等线" w:eastAsia="等线" w:hAnsi="等线"/>
                <w:sz w:val="21"/>
                <w:szCs w:val="21"/>
              </w:rPr>
            </w:pPr>
            <w:r>
              <w:rPr>
                <w:rStyle w:val="aa"/>
                <w:rFonts w:ascii="Times New Roman" w:eastAsia="等线" w:hAnsi="Times New Roman" w:cs="Times New Roman" w:hint="eastAsia"/>
                <w:sz w:val="18"/>
                <w:szCs w:val="18"/>
              </w:rPr>
              <w:t>2025</w:t>
            </w:r>
            <w:r>
              <w:rPr>
                <w:rStyle w:val="aa"/>
                <w:rFonts w:hint="eastAsia"/>
                <w:sz w:val="18"/>
                <w:szCs w:val="18"/>
              </w:rPr>
              <w:t>年变化情况</w:t>
            </w:r>
          </w:p>
        </w:tc>
      </w:tr>
      <w:tr w:rsidR="00113A51" w14:paraId="08D48ACB" w14:textId="77777777" w:rsidTr="00C707CF">
        <w:trPr>
          <w:cantSplit/>
          <w:jc w:val="center"/>
        </w:trPr>
        <w:tc>
          <w:tcPr>
            <w:tcW w:w="418" w:type="dxa"/>
            <w:tcMar>
              <w:top w:w="10" w:type="dxa"/>
              <w:left w:w="10" w:type="dxa"/>
              <w:bottom w:w="10" w:type="dxa"/>
              <w:right w:w="10" w:type="dxa"/>
            </w:tcMar>
            <w:vAlign w:val="center"/>
          </w:tcPr>
          <w:p w14:paraId="317CA07B"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w:t>
            </w:r>
          </w:p>
        </w:tc>
        <w:tc>
          <w:tcPr>
            <w:tcW w:w="1278" w:type="dxa"/>
            <w:tcMar>
              <w:top w:w="10" w:type="dxa"/>
              <w:left w:w="10" w:type="dxa"/>
              <w:bottom w:w="10" w:type="dxa"/>
              <w:right w:w="10" w:type="dxa"/>
            </w:tcMar>
            <w:vAlign w:val="center"/>
          </w:tcPr>
          <w:p w14:paraId="68B7E737"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血糖试纸（葡萄糖脱氢酶法）</w:t>
            </w:r>
          </w:p>
          <w:p w14:paraId="466F6252"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Blood Glucose Test Strips</w:t>
            </w:r>
          </w:p>
        </w:tc>
        <w:tc>
          <w:tcPr>
            <w:tcW w:w="1134" w:type="dxa"/>
            <w:tcMar>
              <w:top w:w="10" w:type="dxa"/>
              <w:left w:w="10" w:type="dxa"/>
              <w:bottom w:w="10" w:type="dxa"/>
              <w:right w:w="10" w:type="dxa"/>
            </w:tcMar>
            <w:vAlign w:val="center"/>
          </w:tcPr>
          <w:p w14:paraId="6AF20CDE"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20182400465</w:t>
            </w:r>
          </w:p>
        </w:tc>
        <w:tc>
          <w:tcPr>
            <w:tcW w:w="709" w:type="dxa"/>
            <w:tcMar>
              <w:top w:w="10" w:type="dxa"/>
              <w:left w:w="10" w:type="dxa"/>
              <w:bottom w:w="10" w:type="dxa"/>
              <w:right w:w="10" w:type="dxa"/>
            </w:tcMar>
            <w:vAlign w:val="center"/>
          </w:tcPr>
          <w:p w14:paraId="6C3AD4B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hint="eastAsia"/>
                <w:sz w:val="18"/>
                <w:szCs w:val="18"/>
              </w:rPr>
              <w:t>类</w:t>
            </w:r>
          </w:p>
        </w:tc>
        <w:tc>
          <w:tcPr>
            <w:tcW w:w="5100" w:type="dxa"/>
            <w:tcMar>
              <w:top w:w="10" w:type="dxa"/>
              <w:left w:w="10" w:type="dxa"/>
              <w:bottom w:w="10" w:type="dxa"/>
              <w:right w:w="10" w:type="dxa"/>
            </w:tcMar>
            <w:vAlign w:val="center"/>
          </w:tcPr>
          <w:p w14:paraId="6750599F"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本产品与</w:t>
            </w:r>
            <w:r>
              <w:rPr>
                <w:rFonts w:ascii="Times New Roman" w:eastAsia="等线" w:hAnsi="Times New Roman" w:cs="Times New Roman"/>
                <w:sz w:val="18"/>
                <w:szCs w:val="18"/>
              </w:rPr>
              <w:t>TRUE METRIX</w:t>
            </w:r>
            <w:r>
              <w:rPr>
                <w:rFonts w:hint="eastAsia"/>
                <w:sz w:val="18"/>
                <w:szCs w:val="18"/>
              </w:rPr>
              <w:t>血糖仪，</w:t>
            </w:r>
            <w:r>
              <w:rPr>
                <w:rFonts w:ascii="Times New Roman" w:eastAsia="等线" w:hAnsi="Times New Roman" w:cs="Times New Roman"/>
                <w:sz w:val="18"/>
                <w:szCs w:val="18"/>
              </w:rPr>
              <w:t>TRUE METRIX AIR</w:t>
            </w:r>
            <w:r>
              <w:rPr>
                <w:rFonts w:hint="eastAsia"/>
                <w:sz w:val="18"/>
                <w:szCs w:val="18"/>
              </w:rPr>
              <w:t>血糖仪、真睿</w:t>
            </w:r>
            <w:r>
              <w:rPr>
                <w:rFonts w:ascii="Times New Roman" w:eastAsia="等线" w:hAnsi="Times New Roman" w:cs="Times New Roman"/>
                <w:sz w:val="18"/>
                <w:szCs w:val="18"/>
              </w:rPr>
              <w:t>TRUE METRIX</w:t>
            </w:r>
            <w:r>
              <w:rPr>
                <w:rFonts w:hint="eastAsia"/>
                <w:sz w:val="18"/>
                <w:szCs w:val="18"/>
              </w:rPr>
              <w:t>血糖仪、真睿</w:t>
            </w:r>
            <w:r>
              <w:rPr>
                <w:rFonts w:ascii="Times New Roman" w:eastAsia="等线" w:hAnsi="Times New Roman" w:cs="Times New Roman"/>
                <w:sz w:val="18"/>
                <w:szCs w:val="18"/>
              </w:rPr>
              <w:t>TRUE METRIX AIR</w:t>
            </w:r>
            <w:r>
              <w:rPr>
                <w:rFonts w:hint="eastAsia"/>
                <w:sz w:val="18"/>
                <w:szCs w:val="18"/>
              </w:rPr>
              <w:t>血糖仪配套使用，可用于定量检测新鲜静脉全血和来自手指、前臂的毛细血管全血中葡萄糖含量。本产品与</w:t>
            </w:r>
            <w:r>
              <w:rPr>
                <w:rFonts w:ascii="Times New Roman" w:eastAsia="等线" w:hAnsi="Times New Roman" w:cs="Times New Roman"/>
                <w:sz w:val="18"/>
                <w:szCs w:val="18"/>
              </w:rPr>
              <w:t>TRUE METRIX GO</w:t>
            </w:r>
            <w:r>
              <w:rPr>
                <w:rFonts w:hint="eastAsia"/>
                <w:sz w:val="18"/>
                <w:szCs w:val="18"/>
              </w:rPr>
              <w:t>血糖仪，真睿</w:t>
            </w:r>
            <w:r>
              <w:rPr>
                <w:rFonts w:ascii="Times New Roman" w:eastAsia="等线" w:hAnsi="Times New Roman" w:cs="Times New Roman"/>
                <w:sz w:val="18"/>
                <w:szCs w:val="18"/>
              </w:rPr>
              <w:t>TRUE METRIX GO</w:t>
            </w:r>
            <w:r>
              <w:rPr>
                <w:rFonts w:hint="eastAsia"/>
                <w:sz w:val="18"/>
                <w:szCs w:val="18"/>
              </w:rPr>
              <w:t>血糖仪配套使用，可用于定量检测手指毛细血管全血中葡萄糖含量。</w:t>
            </w:r>
          </w:p>
        </w:tc>
        <w:tc>
          <w:tcPr>
            <w:tcW w:w="983" w:type="dxa"/>
            <w:tcMar>
              <w:top w:w="10" w:type="dxa"/>
              <w:left w:w="10" w:type="dxa"/>
              <w:bottom w:w="10" w:type="dxa"/>
              <w:right w:w="10" w:type="dxa"/>
            </w:tcMar>
            <w:vAlign w:val="center"/>
          </w:tcPr>
          <w:p w14:paraId="32C0513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2028.11.27</w:t>
            </w:r>
          </w:p>
        </w:tc>
        <w:tc>
          <w:tcPr>
            <w:tcW w:w="869" w:type="dxa"/>
            <w:tcMar>
              <w:top w:w="10" w:type="dxa"/>
              <w:left w:w="10" w:type="dxa"/>
              <w:bottom w:w="10" w:type="dxa"/>
              <w:right w:w="10" w:type="dxa"/>
            </w:tcMar>
            <w:vAlign w:val="center"/>
          </w:tcPr>
          <w:p w14:paraId="5F240831" w14:textId="77777777" w:rsidR="00113A51" w:rsidRDefault="00113A51">
            <w:pPr>
              <w:pStyle w:val="a9"/>
              <w:spacing w:before="40" w:beforeAutospacing="0" w:after="40" w:afterAutospacing="0"/>
              <w:jc w:val="center"/>
              <w:rPr>
                <w:rFonts w:ascii="等线" w:eastAsia="等线" w:hAnsi="等线"/>
                <w:sz w:val="21"/>
                <w:szCs w:val="21"/>
              </w:rPr>
            </w:pPr>
          </w:p>
        </w:tc>
      </w:tr>
      <w:tr w:rsidR="00113A51" w14:paraId="569C1253" w14:textId="77777777" w:rsidTr="00C707CF">
        <w:trPr>
          <w:cantSplit/>
          <w:jc w:val="center"/>
        </w:trPr>
        <w:tc>
          <w:tcPr>
            <w:tcW w:w="418" w:type="dxa"/>
            <w:tcMar>
              <w:top w:w="10" w:type="dxa"/>
              <w:left w:w="10" w:type="dxa"/>
              <w:bottom w:w="10" w:type="dxa"/>
              <w:right w:w="10" w:type="dxa"/>
            </w:tcMar>
            <w:vAlign w:val="center"/>
          </w:tcPr>
          <w:p w14:paraId="44A2001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w:t>
            </w:r>
          </w:p>
        </w:tc>
        <w:tc>
          <w:tcPr>
            <w:tcW w:w="1278" w:type="dxa"/>
            <w:tcMar>
              <w:top w:w="10" w:type="dxa"/>
              <w:left w:w="10" w:type="dxa"/>
              <w:bottom w:w="10" w:type="dxa"/>
              <w:right w:w="10" w:type="dxa"/>
            </w:tcMar>
            <w:vAlign w:val="center"/>
          </w:tcPr>
          <w:p w14:paraId="46DF43E0"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血糖质控液</w:t>
            </w:r>
          </w:p>
          <w:p w14:paraId="41CE316D"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control solution</w:t>
            </w:r>
          </w:p>
        </w:tc>
        <w:tc>
          <w:tcPr>
            <w:tcW w:w="1134" w:type="dxa"/>
            <w:tcMar>
              <w:top w:w="10" w:type="dxa"/>
              <w:left w:w="10" w:type="dxa"/>
              <w:bottom w:w="10" w:type="dxa"/>
              <w:right w:w="10" w:type="dxa"/>
            </w:tcMar>
            <w:vAlign w:val="center"/>
          </w:tcPr>
          <w:p w14:paraId="07BEDA21"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国械注进</w:t>
            </w:r>
            <w:r>
              <w:rPr>
                <w:rFonts w:ascii="Times New Roman" w:eastAsia="等线" w:hAnsi="Times New Roman" w:cs="Times New Roman"/>
                <w:sz w:val="18"/>
                <w:szCs w:val="18"/>
              </w:rPr>
              <w:t>20182400466</w:t>
            </w:r>
          </w:p>
        </w:tc>
        <w:tc>
          <w:tcPr>
            <w:tcW w:w="709" w:type="dxa"/>
            <w:tcMar>
              <w:top w:w="10" w:type="dxa"/>
              <w:left w:w="10" w:type="dxa"/>
              <w:bottom w:w="10" w:type="dxa"/>
              <w:right w:w="10" w:type="dxa"/>
            </w:tcMar>
            <w:vAlign w:val="center"/>
          </w:tcPr>
          <w:p w14:paraId="2FFFA130"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II</w:t>
            </w:r>
            <w:r>
              <w:rPr>
                <w:rFonts w:hint="eastAsia"/>
                <w:sz w:val="18"/>
                <w:szCs w:val="18"/>
              </w:rPr>
              <w:t>类</w:t>
            </w:r>
          </w:p>
        </w:tc>
        <w:tc>
          <w:tcPr>
            <w:tcW w:w="5100" w:type="dxa"/>
            <w:tcMar>
              <w:top w:w="10" w:type="dxa"/>
              <w:left w:w="10" w:type="dxa"/>
              <w:bottom w:w="10" w:type="dxa"/>
              <w:right w:w="10" w:type="dxa"/>
            </w:tcMar>
            <w:vAlign w:val="center"/>
          </w:tcPr>
          <w:p w14:paraId="55A2E739" w14:textId="77777777" w:rsidR="00113A51" w:rsidRDefault="00766EC7">
            <w:pPr>
              <w:pStyle w:val="a9"/>
              <w:spacing w:before="40" w:beforeAutospacing="0" w:after="40" w:afterAutospacing="0"/>
              <w:jc w:val="both"/>
              <w:rPr>
                <w:rFonts w:ascii="等线" w:eastAsia="等线" w:hAnsi="等线"/>
                <w:sz w:val="21"/>
                <w:szCs w:val="21"/>
              </w:rPr>
            </w:pPr>
            <w:r>
              <w:rPr>
                <w:rFonts w:hint="eastAsia"/>
                <w:sz w:val="18"/>
                <w:szCs w:val="18"/>
              </w:rPr>
              <w:t>用于血糖测试系统检测过程中的质量控制。</w:t>
            </w:r>
          </w:p>
        </w:tc>
        <w:tc>
          <w:tcPr>
            <w:tcW w:w="983" w:type="dxa"/>
            <w:tcMar>
              <w:top w:w="10" w:type="dxa"/>
              <w:left w:w="10" w:type="dxa"/>
              <w:bottom w:w="10" w:type="dxa"/>
              <w:right w:w="10" w:type="dxa"/>
            </w:tcMar>
            <w:vAlign w:val="center"/>
          </w:tcPr>
          <w:p w14:paraId="4063556E"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2028.11.27</w:t>
            </w:r>
          </w:p>
        </w:tc>
        <w:tc>
          <w:tcPr>
            <w:tcW w:w="869" w:type="dxa"/>
            <w:tcMar>
              <w:top w:w="10" w:type="dxa"/>
              <w:left w:w="10" w:type="dxa"/>
              <w:bottom w:w="10" w:type="dxa"/>
              <w:right w:w="10" w:type="dxa"/>
            </w:tcMar>
            <w:vAlign w:val="center"/>
          </w:tcPr>
          <w:p w14:paraId="794ACF18" w14:textId="77777777" w:rsidR="00113A51" w:rsidRDefault="00113A51">
            <w:pPr>
              <w:pStyle w:val="a9"/>
              <w:spacing w:before="40" w:beforeAutospacing="0" w:after="40" w:afterAutospacing="0"/>
              <w:jc w:val="center"/>
              <w:rPr>
                <w:rFonts w:ascii="等线" w:eastAsia="等线" w:hAnsi="等线"/>
                <w:sz w:val="21"/>
                <w:szCs w:val="21"/>
              </w:rPr>
            </w:pPr>
          </w:p>
        </w:tc>
      </w:tr>
    </w:tbl>
    <w:p w14:paraId="6299FCB4"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hint="eastAsia"/>
          <w:sz w:val="21"/>
          <w:szCs w:val="21"/>
        </w:rPr>
        <w:t>截至</w:t>
      </w:r>
      <w:r>
        <w:rPr>
          <w:rFonts w:ascii="Times New Roman" w:eastAsia="等线" w:hAnsi="Times New Roman" w:cs="Times New Roman"/>
          <w:sz w:val="21"/>
          <w:szCs w:val="21"/>
        </w:rPr>
        <w:t>2025</w:t>
      </w:r>
      <w:r>
        <w:rPr>
          <w:rFonts w:hint="eastAsia"/>
          <w:sz w:val="21"/>
          <w:szCs w:val="21"/>
        </w:rPr>
        <w:t>年</w:t>
      </w:r>
      <w:r>
        <w:rPr>
          <w:rFonts w:ascii="Times New Roman" w:eastAsia="等线" w:hAnsi="Times New Roman" w:cs="Times New Roman"/>
          <w:sz w:val="21"/>
          <w:szCs w:val="21"/>
        </w:rPr>
        <w:t>12</w:t>
      </w:r>
      <w:r>
        <w:rPr>
          <w:rFonts w:hint="eastAsia"/>
          <w:sz w:val="21"/>
          <w:szCs w:val="21"/>
        </w:rPr>
        <w:t>月</w:t>
      </w:r>
      <w:r>
        <w:rPr>
          <w:rFonts w:ascii="Times New Roman" w:eastAsia="等线" w:hAnsi="Times New Roman" w:cs="Times New Roman"/>
          <w:sz w:val="21"/>
          <w:szCs w:val="21"/>
        </w:rPr>
        <w:t>31</w:t>
      </w:r>
      <w:r>
        <w:rPr>
          <w:rFonts w:hint="eastAsia"/>
          <w:sz w:val="21"/>
          <w:szCs w:val="21"/>
        </w:rPr>
        <w:t>日，公司控股子公司</w:t>
      </w:r>
      <w:r>
        <w:rPr>
          <w:rFonts w:ascii="Times New Roman" w:eastAsia="等线" w:hAnsi="Times New Roman" w:cs="Times New Roman"/>
          <w:sz w:val="21"/>
          <w:szCs w:val="21"/>
        </w:rPr>
        <w:t>Trividia Health Inc.</w:t>
      </w:r>
      <w:r>
        <w:rPr>
          <w:rFonts w:hint="eastAsia"/>
          <w:sz w:val="21"/>
          <w:szCs w:val="21"/>
        </w:rPr>
        <w:t>正在申请</w:t>
      </w:r>
      <w:r>
        <w:rPr>
          <w:rFonts w:ascii="Times New Roman" w:eastAsia="等线" w:hAnsi="Times New Roman" w:cs="Times New Roman"/>
          <w:sz w:val="21"/>
          <w:szCs w:val="21"/>
        </w:rPr>
        <w:t>2</w:t>
      </w:r>
      <w:r>
        <w:rPr>
          <w:rFonts w:hint="eastAsia"/>
          <w:sz w:val="21"/>
          <w:szCs w:val="21"/>
        </w:rPr>
        <w:t>项</w:t>
      </w:r>
      <w:r>
        <w:rPr>
          <w:rFonts w:ascii="Times New Roman" w:eastAsia="等线" w:hAnsi="Times New Roman" w:cs="Times New Roman"/>
          <w:sz w:val="21"/>
          <w:szCs w:val="21"/>
        </w:rPr>
        <w:t>CE</w:t>
      </w:r>
      <w:r>
        <w:rPr>
          <w:rFonts w:hint="eastAsia"/>
          <w:sz w:val="21"/>
          <w:szCs w:val="21"/>
        </w:rPr>
        <w:t>认证，具体明细如下：</w:t>
      </w:r>
    </w:p>
    <w:tbl>
      <w:tblPr>
        <w:tblW w:w="10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7"/>
        <w:gridCol w:w="1278"/>
        <w:gridCol w:w="851"/>
        <w:gridCol w:w="6094"/>
        <w:gridCol w:w="1854"/>
      </w:tblGrid>
      <w:tr w:rsidR="00113A51" w14:paraId="1BD5196D" w14:textId="77777777" w:rsidTr="00C707CF">
        <w:trPr>
          <w:cantSplit/>
          <w:jc w:val="center"/>
        </w:trPr>
        <w:tc>
          <w:tcPr>
            <w:tcW w:w="417" w:type="dxa"/>
            <w:shd w:val="clear" w:color="auto" w:fill="D0CECE"/>
            <w:tcMar>
              <w:top w:w="10" w:type="dxa"/>
              <w:left w:w="10" w:type="dxa"/>
              <w:bottom w:w="10" w:type="dxa"/>
              <w:right w:w="10" w:type="dxa"/>
            </w:tcMar>
            <w:vAlign w:val="center"/>
          </w:tcPr>
          <w:p w14:paraId="7B3A57AC"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序号</w:t>
            </w:r>
          </w:p>
        </w:tc>
        <w:tc>
          <w:tcPr>
            <w:tcW w:w="1278" w:type="dxa"/>
            <w:shd w:val="clear" w:color="auto" w:fill="D0CECE"/>
            <w:tcMar>
              <w:top w:w="10" w:type="dxa"/>
              <w:left w:w="10" w:type="dxa"/>
              <w:bottom w:w="10" w:type="dxa"/>
              <w:right w:w="10" w:type="dxa"/>
            </w:tcMar>
            <w:vAlign w:val="center"/>
          </w:tcPr>
          <w:p w14:paraId="1102CCAF"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名称</w:t>
            </w:r>
          </w:p>
        </w:tc>
        <w:tc>
          <w:tcPr>
            <w:tcW w:w="851" w:type="dxa"/>
            <w:shd w:val="clear" w:color="auto" w:fill="D0CECE"/>
            <w:tcMar>
              <w:top w:w="10" w:type="dxa"/>
              <w:left w:w="10" w:type="dxa"/>
              <w:bottom w:w="10" w:type="dxa"/>
              <w:right w:w="10" w:type="dxa"/>
            </w:tcMar>
            <w:vAlign w:val="center"/>
          </w:tcPr>
          <w:p w14:paraId="5F74FA87"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w:t>
            </w:r>
          </w:p>
          <w:p w14:paraId="6B33DFC3"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分类</w:t>
            </w:r>
          </w:p>
        </w:tc>
        <w:tc>
          <w:tcPr>
            <w:tcW w:w="6094" w:type="dxa"/>
            <w:shd w:val="clear" w:color="auto" w:fill="D0CECE"/>
            <w:tcMar>
              <w:top w:w="10" w:type="dxa"/>
              <w:left w:w="10" w:type="dxa"/>
              <w:bottom w:w="10" w:type="dxa"/>
              <w:right w:w="10" w:type="dxa"/>
            </w:tcMar>
            <w:vAlign w:val="center"/>
          </w:tcPr>
          <w:p w14:paraId="0B25A1C0"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临床用途</w:t>
            </w:r>
          </w:p>
        </w:tc>
        <w:tc>
          <w:tcPr>
            <w:tcW w:w="1854" w:type="dxa"/>
            <w:shd w:val="clear" w:color="auto" w:fill="D0CECE"/>
            <w:tcMar>
              <w:top w:w="10" w:type="dxa"/>
              <w:left w:w="10" w:type="dxa"/>
              <w:bottom w:w="10" w:type="dxa"/>
              <w:right w:w="10" w:type="dxa"/>
            </w:tcMar>
            <w:vAlign w:val="center"/>
          </w:tcPr>
          <w:p w14:paraId="7BC08097" w14:textId="77777777" w:rsidR="00113A51" w:rsidRDefault="00766EC7">
            <w:pPr>
              <w:pStyle w:val="a9"/>
              <w:spacing w:before="40" w:beforeAutospacing="0" w:after="40" w:afterAutospacing="0"/>
              <w:jc w:val="center"/>
              <w:rPr>
                <w:rFonts w:ascii="等线" w:eastAsia="等线" w:hAnsi="等线"/>
                <w:sz w:val="21"/>
                <w:szCs w:val="21"/>
              </w:rPr>
            </w:pPr>
            <w:r>
              <w:rPr>
                <w:rStyle w:val="aa"/>
                <w:rFonts w:hint="eastAsia"/>
                <w:sz w:val="18"/>
                <w:szCs w:val="18"/>
              </w:rPr>
              <w:t>注册所处阶段</w:t>
            </w:r>
          </w:p>
        </w:tc>
      </w:tr>
      <w:tr w:rsidR="00113A51" w14:paraId="19CDE326" w14:textId="77777777" w:rsidTr="00C707CF">
        <w:trPr>
          <w:cantSplit/>
          <w:trHeight w:val="1289"/>
          <w:jc w:val="center"/>
        </w:trPr>
        <w:tc>
          <w:tcPr>
            <w:tcW w:w="417" w:type="dxa"/>
            <w:tcMar>
              <w:top w:w="10" w:type="dxa"/>
              <w:left w:w="10" w:type="dxa"/>
              <w:bottom w:w="10" w:type="dxa"/>
              <w:right w:w="10" w:type="dxa"/>
            </w:tcMar>
            <w:vAlign w:val="center"/>
          </w:tcPr>
          <w:p w14:paraId="06AAEFF8"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1</w:t>
            </w:r>
          </w:p>
        </w:tc>
        <w:tc>
          <w:tcPr>
            <w:tcW w:w="1278" w:type="dxa"/>
            <w:tcMar>
              <w:top w:w="10" w:type="dxa"/>
              <w:left w:w="10" w:type="dxa"/>
              <w:bottom w:w="10" w:type="dxa"/>
              <w:right w:w="10" w:type="dxa"/>
            </w:tcMar>
            <w:vAlign w:val="center"/>
          </w:tcPr>
          <w:p w14:paraId="0CFEF3FF"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TRUEplus Lancets</w:t>
            </w:r>
          </w:p>
        </w:tc>
        <w:tc>
          <w:tcPr>
            <w:tcW w:w="851" w:type="dxa"/>
            <w:tcMar>
              <w:top w:w="10" w:type="dxa"/>
              <w:left w:w="10" w:type="dxa"/>
              <w:bottom w:w="10" w:type="dxa"/>
              <w:right w:w="10" w:type="dxa"/>
            </w:tcMar>
            <w:vAlign w:val="center"/>
          </w:tcPr>
          <w:p w14:paraId="335684C5"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Class IIa </w:t>
            </w:r>
          </w:p>
        </w:tc>
        <w:tc>
          <w:tcPr>
            <w:tcW w:w="6094" w:type="dxa"/>
            <w:tcMar>
              <w:top w:w="10" w:type="dxa"/>
              <w:left w:w="10" w:type="dxa"/>
              <w:bottom w:w="10" w:type="dxa"/>
              <w:right w:w="10" w:type="dxa"/>
            </w:tcMar>
            <w:vAlign w:val="center"/>
          </w:tcPr>
          <w:p w14:paraId="35442C5D"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TRUEplus Lancets are intended for single use only in the penetration of human skin of the finger (or other alternate sites such as forearm) to obtain a capillary whole blood sample. They are intended for use by lay users. The intended population for the TRUEplus lancets is people over 6 months.</w:t>
            </w:r>
          </w:p>
        </w:tc>
        <w:tc>
          <w:tcPr>
            <w:tcW w:w="1854" w:type="dxa"/>
            <w:tcMar>
              <w:top w:w="10" w:type="dxa"/>
              <w:left w:w="10" w:type="dxa"/>
              <w:bottom w:w="10" w:type="dxa"/>
              <w:right w:w="10" w:type="dxa"/>
            </w:tcMar>
            <w:vAlign w:val="center"/>
          </w:tcPr>
          <w:p w14:paraId="74D6D356"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评审中</w:t>
            </w:r>
          </w:p>
        </w:tc>
      </w:tr>
      <w:tr w:rsidR="00113A51" w14:paraId="6152B0A3" w14:textId="77777777" w:rsidTr="00C707CF">
        <w:trPr>
          <w:cantSplit/>
          <w:jc w:val="center"/>
        </w:trPr>
        <w:tc>
          <w:tcPr>
            <w:tcW w:w="417" w:type="dxa"/>
            <w:vMerge w:val="restart"/>
            <w:tcMar>
              <w:top w:w="10" w:type="dxa"/>
              <w:left w:w="10" w:type="dxa"/>
              <w:bottom w:w="10" w:type="dxa"/>
              <w:right w:w="10" w:type="dxa"/>
            </w:tcMar>
            <w:vAlign w:val="center"/>
          </w:tcPr>
          <w:p w14:paraId="7B8D04CA"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2</w:t>
            </w:r>
          </w:p>
        </w:tc>
        <w:tc>
          <w:tcPr>
            <w:tcW w:w="1278" w:type="dxa"/>
            <w:tcMar>
              <w:top w:w="10" w:type="dxa"/>
              <w:left w:w="10" w:type="dxa"/>
              <w:bottom w:w="10" w:type="dxa"/>
              <w:right w:w="10" w:type="dxa"/>
            </w:tcMar>
            <w:vAlign w:val="center"/>
          </w:tcPr>
          <w:p w14:paraId="7BBECF84"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 xml:space="preserve">TRUE METRIX </w:t>
            </w:r>
          </w:p>
        </w:tc>
        <w:tc>
          <w:tcPr>
            <w:tcW w:w="851" w:type="dxa"/>
            <w:vMerge w:val="restart"/>
            <w:tcMar>
              <w:top w:w="10" w:type="dxa"/>
              <w:left w:w="10" w:type="dxa"/>
              <w:bottom w:w="10" w:type="dxa"/>
              <w:right w:w="10" w:type="dxa"/>
            </w:tcMar>
            <w:vAlign w:val="center"/>
          </w:tcPr>
          <w:p w14:paraId="54285E7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Class C (2017/746)</w:t>
            </w:r>
          </w:p>
        </w:tc>
        <w:tc>
          <w:tcPr>
            <w:tcW w:w="6094" w:type="dxa"/>
            <w:tcMar>
              <w:top w:w="10" w:type="dxa"/>
              <w:left w:w="10" w:type="dxa"/>
              <w:bottom w:w="10" w:type="dxa"/>
              <w:right w:w="10" w:type="dxa"/>
            </w:tcMar>
            <w:vAlign w:val="center"/>
          </w:tcPr>
          <w:p w14:paraId="4EC71A7B"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Blood Glucose Monitoring System is a medical device intended to be used in vitro for the measurement of glucose in human whole blood for the purpose of monitoring the effectiveness of diabetes control. </w:t>
            </w:r>
          </w:p>
          <w:p w14:paraId="5EA1B7AD"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 METRIX Blood Glucose Meter is intended for the quantitative determination of glucose in human whole blood taken from the fingertip or forearm (capillary) or from the vein (venous). The System may not be used for neonates. The System is intended for at-home use (self-testing) and for use by Healthcare Professionals in both physicians’ offices and in acute and convalescent-care bedside testing facilities in order to assist in the management of diabetes.</w:t>
            </w:r>
          </w:p>
        </w:tc>
        <w:tc>
          <w:tcPr>
            <w:tcW w:w="1854" w:type="dxa"/>
            <w:vMerge w:val="restart"/>
            <w:tcMar>
              <w:top w:w="10" w:type="dxa"/>
              <w:left w:w="10" w:type="dxa"/>
              <w:bottom w:w="10" w:type="dxa"/>
              <w:right w:w="10" w:type="dxa"/>
            </w:tcMar>
            <w:vAlign w:val="center"/>
          </w:tcPr>
          <w:p w14:paraId="11871B3E" w14:textId="77777777" w:rsidR="00113A51" w:rsidRDefault="00766EC7">
            <w:pPr>
              <w:pStyle w:val="a9"/>
              <w:spacing w:before="40" w:beforeAutospacing="0" w:after="40" w:afterAutospacing="0"/>
              <w:jc w:val="center"/>
              <w:rPr>
                <w:rFonts w:ascii="等线" w:eastAsia="等线" w:hAnsi="等线"/>
                <w:sz w:val="21"/>
                <w:szCs w:val="21"/>
              </w:rPr>
            </w:pPr>
            <w:r>
              <w:rPr>
                <w:rFonts w:hint="eastAsia"/>
                <w:sz w:val="18"/>
                <w:szCs w:val="18"/>
              </w:rPr>
              <w:t>评审中</w:t>
            </w:r>
          </w:p>
        </w:tc>
      </w:tr>
      <w:tr w:rsidR="00113A51" w14:paraId="7CA58796" w14:textId="77777777" w:rsidTr="00C707CF">
        <w:trPr>
          <w:cantSplit/>
          <w:jc w:val="center"/>
        </w:trPr>
        <w:tc>
          <w:tcPr>
            <w:tcW w:w="0" w:type="auto"/>
            <w:vMerge/>
            <w:vAlign w:val="center"/>
          </w:tcPr>
          <w:p w14:paraId="4650CB77" w14:textId="77777777" w:rsidR="00113A51" w:rsidRDefault="00113A51">
            <w:pPr>
              <w:rPr>
                <w:rFonts w:ascii="等线" w:eastAsia="等线" w:hAnsi="等线" w:cs="宋体"/>
                <w:szCs w:val="21"/>
              </w:rPr>
            </w:pPr>
          </w:p>
        </w:tc>
        <w:tc>
          <w:tcPr>
            <w:tcW w:w="1278" w:type="dxa"/>
            <w:tcMar>
              <w:top w:w="10" w:type="dxa"/>
              <w:left w:w="10" w:type="dxa"/>
              <w:bottom w:w="10" w:type="dxa"/>
              <w:right w:w="10" w:type="dxa"/>
            </w:tcMar>
            <w:vAlign w:val="center"/>
          </w:tcPr>
          <w:p w14:paraId="34170EB1"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GO</w:t>
            </w:r>
          </w:p>
        </w:tc>
        <w:tc>
          <w:tcPr>
            <w:tcW w:w="0" w:type="auto"/>
            <w:vMerge/>
            <w:vAlign w:val="center"/>
          </w:tcPr>
          <w:p w14:paraId="1F598BF2" w14:textId="77777777" w:rsidR="00113A51" w:rsidRDefault="00113A51">
            <w:pPr>
              <w:rPr>
                <w:rFonts w:ascii="等线" w:eastAsia="等线" w:hAnsi="等线" w:cs="宋体"/>
                <w:szCs w:val="21"/>
              </w:rPr>
            </w:pPr>
          </w:p>
        </w:tc>
        <w:tc>
          <w:tcPr>
            <w:tcW w:w="6094" w:type="dxa"/>
            <w:tcMar>
              <w:top w:w="10" w:type="dxa"/>
              <w:left w:w="10" w:type="dxa"/>
              <w:bottom w:w="10" w:type="dxa"/>
              <w:right w:w="10" w:type="dxa"/>
            </w:tcMar>
            <w:vAlign w:val="center"/>
          </w:tcPr>
          <w:p w14:paraId="4853B916"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 xml:space="preserve">The TRUE METRIX GO Blood Glucose Monitoring System is a medical device intended to be used in vitro for the measurement of glucose in human whole blood for the purpose of monitoring the effectiveness of diabetes control. </w:t>
            </w:r>
          </w:p>
          <w:p w14:paraId="1CDBF78C"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 METRIX GO Blood Glucose Monitoring System is intended for the quantitative determination of glucose (sugar) in fresh, human whole blood taken from the fingertip or forearm (capillary) and from the vein (venous). The System is intended for at-home use (self-testing by a single person and not shared) and for use by healthcare professionals for multiple-patient use in professional healthcare settings. The system is not to be used on neonates or for the diagnosis or screening of diabetes mellitus. Alternate site (forearm) testing can only be performed during steady-state blood glucose conditions.</w:t>
            </w:r>
          </w:p>
        </w:tc>
        <w:tc>
          <w:tcPr>
            <w:tcW w:w="1854" w:type="dxa"/>
            <w:vMerge/>
            <w:vAlign w:val="center"/>
          </w:tcPr>
          <w:p w14:paraId="530EE456" w14:textId="77777777" w:rsidR="00113A51" w:rsidRDefault="00113A51">
            <w:pPr>
              <w:rPr>
                <w:rFonts w:ascii="等线" w:eastAsia="等线" w:hAnsi="等线" w:cs="宋体"/>
                <w:szCs w:val="21"/>
              </w:rPr>
            </w:pPr>
          </w:p>
        </w:tc>
      </w:tr>
      <w:tr w:rsidR="00113A51" w14:paraId="1BAF7E37" w14:textId="77777777" w:rsidTr="00C707CF">
        <w:trPr>
          <w:cantSplit/>
          <w:jc w:val="center"/>
        </w:trPr>
        <w:tc>
          <w:tcPr>
            <w:tcW w:w="0" w:type="auto"/>
            <w:vMerge/>
            <w:vAlign w:val="center"/>
          </w:tcPr>
          <w:p w14:paraId="062BF92C" w14:textId="77777777" w:rsidR="00113A51" w:rsidRDefault="00113A51">
            <w:pPr>
              <w:rPr>
                <w:rFonts w:ascii="等线" w:eastAsia="等线" w:hAnsi="等线" w:cs="宋体"/>
                <w:szCs w:val="21"/>
              </w:rPr>
            </w:pPr>
          </w:p>
        </w:tc>
        <w:tc>
          <w:tcPr>
            <w:tcW w:w="1278" w:type="dxa"/>
            <w:tcMar>
              <w:top w:w="10" w:type="dxa"/>
              <w:left w:w="10" w:type="dxa"/>
              <w:bottom w:w="10" w:type="dxa"/>
              <w:right w:w="10" w:type="dxa"/>
            </w:tcMar>
            <w:vAlign w:val="center"/>
          </w:tcPr>
          <w:p w14:paraId="7E2FFDD6" w14:textId="77777777" w:rsidR="00113A51" w:rsidRDefault="00766EC7">
            <w:pPr>
              <w:pStyle w:val="a9"/>
              <w:spacing w:before="40" w:beforeAutospacing="0" w:after="40" w:afterAutospacing="0"/>
              <w:jc w:val="center"/>
              <w:rPr>
                <w:rFonts w:ascii="等线" w:eastAsia="等线" w:hAnsi="等线"/>
                <w:sz w:val="21"/>
                <w:szCs w:val="21"/>
              </w:rPr>
            </w:pPr>
            <w:r>
              <w:rPr>
                <w:rFonts w:ascii="Times New Roman" w:eastAsia="等线" w:hAnsi="Times New Roman" w:cs="Times New Roman"/>
                <w:sz w:val="18"/>
                <w:szCs w:val="18"/>
              </w:rPr>
              <w:t>TRUE METRIX AIR</w:t>
            </w:r>
          </w:p>
        </w:tc>
        <w:tc>
          <w:tcPr>
            <w:tcW w:w="0" w:type="auto"/>
            <w:vMerge/>
            <w:vAlign w:val="center"/>
          </w:tcPr>
          <w:p w14:paraId="58CC252B" w14:textId="77777777" w:rsidR="00113A51" w:rsidRDefault="00113A51">
            <w:pPr>
              <w:rPr>
                <w:rFonts w:ascii="等线" w:eastAsia="等线" w:hAnsi="等线" w:cs="宋体"/>
                <w:szCs w:val="21"/>
              </w:rPr>
            </w:pPr>
          </w:p>
        </w:tc>
        <w:tc>
          <w:tcPr>
            <w:tcW w:w="6094" w:type="dxa"/>
            <w:tcMar>
              <w:top w:w="10" w:type="dxa"/>
              <w:left w:w="10" w:type="dxa"/>
              <w:bottom w:w="10" w:type="dxa"/>
              <w:right w:w="10" w:type="dxa"/>
            </w:tcMar>
            <w:vAlign w:val="center"/>
          </w:tcPr>
          <w:p w14:paraId="5CAC24C8" w14:textId="77777777" w:rsidR="00113A51" w:rsidRDefault="00766EC7">
            <w:pPr>
              <w:pStyle w:val="a9"/>
              <w:spacing w:before="40" w:beforeAutospacing="0" w:after="40" w:afterAutospacing="0"/>
              <w:jc w:val="both"/>
              <w:rPr>
                <w:rFonts w:ascii="等线" w:eastAsia="等线" w:hAnsi="等线"/>
                <w:sz w:val="21"/>
                <w:szCs w:val="21"/>
              </w:rPr>
            </w:pPr>
            <w:r>
              <w:rPr>
                <w:rFonts w:ascii="Times New Roman" w:eastAsia="等线" w:hAnsi="Times New Roman" w:cs="Times New Roman"/>
                <w:sz w:val="18"/>
                <w:szCs w:val="18"/>
              </w:rPr>
              <w:t>The TRUE METRIX AIR Blood Glucose Monitoring System is a medical device intended to be used in vitro for the measurement of glucose in human whole blood for the purpose of monitoring the effectiveness of diabetes control with wireless transmission capability via Bluetooth Smart of results stored in meter memory. The TRUE METRIX AIR Blood Glucose Monitoring System is intended for the quantitative measurement of glucose (sugar) in fresh, human whole blood taken from the fingertip or forearm (capillary) or from the vein (venous). The system is intended for at-home use (self-testing by a single person and not shared) and for use by Healthcare Professionals for multiple patient use in professional healthcare settings. The system is not to be used on neonates or for the diagnosis or screening of diabetes mellitus.</w:t>
            </w:r>
          </w:p>
        </w:tc>
        <w:tc>
          <w:tcPr>
            <w:tcW w:w="1854" w:type="dxa"/>
            <w:vMerge/>
            <w:vAlign w:val="center"/>
          </w:tcPr>
          <w:p w14:paraId="5C5F21B4" w14:textId="77777777" w:rsidR="00113A51" w:rsidRDefault="00113A51">
            <w:pPr>
              <w:rPr>
                <w:rFonts w:ascii="等线" w:eastAsia="等线" w:hAnsi="等线" w:cs="宋体"/>
                <w:szCs w:val="21"/>
              </w:rPr>
            </w:pPr>
          </w:p>
        </w:tc>
      </w:tr>
    </w:tbl>
    <w:p w14:paraId="2D4A19D5" w14:textId="77777777" w:rsidR="00113A51" w:rsidRDefault="00766EC7">
      <w:pPr>
        <w:pStyle w:val="3"/>
        <w:spacing w:line="280" w:lineRule="exact"/>
        <w:jc w:val="left"/>
        <w:rPr>
          <w:rFonts w:ascii="宋体" w:hAnsi="宋体" w:cs="宋体"/>
          <w:b/>
          <w:bCs/>
        </w:rPr>
      </w:pPr>
      <w:bookmarkStart w:id="34" w:name="_Toc988918"/>
      <w:r>
        <w:rPr>
          <w:rFonts w:ascii="宋体" w:hAnsi="宋体" w:cs="宋体"/>
          <w:b/>
          <w:bCs/>
        </w:rPr>
        <w:t>5、现金流</w:t>
      </w:r>
      <w:bookmarkEnd w:id="34"/>
    </w:p>
    <w:p w14:paraId="348637B4" w14:textId="77777777" w:rsidR="00113A51" w:rsidRDefault="00766EC7">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2" w:type="dxa"/>
        <w:tblInd w:w="108" w:type="dxa"/>
        <w:tblLayout w:type="fixed"/>
        <w:tblLook w:val="04A0" w:firstRow="1" w:lastRow="0" w:firstColumn="1" w:lastColumn="0" w:noHBand="0" w:noVBand="1"/>
      </w:tblPr>
      <w:tblGrid>
        <w:gridCol w:w="2693"/>
        <w:gridCol w:w="2313"/>
        <w:gridCol w:w="2313"/>
        <w:gridCol w:w="2313"/>
      </w:tblGrid>
      <w:tr w:rsidR="00C57E60" w14:paraId="43892211"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5A9A27B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项目</w:t>
            </w:r>
          </w:p>
        </w:tc>
        <w:tc>
          <w:tcPr>
            <w:tcW w:w="2313" w:type="dxa"/>
            <w:tcBorders>
              <w:top w:val="single" w:sz="2" w:space="0" w:color="auto"/>
              <w:left w:val="single" w:sz="2" w:space="0" w:color="auto"/>
              <w:bottom w:val="single" w:sz="2" w:space="0" w:color="auto"/>
              <w:right w:val="single" w:sz="2" w:space="0" w:color="auto"/>
            </w:tcBorders>
            <w:shd w:val="clear" w:color="auto" w:fill="D3D3D3"/>
            <w:vAlign w:val="center"/>
          </w:tcPr>
          <w:p w14:paraId="0B05AFD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p>
        </w:tc>
        <w:tc>
          <w:tcPr>
            <w:tcW w:w="2313" w:type="dxa"/>
            <w:tcBorders>
              <w:top w:val="single" w:sz="2" w:space="0" w:color="auto"/>
              <w:left w:val="single" w:sz="2" w:space="0" w:color="auto"/>
              <w:bottom w:val="single" w:sz="2" w:space="0" w:color="auto"/>
              <w:right w:val="single" w:sz="2" w:space="0" w:color="auto"/>
            </w:tcBorders>
            <w:shd w:val="clear" w:color="auto" w:fill="D3D3D3"/>
            <w:vAlign w:val="center"/>
          </w:tcPr>
          <w:p w14:paraId="02ABCF7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w:t>
            </w:r>
          </w:p>
        </w:tc>
        <w:tc>
          <w:tcPr>
            <w:tcW w:w="2313" w:type="dxa"/>
            <w:tcBorders>
              <w:top w:val="single" w:sz="2" w:space="0" w:color="auto"/>
              <w:left w:val="single" w:sz="2" w:space="0" w:color="auto"/>
              <w:bottom w:val="single" w:sz="2" w:space="0" w:color="auto"/>
              <w:right w:val="single" w:sz="2" w:space="0" w:color="auto"/>
            </w:tcBorders>
            <w:shd w:val="clear" w:color="auto" w:fill="D3D3D3"/>
            <w:vAlign w:val="center"/>
          </w:tcPr>
          <w:p w14:paraId="13BF9DE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同比增减</w:t>
            </w:r>
          </w:p>
        </w:tc>
      </w:tr>
      <w:tr w:rsidR="00C57E60" w14:paraId="5DB4326C"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5047F5E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经营活动现金流入小计</w:t>
            </w:r>
          </w:p>
        </w:tc>
        <w:tc>
          <w:tcPr>
            <w:tcW w:w="2313" w:type="dxa"/>
            <w:tcBorders>
              <w:top w:val="single" w:sz="2" w:space="0" w:color="auto"/>
              <w:left w:val="single" w:sz="2" w:space="0" w:color="auto"/>
              <w:bottom w:val="single" w:sz="2" w:space="0" w:color="auto"/>
              <w:right w:val="single" w:sz="2" w:space="0" w:color="auto"/>
            </w:tcBorders>
            <w:vAlign w:val="center"/>
          </w:tcPr>
          <w:p w14:paraId="0F8CFF1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5,074,328,015.47</w:t>
            </w:r>
          </w:p>
        </w:tc>
        <w:tc>
          <w:tcPr>
            <w:tcW w:w="2313" w:type="dxa"/>
            <w:tcBorders>
              <w:top w:val="single" w:sz="2" w:space="0" w:color="auto"/>
              <w:left w:val="single" w:sz="2" w:space="0" w:color="auto"/>
              <w:bottom w:val="single" w:sz="2" w:space="0" w:color="auto"/>
              <w:right w:val="single" w:sz="2" w:space="0" w:color="auto"/>
            </w:tcBorders>
            <w:vAlign w:val="center"/>
          </w:tcPr>
          <w:p w14:paraId="5ACB0F9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4,493,985,390.69</w:t>
            </w:r>
          </w:p>
        </w:tc>
        <w:tc>
          <w:tcPr>
            <w:tcW w:w="2313" w:type="dxa"/>
            <w:tcBorders>
              <w:top w:val="single" w:sz="2" w:space="0" w:color="auto"/>
              <w:left w:val="single" w:sz="2" w:space="0" w:color="auto"/>
              <w:bottom w:val="single" w:sz="2" w:space="0" w:color="auto"/>
              <w:right w:val="single" w:sz="2" w:space="0" w:color="auto"/>
            </w:tcBorders>
            <w:vAlign w:val="center"/>
          </w:tcPr>
          <w:p w14:paraId="4ED6AAB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12.91%</w:t>
            </w:r>
          </w:p>
        </w:tc>
      </w:tr>
      <w:tr w:rsidR="00C57E60" w14:paraId="300ED247"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7EDDBD5E"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经营活动现金流出小计</w:t>
            </w:r>
          </w:p>
        </w:tc>
        <w:tc>
          <w:tcPr>
            <w:tcW w:w="2313" w:type="dxa"/>
            <w:tcBorders>
              <w:top w:val="single" w:sz="2" w:space="0" w:color="auto"/>
              <w:left w:val="single" w:sz="2" w:space="0" w:color="auto"/>
              <w:bottom w:val="single" w:sz="2" w:space="0" w:color="auto"/>
              <w:right w:val="single" w:sz="2" w:space="0" w:color="auto"/>
            </w:tcBorders>
            <w:vAlign w:val="center"/>
          </w:tcPr>
          <w:p w14:paraId="2E58AA8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4,469,183,446.89</w:t>
            </w:r>
          </w:p>
        </w:tc>
        <w:tc>
          <w:tcPr>
            <w:tcW w:w="2313" w:type="dxa"/>
            <w:tcBorders>
              <w:top w:val="single" w:sz="2" w:space="0" w:color="auto"/>
              <w:left w:val="single" w:sz="2" w:space="0" w:color="auto"/>
              <w:bottom w:val="single" w:sz="2" w:space="0" w:color="auto"/>
              <w:right w:val="single" w:sz="2" w:space="0" w:color="auto"/>
            </w:tcBorders>
            <w:vAlign w:val="center"/>
          </w:tcPr>
          <w:p w14:paraId="06C8A67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3,862,696,491.52</w:t>
            </w:r>
          </w:p>
        </w:tc>
        <w:tc>
          <w:tcPr>
            <w:tcW w:w="2313" w:type="dxa"/>
            <w:tcBorders>
              <w:top w:val="single" w:sz="2" w:space="0" w:color="auto"/>
              <w:left w:val="single" w:sz="2" w:space="0" w:color="auto"/>
              <w:bottom w:val="single" w:sz="2" w:space="0" w:color="auto"/>
              <w:right w:val="single" w:sz="2" w:space="0" w:color="auto"/>
            </w:tcBorders>
            <w:vAlign w:val="center"/>
          </w:tcPr>
          <w:p w14:paraId="6619E17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15.70%</w:t>
            </w:r>
          </w:p>
        </w:tc>
      </w:tr>
      <w:tr w:rsidR="00C57E60" w14:paraId="49DCE40A"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7DB3D26F"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经营活动产生的现金流量净额</w:t>
            </w:r>
          </w:p>
        </w:tc>
        <w:tc>
          <w:tcPr>
            <w:tcW w:w="2313" w:type="dxa"/>
            <w:tcBorders>
              <w:top w:val="single" w:sz="2" w:space="0" w:color="auto"/>
              <w:left w:val="single" w:sz="2" w:space="0" w:color="auto"/>
              <w:bottom w:val="single" w:sz="2" w:space="0" w:color="auto"/>
              <w:right w:val="single" w:sz="2" w:space="0" w:color="auto"/>
            </w:tcBorders>
            <w:vAlign w:val="center"/>
          </w:tcPr>
          <w:p w14:paraId="005BDC1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605,144,568.58</w:t>
            </w:r>
          </w:p>
        </w:tc>
        <w:tc>
          <w:tcPr>
            <w:tcW w:w="2313" w:type="dxa"/>
            <w:tcBorders>
              <w:top w:val="single" w:sz="2" w:space="0" w:color="auto"/>
              <w:left w:val="single" w:sz="2" w:space="0" w:color="auto"/>
              <w:bottom w:val="single" w:sz="2" w:space="0" w:color="auto"/>
              <w:right w:val="single" w:sz="2" w:space="0" w:color="auto"/>
            </w:tcBorders>
            <w:vAlign w:val="center"/>
          </w:tcPr>
          <w:p w14:paraId="684EB0F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631,288,899.17</w:t>
            </w:r>
          </w:p>
        </w:tc>
        <w:tc>
          <w:tcPr>
            <w:tcW w:w="2313" w:type="dxa"/>
            <w:tcBorders>
              <w:top w:val="single" w:sz="2" w:space="0" w:color="auto"/>
              <w:left w:val="single" w:sz="2" w:space="0" w:color="auto"/>
              <w:bottom w:val="single" w:sz="2" w:space="0" w:color="auto"/>
              <w:right w:val="single" w:sz="2" w:space="0" w:color="auto"/>
            </w:tcBorders>
            <w:vAlign w:val="center"/>
          </w:tcPr>
          <w:p w14:paraId="2FD502D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-4.14%</w:t>
            </w:r>
          </w:p>
        </w:tc>
      </w:tr>
      <w:tr w:rsidR="00C57E60" w14:paraId="41B570F4"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67651590"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投资活动现金流入小计</w:t>
            </w:r>
          </w:p>
        </w:tc>
        <w:tc>
          <w:tcPr>
            <w:tcW w:w="2313" w:type="dxa"/>
            <w:tcBorders>
              <w:top w:val="single" w:sz="2" w:space="0" w:color="auto"/>
              <w:left w:val="single" w:sz="2" w:space="0" w:color="auto"/>
              <w:bottom w:val="single" w:sz="2" w:space="0" w:color="auto"/>
              <w:right w:val="single" w:sz="2" w:space="0" w:color="auto"/>
            </w:tcBorders>
            <w:vAlign w:val="center"/>
          </w:tcPr>
          <w:p w14:paraId="6718BDC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1,277,411,736.06</w:t>
            </w:r>
          </w:p>
        </w:tc>
        <w:tc>
          <w:tcPr>
            <w:tcW w:w="2313" w:type="dxa"/>
            <w:tcBorders>
              <w:top w:val="single" w:sz="2" w:space="0" w:color="auto"/>
              <w:left w:val="single" w:sz="2" w:space="0" w:color="auto"/>
              <w:bottom w:val="single" w:sz="2" w:space="0" w:color="auto"/>
              <w:right w:val="single" w:sz="2" w:space="0" w:color="auto"/>
            </w:tcBorders>
            <w:vAlign w:val="center"/>
          </w:tcPr>
          <w:p w14:paraId="519E723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491,652,546.59</w:t>
            </w:r>
          </w:p>
        </w:tc>
        <w:tc>
          <w:tcPr>
            <w:tcW w:w="2313" w:type="dxa"/>
            <w:tcBorders>
              <w:top w:val="single" w:sz="2" w:space="0" w:color="auto"/>
              <w:left w:val="single" w:sz="2" w:space="0" w:color="auto"/>
              <w:bottom w:val="single" w:sz="2" w:space="0" w:color="auto"/>
              <w:right w:val="single" w:sz="2" w:space="0" w:color="auto"/>
            </w:tcBorders>
            <w:vAlign w:val="center"/>
          </w:tcPr>
          <w:p w14:paraId="755DAA6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159.82%</w:t>
            </w:r>
          </w:p>
        </w:tc>
      </w:tr>
      <w:tr w:rsidR="00C57E60" w14:paraId="6CF3B25A"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09DBB73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投资活动现金流出小计</w:t>
            </w:r>
          </w:p>
        </w:tc>
        <w:tc>
          <w:tcPr>
            <w:tcW w:w="2313" w:type="dxa"/>
            <w:tcBorders>
              <w:top w:val="single" w:sz="2" w:space="0" w:color="auto"/>
              <w:left w:val="single" w:sz="2" w:space="0" w:color="auto"/>
              <w:bottom w:val="single" w:sz="2" w:space="0" w:color="auto"/>
              <w:right w:val="single" w:sz="2" w:space="0" w:color="auto"/>
            </w:tcBorders>
            <w:vAlign w:val="center"/>
          </w:tcPr>
          <w:p w14:paraId="7542A9C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1,571,303,489.72</w:t>
            </w:r>
          </w:p>
        </w:tc>
        <w:tc>
          <w:tcPr>
            <w:tcW w:w="2313" w:type="dxa"/>
            <w:tcBorders>
              <w:top w:val="single" w:sz="2" w:space="0" w:color="auto"/>
              <w:left w:val="single" w:sz="2" w:space="0" w:color="auto"/>
              <w:bottom w:val="single" w:sz="2" w:space="0" w:color="auto"/>
              <w:right w:val="single" w:sz="2" w:space="0" w:color="auto"/>
            </w:tcBorders>
            <w:vAlign w:val="center"/>
          </w:tcPr>
          <w:p w14:paraId="0B652A7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666,668,722.05</w:t>
            </w:r>
          </w:p>
        </w:tc>
        <w:tc>
          <w:tcPr>
            <w:tcW w:w="2313" w:type="dxa"/>
            <w:tcBorders>
              <w:top w:val="single" w:sz="2" w:space="0" w:color="auto"/>
              <w:left w:val="single" w:sz="2" w:space="0" w:color="auto"/>
              <w:bottom w:val="single" w:sz="2" w:space="0" w:color="auto"/>
              <w:right w:val="single" w:sz="2" w:space="0" w:color="auto"/>
            </w:tcBorders>
            <w:vAlign w:val="center"/>
          </w:tcPr>
          <w:p w14:paraId="65EDCF6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135.69%</w:t>
            </w:r>
          </w:p>
        </w:tc>
      </w:tr>
      <w:tr w:rsidR="00C57E60" w14:paraId="25E5D814"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5A087BA"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投资活动产生的现金流量净额</w:t>
            </w:r>
          </w:p>
        </w:tc>
        <w:tc>
          <w:tcPr>
            <w:tcW w:w="2313" w:type="dxa"/>
            <w:tcBorders>
              <w:top w:val="single" w:sz="2" w:space="0" w:color="auto"/>
              <w:left w:val="single" w:sz="2" w:space="0" w:color="auto"/>
              <w:bottom w:val="single" w:sz="2" w:space="0" w:color="auto"/>
              <w:right w:val="single" w:sz="2" w:space="0" w:color="auto"/>
            </w:tcBorders>
            <w:vAlign w:val="center"/>
          </w:tcPr>
          <w:p w14:paraId="2AC8664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-293,891,753.66</w:t>
            </w:r>
          </w:p>
        </w:tc>
        <w:tc>
          <w:tcPr>
            <w:tcW w:w="2313" w:type="dxa"/>
            <w:tcBorders>
              <w:top w:val="single" w:sz="2" w:space="0" w:color="auto"/>
              <w:left w:val="single" w:sz="2" w:space="0" w:color="auto"/>
              <w:bottom w:val="single" w:sz="2" w:space="0" w:color="auto"/>
              <w:right w:val="single" w:sz="2" w:space="0" w:color="auto"/>
            </w:tcBorders>
            <w:vAlign w:val="center"/>
          </w:tcPr>
          <w:p w14:paraId="6A5E34A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-175,016,175.46</w:t>
            </w:r>
          </w:p>
        </w:tc>
        <w:tc>
          <w:tcPr>
            <w:tcW w:w="2313" w:type="dxa"/>
            <w:tcBorders>
              <w:top w:val="single" w:sz="2" w:space="0" w:color="auto"/>
              <w:left w:val="single" w:sz="2" w:space="0" w:color="auto"/>
              <w:bottom w:val="single" w:sz="2" w:space="0" w:color="auto"/>
              <w:right w:val="single" w:sz="2" w:space="0" w:color="auto"/>
            </w:tcBorders>
            <w:vAlign w:val="center"/>
          </w:tcPr>
          <w:p w14:paraId="2DF1E3E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-67.92%</w:t>
            </w:r>
          </w:p>
        </w:tc>
      </w:tr>
      <w:tr w:rsidR="00C57E60" w14:paraId="62E636C4"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385B7316"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筹资活动现金流入小计</w:t>
            </w:r>
          </w:p>
        </w:tc>
        <w:tc>
          <w:tcPr>
            <w:tcW w:w="2313" w:type="dxa"/>
            <w:tcBorders>
              <w:top w:val="single" w:sz="2" w:space="0" w:color="auto"/>
              <w:left w:val="single" w:sz="2" w:space="0" w:color="auto"/>
              <w:bottom w:val="single" w:sz="2" w:space="0" w:color="auto"/>
              <w:right w:val="single" w:sz="2" w:space="0" w:color="auto"/>
            </w:tcBorders>
            <w:vAlign w:val="center"/>
          </w:tcPr>
          <w:p w14:paraId="2BAF2F9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422,830,193.58</w:t>
            </w:r>
          </w:p>
        </w:tc>
        <w:tc>
          <w:tcPr>
            <w:tcW w:w="2313" w:type="dxa"/>
            <w:tcBorders>
              <w:top w:val="single" w:sz="2" w:space="0" w:color="auto"/>
              <w:left w:val="single" w:sz="2" w:space="0" w:color="auto"/>
              <w:bottom w:val="single" w:sz="2" w:space="0" w:color="auto"/>
              <w:right w:val="single" w:sz="2" w:space="0" w:color="auto"/>
            </w:tcBorders>
            <w:vAlign w:val="center"/>
          </w:tcPr>
          <w:p w14:paraId="18F4F69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231,514,750.02</w:t>
            </w:r>
          </w:p>
        </w:tc>
        <w:tc>
          <w:tcPr>
            <w:tcW w:w="2313" w:type="dxa"/>
            <w:tcBorders>
              <w:top w:val="single" w:sz="2" w:space="0" w:color="auto"/>
              <w:left w:val="single" w:sz="2" w:space="0" w:color="auto"/>
              <w:bottom w:val="single" w:sz="2" w:space="0" w:color="auto"/>
              <w:right w:val="single" w:sz="2" w:space="0" w:color="auto"/>
            </w:tcBorders>
            <w:vAlign w:val="center"/>
          </w:tcPr>
          <w:p w14:paraId="398751A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82.64%</w:t>
            </w:r>
          </w:p>
        </w:tc>
      </w:tr>
      <w:tr w:rsidR="00C57E60" w14:paraId="259905BD"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6612B7E8"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筹资活动现金流出小计</w:t>
            </w:r>
          </w:p>
        </w:tc>
        <w:tc>
          <w:tcPr>
            <w:tcW w:w="2313" w:type="dxa"/>
            <w:tcBorders>
              <w:top w:val="single" w:sz="2" w:space="0" w:color="auto"/>
              <w:left w:val="single" w:sz="2" w:space="0" w:color="auto"/>
              <w:bottom w:val="single" w:sz="2" w:space="0" w:color="auto"/>
              <w:right w:val="single" w:sz="2" w:space="0" w:color="auto"/>
            </w:tcBorders>
            <w:vAlign w:val="center"/>
          </w:tcPr>
          <w:p w14:paraId="59C5E70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798,540,894.65</w:t>
            </w:r>
          </w:p>
        </w:tc>
        <w:tc>
          <w:tcPr>
            <w:tcW w:w="2313" w:type="dxa"/>
            <w:tcBorders>
              <w:top w:val="single" w:sz="2" w:space="0" w:color="auto"/>
              <w:left w:val="single" w:sz="2" w:space="0" w:color="auto"/>
              <w:bottom w:val="single" w:sz="2" w:space="0" w:color="auto"/>
              <w:right w:val="single" w:sz="2" w:space="0" w:color="auto"/>
            </w:tcBorders>
            <w:vAlign w:val="center"/>
          </w:tcPr>
          <w:p w14:paraId="1638B8B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615,788,268.02</w:t>
            </w:r>
          </w:p>
        </w:tc>
        <w:tc>
          <w:tcPr>
            <w:tcW w:w="2313" w:type="dxa"/>
            <w:tcBorders>
              <w:top w:val="single" w:sz="2" w:space="0" w:color="auto"/>
              <w:left w:val="single" w:sz="2" w:space="0" w:color="auto"/>
              <w:bottom w:val="single" w:sz="2" w:space="0" w:color="auto"/>
              <w:right w:val="single" w:sz="2" w:space="0" w:color="auto"/>
            </w:tcBorders>
            <w:vAlign w:val="center"/>
          </w:tcPr>
          <w:p w14:paraId="14588C5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29.68%</w:t>
            </w:r>
          </w:p>
        </w:tc>
      </w:tr>
      <w:tr w:rsidR="00C57E60" w14:paraId="4A1D5B17"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7F9BC73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筹资活动产生的现金流量净额</w:t>
            </w:r>
          </w:p>
        </w:tc>
        <w:tc>
          <w:tcPr>
            <w:tcW w:w="2313" w:type="dxa"/>
            <w:tcBorders>
              <w:top w:val="single" w:sz="2" w:space="0" w:color="auto"/>
              <w:left w:val="single" w:sz="2" w:space="0" w:color="auto"/>
              <w:bottom w:val="single" w:sz="2" w:space="0" w:color="auto"/>
              <w:right w:val="single" w:sz="2" w:space="0" w:color="auto"/>
            </w:tcBorders>
            <w:vAlign w:val="center"/>
          </w:tcPr>
          <w:p w14:paraId="42E5339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-375,710,701.07</w:t>
            </w:r>
          </w:p>
        </w:tc>
        <w:tc>
          <w:tcPr>
            <w:tcW w:w="2313" w:type="dxa"/>
            <w:tcBorders>
              <w:top w:val="single" w:sz="2" w:space="0" w:color="auto"/>
              <w:left w:val="single" w:sz="2" w:space="0" w:color="auto"/>
              <w:bottom w:val="single" w:sz="2" w:space="0" w:color="auto"/>
              <w:right w:val="single" w:sz="2" w:space="0" w:color="auto"/>
            </w:tcBorders>
            <w:vAlign w:val="center"/>
          </w:tcPr>
          <w:p w14:paraId="0FE78B9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-384,273,518.00</w:t>
            </w:r>
          </w:p>
        </w:tc>
        <w:tc>
          <w:tcPr>
            <w:tcW w:w="2313" w:type="dxa"/>
            <w:tcBorders>
              <w:top w:val="single" w:sz="2" w:space="0" w:color="auto"/>
              <w:left w:val="single" w:sz="2" w:space="0" w:color="auto"/>
              <w:bottom w:val="single" w:sz="2" w:space="0" w:color="auto"/>
              <w:right w:val="single" w:sz="2" w:space="0" w:color="auto"/>
            </w:tcBorders>
            <w:vAlign w:val="center"/>
          </w:tcPr>
          <w:p w14:paraId="6E2AA13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2.23%</w:t>
            </w:r>
          </w:p>
        </w:tc>
      </w:tr>
      <w:tr w:rsidR="00C57E60" w14:paraId="201E40D6" w14:textId="77777777">
        <w:trPr>
          <w:trHeight w:val="240"/>
        </w:trPr>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197E68CF"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现金及现金等价物净增加额</w:t>
            </w:r>
          </w:p>
        </w:tc>
        <w:tc>
          <w:tcPr>
            <w:tcW w:w="2313" w:type="dxa"/>
            <w:tcBorders>
              <w:top w:val="single" w:sz="2" w:space="0" w:color="auto"/>
              <w:left w:val="single" w:sz="2" w:space="0" w:color="auto"/>
              <w:bottom w:val="single" w:sz="2" w:space="0" w:color="auto"/>
              <w:right w:val="single" w:sz="2" w:space="0" w:color="auto"/>
            </w:tcBorders>
            <w:vAlign w:val="center"/>
          </w:tcPr>
          <w:p w14:paraId="023910C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-71,584,619.67</w:t>
            </w:r>
          </w:p>
        </w:tc>
        <w:tc>
          <w:tcPr>
            <w:tcW w:w="2313" w:type="dxa"/>
            <w:tcBorders>
              <w:top w:val="single" w:sz="2" w:space="0" w:color="auto"/>
              <w:left w:val="single" w:sz="2" w:space="0" w:color="auto"/>
              <w:bottom w:val="single" w:sz="2" w:space="0" w:color="auto"/>
              <w:right w:val="single" w:sz="2" w:space="0" w:color="auto"/>
            </w:tcBorders>
            <w:vAlign w:val="center"/>
          </w:tcPr>
          <w:p w14:paraId="22BCD3B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62,788,476.45</w:t>
            </w:r>
          </w:p>
        </w:tc>
        <w:tc>
          <w:tcPr>
            <w:tcW w:w="2313" w:type="dxa"/>
            <w:tcBorders>
              <w:top w:val="single" w:sz="2" w:space="0" w:color="auto"/>
              <w:left w:val="single" w:sz="2" w:space="0" w:color="auto"/>
              <w:bottom w:val="single" w:sz="2" w:space="0" w:color="auto"/>
              <w:right w:val="single" w:sz="2" w:space="0" w:color="auto"/>
            </w:tcBorders>
            <w:vAlign w:val="center"/>
          </w:tcPr>
          <w:p w14:paraId="1C65C50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-214.01%</w:t>
            </w:r>
          </w:p>
        </w:tc>
      </w:tr>
    </w:tbl>
    <w:p w14:paraId="52B0C8AC"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相关数据同比发生重大变动的主要影响因素说明</w:t>
      </w:r>
    </w:p>
    <w:p w14:paraId="7CA9C866"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40555DD" w14:textId="77777777" w:rsidR="00113A51" w:rsidRPr="00BF671C" w:rsidRDefault="00766EC7" w:rsidP="00BF671C">
      <w:pPr>
        <w:pStyle w:val="a9"/>
        <w:spacing w:before="0" w:beforeAutospacing="0" w:after="0" w:afterAutospacing="0" w:line="360" w:lineRule="auto"/>
        <w:ind w:firstLineChars="200" w:firstLine="420"/>
        <w:rPr>
          <w:rFonts w:ascii="Times New Roman" w:hAnsi="Times New Roman" w:cs="Times New Roman"/>
          <w:sz w:val="21"/>
          <w:szCs w:val="21"/>
        </w:rPr>
      </w:pPr>
      <w:r w:rsidRPr="00BF671C">
        <w:rPr>
          <w:rFonts w:ascii="Times New Roman" w:hAnsi="Times New Roman" w:cs="Times New Roman"/>
          <w:sz w:val="21"/>
          <w:szCs w:val="21"/>
        </w:rPr>
        <w:t>1</w:t>
      </w:r>
      <w:r w:rsidRPr="00BF671C">
        <w:rPr>
          <w:rFonts w:ascii="Times New Roman" w:hAnsi="Times New Roman" w:cs="Times New Roman"/>
          <w:sz w:val="21"/>
          <w:szCs w:val="21"/>
        </w:rPr>
        <w:t>、投资活动现金流入较上年同期增加，主要系本期收回的理财投资增加所致；</w:t>
      </w:r>
    </w:p>
    <w:p w14:paraId="3645D258" w14:textId="77777777" w:rsidR="00113A51" w:rsidRPr="00BF671C" w:rsidRDefault="00766EC7" w:rsidP="00BF671C">
      <w:pPr>
        <w:pStyle w:val="a9"/>
        <w:spacing w:before="0" w:beforeAutospacing="0" w:after="0" w:afterAutospacing="0" w:line="360" w:lineRule="auto"/>
        <w:ind w:firstLineChars="200" w:firstLine="420"/>
        <w:rPr>
          <w:rFonts w:ascii="Times New Roman" w:hAnsi="Times New Roman" w:cs="Times New Roman"/>
          <w:sz w:val="21"/>
          <w:szCs w:val="21"/>
        </w:rPr>
      </w:pPr>
      <w:r w:rsidRPr="00BF671C">
        <w:rPr>
          <w:rFonts w:ascii="Times New Roman" w:hAnsi="Times New Roman" w:cs="Times New Roman"/>
          <w:sz w:val="21"/>
          <w:szCs w:val="21"/>
        </w:rPr>
        <w:t>2</w:t>
      </w:r>
      <w:r w:rsidRPr="00BF671C">
        <w:rPr>
          <w:rFonts w:ascii="Times New Roman" w:hAnsi="Times New Roman" w:cs="Times New Roman"/>
          <w:sz w:val="21"/>
          <w:szCs w:val="21"/>
        </w:rPr>
        <w:t>、投资活动现金流出较上年同期增加，主要系本期购买的理财投资增加所致；</w:t>
      </w:r>
    </w:p>
    <w:p w14:paraId="1F4E794E" w14:textId="77777777" w:rsidR="00113A51" w:rsidRPr="00BF671C" w:rsidRDefault="00766EC7" w:rsidP="00BF671C">
      <w:pPr>
        <w:pStyle w:val="a9"/>
        <w:spacing w:before="0" w:beforeAutospacing="0" w:after="0" w:afterAutospacing="0" w:line="360" w:lineRule="auto"/>
        <w:ind w:firstLineChars="200" w:firstLine="420"/>
        <w:rPr>
          <w:rFonts w:ascii="Times New Roman" w:hAnsi="Times New Roman" w:cs="Times New Roman"/>
          <w:sz w:val="21"/>
          <w:szCs w:val="21"/>
        </w:rPr>
      </w:pPr>
      <w:r w:rsidRPr="00BF671C">
        <w:rPr>
          <w:rFonts w:ascii="Times New Roman" w:hAnsi="Times New Roman" w:cs="Times New Roman"/>
          <w:sz w:val="21"/>
          <w:szCs w:val="21"/>
        </w:rPr>
        <w:t>3</w:t>
      </w:r>
      <w:r w:rsidRPr="00BF671C">
        <w:rPr>
          <w:rFonts w:ascii="Times New Roman" w:hAnsi="Times New Roman" w:cs="Times New Roman"/>
          <w:sz w:val="21"/>
          <w:szCs w:val="21"/>
        </w:rPr>
        <w:t>、投资活动产生的现金流量净额较上年同期减少，主要系投资活动现金流出增加所致；</w:t>
      </w:r>
    </w:p>
    <w:p w14:paraId="3BF32FB0" w14:textId="77777777" w:rsidR="00113A51" w:rsidRPr="00BF671C" w:rsidRDefault="00766EC7" w:rsidP="00BF671C">
      <w:pPr>
        <w:pStyle w:val="a9"/>
        <w:spacing w:before="0" w:beforeAutospacing="0" w:after="0" w:afterAutospacing="0" w:line="360" w:lineRule="auto"/>
        <w:ind w:firstLineChars="200" w:firstLine="420"/>
        <w:rPr>
          <w:rFonts w:ascii="Times New Roman" w:hAnsi="Times New Roman" w:cs="Times New Roman"/>
          <w:sz w:val="21"/>
          <w:szCs w:val="21"/>
        </w:rPr>
      </w:pPr>
      <w:r w:rsidRPr="00BF671C">
        <w:rPr>
          <w:rFonts w:ascii="Times New Roman" w:hAnsi="Times New Roman" w:cs="Times New Roman"/>
          <w:sz w:val="21"/>
          <w:szCs w:val="21"/>
        </w:rPr>
        <w:t>4</w:t>
      </w:r>
      <w:r w:rsidRPr="00BF671C">
        <w:rPr>
          <w:rFonts w:ascii="Times New Roman" w:hAnsi="Times New Roman" w:cs="Times New Roman"/>
          <w:sz w:val="21"/>
          <w:szCs w:val="21"/>
        </w:rPr>
        <w:t>、筹资活动现金流入较上年同期增加，主要系本期借款增加所致；</w:t>
      </w:r>
    </w:p>
    <w:p w14:paraId="0E5764BE" w14:textId="77777777" w:rsidR="00113A51" w:rsidRPr="00BF671C" w:rsidRDefault="00766EC7" w:rsidP="00BF671C">
      <w:pPr>
        <w:pStyle w:val="a9"/>
        <w:spacing w:before="0" w:beforeAutospacing="0" w:after="0" w:afterAutospacing="0" w:line="360" w:lineRule="auto"/>
        <w:ind w:firstLineChars="200" w:firstLine="420"/>
        <w:rPr>
          <w:rFonts w:ascii="Times New Roman" w:hAnsi="Times New Roman" w:cs="Times New Roman"/>
          <w:sz w:val="21"/>
          <w:szCs w:val="21"/>
        </w:rPr>
      </w:pPr>
      <w:r w:rsidRPr="00BF671C">
        <w:rPr>
          <w:rFonts w:ascii="Times New Roman" w:hAnsi="Times New Roman" w:cs="Times New Roman"/>
          <w:sz w:val="21"/>
          <w:szCs w:val="21"/>
        </w:rPr>
        <w:t>5</w:t>
      </w:r>
      <w:r w:rsidRPr="00BF671C">
        <w:rPr>
          <w:rFonts w:ascii="Times New Roman" w:hAnsi="Times New Roman" w:cs="Times New Roman"/>
          <w:sz w:val="21"/>
          <w:szCs w:val="21"/>
        </w:rPr>
        <w:t>、筹资活动现金流出较上年同期增加，主要系本期支付股份回购增加所致。</w:t>
      </w:r>
    </w:p>
    <w:p w14:paraId="1C5070FC"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报告期内公司经营活动产生的现金净流量与本年度净利润存在重大差异的原因说明</w:t>
      </w:r>
    </w:p>
    <w:p w14:paraId="6A271CC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0C7AECC" w14:textId="77777777" w:rsidR="00113A51" w:rsidRDefault="00766EC7">
      <w:pPr>
        <w:pStyle w:val="2"/>
        <w:spacing w:before="300" w:after="300" w:line="320" w:lineRule="exact"/>
        <w:rPr>
          <w:rFonts w:ascii="宋体" w:eastAsia="宋体" w:hAnsi="宋体" w:cs="宋体"/>
          <w:b/>
          <w:bCs/>
          <w:sz w:val="24"/>
          <w:szCs w:val="24"/>
        </w:rPr>
      </w:pPr>
      <w:bookmarkStart w:id="35" w:name="_Toc988919"/>
      <w:r>
        <w:rPr>
          <w:rFonts w:ascii="宋体" w:eastAsia="宋体" w:hAnsi="宋体" w:cs="宋体"/>
          <w:b/>
          <w:bCs/>
          <w:sz w:val="24"/>
          <w:szCs w:val="24"/>
        </w:rPr>
        <w:t>五、非主营业务情况</w:t>
      </w:r>
      <w:bookmarkEnd w:id="35"/>
    </w:p>
    <w:p w14:paraId="7AE816CB"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3E911DB"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8" w:type="dxa"/>
        <w:tblInd w:w="108" w:type="dxa"/>
        <w:tblLayout w:type="fixed"/>
        <w:tblLook w:val="04A0" w:firstRow="1" w:lastRow="0" w:firstColumn="1" w:lastColumn="0" w:noHBand="0" w:noVBand="1"/>
      </w:tblPr>
      <w:tblGrid>
        <w:gridCol w:w="1304"/>
        <w:gridCol w:w="1417"/>
        <w:gridCol w:w="1134"/>
        <w:gridCol w:w="4791"/>
        <w:gridCol w:w="992"/>
      </w:tblGrid>
      <w:tr w:rsidR="00C57E60" w14:paraId="6CF8C29E"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724F637F" w14:textId="77777777" w:rsidR="00113A51" w:rsidRDefault="00113A51">
            <w:pPr>
              <w:spacing w:line="360" w:lineRule="auto"/>
              <w:rPr>
                <w:rFonts w:ascii="Times New Roman" w:eastAsia="宋体" w:hAnsi="Times New Roman"/>
                <w:sz w:val="18"/>
                <w:szCs w:val="18"/>
              </w:rPr>
            </w:pP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348BB90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3910BCB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占利润总额比例</w:t>
            </w:r>
          </w:p>
        </w:tc>
        <w:tc>
          <w:tcPr>
            <w:tcW w:w="4791" w:type="dxa"/>
            <w:tcBorders>
              <w:top w:val="single" w:sz="2" w:space="0" w:color="auto"/>
              <w:left w:val="single" w:sz="2" w:space="0" w:color="auto"/>
              <w:bottom w:val="single" w:sz="2" w:space="0" w:color="auto"/>
              <w:right w:val="single" w:sz="2" w:space="0" w:color="auto"/>
            </w:tcBorders>
            <w:shd w:val="clear" w:color="auto" w:fill="D3D3D3"/>
            <w:vAlign w:val="center"/>
          </w:tcPr>
          <w:p w14:paraId="2470C17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形成原因说明</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4252FD4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是否具有可持续性</w:t>
            </w:r>
          </w:p>
        </w:tc>
      </w:tr>
      <w:tr w:rsidR="00C57E60" w14:paraId="59DDBCA9"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2B5B9904"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投资收益</w:t>
            </w:r>
          </w:p>
        </w:tc>
        <w:tc>
          <w:tcPr>
            <w:tcW w:w="1417" w:type="dxa"/>
            <w:tcBorders>
              <w:top w:val="single" w:sz="2" w:space="0" w:color="auto"/>
              <w:left w:val="single" w:sz="2" w:space="0" w:color="auto"/>
              <w:bottom w:val="single" w:sz="2" w:space="0" w:color="auto"/>
              <w:right w:val="single" w:sz="2" w:space="0" w:color="auto"/>
            </w:tcBorders>
            <w:vAlign w:val="center"/>
          </w:tcPr>
          <w:p w14:paraId="4402D80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1,401,010.78</w:t>
            </w:r>
          </w:p>
        </w:tc>
        <w:tc>
          <w:tcPr>
            <w:tcW w:w="1134" w:type="dxa"/>
            <w:tcBorders>
              <w:top w:val="single" w:sz="2" w:space="0" w:color="auto"/>
              <w:left w:val="single" w:sz="2" w:space="0" w:color="auto"/>
              <w:bottom w:val="single" w:sz="2" w:space="0" w:color="auto"/>
              <w:right w:val="single" w:sz="2" w:space="0" w:color="auto"/>
            </w:tcBorders>
            <w:vAlign w:val="center"/>
          </w:tcPr>
          <w:p w14:paraId="49D1DF0C" w14:textId="37B8BCEB" w:rsidR="00113A51" w:rsidRDefault="00766EC7" w:rsidP="00BF671C">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w:t>
            </w:r>
            <w:r w:rsidR="00BF671C">
              <w:rPr>
                <w:rFonts w:ascii="Times New Roman" w:eastAsia="宋体" w:hAnsi="Times New Roman" w:cs="宋体"/>
                <w:sz w:val="18"/>
                <w:szCs w:val="18"/>
              </w:rPr>
              <w:t>9</w:t>
            </w:r>
            <w:r>
              <w:rPr>
                <w:rFonts w:ascii="Times New Roman" w:eastAsia="宋体" w:hAnsi="Times New Roman" w:cs="宋体"/>
                <w:sz w:val="18"/>
                <w:szCs w:val="18"/>
              </w:rPr>
              <w:t>%</w:t>
            </w:r>
          </w:p>
        </w:tc>
        <w:tc>
          <w:tcPr>
            <w:tcW w:w="4791" w:type="dxa"/>
            <w:tcBorders>
              <w:top w:val="single" w:sz="2" w:space="0" w:color="auto"/>
              <w:left w:val="single" w:sz="2" w:space="0" w:color="auto"/>
              <w:bottom w:val="single" w:sz="2" w:space="0" w:color="auto"/>
              <w:right w:val="single" w:sz="2" w:space="0" w:color="auto"/>
            </w:tcBorders>
            <w:vAlign w:val="center"/>
          </w:tcPr>
          <w:p w14:paraId="7ABB656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主要系取得交易性金融资产收益</w:t>
            </w:r>
          </w:p>
        </w:tc>
        <w:tc>
          <w:tcPr>
            <w:tcW w:w="992" w:type="dxa"/>
            <w:tcBorders>
              <w:top w:val="single" w:sz="2" w:space="0" w:color="auto"/>
              <w:left w:val="single" w:sz="2" w:space="0" w:color="auto"/>
              <w:bottom w:val="single" w:sz="2" w:space="0" w:color="auto"/>
              <w:right w:val="single" w:sz="2" w:space="0" w:color="auto"/>
            </w:tcBorders>
            <w:vAlign w:val="center"/>
          </w:tcPr>
          <w:p w14:paraId="03C509A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2D83368F"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15AF40A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公允价值变动损益</w:t>
            </w:r>
          </w:p>
        </w:tc>
        <w:tc>
          <w:tcPr>
            <w:tcW w:w="1417" w:type="dxa"/>
            <w:tcBorders>
              <w:top w:val="single" w:sz="2" w:space="0" w:color="auto"/>
              <w:left w:val="single" w:sz="2" w:space="0" w:color="auto"/>
              <w:bottom w:val="single" w:sz="2" w:space="0" w:color="auto"/>
              <w:right w:val="single" w:sz="2" w:space="0" w:color="auto"/>
            </w:tcBorders>
            <w:vAlign w:val="center"/>
          </w:tcPr>
          <w:p w14:paraId="40F9556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1,345,429.99</w:t>
            </w:r>
          </w:p>
        </w:tc>
        <w:tc>
          <w:tcPr>
            <w:tcW w:w="1134" w:type="dxa"/>
            <w:tcBorders>
              <w:top w:val="single" w:sz="2" w:space="0" w:color="auto"/>
              <w:left w:val="single" w:sz="2" w:space="0" w:color="auto"/>
              <w:bottom w:val="single" w:sz="2" w:space="0" w:color="auto"/>
              <w:right w:val="single" w:sz="2" w:space="0" w:color="auto"/>
            </w:tcBorders>
            <w:vAlign w:val="center"/>
          </w:tcPr>
          <w:p w14:paraId="76422B76" w14:textId="716B4EA0" w:rsidR="00113A51" w:rsidRDefault="00BF671C">
            <w:pPr>
              <w:spacing w:line="360" w:lineRule="auto"/>
              <w:jc w:val="right"/>
              <w:rPr>
                <w:rFonts w:ascii="Times New Roman" w:eastAsia="宋体" w:hAnsi="Times New Roman" w:cs="宋体"/>
                <w:sz w:val="18"/>
                <w:szCs w:val="18"/>
              </w:rPr>
            </w:pPr>
            <w:r w:rsidRPr="00BF671C">
              <w:rPr>
                <w:rFonts w:ascii="Times New Roman" w:eastAsia="宋体" w:hAnsi="Times New Roman" w:cs="宋体"/>
                <w:sz w:val="18"/>
                <w:szCs w:val="18"/>
              </w:rPr>
              <w:t>1.82</w:t>
            </w:r>
            <w:r w:rsidR="00766EC7">
              <w:rPr>
                <w:rFonts w:ascii="Times New Roman" w:eastAsia="宋体" w:hAnsi="Times New Roman" w:cs="宋体"/>
                <w:sz w:val="18"/>
                <w:szCs w:val="18"/>
              </w:rPr>
              <w:t>%</w:t>
            </w:r>
          </w:p>
        </w:tc>
        <w:tc>
          <w:tcPr>
            <w:tcW w:w="4791" w:type="dxa"/>
            <w:tcBorders>
              <w:top w:val="single" w:sz="2" w:space="0" w:color="auto"/>
              <w:left w:val="single" w:sz="2" w:space="0" w:color="auto"/>
              <w:bottom w:val="single" w:sz="2" w:space="0" w:color="auto"/>
              <w:right w:val="single" w:sz="2" w:space="0" w:color="auto"/>
            </w:tcBorders>
            <w:vAlign w:val="center"/>
          </w:tcPr>
          <w:p w14:paraId="0FFBEF2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主要系交易性金融资产公允价值变动</w:t>
            </w:r>
          </w:p>
        </w:tc>
        <w:tc>
          <w:tcPr>
            <w:tcW w:w="992" w:type="dxa"/>
            <w:tcBorders>
              <w:top w:val="single" w:sz="2" w:space="0" w:color="auto"/>
              <w:left w:val="single" w:sz="2" w:space="0" w:color="auto"/>
              <w:bottom w:val="single" w:sz="2" w:space="0" w:color="auto"/>
              <w:right w:val="single" w:sz="2" w:space="0" w:color="auto"/>
            </w:tcBorders>
            <w:vAlign w:val="center"/>
          </w:tcPr>
          <w:p w14:paraId="62BBF1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7134B1C0"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5E8C2DDB"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资产减值</w:t>
            </w:r>
          </w:p>
        </w:tc>
        <w:tc>
          <w:tcPr>
            <w:tcW w:w="1417" w:type="dxa"/>
            <w:tcBorders>
              <w:top w:val="single" w:sz="2" w:space="0" w:color="auto"/>
              <w:left w:val="single" w:sz="2" w:space="0" w:color="auto"/>
              <w:bottom w:val="single" w:sz="2" w:space="0" w:color="auto"/>
              <w:right w:val="single" w:sz="2" w:space="0" w:color="auto"/>
            </w:tcBorders>
            <w:vAlign w:val="center"/>
          </w:tcPr>
          <w:p w14:paraId="61913E4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-184,317,259.70</w:t>
            </w:r>
          </w:p>
        </w:tc>
        <w:tc>
          <w:tcPr>
            <w:tcW w:w="1134" w:type="dxa"/>
            <w:tcBorders>
              <w:top w:val="single" w:sz="2" w:space="0" w:color="auto"/>
              <w:left w:val="single" w:sz="2" w:space="0" w:color="auto"/>
              <w:bottom w:val="single" w:sz="2" w:space="0" w:color="auto"/>
              <w:right w:val="single" w:sz="2" w:space="0" w:color="auto"/>
            </w:tcBorders>
            <w:vAlign w:val="center"/>
          </w:tcPr>
          <w:p w14:paraId="15373AAC" w14:textId="412CFC3C" w:rsidR="00113A51" w:rsidRDefault="00BF671C">
            <w:pPr>
              <w:spacing w:line="360" w:lineRule="auto"/>
              <w:jc w:val="right"/>
              <w:rPr>
                <w:rFonts w:ascii="Times New Roman" w:eastAsia="宋体" w:hAnsi="Times New Roman" w:cs="宋体"/>
                <w:sz w:val="18"/>
                <w:szCs w:val="18"/>
              </w:rPr>
            </w:pPr>
            <w:r w:rsidRPr="00BF671C">
              <w:rPr>
                <w:rFonts w:ascii="Times New Roman" w:eastAsia="宋体" w:hAnsi="Times New Roman" w:cs="宋体"/>
                <w:sz w:val="18"/>
                <w:szCs w:val="18"/>
              </w:rPr>
              <w:t>-248.90%</w:t>
            </w:r>
          </w:p>
        </w:tc>
        <w:tc>
          <w:tcPr>
            <w:tcW w:w="4791" w:type="dxa"/>
            <w:tcBorders>
              <w:top w:val="single" w:sz="2" w:space="0" w:color="auto"/>
              <w:left w:val="single" w:sz="2" w:space="0" w:color="auto"/>
              <w:bottom w:val="single" w:sz="2" w:space="0" w:color="auto"/>
              <w:right w:val="single" w:sz="2" w:space="0" w:color="auto"/>
            </w:tcBorders>
            <w:vAlign w:val="center"/>
          </w:tcPr>
          <w:p w14:paraId="237B3D9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主要系计提商誉减值准备及存货跌价损失</w:t>
            </w:r>
          </w:p>
        </w:tc>
        <w:tc>
          <w:tcPr>
            <w:tcW w:w="992" w:type="dxa"/>
            <w:tcBorders>
              <w:top w:val="single" w:sz="2" w:space="0" w:color="auto"/>
              <w:left w:val="single" w:sz="2" w:space="0" w:color="auto"/>
              <w:bottom w:val="single" w:sz="2" w:space="0" w:color="auto"/>
              <w:right w:val="single" w:sz="2" w:space="0" w:color="auto"/>
            </w:tcBorders>
            <w:vAlign w:val="center"/>
          </w:tcPr>
          <w:p w14:paraId="0876BA9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04EA097E"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7B195D49"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营业外收入</w:t>
            </w:r>
          </w:p>
        </w:tc>
        <w:tc>
          <w:tcPr>
            <w:tcW w:w="1417" w:type="dxa"/>
            <w:tcBorders>
              <w:top w:val="single" w:sz="2" w:space="0" w:color="auto"/>
              <w:left w:val="single" w:sz="2" w:space="0" w:color="auto"/>
              <w:bottom w:val="single" w:sz="2" w:space="0" w:color="auto"/>
              <w:right w:val="single" w:sz="2" w:space="0" w:color="auto"/>
            </w:tcBorders>
            <w:vAlign w:val="center"/>
          </w:tcPr>
          <w:p w14:paraId="54975A94" w14:textId="6F7E01F1" w:rsidR="00113A51" w:rsidRDefault="00BF671C">
            <w:pPr>
              <w:spacing w:line="360" w:lineRule="auto"/>
              <w:jc w:val="right"/>
              <w:rPr>
                <w:rFonts w:ascii="Times New Roman" w:eastAsia="宋体" w:hAnsi="Times New Roman" w:cs="宋体"/>
                <w:sz w:val="18"/>
                <w:szCs w:val="18"/>
              </w:rPr>
            </w:pPr>
            <w:r w:rsidRPr="00BF671C">
              <w:rPr>
                <w:rFonts w:ascii="Times New Roman" w:eastAsia="宋体" w:hAnsi="Times New Roman" w:cs="宋体"/>
                <w:sz w:val="18"/>
                <w:szCs w:val="18"/>
              </w:rPr>
              <w:t>15,485,531.49</w:t>
            </w:r>
          </w:p>
        </w:tc>
        <w:tc>
          <w:tcPr>
            <w:tcW w:w="1134" w:type="dxa"/>
            <w:tcBorders>
              <w:top w:val="single" w:sz="2" w:space="0" w:color="auto"/>
              <w:left w:val="single" w:sz="2" w:space="0" w:color="auto"/>
              <w:bottom w:val="single" w:sz="2" w:space="0" w:color="auto"/>
              <w:right w:val="single" w:sz="2" w:space="0" w:color="auto"/>
            </w:tcBorders>
            <w:vAlign w:val="center"/>
          </w:tcPr>
          <w:p w14:paraId="63AB152D" w14:textId="46F840AA" w:rsidR="00113A51" w:rsidRDefault="00BF671C">
            <w:pPr>
              <w:spacing w:line="360" w:lineRule="auto"/>
              <w:jc w:val="right"/>
              <w:rPr>
                <w:rFonts w:ascii="Times New Roman" w:eastAsia="宋体" w:hAnsi="Times New Roman" w:cs="宋体"/>
                <w:sz w:val="18"/>
                <w:szCs w:val="18"/>
              </w:rPr>
            </w:pPr>
            <w:r w:rsidRPr="00BF671C">
              <w:rPr>
                <w:rFonts w:ascii="Times New Roman" w:eastAsia="宋体" w:hAnsi="Times New Roman" w:cs="宋体"/>
                <w:sz w:val="18"/>
                <w:szCs w:val="18"/>
              </w:rPr>
              <w:t>20.91%</w:t>
            </w:r>
          </w:p>
        </w:tc>
        <w:tc>
          <w:tcPr>
            <w:tcW w:w="4791" w:type="dxa"/>
            <w:tcBorders>
              <w:top w:val="single" w:sz="2" w:space="0" w:color="auto"/>
              <w:left w:val="single" w:sz="2" w:space="0" w:color="auto"/>
              <w:bottom w:val="single" w:sz="2" w:space="0" w:color="auto"/>
              <w:right w:val="single" w:sz="2" w:space="0" w:color="auto"/>
            </w:tcBorders>
            <w:vAlign w:val="center"/>
          </w:tcPr>
          <w:p w14:paraId="47740A3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主要系收到商标案雅培诉讼赔偿款</w:t>
            </w:r>
          </w:p>
        </w:tc>
        <w:tc>
          <w:tcPr>
            <w:tcW w:w="992" w:type="dxa"/>
            <w:tcBorders>
              <w:top w:val="single" w:sz="2" w:space="0" w:color="auto"/>
              <w:left w:val="single" w:sz="2" w:space="0" w:color="auto"/>
              <w:bottom w:val="single" w:sz="2" w:space="0" w:color="auto"/>
              <w:right w:val="single" w:sz="2" w:space="0" w:color="auto"/>
            </w:tcBorders>
            <w:vAlign w:val="center"/>
          </w:tcPr>
          <w:p w14:paraId="3FA9879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006442D1"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59B33E73"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营业外支出</w:t>
            </w:r>
          </w:p>
        </w:tc>
        <w:tc>
          <w:tcPr>
            <w:tcW w:w="1417" w:type="dxa"/>
            <w:tcBorders>
              <w:top w:val="single" w:sz="2" w:space="0" w:color="auto"/>
              <w:left w:val="single" w:sz="2" w:space="0" w:color="auto"/>
              <w:bottom w:val="single" w:sz="2" w:space="0" w:color="auto"/>
              <w:right w:val="single" w:sz="2" w:space="0" w:color="auto"/>
            </w:tcBorders>
            <w:vAlign w:val="center"/>
          </w:tcPr>
          <w:p w14:paraId="32707731" w14:textId="0BAE236A" w:rsidR="00113A51" w:rsidRDefault="00BF671C">
            <w:pPr>
              <w:spacing w:line="360" w:lineRule="auto"/>
              <w:jc w:val="right"/>
              <w:rPr>
                <w:rFonts w:ascii="Times New Roman" w:eastAsia="宋体" w:hAnsi="Times New Roman" w:cs="宋体"/>
                <w:sz w:val="18"/>
                <w:szCs w:val="18"/>
              </w:rPr>
            </w:pPr>
            <w:r w:rsidRPr="00BF671C">
              <w:rPr>
                <w:rFonts w:ascii="Times New Roman" w:eastAsia="宋体" w:hAnsi="Times New Roman" w:cs="宋体"/>
                <w:sz w:val="18"/>
                <w:szCs w:val="18"/>
              </w:rPr>
              <w:t>5,438,519.75</w:t>
            </w:r>
          </w:p>
        </w:tc>
        <w:tc>
          <w:tcPr>
            <w:tcW w:w="1134" w:type="dxa"/>
            <w:tcBorders>
              <w:top w:val="single" w:sz="2" w:space="0" w:color="auto"/>
              <w:left w:val="single" w:sz="2" w:space="0" w:color="auto"/>
              <w:bottom w:val="single" w:sz="2" w:space="0" w:color="auto"/>
              <w:right w:val="single" w:sz="2" w:space="0" w:color="auto"/>
            </w:tcBorders>
            <w:vAlign w:val="center"/>
          </w:tcPr>
          <w:p w14:paraId="11B59505" w14:textId="531B22E2" w:rsidR="00113A51" w:rsidRDefault="00BF671C">
            <w:pPr>
              <w:spacing w:line="360" w:lineRule="auto"/>
              <w:jc w:val="right"/>
              <w:rPr>
                <w:rFonts w:ascii="Times New Roman" w:eastAsia="宋体" w:hAnsi="Times New Roman" w:cs="宋体"/>
                <w:sz w:val="18"/>
                <w:szCs w:val="18"/>
              </w:rPr>
            </w:pPr>
            <w:r w:rsidRPr="00BF671C">
              <w:rPr>
                <w:rFonts w:ascii="Times New Roman" w:eastAsia="宋体" w:hAnsi="Times New Roman" w:cs="宋体"/>
                <w:sz w:val="18"/>
                <w:szCs w:val="18"/>
              </w:rPr>
              <w:t>7.34%</w:t>
            </w:r>
          </w:p>
        </w:tc>
        <w:tc>
          <w:tcPr>
            <w:tcW w:w="4791" w:type="dxa"/>
            <w:tcBorders>
              <w:top w:val="single" w:sz="2" w:space="0" w:color="auto"/>
              <w:left w:val="single" w:sz="2" w:space="0" w:color="auto"/>
              <w:bottom w:val="single" w:sz="2" w:space="0" w:color="auto"/>
              <w:right w:val="single" w:sz="2" w:space="0" w:color="auto"/>
            </w:tcBorders>
            <w:vAlign w:val="center"/>
          </w:tcPr>
          <w:p w14:paraId="20EB1E11" w14:textId="77BB334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主要系捐赠支出</w:t>
            </w:r>
            <w:r w:rsidR="00F725F3">
              <w:rPr>
                <w:rFonts w:ascii="Times New Roman" w:eastAsia="宋体" w:hAnsi="Times New Roman" w:cs="宋体" w:hint="eastAsia"/>
                <w:sz w:val="18"/>
                <w:szCs w:val="18"/>
              </w:rPr>
              <w:t>及</w:t>
            </w:r>
            <w:r>
              <w:rPr>
                <w:rFonts w:ascii="Times New Roman" w:eastAsia="宋体" w:hAnsi="Times New Roman" w:cs="宋体"/>
                <w:sz w:val="18"/>
                <w:szCs w:val="18"/>
              </w:rPr>
              <w:t>诉讼赔偿款</w:t>
            </w:r>
          </w:p>
        </w:tc>
        <w:tc>
          <w:tcPr>
            <w:tcW w:w="992" w:type="dxa"/>
            <w:tcBorders>
              <w:top w:val="single" w:sz="2" w:space="0" w:color="auto"/>
              <w:left w:val="single" w:sz="2" w:space="0" w:color="auto"/>
              <w:bottom w:val="single" w:sz="2" w:space="0" w:color="auto"/>
              <w:right w:val="single" w:sz="2" w:space="0" w:color="auto"/>
            </w:tcBorders>
            <w:vAlign w:val="center"/>
          </w:tcPr>
          <w:p w14:paraId="5BBAA06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11A6627C"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7628EAD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其他收益</w:t>
            </w:r>
          </w:p>
        </w:tc>
        <w:tc>
          <w:tcPr>
            <w:tcW w:w="1417" w:type="dxa"/>
            <w:tcBorders>
              <w:top w:val="single" w:sz="2" w:space="0" w:color="auto"/>
              <w:left w:val="single" w:sz="2" w:space="0" w:color="auto"/>
              <w:bottom w:val="single" w:sz="2" w:space="0" w:color="auto"/>
              <w:right w:val="single" w:sz="2" w:space="0" w:color="auto"/>
            </w:tcBorders>
            <w:vAlign w:val="center"/>
          </w:tcPr>
          <w:p w14:paraId="18BB5A4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57,464,502.98</w:t>
            </w:r>
          </w:p>
        </w:tc>
        <w:tc>
          <w:tcPr>
            <w:tcW w:w="1134" w:type="dxa"/>
            <w:tcBorders>
              <w:top w:val="single" w:sz="2" w:space="0" w:color="auto"/>
              <w:left w:val="single" w:sz="2" w:space="0" w:color="auto"/>
              <w:bottom w:val="single" w:sz="2" w:space="0" w:color="auto"/>
              <w:right w:val="single" w:sz="2" w:space="0" w:color="auto"/>
            </w:tcBorders>
            <w:vAlign w:val="center"/>
          </w:tcPr>
          <w:p w14:paraId="54C2D7C8" w14:textId="63AB17BD" w:rsidR="00113A51" w:rsidRDefault="006F0495">
            <w:pPr>
              <w:spacing w:line="360" w:lineRule="auto"/>
              <w:jc w:val="right"/>
              <w:rPr>
                <w:rFonts w:ascii="Times New Roman" w:eastAsia="宋体" w:hAnsi="Times New Roman" w:cs="宋体"/>
                <w:sz w:val="18"/>
                <w:szCs w:val="18"/>
              </w:rPr>
            </w:pPr>
            <w:r>
              <w:rPr>
                <w:rFonts w:ascii="Times New Roman" w:eastAsia="宋体" w:hAnsi="Times New Roman" w:cs="宋体" w:hint="eastAsia"/>
                <w:sz w:val="18"/>
                <w:szCs w:val="18"/>
              </w:rPr>
              <w:t>77.60</w:t>
            </w:r>
            <w:r w:rsidR="00766EC7">
              <w:rPr>
                <w:rFonts w:ascii="Times New Roman" w:eastAsia="宋体" w:hAnsi="Times New Roman" w:cs="宋体"/>
                <w:sz w:val="18"/>
                <w:szCs w:val="18"/>
              </w:rPr>
              <w:t>%</w:t>
            </w:r>
          </w:p>
        </w:tc>
        <w:tc>
          <w:tcPr>
            <w:tcW w:w="4791" w:type="dxa"/>
            <w:tcBorders>
              <w:top w:val="single" w:sz="2" w:space="0" w:color="auto"/>
              <w:left w:val="single" w:sz="2" w:space="0" w:color="auto"/>
              <w:bottom w:val="single" w:sz="2" w:space="0" w:color="auto"/>
              <w:right w:val="single" w:sz="2" w:space="0" w:color="auto"/>
            </w:tcBorders>
            <w:vAlign w:val="center"/>
          </w:tcPr>
          <w:p w14:paraId="20DE189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主要系收到与经营相关的政府补助</w:t>
            </w:r>
          </w:p>
        </w:tc>
        <w:tc>
          <w:tcPr>
            <w:tcW w:w="992" w:type="dxa"/>
            <w:tcBorders>
              <w:top w:val="single" w:sz="2" w:space="0" w:color="auto"/>
              <w:left w:val="single" w:sz="2" w:space="0" w:color="auto"/>
              <w:bottom w:val="single" w:sz="2" w:space="0" w:color="auto"/>
              <w:right w:val="single" w:sz="2" w:space="0" w:color="auto"/>
            </w:tcBorders>
            <w:vAlign w:val="center"/>
          </w:tcPr>
          <w:p w14:paraId="5F93C75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是</w:t>
            </w:r>
          </w:p>
        </w:tc>
      </w:tr>
      <w:tr w:rsidR="00C57E60" w14:paraId="6DA8F821"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3205812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信用减值损失</w:t>
            </w:r>
          </w:p>
        </w:tc>
        <w:tc>
          <w:tcPr>
            <w:tcW w:w="1417" w:type="dxa"/>
            <w:tcBorders>
              <w:top w:val="single" w:sz="2" w:space="0" w:color="auto"/>
              <w:left w:val="single" w:sz="2" w:space="0" w:color="auto"/>
              <w:bottom w:val="single" w:sz="2" w:space="0" w:color="auto"/>
              <w:right w:val="single" w:sz="2" w:space="0" w:color="auto"/>
            </w:tcBorders>
            <w:vAlign w:val="center"/>
          </w:tcPr>
          <w:p w14:paraId="479019A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-10,757,730.24</w:t>
            </w:r>
          </w:p>
        </w:tc>
        <w:tc>
          <w:tcPr>
            <w:tcW w:w="1134" w:type="dxa"/>
            <w:tcBorders>
              <w:top w:val="single" w:sz="2" w:space="0" w:color="auto"/>
              <w:left w:val="single" w:sz="2" w:space="0" w:color="auto"/>
              <w:bottom w:val="single" w:sz="2" w:space="0" w:color="auto"/>
              <w:right w:val="single" w:sz="2" w:space="0" w:color="auto"/>
            </w:tcBorders>
            <w:vAlign w:val="center"/>
          </w:tcPr>
          <w:p w14:paraId="475F632C" w14:textId="35BA8BB2"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w:t>
            </w:r>
            <w:r w:rsidR="006F0495">
              <w:rPr>
                <w:rFonts w:ascii="Times New Roman" w:eastAsia="宋体" w:hAnsi="Times New Roman" w:cs="宋体" w:hint="eastAsia"/>
                <w:sz w:val="18"/>
                <w:szCs w:val="18"/>
              </w:rPr>
              <w:t>14.53</w:t>
            </w:r>
            <w:r>
              <w:rPr>
                <w:rFonts w:ascii="Times New Roman" w:eastAsia="宋体" w:hAnsi="Times New Roman" w:cs="宋体"/>
                <w:sz w:val="18"/>
                <w:szCs w:val="18"/>
              </w:rPr>
              <w:t>%</w:t>
            </w:r>
          </w:p>
        </w:tc>
        <w:tc>
          <w:tcPr>
            <w:tcW w:w="4791" w:type="dxa"/>
            <w:tcBorders>
              <w:top w:val="single" w:sz="2" w:space="0" w:color="auto"/>
              <w:left w:val="single" w:sz="2" w:space="0" w:color="auto"/>
              <w:bottom w:val="single" w:sz="2" w:space="0" w:color="auto"/>
              <w:right w:val="single" w:sz="2" w:space="0" w:color="auto"/>
            </w:tcBorders>
            <w:vAlign w:val="center"/>
          </w:tcPr>
          <w:p w14:paraId="7755941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主要系计提其他应收款及应收账款坏账准备</w:t>
            </w:r>
          </w:p>
        </w:tc>
        <w:tc>
          <w:tcPr>
            <w:tcW w:w="992" w:type="dxa"/>
            <w:tcBorders>
              <w:top w:val="single" w:sz="2" w:space="0" w:color="auto"/>
              <w:left w:val="single" w:sz="2" w:space="0" w:color="auto"/>
              <w:bottom w:val="single" w:sz="2" w:space="0" w:color="auto"/>
              <w:right w:val="single" w:sz="2" w:space="0" w:color="auto"/>
            </w:tcBorders>
            <w:vAlign w:val="center"/>
          </w:tcPr>
          <w:p w14:paraId="257B379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78DDC746"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5C0C0E6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资产处置收益</w:t>
            </w:r>
          </w:p>
        </w:tc>
        <w:tc>
          <w:tcPr>
            <w:tcW w:w="1417" w:type="dxa"/>
            <w:tcBorders>
              <w:top w:val="single" w:sz="2" w:space="0" w:color="auto"/>
              <w:left w:val="single" w:sz="2" w:space="0" w:color="auto"/>
              <w:bottom w:val="single" w:sz="2" w:space="0" w:color="auto"/>
              <w:right w:val="single" w:sz="2" w:space="0" w:color="auto"/>
            </w:tcBorders>
            <w:vAlign w:val="center"/>
          </w:tcPr>
          <w:p w14:paraId="1A74952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-1,143,532.66</w:t>
            </w:r>
          </w:p>
        </w:tc>
        <w:tc>
          <w:tcPr>
            <w:tcW w:w="1134" w:type="dxa"/>
            <w:tcBorders>
              <w:top w:val="single" w:sz="2" w:space="0" w:color="auto"/>
              <w:left w:val="single" w:sz="2" w:space="0" w:color="auto"/>
              <w:bottom w:val="single" w:sz="2" w:space="0" w:color="auto"/>
              <w:right w:val="single" w:sz="2" w:space="0" w:color="auto"/>
            </w:tcBorders>
            <w:vAlign w:val="center"/>
          </w:tcPr>
          <w:p w14:paraId="6970C70D" w14:textId="508E03EE"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w:t>
            </w:r>
            <w:r w:rsidR="006F0495">
              <w:rPr>
                <w:rFonts w:ascii="Times New Roman" w:eastAsia="宋体" w:hAnsi="Times New Roman" w:cs="宋体" w:hint="eastAsia"/>
                <w:sz w:val="18"/>
                <w:szCs w:val="18"/>
              </w:rPr>
              <w:t>1.54</w:t>
            </w:r>
            <w:r>
              <w:rPr>
                <w:rFonts w:ascii="Times New Roman" w:eastAsia="宋体" w:hAnsi="Times New Roman" w:cs="宋体"/>
                <w:sz w:val="18"/>
                <w:szCs w:val="18"/>
              </w:rPr>
              <w:t>%</w:t>
            </w:r>
          </w:p>
        </w:tc>
        <w:tc>
          <w:tcPr>
            <w:tcW w:w="4791" w:type="dxa"/>
            <w:tcBorders>
              <w:top w:val="single" w:sz="2" w:space="0" w:color="auto"/>
              <w:left w:val="single" w:sz="2" w:space="0" w:color="auto"/>
              <w:bottom w:val="single" w:sz="2" w:space="0" w:color="auto"/>
              <w:right w:val="single" w:sz="2" w:space="0" w:color="auto"/>
            </w:tcBorders>
            <w:vAlign w:val="center"/>
          </w:tcPr>
          <w:p w14:paraId="5F9CF65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主要系处置固定资产所致</w:t>
            </w:r>
          </w:p>
        </w:tc>
        <w:tc>
          <w:tcPr>
            <w:tcW w:w="992" w:type="dxa"/>
            <w:tcBorders>
              <w:top w:val="single" w:sz="2" w:space="0" w:color="auto"/>
              <w:left w:val="single" w:sz="2" w:space="0" w:color="auto"/>
              <w:bottom w:val="single" w:sz="2" w:space="0" w:color="auto"/>
              <w:right w:val="single" w:sz="2" w:space="0" w:color="auto"/>
            </w:tcBorders>
            <w:vAlign w:val="center"/>
          </w:tcPr>
          <w:p w14:paraId="64B8A9C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bl>
    <w:p w14:paraId="24167ACF" w14:textId="77777777" w:rsidR="00113A51" w:rsidRDefault="00766EC7">
      <w:pPr>
        <w:pStyle w:val="2"/>
        <w:spacing w:before="300" w:after="300" w:line="320" w:lineRule="exact"/>
        <w:rPr>
          <w:rFonts w:ascii="宋体" w:eastAsia="宋体" w:hAnsi="宋体" w:cs="宋体"/>
          <w:b/>
          <w:bCs/>
          <w:sz w:val="24"/>
          <w:szCs w:val="24"/>
        </w:rPr>
      </w:pPr>
      <w:bookmarkStart w:id="36" w:name="_Toc988920"/>
      <w:r>
        <w:rPr>
          <w:rFonts w:ascii="宋体" w:eastAsia="宋体" w:hAnsi="宋体" w:cs="宋体"/>
          <w:b/>
          <w:bCs/>
          <w:sz w:val="24"/>
          <w:szCs w:val="24"/>
        </w:rPr>
        <w:t>六、资产及负债状况分析</w:t>
      </w:r>
      <w:bookmarkEnd w:id="36"/>
    </w:p>
    <w:p w14:paraId="333B9549" w14:textId="77777777" w:rsidR="00113A51" w:rsidRDefault="00766EC7">
      <w:pPr>
        <w:pStyle w:val="3"/>
        <w:spacing w:line="280" w:lineRule="exact"/>
        <w:jc w:val="left"/>
        <w:rPr>
          <w:rFonts w:ascii="宋体" w:hAnsi="宋体" w:cs="宋体"/>
          <w:b/>
          <w:bCs/>
        </w:rPr>
      </w:pPr>
      <w:bookmarkStart w:id="37" w:name="_Toc988921"/>
      <w:r>
        <w:rPr>
          <w:rFonts w:ascii="宋体" w:hAnsi="宋体" w:cs="宋体"/>
          <w:b/>
          <w:bCs/>
        </w:rPr>
        <w:t>1、资产构成重大变动情况</w:t>
      </w:r>
      <w:bookmarkEnd w:id="37"/>
    </w:p>
    <w:p w14:paraId="35A85653" w14:textId="77777777" w:rsidR="00113A51" w:rsidRDefault="00766EC7">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72" w:type="dxa"/>
        <w:tblInd w:w="108" w:type="dxa"/>
        <w:tblLayout w:type="fixed"/>
        <w:tblCellMar>
          <w:left w:w="28" w:type="dxa"/>
          <w:right w:w="28" w:type="dxa"/>
        </w:tblCellMar>
        <w:tblLook w:val="04A0" w:firstRow="1" w:lastRow="0" w:firstColumn="1" w:lastColumn="0" w:noHBand="0" w:noVBand="1"/>
      </w:tblPr>
      <w:tblGrid>
        <w:gridCol w:w="1304"/>
        <w:gridCol w:w="1361"/>
        <w:gridCol w:w="850"/>
        <w:gridCol w:w="1531"/>
        <w:gridCol w:w="850"/>
        <w:gridCol w:w="964"/>
        <w:gridCol w:w="2812"/>
      </w:tblGrid>
      <w:tr w:rsidR="00C57E60" w14:paraId="0AC35B1E" w14:textId="77777777" w:rsidTr="00BF671C">
        <w:trPr>
          <w:trHeight w:val="240"/>
        </w:trPr>
        <w:tc>
          <w:tcPr>
            <w:tcW w:w="130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7F20048" w14:textId="77777777" w:rsidR="00113A51" w:rsidRDefault="00113A51">
            <w:pPr>
              <w:spacing w:line="360" w:lineRule="auto"/>
              <w:rPr>
                <w:rFonts w:ascii="Times New Roman" w:eastAsia="宋体" w:hAnsi="Times New Roman"/>
                <w:sz w:val="18"/>
                <w:szCs w:val="18"/>
              </w:rPr>
            </w:pPr>
          </w:p>
        </w:tc>
        <w:tc>
          <w:tcPr>
            <w:tcW w:w="221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4B74E7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年末</w:t>
            </w:r>
          </w:p>
        </w:tc>
        <w:tc>
          <w:tcPr>
            <w:tcW w:w="238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FC30C3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年初</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D7575B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比重增减</w:t>
            </w:r>
          </w:p>
        </w:tc>
        <w:tc>
          <w:tcPr>
            <w:tcW w:w="2812" w:type="dxa"/>
            <w:tcBorders>
              <w:top w:val="single" w:sz="2" w:space="0" w:color="auto"/>
              <w:left w:val="single" w:sz="2" w:space="0" w:color="auto"/>
              <w:bottom w:val="single" w:sz="2" w:space="0" w:color="auto"/>
              <w:right w:val="single" w:sz="2" w:space="0" w:color="auto"/>
            </w:tcBorders>
            <w:shd w:val="clear" w:color="auto" w:fill="D3D3D3"/>
            <w:vAlign w:val="center"/>
          </w:tcPr>
          <w:p w14:paraId="293A9FB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重大变动说明</w:t>
            </w:r>
          </w:p>
        </w:tc>
      </w:tr>
      <w:tr w:rsidR="00C57E60" w14:paraId="0ED0E323" w14:textId="77777777" w:rsidTr="00BF671C">
        <w:trPr>
          <w:trHeight w:val="240"/>
        </w:trPr>
        <w:tc>
          <w:tcPr>
            <w:tcW w:w="130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FDB1ADC" w14:textId="77777777" w:rsidR="00113A51" w:rsidRDefault="00113A51">
            <w:pPr>
              <w:spacing w:line="360" w:lineRule="auto"/>
              <w:rPr>
                <w:rFonts w:ascii="Times New Roman" w:eastAsia="宋体" w:hAnsi="Times New Roman"/>
                <w:sz w:val="18"/>
                <w:szCs w:val="18"/>
              </w:rPr>
            </w:pPr>
          </w:p>
        </w:tc>
        <w:tc>
          <w:tcPr>
            <w:tcW w:w="1361" w:type="dxa"/>
            <w:tcBorders>
              <w:top w:val="single" w:sz="2" w:space="0" w:color="auto"/>
              <w:left w:val="single" w:sz="2" w:space="0" w:color="auto"/>
              <w:bottom w:val="single" w:sz="2" w:space="0" w:color="auto"/>
              <w:right w:val="single" w:sz="2" w:space="0" w:color="auto"/>
            </w:tcBorders>
            <w:shd w:val="clear" w:color="auto" w:fill="D3D3D3"/>
            <w:vAlign w:val="center"/>
          </w:tcPr>
          <w:p w14:paraId="3F57062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869B26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占总资产比例</w:t>
            </w:r>
          </w:p>
        </w:tc>
        <w:tc>
          <w:tcPr>
            <w:tcW w:w="1531" w:type="dxa"/>
            <w:tcBorders>
              <w:top w:val="single" w:sz="2" w:space="0" w:color="auto"/>
              <w:left w:val="single" w:sz="2" w:space="0" w:color="auto"/>
              <w:bottom w:val="single" w:sz="2" w:space="0" w:color="auto"/>
              <w:right w:val="single" w:sz="2" w:space="0" w:color="auto"/>
            </w:tcBorders>
            <w:shd w:val="clear" w:color="auto" w:fill="D3D3D3"/>
            <w:vAlign w:val="center"/>
          </w:tcPr>
          <w:p w14:paraId="59D0B69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金额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42D47A71"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占总资产比例</w:t>
            </w:r>
          </w:p>
        </w:tc>
        <w:tc>
          <w:tcPr>
            <w:tcW w:w="964" w:type="dxa"/>
            <w:tcBorders>
              <w:top w:val="single" w:sz="2" w:space="0" w:color="auto"/>
              <w:left w:val="single" w:sz="2" w:space="0" w:color="auto"/>
              <w:right w:val="single" w:sz="2" w:space="0" w:color="auto"/>
            </w:tcBorders>
            <w:shd w:val="clear" w:color="auto" w:fill="D3D3D3"/>
            <w:vAlign w:val="center"/>
          </w:tcPr>
          <w:p w14:paraId="6205342B" w14:textId="77777777" w:rsidR="00113A51" w:rsidRDefault="00113A51">
            <w:pPr>
              <w:spacing w:line="360" w:lineRule="auto"/>
              <w:rPr>
                <w:rFonts w:ascii="Times New Roman" w:eastAsia="宋体" w:hAnsi="Times New Roman"/>
                <w:sz w:val="18"/>
                <w:szCs w:val="18"/>
              </w:rPr>
            </w:pPr>
          </w:p>
        </w:tc>
        <w:tc>
          <w:tcPr>
            <w:tcW w:w="2812" w:type="dxa"/>
            <w:tcBorders>
              <w:top w:val="single" w:sz="2" w:space="0" w:color="auto"/>
              <w:left w:val="single" w:sz="2" w:space="0" w:color="auto"/>
              <w:right w:val="single" w:sz="2" w:space="0" w:color="auto"/>
            </w:tcBorders>
            <w:shd w:val="clear" w:color="auto" w:fill="D3D3D3"/>
            <w:vAlign w:val="center"/>
          </w:tcPr>
          <w:p w14:paraId="05D4E417" w14:textId="77777777" w:rsidR="00113A51" w:rsidRDefault="00113A51">
            <w:pPr>
              <w:spacing w:line="360" w:lineRule="auto"/>
              <w:rPr>
                <w:rFonts w:ascii="Times New Roman" w:eastAsia="宋体" w:hAnsi="Times New Roman"/>
                <w:sz w:val="18"/>
                <w:szCs w:val="18"/>
              </w:rPr>
            </w:pPr>
          </w:p>
        </w:tc>
      </w:tr>
      <w:tr w:rsidR="00C57E60" w14:paraId="548DE6E6"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49163E9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货币资金</w:t>
            </w:r>
          </w:p>
        </w:tc>
        <w:tc>
          <w:tcPr>
            <w:tcW w:w="1361" w:type="dxa"/>
            <w:tcBorders>
              <w:top w:val="single" w:sz="2" w:space="0" w:color="auto"/>
              <w:left w:val="single" w:sz="2" w:space="0" w:color="auto"/>
              <w:bottom w:val="single" w:sz="2" w:space="0" w:color="auto"/>
              <w:right w:val="single" w:sz="2" w:space="0" w:color="auto"/>
            </w:tcBorders>
            <w:vAlign w:val="center"/>
          </w:tcPr>
          <w:p w14:paraId="100DAB6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779,062,564.07</w:t>
            </w:r>
          </w:p>
        </w:tc>
        <w:tc>
          <w:tcPr>
            <w:tcW w:w="850" w:type="dxa"/>
            <w:tcBorders>
              <w:top w:val="single" w:sz="2" w:space="0" w:color="auto"/>
              <w:left w:val="single" w:sz="2" w:space="0" w:color="auto"/>
              <w:bottom w:val="single" w:sz="2" w:space="0" w:color="auto"/>
              <w:right w:val="single" w:sz="2" w:space="0" w:color="auto"/>
            </w:tcBorders>
            <w:vAlign w:val="center"/>
          </w:tcPr>
          <w:p w14:paraId="7A971E5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13.07%</w:t>
            </w:r>
          </w:p>
        </w:tc>
        <w:tc>
          <w:tcPr>
            <w:tcW w:w="1531" w:type="dxa"/>
            <w:tcBorders>
              <w:top w:val="single" w:sz="2" w:space="0" w:color="auto"/>
              <w:left w:val="single" w:sz="2" w:space="0" w:color="auto"/>
              <w:bottom w:val="single" w:sz="2" w:space="0" w:color="auto"/>
              <w:right w:val="single" w:sz="2" w:space="0" w:color="auto"/>
            </w:tcBorders>
            <w:vAlign w:val="center"/>
          </w:tcPr>
          <w:p w14:paraId="7E566D1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844,696,443.76</w:t>
            </w:r>
          </w:p>
        </w:tc>
        <w:tc>
          <w:tcPr>
            <w:tcW w:w="850" w:type="dxa"/>
            <w:tcBorders>
              <w:top w:val="single" w:sz="2" w:space="0" w:color="auto"/>
              <w:left w:val="single" w:sz="2" w:space="0" w:color="auto"/>
              <w:bottom w:val="single" w:sz="2" w:space="0" w:color="auto"/>
              <w:right w:val="single" w:sz="2" w:space="0" w:color="auto"/>
            </w:tcBorders>
            <w:vAlign w:val="center"/>
          </w:tcPr>
          <w:p w14:paraId="15F1EF2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13.85%</w:t>
            </w:r>
          </w:p>
        </w:tc>
        <w:tc>
          <w:tcPr>
            <w:tcW w:w="964" w:type="dxa"/>
            <w:tcBorders>
              <w:top w:val="single" w:sz="2" w:space="0" w:color="auto"/>
              <w:left w:val="single" w:sz="2" w:space="0" w:color="auto"/>
              <w:bottom w:val="single" w:sz="2" w:space="0" w:color="auto"/>
              <w:right w:val="single" w:sz="2" w:space="0" w:color="auto"/>
            </w:tcBorders>
            <w:vAlign w:val="center"/>
          </w:tcPr>
          <w:p w14:paraId="09E54C6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-0.78%</w:t>
            </w:r>
          </w:p>
        </w:tc>
        <w:tc>
          <w:tcPr>
            <w:tcW w:w="2812" w:type="dxa"/>
            <w:tcBorders>
              <w:top w:val="single" w:sz="2" w:space="0" w:color="auto"/>
              <w:left w:val="single" w:sz="2" w:space="0" w:color="auto"/>
              <w:bottom w:val="single" w:sz="2" w:space="0" w:color="auto"/>
              <w:right w:val="single" w:sz="2" w:space="0" w:color="auto"/>
            </w:tcBorders>
            <w:vAlign w:val="center"/>
          </w:tcPr>
          <w:p w14:paraId="14330292" w14:textId="77777777" w:rsidR="00113A51" w:rsidRDefault="00113A51" w:rsidP="00BF671C">
            <w:pPr>
              <w:spacing w:line="360" w:lineRule="auto"/>
              <w:jc w:val="both"/>
              <w:rPr>
                <w:rFonts w:ascii="Times New Roman" w:eastAsia="宋体" w:hAnsi="Times New Roman" w:cs="宋体"/>
                <w:sz w:val="18"/>
                <w:szCs w:val="18"/>
              </w:rPr>
            </w:pPr>
          </w:p>
        </w:tc>
      </w:tr>
      <w:tr w:rsidR="00C57E60" w14:paraId="42366F9B"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39645FCA"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应收账款</w:t>
            </w:r>
          </w:p>
        </w:tc>
        <w:tc>
          <w:tcPr>
            <w:tcW w:w="1361" w:type="dxa"/>
            <w:tcBorders>
              <w:top w:val="single" w:sz="2" w:space="0" w:color="auto"/>
              <w:left w:val="single" w:sz="2" w:space="0" w:color="auto"/>
              <w:bottom w:val="single" w:sz="2" w:space="0" w:color="auto"/>
              <w:right w:val="single" w:sz="2" w:space="0" w:color="auto"/>
            </w:tcBorders>
            <w:vAlign w:val="center"/>
          </w:tcPr>
          <w:p w14:paraId="77A9F08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513,215,346.08</w:t>
            </w:r>
          </w:p>
        </w:tc>
        <w:tc>
          <w:tcPr>
            <w:tcW w:w="850" w:type="dxa"/>
            <w:tcBorders>
              <w:top w:val="single" w:sz="2" w:space="0" w:color="auto"/>
              <w:left w:val="single" w:sz="2" w:space="0" w:color="auto"/>
              <w:bottom w:val="single" w:sz="2" w:space="0" w:color="auto"/>
              <w:right w:val="single" w:sz="2" w:space="0" w:color="auto"/>
            </w:tcBorders>
            <w:vAlign w:val="center"/>
          </w:tcPr>
          <w:p w14:paraId="63F63AE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8.61%</w:t>
            </w:r>
          </w:p>
        </w:tc>
        <w:tc>
          <w:tcPr>
            <w:tcW w:w="1531" w:type="dxa"/>
            <w:tcBorders>
              <w:top w:val="single" w:sz="2" w:space="0" w:color="auto"/>
              <w:left w:val="single" w:sz="2" w:space="0" w:color="auto"/>
              <w:bottom w:val="single" w:sz="2" w:space="0" w:color="auto"/>
              <w:right w:val="single" w:sz="2" w:space="0" w:color="auto"/>
            </w:tcBorders>
            <w:vAlign w:val="center"/>
          </w:tcPr>
          <w:p w14:paraId="678B292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620,256,105.14</w:t>
            </w:r>
          </w:p>
        </w:tc>
        <w:tc>
          <w:tcPr>
            <w:tcW w:w="850" w:type="dxa"/>
            <w:tcBorders>
              <w:top w:val="single" w:sz="2" w:space="0" w:color="auto"/>
              <w:left w:val="single" w:sz="2" w:space="0" w:color="auto"/>
              <w:bottom w:val="single" w:sz="2" w:space="0" w:color="auto"/>
              <w:right w:val="single" w:sz="2" w:space="0" w:color="auto"/>
            </w:tcBorders>
            <w:vAlign w:val="center"/>
          </w:tcPr>
          <w:p w14:paraId="0202C38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10.17%</w:t>
            </w:r>
          </w:p>
        </w:tc>
        <w:tc>
          <w:tcPr>
            <w:tcW w:w="964" w:type="dxa"/>
            <w:tcBorders>
              <w:top w:val="single" w:sz="2" w:space="0" w:color="auto"/>
              <w:left w:val="single" w:sz="2" w:space="0" w:color="auto"/>
              <w:bottom w:val="single" w:sz="2" w:space="0" w:color="auto"/>
              <w:right w:val="single" w:sz="2" w:space="0" w:color="auto"/>
            </w:tcBorders>
            <w:vAlign w:val="center"/>
          </w:tcPr>
          <w:p w14:paraId="3802ED5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-1.56%</w:t>
            </w:r>
          </w:p>
        </w:tc>
        <w:tc>
          <w:tcPr>
            <w:tcW w:w="2812" w:type="dxa"/>
            <w:tcBorders>
              <w:top w:val="single" w:sz="2" w:space="0" w:color="auto"/>
              <w:left w:val="single" w:sz="2" w:space="0" w:color="auto"/>
              <w:bottom w:val="single" w:sz="2" w:space="0" w:color="auto"/>
              <w:right w:val="single" w:sz="2" w:space="0" w:color="auto"/>
            </w:tcBorders>
            <w:vAlign w:val="center"/>
          </w:tcPr>
          <w:p w14:paraId="0AACB237" w14:textId="77777777" w:rsidR="00113A51" w:rsidRDefault="00113A51" w:rsidP="00BF671C">
            <w:pPr>
              <w:spacing w:line="360" w:lineRule="auto"/>
              <w:jc w:val="both"/>
              <w:rPr>
                <w:rFonts w:ascii="Times New Roman" w:eastAsia="宋体" w:hAnsi="Times New Roman" w:cs="宋体"/>
                <w:sz w:val="18"/>
                <w:szCs w:val="18"/>
              </w:rPr>
            </w:pPr>
          </w:p>
        </w:tc>
      </w:tr>
      <w:tr w:rsidR="00C57E60" w14:paraId="4D354CBD"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73154BA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存货</w:t>
            </w:r>
          </w:p>
        </w:tc>
        <w:tc>
          <w:tcPr>
            <w:tcW w:w="1361" w:type="dxa"/>
            <w:tcBorders>
              <w:top w:val="single" w:sz="2" w:space="0" w:color="auto"/>
              <w:left w:val="single" w:sz="2" w:space="0" w:color="auto"/>
              <w:bottom w:val="single" w:sz="2" w:space="0" w:color="auto"/>
              <w:right w:val="single" w:sz="2" w:space="0" w:color="auto"/>
            </w:tcBorders>
            <w:vAlign w:val="center"/>
          </w:tcPr>
          <w:p w14:paraId="2545591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760,184,154.98</w:t>
            </w:r>
          </w:p>
        </w:tc>
        <w:tc>
          <w:tcPr>
            <w:tcW w:w="850" w:type="dxa"/>
            <w:tcBorders>
              <w:top w:val="single" w:sz="2" w:space="0" w:color="auto"/>
              <w:left w:val="single" w:sz="2" w:space="0" w:color="auto"/>
              <w:bottom w:val="single" w:sz="2" w:space="0" w:color="auto"/>
              <w:right w:val="single" w:sz="2" w:space="0" w:color="auto"/>
            </w:tcBorders>
            <w:vAlign w:val="center"/>
          </w:tcPr>
          <w:p w14:paraId="1488E84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12.75%</w:t>
            </w:r>
          </w:p>
        </w:tc>
        <w:tc>
          <w:tcPr>
            <w:tcW w:w="1531" w:type="dxa"/>
            <w:tcBorders>
              <w:top w:val="single" w:sz="2" w:space="0" w:color="auto"/>
              <w:left w:val="single" w:sz="2" w:space="0" w:color="auto"/>
              <w:bottom w:val="single" w:sz="2" w:space="0" w:color="auto"/>
              <w:right w:val="single" w:sz="2" w:space="0" w:color="auto"/>
            </w:tcBorders>
            <w:vAlign w:val="center"/>
          </w:tcPr>
          <w:p w14:paraId="1D6B773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662,843,666.87</w:t>
            </w:r>
          </w:p>
        </w:tc>
        <w:tc>
          <w:tcPr>
            <w:tcW w:w="850" w:type="dxa"/>
            <w:tcBorders>
              <w:top w:val="single" w:sz="2" w:space="0" w:color="auto"/>
              <w:left w:val="single" w:sz="2" w:space="0" w:color="auto"/>
              <w:bottom w:val="single" w:sz="2" w:space="0" w:color="auto"/>
              <w:right w:val="single" w:sz="2" w:space="0" w:color="auto"/>
            </w:tcBorders>
            <w:vAlign w:val="center"/>
          </w:tcPr>
          <w:p w14:paraId="06295EC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10.87%</w:t>
            </w:r>
          </w:p>
        </w:tc>
        <w:tc>
          <w:tcPr>
            <w:tcW w:w="964" w:type="dxa"/>
            <w:tcBorders>
              <w:top w:val="single" w:sz="2" w:space="0" w:color="auto"/>
              <w:left w:val="single" w:sz="2" w:space="0" w:color="auto"/>
              <w:bottom w:val="single" w:sz="2" w:space="0" w:color="auto"/>
              <w:right w:val="single" w:sz="2" w:space="0" w:color="auto"/>
            </w:tcBorders>
            <w:vAlign w:val="center"/>
          </w:tcPr>
          <w:p w14:paraId="599ACB9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1.88%</w:t>
            </w:r>
          </w:p>
        </w:tc>
        <w:tc>
          <w:tcPr>
            <w:tcW w:w="2812" w:type="dxa"/>
            <w:tcBorders>
              <w:top w:val="single" w:sz="2" w:space="0" w:color="auto"/>
              <w:left w:val="single" w:sz="2" w:space="0" w:color="auto"/>
              <w:bottom w:val="single" w:sz="2" w:space="0" w:color="auto"/>
              <w:right w:val="single" w:sz="2" w:space="0" w:color="auto"/>
            </w:tcBorders>
            <w:vAlign w:val="center"/>
          </w:tcPr>
          <w:p w14:paraId="1A7E1851" w14:textId="57BC38CE" w:rsidR="00113A51" w:rsidRDefault="00267A0C" w:rsidP="00BF671C">
            <w:pPr>
              <w:spacing w:line="360" w:lineRule="auto"/>
              <w:jc w:val="both"/>
              <w:rPr>
                <w:rFonts w:ascii="Times New Roman" w:eastAsia="宋体" w:hAnsi="Times New Roman" w:cs="宋体"/>
                <w:sz w:val="18"/>
                <w:szCs w:val="18"/>
              </w:rPr>
            </w:pPr>
            <w:r>
              <w:rPr>
                <w:rFonts w:ascii="Times New Roman" w:eastAsia="宋体" w:hAnsi="Times New Roman" w:cs="宋体" w:hint="eastAsia"/>
                <w:sz w:val="18"/>
                <w:szCs w:val="18"/>
              </w:rPr>
              <w:t>主要系春节备货、原材料策略性备货所致</w:t>
            </w:r>
          </w:p>
        </w:tc>
      </w:tr>
      <w:tr w:rsidR="00C57E60" w14:paraId="42499FE5"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520E1032"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长期股权投资</w:t>
            </w:r>
          </w:p>
        </w:tc>
        <w:tc>
          <w:tcPr>
            <w:tcW w:w="1361" w:type="dxa"/>
            <w:tcBorders>
              <w:top w:val="single" w:sz="2" w:space="0" w:color="auto"/>
              <w:left w:val="single" w:sz="2" w:space="0" w:color="auto"/>
              <w:bottom w:val="single" w:sz="2" w:space="0" w:color="auto"/>
              <w:right w:val="single" w:sz="2" w:space="0" w:color="auto"/>
            </w:tcBorders>
            <w:vAlign w:val="center"/>
          </w:tcPr>
          <w:p w14:paraId="1B814C9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9,481,848.60</w:t>
            </w:r>
          </w:p>
        </w:tc>
        <w:tc>
          <w:tcPr>
            <w:tcW w:w="850" w:type="dxa"/>
            <w:tcBorders>
              <w:top w:val="single" w:sz="2" w:space="0" w:color="auto"/>
              <w:left w:val="single" w:sz="2" w:space="0" w:color="auto"/>
              <w:bottom w:val="single" w:sz="2" w:space="0" w:color="auto"/>
              <w:right w:val="single" w:sz="2" w:space="0" w:color="auto"/>
            </w:tcBorders>
            <w:vAlign w:val="center"/>
          </w:tcPr>
          <w:p w14:paraId="6F1D338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0.16%</w:t>
            </w:r>
          </w:p>
        </w:tc>
        <w:tc>
          <w:tcPr>
            <w:tcW w:w="1531" w:type="dxa"/>
            <w:tcBorders>
              <w:top w:val="single" w:sz="2" w:space="0" w:color="auto"/>
              <w:left w:val="single" w:sz="2" w:space="0" w:color="auto"/>
              <w:bottom w:val="single" w:sz="2" w:space="0" w:color="auto"/>
              <w:right w:val="single" w:sz="2" w:space="0" w:color="auto"/>
            </w:tcBorders>
            <w:vAlign w:val="center"/>
          </w:tcPr>
          <w:p w14:paraId="1BD248F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14,875,560.06</w:t>
            </w:r>
          </w:p>
        </w:tc>
        <w:tc>
          <w:tcPr>
            <w:tcW w:w="850" w:type="dxa"/>
            <w:tcBorders>
              <w:top w:val="single" w:sz="2" w:space="0" w:color="auto"/>
              <w:left w:val="single" w:sz="2" w:space="0" w:color="auto"/>
              <w:bottom w:val="single" w:sz="2" w:space="0" w:color="auto"/>
              <w:right w:val="single" w:sz="2" w:space="0" w:color="auto"/>
            </w:tcBorders>
            <w:vAlign w:val="center"/>
          </w:tcPr>
          <w:p w14:paraId="05FB70D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0.24%</w:t>
            </w:r>
          </w:p>
        </w:tc>
        <w:tc>
          <w:tcPr>
            <w:tcW w:w="964" w:type="dxa"/>
            <w:tcBorders>
              <w:top w:val="single" w:sz="2" w:space="0" w:color="auto"/>
              <w:left w:val="single" w:sz="2" w:space="0" w:color="auto"/>
              <w:bottom w:val="single" w:sz="2" w:space="0" w:color="auto"/>
              <w:right w:val="single" w:sz="2" w:space="0" w:color="auto"/>
            </w:tcBorders>
            <w:vAlign w:val="center"/>
          </w:tcPr>
          <w:p w14:paraId="04AE3A8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-0.08%</w:t>
            </w:r>
          </w:p>
        </w:tc>
        <w:tc>
          <w:tcPr>
            <w:tcW w:w="2812" w:type="dxa"/>
            <w:tcBorders>
              <w:top w:val="single" w:sz="2" w:space="0" w:color="auto"/>
              <w:left w:val="single" w:sz="2" w:space="0" w:color="auto"/>
              <w:bottom w:val="single" w:sz="2" w:space="0" w:color="auto"/>
              <w:right w:val="single" w:sz="2" w:space="0" w:color="auto"/>
            </w:tcBorders>
            <w:vAlign w:val="center"/>
          </w:tcPr>
          <w:p w14:paraId="49658E89" w14:textId="77777777" w:rsidR="00113A51" w:rsidRDefault="00113A51" w:rsidP="00BF671C">
            <w:pPr>
              <w:spacing w:line="360" w:lineRule="auto"/>
              <w:jc w:val="both"/>
              <w:rPr>
                <w:rFonts w:ascii="Times New Roman" w:eastAsia="宋体" w:hAnsi="Times New Roman" w:cs="宋体"/>
                <w:sz w:val="18"/>
                <w:szCs w:val="18"/>
              </w:rPr>
            </w:pPr>
          </w:p>
        </w:tc>
      </w:tr>
      <w:tr w:rsidR="00C57E60" w14:paraId="036A3315"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57A2020D"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固定资产</w:t>
            </w:r>
          </w:p>
        </w:tc>
        <w:tc>
          <w:tcPr>
            <w:tcW w:w="1361" w:type="dxa"/>
            <w:tcBorders>
              <w:top w:val="single" w:sz="2" w:space="0" w:color="auto"/>
              <w:left w:val="single" w:sz="2" w:space="0" w:color="auto"/>
              <w:bottom w:val="single" w:sz="2" w:space="0" w:color="auto"/>
              <w:right w:val="single" w:sz="2" w:space="0" w:color="auto"/>
            </w:tcBorders>
            <w:vAlign w:val="center"/>
          </w:tcPr>
          <w:p w14:paraId="1480F38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1,533,647,065.02</w:t>
            </w:r>
          </w:p>
        </w:tc>
        <w:tc>
          <w:tcPr>
            <w:tcW w:w="850" w:type="dxa"/>
            <w:tcBorders>
              <w:top w:val="single" w:sz="2" w:space="0" w:color="auto"/>
              <w:left w:val="single" w:sz="2" w:space="0" w:color="auto"/>
              <w:bottom w:val="single" w:sz="2" w:space="0" w:color="auto"/>
              <w:right w:val="single" w:sz="2" w:space="0" w:color="auto"/>
            </w:tcBorders>
            <w:vAlign w:val="center"/>
          </w:tcPr>
          <w:p w14:paraId="34F5844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25.72%</w:t>
            </w:r>
          </w:p>
        </w:tc>
        <w:tc>
          <w:tcPr>
            <w:tcW w:w="1531" w:type="dxa"/>
            <w:tcBorders>
              <w:top w:val="single" w:sz="2" w:space="0" w:color="auto"/>
              <w:left w:val="single" w:sz="2" w:space="0" w:color="auto"/>
              <w:bottom w:val="single" w:sz="2" w:space="0" w:color="auto"/>
              <w:right w:val="single" w:sz="2" w:space="0" w:color="auto"/>
            </w:tcBorders>
            <w:vAlign w:val="center"/>
          </w:tcPr>
          <w:p w14:paraId="6964AD5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1,622,513,646.62</w:t>
            </w:r>
          </w:p>
        </w:tc>
        <w:tc>
          <w:tcPr>
            <w:tcW w:w="850" w:type="dxa"/>
            <w:tcBorders>
              <w:top w:val="single" w:sz="2" w:space="0" w:color="auto"/>
              <w:left w:val="single" w:sz="2" w:space="0" w:color="auto"/>
              <w:bottom w:val="single" w:sz="2" w:space="0" w:color="auto"/>
              <w:right w:val="single" w:sz="2" w:space="0" w:color="auto"/>
            </w:tcBorders>
            <w:vAlign w:val="center"/>
          </w:tcPr>
          <w:p w14:paraId="429C15F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26.61%</w:t>
            </w:r>
          </w:p>
        </w:tc>
        <w:tc>
          <w:tcPr>
            <w:tcW w:w="964" w:type="dxa"/>
            <w:tcBorders>
              <w:top w:val="single" w:sz="2" w:space="0" w:color="auto"/>
              <w:left w:val="single" w:sz="2" w:space="0" w:color="auto"/>
              <w:bottom w:val="single" w:sz="2" w:space="0" w:color="auto"/>
              <w:right w:val="single" w:sz="2" w:space="0" w:color="auto"/>
            </w:tcBorders>
            <w:vAlign w:val="center"/>
          </w:tcPr>
          <w:p w14:paraId="2825CBF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-0.89%</w:t>
            </w:r>
          </w:p>
        </w:tc>
        <w:tc>
          <w:tcPr>
            <w:tcW w:w="2812" w:type="dxa"/>
            <w:tcBorders>
              <w:top w:val="single" w:sz="2" w:space="0" w:color="auto"/>
              <w:left w:val="single" w:sz="2" w:space="0" w:color="auto"/>
              <w:bottom w:val="single" w:sz="2" w:space="0" w:color="auto"/>
              <w:right w:val="single" w:sz="2" w:space="0" w:color="auto"/>
            </w:tcBorders>
            <w:vAlign w:val="center"/>
          </w:tcPr>
          <w:p w14:paraId="24ADAA11" w14:textId="77777777" w:rsidR="00113A51" w:rsidRDefault="00113A51" w:rsidP="00BF671C">
            <w:pPr>
              <w:spacing w:line="360" w:lineRule="auto"/>
              <w:jc w:val="both"/>
              <w:rPr>
                <w:rFonts w:ascii="Times New Roman" w:eastAsia="宋体" w:hAnsi="Times New Roman" w:cs="宋体"/>
                <w:sz w:val="18"/>
                <w:szCs w:val="18"/>
              </w:rPr>
            </w:pPr>
          </w:p>
        </w:tc>
      </w:tr>
      <w:tr w:rsidR="00C57E60" w14:paraId="6BAD4D84"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0EC389AE"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在建工程</w:t>
            </w:r>
          </w:p>
        </w:tc>
        <w:tc>
          <w:tcPr>
            <w:tcW w:w="1361" w:type="dxa"/>
            <w:tcBorders>
              <w:top w:val="single" w:sz="2" w:space="0" w:color="auto"/>
              <w:left w:val="single" w:sz="2" w:space="0" w:color="auto"/>
              <w:bottom w:val="single" w:sz="2" w:space="0" w:color="auto"/>
              <w:right w:val="single" w:sz="2" w:space="0" w:color="auto"/>
            </w:tcBorders>
            <w:vAlign w:val="center"/>
          </w:tcPr>
          <w:p w14:paraId="47377B7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305,924,903.28</w:t>
            </w:r>
          </w:p>
        </w:tc>
        <w:tc>
          <w:tcPr>
            <w:tcW w:w="850" w:type="dxa"/>
            <w:tcBorders>
              <w:top w:val="single" w:sz="2" w:space="0" w:color="auto"/>
              <w:left w:val="single" w:sz="2" w:space="0" w:color="auto"/>
              <w:bottom w:val="single" w:sz="2" w:space="0" w:color="auto"/>
              <w:right w:val="single" w:sz="2" w:space="0" w:color="auto"/>
            </w:tcBorders>
            <w:vAlign w:val="center"/>
          </w:tcPr>
          <w:p w14:paraId="00E14E7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5.13%</w:t>
            </w:r>
          </w:p>
        </w:tc>
        <w:tc>
          <w:tcPr>
            <w:tcW w:w="1531" w:type="dxa"/>
            <w:tcBorders>
              <w:top w:val="single" w:sz="2" w:space="0" w:color="auto"/>
              <w:left w:val="single" w:sz="2" w:space="0" w:color="auto"/>
              <w:bottom w:val="single" w:sz="2" w:space="0" w:color="auto"/>
              <w:right w:val="single" w:sz="2" w:space="0" w:color="auto"/>
            </w:tcBorders>
            <w:vAlign w:val="center"/>
          </w:tcPr>
          <w:p w14:paraId="285F376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210,876,362.92</w:t>
            </w:r>
          </w:p>
        </w:tc>
        <w:tc>
          <w:tcPr>
            <w:tcW w:w="850" w:type="dxa"/>
            <w:tcBorders>
              <w:top w:val="single" w:sz="2" w:space="0" w:color="auto"/>
              <w:left w:val="single" w:sz="2" w:space="0" w:color="auto"/>
              <w:bottom w:val="single" w:sz="2" w:space="0" w:color="auto"/>
              <w:right w:val="single" w:sz="2" w:space="0" w:color="auto"/>
            </w:tcBorders>
            <w:vAlign w:val="center"/>
          </w:tcPr>
          <w:p w14:paraId="07081B59"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3.46%</w:t>
            </w:r>
          </w:p>
        </w:tc>
        <w:tc>
          <w:tcPr>
            <w:tcW w:w="964" w:type="dxa"/>
            <w:tcBorders>
              <w:top w:val="single" w:sz="2" w:space="0" w:color="auto"/>
              <w:left w:val="single" w:sz="2" w:space="0" w:color="auto"/>
              <w:bottom w:val="single" w:sz="2" w:space="0" w:color="auto"/>
              <w:right w:val="single" w:sz="2" w:space="0" w:color="auto"/>
            </w:tcBorders>
            <w:vAlign w:val="center"/>
          </w:tcPr>
          <w:p w14:paraId="3DA56A4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1.67%</w:t>
            </w:r>
          </w:p>
        </w:tc>
        <w:tc>
          <w:tcPr>
            <w:tcW w:w="2812" w:type="dxa"/>
            <w:tcBorders>
              <w:top w:val="single" w:sz="2" w:space="0" w:color="auto"/>
              <w:left w:val="single" w:sz="2" w:space="0" w:color="auto"/>
              <w:bottom w:val="single" w:sz="2" w:space="0" w:color="auto"/>
              <w:right w:val="single" w:sz="2" w:space="0" w:color="auto"/>
            </w:tcBorders>
            <w:vAlign w:val="center"/>
          </w:tcPr>
          <w:p w14:paraId="2E6BD9F8" w14:textId="77777777" w:rsidR="00113A51" w:rsidRDefault="00766EC7" w:rsidP="00BF671C">
            <w:pPr>
              <w:spacing w:line="360" w:lineRule="auto"/>
              <w:jc w:val="both"/>
              <w:rPr>
                <w:rFonts w:ascii="Times New Roman" w:eastAsia="宋体" w:hAnsi="Times New Roman" w:cs="宋体"/>
                <w:sz w:val="18"/>
                <w:szCs w:val="18"/>
              </w:rPr>
            </w:pPr>
            <w:r>
              <w:rPr>
                <w:rFonts w:ascii="Times New Roman" w:eastAsia="宋体" w:hAnsi="Times New Roman" w:cs="宋体"/>
                <w:sz w:val="18"/>
                <w:szCs w:val="18"/>
              </w:rPr>
              <w:t>主要系建设全球研发中心项目所致</w:t>
            </w:r>
          </w:p>
        </w:tc>
      </w:tr>
      <w:tr w:rsidR="00C57E60" w14:paraId="3F9C5B0F"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07573992"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使用权资产</w:t>
            </w:r>
          </w:p>
        </w:tc>
        <w:tc>
          <w:tcPr>
            <w:tcW w:w="1361" w:type="dxa"/>
            <w:tcBorders>
              <w:top w:val="single" w:sz="2" w:space="0" w:color="auto"/>
              <w:left w:val="single" w:sz="2" w:space="0" w:color="auto"/>
              <w:bottom w:val="single" w:sz="2" w:space="0" w:color="auto"/>
              <w:right w:val="single" w:sz="2" w:space="0" w:color="auto"/>
            </w:tcBorders>
            <w:vAlign w:val="center"/>
          </w:tcPr>
          <w:p w14:paraId="4CA9D64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11,871,018.48</w:t>
            </w:r>
          </w:p>
        </w:tc>
        <w:tc>
          <w:tcPr>
            <w:tcW w:w="850" w:type="dxa"/>
            <w:tcBorders>
              <w:top w:val="single" w:sz="2" w:space="0" w:color="auto"/>
              <w:left w:val="single" w:sz="2" w:space="0" w:color="auto"/>
              <w:bottom w:val="single" w:sz="2" w:space="0" w:color="auto"/>
              <w:right w:val="single" w:sz="2" w:space="0" w:color="auto"/>
            </w:tcBorders>
            <w:vAlign w:val="center"/>
          </w:tcPr>
          <w:p w14:paraId="4842369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0.20%</w:t>
            </w:r>
          </w:p>
        </w:tc>
        <w:tc>
          <w:tcPr>
            <w:tcW w:w="1531" w:type="dxa"/>
            <w:tcBorders>
              <w:top w:val="single" w:sz="2" w:space="0" w:color="auto"/>
              <w:left w:val="single" w:sz="2" w:space="0" w:color="auto"/>
              <w:bottom w:val="single" w:sz="2" w:space="0" w:color="auto"/>
              <w:right w:val="single" w:sz="2" w:space="0" w:color="auto"/>
            </w:tcBorders>
            <w:vAlign w:val="center"/>
          </w:tcPr>
          <w:p w14:paraId="627E9C7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22,015,303.18</w:t>
            </w:r>
          </w:p>
        </w:tc>
        <w:tc>
          <w:tcPr>
            <w:tcW w:w="850" w:type="dxa"/>
            <w:tcBorders>
              <w:top w:val="single" w:sz="2" w:space="0" w:color="auto"/>
              <w:left w:val="single" w:sz="2" w:space="0" w:color="auto"/>
              <w:bottom w:val="single" w:sz="2" w:space="0" w:color="auto"/>
              <w:right w:val="single" w:sz="2" w:space="0" w:color="auto"/>
            </w:tcBorders>
            <w:vAlign w:val="center"/>
          </w:tcPr>
          <w:p w14:paraId="3CF26E0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0.36%</w:t>
            </w:r>
          </w:p>
        </w:tc>
        <w:tc>
          <w:tcPr>
            <w:tcW w:w="964" w:type="dxa"/>
            <w:tcBorders>
              <w:top w:val="single" w:sz="2" w:space="0" w:color="auto"/>
              <w:left w:val="single" w:sz="2" w:space="0" w:color="auto"/>
              <w:bottom w:val="single" w:sz="2" w:space="0" w:color="auto"/>
              <w:right w:val="single" w:sz="2" w:space="0" w:color="auto"/>
            </w:tcBorders>
            <w:vAlign w:val="center"/>
          </w:tcPr>
          <w:p w14:paraId="2675A83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-0.16%</w:t>
            </w:r>
          </w:p>
        </w:tc>
        <w:tc>
          <w:tcPr>
            <w:tcW w:w="2812" w:type="dxa"/>
            <w:tcBorders>
              <w:top w:val="single" w:sz="2" w:space="0" w:color="auto"/>
              <w:left w:val="single" w:sz="2" w:space="0" w:color="auto"/>
              <w:bottom w:val="single" w:sz="2" w:space="0" w:color="auto"/>
              <w:right w:val="single" w:sz="2" w:space="0" w:color="auto"/>
            </w:tcBorders>
            <w:vAlign w:val="center"/>
          </w:tcPr>
          <w:p w14:paraId="0EB21E75" w14:textId="77777777" w:rsidR="00113A51" w:rsidRDefault="00113A51" w:rsidP="00BF671C">
            <w:pPr>
              <w:spacing w:line="360" w:lineRule="auto"/>
              <w:jc w:val="both"/>
              <w:rPr>
                <w:rFonts w:ascii="Times New Roman" w:eastAsia="宋体" w:hAnsi="Times New Roman" w:cs="宋体"/>
                <w:sz w:val="18"/>
                <w:szCs w:val="18"/>
              </w:rPr>
            </w:pPr>
          </w:p>
        </w:tc>
      </w:tr>
      <w:tr w:rsidR="00C57E60" w14:paraId="7461A35C"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5A48CC85"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短期借款</w:t>
            </w:r>
          </w:p>
        </w:tc>
        <w:tc>
          <w:tcPr>
            <w:tcW w:w="1361" w:type="dxa"/>
            <w:tcBorders>
              <w:top w:val="single" w:sz="2" w:space="0" w:color="auto"/>
              <w:left w:val="single" w:sz="2" w:space="0" w:color="auto"/>
              <w:bottom w:val="single" w:sz="2" w:space="0" w:color="auto"/>
              <w:right w:val="single" w:sz="2" w:space="0" w:color="auto"/>
            </w:tcBorders>
            <w:vAlign w:val="center"/>
          </w:tcPr>
          <w:p w14:paraId="30039D9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112,327,085.86</w:t>
            </w:r>
          </w:p>
        </w:tc>
        <w:tc>
          <w:tcPr>
            <w:tcW w:w="850" w:type="dxa"/>
            <w:tcBorders>
              <w:top w:val="single" w:sz="2" w:space="0" w:color="auto"/>
              <w:left w:val="single" w:sz="2" w:space="0" w:color="auto"/>
              <w:bottom w:val="single" w:sz="2" w:space="0" w:color="auto"/>
              <w:right w:val="single" w:sz="2" w:space="0" w:color="auto"/>
            </w:tcBorders>
            <w:vAlign w:val="center"/>
          </w:tcPr>
          <w:p w14:paraId="5A42978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1.88%</w:t>
            </w:r>
          </w:p>
        </w:tc>
        <w:tc>
          <w:tcPr>
            <w:tcW w:w="1531" w:type="dxa"/>
            <w:tcBorders>
              <w:top w:val="single" w:sz="2" w:space="0" w:color="auto"/>
              <w:left w:val="single" w:sz="2" w:space="0" w:color="auto"/>
              <w:bottom w:val="single" w:sz="2" w:space="0" w:color="auto"/>
              <w:right w:val="single" w:sz="2" w:space="0" w:color="auto"/>
            </w:tcBorders>
            <w:vAlign w:val="center"/>
          </w:tcPr>
          <w:p w14:paraId="7695B4D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130,076,388.25</w:t>
            </w:r>
          </w:p>
        </w:tc>
        <w:tc>
          <w:tcPr>
            <w:tcW w:w="850" w:type="dxa"/>
            <w:tcBorders>
              <w:top w:val="single" w:sz="2" w:space="0" w:color="auto"/>
              <w:left w:val="single" w:sz="2" w:space="0" w:color="auto"/>
              <w:bottom w:val="single" w:sz="2" w:space="0" w:color="auto"/>
              <w:right w:val="single" w:sz="2" w:space="0" w:color="auto"/>
            </w:tcBorders>
            <w:vAlign w:val="center"/>
          </w:tcPr>
          <w:p w14:paraId="3EB1711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2.13%</w:t>
            </w:r>
          </w:p>
        </w:tc>
        <w:tc>
          <w:tcPr>
            <w:tcW w:w="964" w:type="dxa"/>
            <w:tcBorders>
              <w:top w:val="single" w:sz="2" w:space="0" w:color="auto"/>
              <w:left w:val="single" w:sz="2" w:space="0" w:color="auto"/>
              <w:bottom w:val="single" w:sz="2" w:space="0" w:color="auto"/>
              <w:right w:val="single" w:sz="2" w:space="0" w:color="auto"/>
            </w:tcBorders>
            <w:vAlign w:val="center"/>
          </w:tcPr>
          <w:p w14:paraId="1A7ADFEF"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-0.25%</w:t>
            </w:r>
          </w:p>
        </w:tc>
        <w:tc>
          <w:tcPr>
            <w:tcW w:w="2812" w:type="dxa"/>
            <w:tcBorders>
              <w:top w:val="single" w:sz="2" w:space="0" w:color="auto"/>
              <w:left w:val="single" w:sz="2" w:space="0" w:color="auto"/>
              <w:bottom w:val="single" w:sz="2" w:space="0" w:color="auto"/>
              <w:right w:val="single" w:sz="2" w:space="0" w:color="auto"/>
            </w:tcBorders>
            <w:vAlign w:val="center"/>
          </w:tcPr>
          <w:p w14:paraId="14AD7584" w14:textId="77777777" w:rsidR="00113A51" w:rsidRDefault="00113A51" w:rsidP="00BF671C">
            <w:pPr>
              <w:spacing w:line="360" w:lineRule="auto"/>
              <w:jc w:val="both"/>
              <w:rPr>
                <w:rFonts w:ascii="Times New Roman" w:eastAsia="宋体" w:hAnsi="Times New Roman" w:cs="宋体"/>
                <w:sz w:val="18"/>
                <w:szCs w:val="18"/>
              </w:rPr>
            </w:pPr>
          </w:p>
        </w:tc>
      </w:tr>
      <w:tr w:rsidR="00C57E60" w14:paraId="00E3C9CF"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513E7F45"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合同负债</w:t>
            </w:r>
          </w:p>
        </w:tc>
        <w:tc>
          <w:tcPr>
            <w:tcW w:w="1361" w:type="dxa"/>
            <w:tcBorders>
              <w:top w:val="single" w:sz="2" w:space="0" w:color="auto"/>
              <w:left w:val="single" w:sz="2" w:space="0" w:color="auto"/>
              <w:bottom w:val="single" w:sz="2" w:space="0" w:color="auto"/>
              <w:right w:val="single" w:sz="2" w:space="0" w:color="auto"/>
            </w:tcBorders>
            <w:vAlign w:val="center"/>
          </w:tcPr>
          <w:p w14:paraId="363812C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540,008,146.93</w:t>
            </w:r>
          </w:p>
        </w:tc>
        <w:tc>
          <w:tcPr>
            <w:tcW w:w="850" w:type="dxa"/>
            <w:tcBorders>
              <w:top w:val="single" w:sz="2" w:space="0" w:color="auto"/>
              <w:left w:val="single" w:sz="2" w:space="0" w:color="auto"/>
              <w:bottom w:val="single" w:sz="2" w:space="0" w:color="auto"/>
              <w:right w:val="single" w:sz="2" w:space="0" w:color="auto"/>
            </w:tcBorders>
            <w:vAlign w:val="center"/>
          </w:tcPr>
          <w:p w14:paraId="4C0479E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9.06%</w:t>
            </w:r>
          </w:p>
        </w:tc>
        <w:tc>
          <w:tcPr>
            <w:tcW w:w="1531" w:type="dxa"/>
            <w:tcBorders>
              <w:top w:val="single" w:sz="2" w:space="0" w:color="auto"/>
              <w:left w:val="single" w:sz="2" w:space="0" w:color="auto"/>
              <w:bottom w:val="single" w:sz="2" w:space="0" w:color="auto"/>
              <w:right w:val="single" w:sz="2" w:space="0" w:color="auto"/>
            </w:tcBorders>
            <w:vAlign w:val="center"/>
          </w:tcPr>
          <w:p w14:paraId="6852B7A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446,358,451.33</w:t>
            </w:r>
          </w:p>
        </w:tc>
        <w:tc>
          <w:tcPr>
            <w:tcW w:w="850" w:type="dxa"/>
            <w:tcBorders>
              <w:top w:val="single" w:sz="2" w:space="0" w:color="auto"/>
              <w:left w:val="single" w:sz="2" w:space="0" w:color="auto"/>
              <w:bottom w:val="single" w:sz="2" w:space="0" w:color="auto"/>
              <w:right w:val="single" w:sz="2" w:space="0" w:color="auto"/>
            </w:tcBorders>
            <w:vAlign w:val="center"/>
          </w:tcPr>
          <w:p w14:paraId="33CB7EE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7.32%</w:t>
            </w:r>
          </w:p>
        </w:tc>
        <w:tc>
          <w:tcPr>
            <w:tcW w:w="964" w:type="dxa"/>
            <w:tcBorders>
              <w:top w:val="single" w:sz="2" w:space="0" w:color="auto"/>
              <w:left w:val="single" w:sz="2" w:space="0" w:color="auto"/>
              <w:bottom w:val="single" w:sz="2" w:space="0" w:color="auto"/>
              <w:right w:val="single" w:sz="2" w:space="0" w:color="auto"/>
            </w:tcBorders>
            <w:vAlign w:val="center"/>
          </w:tcPr>
          <w:p w14:paraId="00CBAE9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1.74%</w:t>
            </w:r>
          </w:p>
        </w:tc>
        <w:tc>
          <w:tcPr>
            <w:tcW w:w="2812" w:type="dxa"/>
            <w:tcBorders>
              <w:top w:val="single" w:sz="2" w:space="0" w:color="auto"/>
              <w:left w:val="single" w:sz="2" w:space="0" w:color="auto"/>
              <w:bottom w:val="single" w:sz="2" w:space="0" w:color="auto"/>
              <w:right w:val="single" w:sz="2" w:space="0" w:color="auto"/>
            </w:tcBorders>
            <w:vAlign w:val="center"/>
          </w:tcPr>
          <w:p w14:paraId="731DA18A" w14:textId="350B41A7" w:rsidR="00113A51" w:rsidRDefault="00BF671C" w:rsidP="00BF671C">
            <w:pPr>
              <w:spacing w:line="360" w:lineRule="auto"/>
              <w:jc w:val="both"/>
              <w:rPr>
                <w:rFonts w:ascii="Times New Roman" w:eastAsia="宋体" w:hAnsi="Times New Roman" w:cs="宋体"/>
                <w:sz w:val="18"/>
                <w:szCs w:val="18"/>
              </w:rPr>
            </w:pPr>
            <w:r w:rsidRPr="00BF671C">
              <w:rPr>
                <w:rFonts w:ascii="Times New Roman" w:eastAsia="宋体" w:hAnsi="Times New Roman" w:cs="宋体" w:hint="eastAsia"/>
                <w:sz w:val="18"/>
                <w:szCs w:val="18"/>
              </w:rPr>
              <w:t>主要系预收款及待抵扣返利增加所致</w:t>
            </w:r>
          </w:p>
        </w:tc>
      </w:tr>
      <w:tr w:rsidR="00C57E60" w14:paraId="496EABDC"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3D363197"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长期借款</w:t>
            </w:r>
          </w:p>
        </w:tc>
        <w:tc>
          <w:tcPr>
            <w:tcW w:w="1361" w:type="dxa"/>
            <w:tcBorders>
              <w:top w:val="single" w:sz="2" w:space="0" w:color="auto"/>
              <w:left w:val="single" w:sz="2" w:space="0" w:color="auto"/>
              <w:bottom w:val="single" w:sz="2" w:space="0" w:color="auto"/>
              <w:right w:val="single" w:sz="2" w:space="0" w:color="auto"/>
            </w:tcBorders>
            <w:vAlign w:val="center"/>
          </w:tcPr>
          <w:p w14:paraId="6E49185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201,700,000.00</w:t>
            </w:r>
          </w:p>
        </w:tc>
        <w:tc>
          <w:tcPr>
            <w:tcW w:w="850" w:type="dxa"/>
            <w:tcBorders>
              <w:top w:val="single" w:sz="2" w:space="0" w:color="auto"/>
              <w:left w:val="single" w:sz="2" w:space="0" w:color="auto"/>
              <w:bottom w:val="single" w:sz="2" w:space="0" w:color="auto"/>
              <w:right w:val="single" w:sz="2" w:space="0" w:color="auto"/>
            </w:tcBorders>
            <w:vAlign w:val="center"/>
          </w:tcPr>
          <w:p w14:paraId="4E555D1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3.38%</w:t>
            </w:r>
          </w:p>
        </w:tc>
        <w:tc>
          <w:tcPr>
            <w:tcW w:w="1531" w:type="dxa"/>
            <w:tcBorders>
              <w:top w:val="single" w:sz="2" w:space="0" w:color="auto"/>
              <w:left w:val="single" w:sz="2" w:space="0" w:color="auto"/>
              <w:bottom w:val="single" w:sz="2" w:space="0" w:color="auto"/>
              <w:right w:val="single" w:sz="2" w:space="0" w:color="auto"/>
            </w:tcBorders>
            <w:vAlign w:val="center"/>
          </w:tcPr>
          <w:p w14:paraId="74AB5A70"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120,000.00</w:t>
            </w:r>
          </w:p>
        </w:tc>
        <w:tc>
          <w:tcPr>
            <w:tcW w:w="850" w:type="dxa"/>
            <w:tcBorders>
              <w:top w:val="single" w:sz="2" w:space="0" w:color="auto"/>
              <w:left w:val="single" w:sz="2" w:space="0" w:color="auto"/>
              <w:bottom w:val="single" w:sz="2" w:space="0" w:color="auto"/>
              <w:right w:val="single" w:sz="2" w:space="0" w:color="auto"/>
            </w:tcBorders>
            <w:vAlign w:val="center"/>
          </w:tcPr>
          <w:p w14:paraId="30F7D16D"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0.00%</w:t>
            </w:r>
          </w:p>
        </w:tc>
        <w:tc>
          <w:tcPr>
            <w:tcW w:w="964" w:type="dxa"/>
            <w:tcBorders>
              <w:top w:val="single" w:sz="2" w:space="0" w:color="auto"/>
              <w:left w:val="single" w:sz="2" w:space="0" w:color="auto"/>
              <w:bottom w:val="single" w:sz="2" w:space="0" w:color="auto"/>
              <w:right w:val="single" w:sz="2" w:space="0" w:color="auto"/>
            </w:tcBorders>
            <w:vAlign w:val="center"/>
          </w:tcPr>
          <w:p w14:paraId="1114DD7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3.38%</w:t>
            </w:r>
          </w:p>
        </w:tc>
        <w:tc>
          <w:tcPr>
            <w:tcW w:w="2812" w:type="dxa"/>
            <w:tcBorders>
              <w:top w:val="single" w:sz="2" w:space="0" w:color="auto"/>
              <w:left w:val="single" w:sz="2" w:space="0" w:color="auto"/>
              <w:bottom w:val="single" w:sz="2" w:space="0" w:color="auto"/>
              <w:right w:val="single" w:sz="2" w:space="0" w:color="auto"/>
            </w:tcBorders>
            <w:vAlign w:val="center"/>
          </w:tcPr>
          <w:p w14:paraId="78EC0C8E" w14:textId="77777777" w:rsidR="00113A51" w:rsidRDefault="00766EC7" w:rsidP="00BF671C">
            <w:pPr>
              <w:spacing w:line="360" w:lineRule="auto"/>
              <w:jc w:val="both"/>
              <w:rPr>
                <w:rFonts w:ascii="Times New Roman" w:eastAsia="宋体" w:hAnsi="Times New Roman" w:cs="宋体"/>
                <w:sz w:val="18"/>
                <w:szCs w:val="18"/>
              </w:rPr>
            </w:pPr>
            <w:r>
              <w:rPr>
                <w:rFonts w:ascii="Times New Roman" w:eastAsia="宋体" w:hAnsi="Times New Roman" w:cs="宋体"/>
                <w:sz w:val="18"/>
                <w:szCs w:val="18"/>
              </w:rPr>
              <w:t>主要系增加银行贷款所致</w:t>
            </w:r>
          </w:p>
        </w:tc>
      </w:tr>
      <w:tr w:rsidR="00C57E60" w14:paraId="3BAFDB37"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3E28F321"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租赁负债</w:t>
            </w:r>
          </w:p>
        </w:tc>
        <w:tc>
          <w:tcPr>
            <w:tcW w:w="1361" w:type="dxa"/>
            <w:tcBorders>
              <w:top w:val="single" w:sz="2" w:space="0" w:color="auto"/>
              <w:left w:val="single" w:sz="2" w:space="0" w:color="auto"/>
              <w:bottom w:val="single" w:sz="2" w:space="0" w:color="auto"/>
              <w:right w:val="single" w:sz="2" w:space="0" w:color="auto"/>
            </w:tcBorders>
            <w:vAlign w:val="center"/>
          </w:tcPr>
          <w:p w14:paraId="7A0802E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1,929,160.42</w:t>
            </w:r>
          </w:p>
        </w:tc>
        <w:tc>
          <w:tcPr>
            <w:tcW w:w="850" w:type="dxa"/>
            <w:tcBorders>
              <w:top w:val="single" w:sz="2" w:space="0" w:color="auto"/>
              <w:left w:val="single" w:sz="2" w:space="0" w:color="auto"/>
              <w:bottom w:val="single" w:sz="2" w:space="0" w:color="auto"/>
              <w:right w:val="single" w:sz="2" w:space="0" w:color="auto"/>
            </w:tcBorders>
            <w:vAlign w:val="center"/>
          </w:tcPr>
          <w:p w14:paraId="38E7348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0.03%</w:t>
            </w:r>
          </w:p>
        </w:tc>
        <w:tc>
          <w:tcPr>
            <w:tcW w:w="1531" w:type="dxa"/>
            <w:tcBorders>
              <w:top w:val="single" w:sz="2" w:space="0" w:color="auto"/>
              <w:left w:val="single" w:sz="2" w:space="0" w:color="auto"/>
              <w:bottom w:val="single" w:sz="2" w:space="0" w:color="auto"/>
              <w:right w:val="single" w:sz="2" w:space="0" w:color="auto"/>
            </w:tcBorders>
            <w:vAlign w:val="center"/>
          </w:tcPr>
          <w:p w14:paraId="51148EB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11,102,029.64</w:t>
            </w:r>
          </w:p>
        </w:tc>
        <w:tc>
          <w:tcPr>
            <w:tcW w:w="850" w:type="dxa"/>
            <w:tcBorders>
              <w:top w:val="single" w:sz="2" w:space="0" w:color="auto"/>
              <w:left w:val="single" w:sz="2" w:space="0" w:color="auto"/>
              <w:bottom w:val="single" w:sz="2" w:space="0" w:color="auto"/>
              <w:right w:val="single" w:sz="2" w:space="0" w:color="auto"/>
            </w:tcBorders>
            <w:vAlign w:val="center"/>
          </w:tcPr>
          <w:p w14:paraId="69F11A7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0.18%</w:t>
            </w:r>
          </w:p>
        </w:tc>
        <w:tc>
          <w:tcPr>
            <w:tcW w:w="964" w:type="dxa"/>
            <w:tcBorders>
              <w:top w:val="single" w:sz="2" w:space="0" w:color="auto"/>
              <w:left w:val="single" w:sz="2" w:space="0" w:color="auto"/>
              <w:bottom w:val="single" w:sz="2" w:space="0" w:color="auto"/>
              <w:right w:val="single" w:sz="2" w:space="0" w:color="auto"/>
            </w:tcBorders>
            <w:vAlign w:val="center"/>
          </w:tcPr>
          <w:p w14:paraId="0B8F3553"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-0.15%</w:t>
            </w:r>
          </w:p>
        </w:tc>
        <w:tc>
          <w:tcPr>
            <w:tcW w:w="2812" w:type="dxa"/>
            <w:tcBorders>
              <w:top w:val="single" w:sz="2" w:space="0" w:color="auto"/>
              <w:left w:val="single" w:sz="2" w:space="0" w:color="auto"/>
              <w:bottom w:val="single" w:sz="2" w:space="0" w:color="auto"/>
              <w:right w:val="single" w:sz="2" w:space="0" w:color="auto"/>
            </w:tcBorders>
            <w:vAlign w:val="center"/>
          </w:tcPr>
          <w:p w14:paraId="5F7AC32F" w14:textId="77777777" w:rsidR="00113A51" w:rsidRDefault="00113A51" w:rsidP="00BF671C">
            <w:pPr>
              <w:spacing w:line="360" w:lineRule="auto"/>
              <w:jc w:val="both"/>
              <w:rPr>
                <w:rFonts w:ascii="Times New Roman" w:eastAsia="宋体" w:hAnsi="Times New Roman" w:cs="宋体"/>
                <w:sz w:val="18"/>
                <w:szCs w:val="18"/>
              </w:rPr>
            </w:pPr>
          </w:p>
        </w:tc>
      </w:tr>
      <w:tr w:rsidR="00C57E60" w14:paraId="29F6187B" w14:textId="77777777" w:rsidTr="00BF671C">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43C2ABB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一年内到期的非流动负债</w:t>
            </w:r>
          </w:p>
        </w:tc>
        <w:tc>
          <w:tcPr>
            <w:tcW w:w="1361" w:type="dxa"/>
            <w:tcBorders>
              <w:top w:val="single" w:sz="2" w:space="0" w:color="auto"/>
              <w:left w:val="single" w:sz="2" w:space="0" w:color="auto"/>
              <w:bottom w:val="single" w:sz="2" w:space="0" w:color="auto"/>
              <w:right w:val="single" w:sz="2" w:space="0" w:color="auto"/>
            </w:tcBorders>
            <w:vAlign w:val="center"/>
          </w:tcPr>
          <w:p w14:paraId="1EDFE67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512,876,445.44</w:t>
            </w:r>
          </w:p>
        </w:tc>
        <w:tc>
          <w:tcPr>
            <w:tcW w:w="850" w:type="dxa"/>
            <w:tcBorders>
              <w:top w:val="single" w:sz="2" w:space="0" w:color="auto"/>
              <w:left w:val="single" w:sz="2" w:space="0" w:color="auto"/>
              <w:bottom w:val="single" w:sz="2" w:space="0" w:color="auto"/>
              <w:right w:val="single" w:sz="2" w:space="0" w:color="auto"/>
            </w:tcBorders>
            <w:vAlign w:val="center"/>
          </w:tcPr>
          <w:p w14:paraId="6940BDEB"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8.60%</w:t>
            </w:r>
          </w:p>
        </w:tc>
        <w:tc>
          <w:tcPr>
            <w:tcW w:w="1531" w:type="dxa"/>
            <w:tcBorders>
              <w:top w:val="single" w:sz="2" w:space="0" w:color="auto"/>
              <w:left w:val="single" w:sz="2" w:space="0" w:color="auto"/>
              <w:bottom w:val="single" w:sz="2" w:space="0" w:color="auto"/>
              <w:right w:val="single" w:sz="2" w:space="0" w:color="auto"/>
            </w:tcBorders>
            <w:vAlign w:val="center"/>
          </w:tcPr>
          <w:p w14:paraId="062DCDD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233,874,703.61</w:t>
            </w:r>
          </w:p>
        </w:tc>
        <w:tc>
          <w:tcPr>
            <w:tcW w:w="850" w:type="dxa"/>
            <w:tcBorders>
              <w:top w:val="single" w:sz="2" w:space="0" w:color="auto"/>
              <w:left w:val="single" w:sz="2" w:space="0" w:color="auto"/>
              <w:bottom w:val="single" w:sz="2" w:space="0" w:color="auto"/>
              <w:right w:val="single" w:sz="2" w:space="0" w:color="auto"/>
            </w:tcBorders>
            <w:vAlign w:val="center"/>
          </w:tcPr>
          <w:p w14:paraId="20BB261C"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3.84%</w:t>
            </w:r>
          </w:p>
        </w:tc>
        <w:tc>
          <w:tcPr>
            <w:tcW w:w="964" w:type="dxa"/>
            <w:tcBorders>
              <w:top w:val="single" w:sz="2" w:space="0" w:color="auto"/>
              <w:left w:val="single" w:sz="2" w:space="0" w:color="auto"/>
              <w:bottom w:val="single" w:sz="2" w:space="0" w:color="auto"/>
              <w:right w:val="single" w:sz="2" w:space="0" w:color="auto"/>
            </w:tcBorders>
            <w:vAlign w:val="center"/>
          </w:tcPr>
          <w:p w14:paraId="4B1F693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4.76%</w:t>
            </w:r>
          </w:p>
        </w:tc>
        <w:tc>
          <w:tcPr>
            <w:tcW w:w="2812" w:type="dxa"/>
            <w:tcBorders>
              <w:top w:val="single" w:sz="2" w:space="0" w:color="auto"/>
              <w:left w:val="single" w:sz="2" w:space="0" w:color="auto"/>
              <w:bottom w:val="single" w:sz="2" w:space="0" w:color="auto"/>
              <w:right w:val="single" w:sz="2" w:space="0" w:color="auto"/>
            </w:tcBorders>
            <w:vAlign w:val="center"/>
          </w:tcPr>
          <w:p w14:paraId="0DC70B90" w14:textId="77777777" w:rsidR="00113A51" w:rsidRDefault="00766EC7" w:rsidP="00BF671C">
            <w:pPr>
              <w:spacing w:line="360" w:lineRule="auto"/>
              <w:jc w:val="both"/>
              <w:rPr>
                <w:rFonts w:ascii="Times New Roman" w:eastAsia="宋体" w:hAnsi="Times New Roman" w:cs="宋体"/>
                <w:sz w:val="18"/>
                <w:szCs w:val="18"/>
              </w:rPr>
            </w:pPr>
            <w:r>
              <w:rPr>
                <w:rFonts w:ascii="Times New Roman" w:eastAsia="宋体" w:hAnsi="Times New Roman" w:cs="宋体"/>
                <w:sz w:val="18"/>
                <w:szCs w:val="18"/>
              </w:rPr>
              <w:t>主要为应付债券重分类至一年到期的非流动负债所致</w:t>
            </w:r>
          </w:p>
        </w:tc>
      </w:tr>
    </w:tbl>
    <w:p w14:paraId="68E00F8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境外资产占比较高</w:t>
      </w:r>
    </w:p>
    <w:p w14:paraId="3FF4D37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90" w:type="dxa"/>
        <w:tblInd w:w="108" w:type="dxa"/>
        <w:tblLayout w:type="fixed"/>
        <w:tblCellMar>
          <w:left w:w="28" w:type="dxa"/>
          <w:right w:w="28" w:type="dxa"/>
        </w:tblCellMar>
        <w:tblLook w:val="04A0" w:firstRow="1" w:lastRow="0" w:firstColumn="1" w:lastColumn="0" w:noHBand="0" w:noVBand="1"/>
      </w:tblPr>
      <w:tblGrid>
        <w:gridCol w:w="1077"/>
        <w:gridCol w:w="539"/>
        <w:gridCol w:w="526"/>
        <w:gridCol w:w="750"/>
        <w:gridCol w:w="1276"/>
        <w:gridCol w:w="879"/>
        <w:gridCol w:w="1134"/>
        <w:gridCol w:w="1332"/>
        <w:gridCol w:w="1134"/>
        <w:gridCol w:w="1043"/>
      </w:tblGrid>
      <w:tr w:rsidR="00C57E60" w14:paraId="20C64CE5" w14:textId="77777777" w:rsidTr="00BF671C">
        <w:trPr>
          <w:trHeight w:val="240"/>
        </w:trPr>
        <w:tc>
          <w:tcPr>
            <w:tcW w:w="1077" w:type="dxa"/>
            <w:tcBorders>
              <w:top w:val="single" w:sz="2" w:space="0" w:color="auto"/>
              <w:left w:val="single" w:sz="2" w:space="0" w:color="auto"/>
              <w:bottom w:val="single" w:sz="2" w:space="0" w:color="auto"/>
              <w:right w:val="single" w:sz="2" w:space="0" w:color="auto"/>
            </w:tcBorders>
            <w:shd w:val="clear" w:color="auto" w:fill="D3D3D3"/>
            <w:vAlign w:val="center"/>
          </w:tcPr>
          <w:p w14:paraId="317B2828"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资产的具体内容</w:t>
            </w:r>
          </w:p>
        </w:tc>
        <w:tc>
          <w:tcPr>
            <w:tcW w:w="539" w:type="dxa"/>
            <w:tcBorders>
              <w:top w:val="single" w:sz="2" w:space="0" w:color="auto"/>
              <w:left w:val="single" w:sz="2" w:space="0" w:color="auto"/>
              <w:bottom w:val="single" w:sz="2" w:space="0" w:color="auto"/>
              <w:right w:val="single" w:sz="2" w:space="0" w:color="auto"/>
            </w:tcBorders>
            <w:shd w:val="clear" w:color="auto" w:fill="D3D3D3"/>
            <w:vAlign w:val="center"/>
          </w:tcPr>
          <w:p w14:paraId="7784CCD0"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形成原因</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DC8D646"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资产规模</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CF4B8BF"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所在地</w:t>
            </w:r>
          </w:p>
        </w:tc>
        <w:tc>
          <w:tcPr>
            <w:tcW w:w="879" w:type="dxa"/>
            <w:tcBorders>
              <w:top w:val="single" w:sz="2" w:space="0" w:color="auto"/>
              <w:left w:val="single" w:sz="2" w:space="0" w:color="auto"/>
              <w:bottom w:val="single" w:sz="2" w:space="0" w:color="auto"/>
              <w:right w:val="single" w:sz="2" w:space="0" w:color="auto"/>
            </w:tcBorders>
            <w:shd w:val="clear" w:color="auto" w:fill="D3D3D3"/>
            <w:vAlign w:val="center"/>
          </w:tcPr>
          <w:p w14:paraId="73C36944"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运营模式</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035243D"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保障资产安全性的控制措施</w:t>
            </w:r>
          </w:p>
        </w:tc>
        <w:tc>
          <w:tcPr>
            <w:tcW w:w="1332" w:type="dxa"/>
            <w:tcBorders>
              <w:top w:val="single" w:sz="2" w:space="0" w:color="auto"/>
              <w:left w:val="single" w:sz="2" w:space="0" w:color="auto"/>
              <w:bottom w:val="single" w:sz="2" w:space="0" w:color="auto"/>
              <w:right w:val="single" w:sz="2" w:space="0" w:color="auto"/>
            </w:tcBorders>
            <w:shd w:val="clear" w:color="auto" w:fill="D3D3D3"/>
            <w:vAlign w:val="center"/>
          </w:tcPr>
          <w:p w14:paraId="77EE5AAA"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收益状况</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B29B852"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境外资产占公司净资产的比重</w:t>
            </w:r>
          </w:p>
        </w:tc>
        <w:tc>
          <w:tcPr>
            <w:tcW w:w="1043" w:type="dxa"/>
            <w:tcBorders>
              <w:top w:val="single" w:sz="2" w:space="0" w:color="auto"/>
              <w:left w:val="single" w:sz="2" w:space="0" w:color="auto"/>
              <w:bottom w:val="single" w:sz="2" w:space="0" w:color="auto"/>
              <w:right w:val="single" w:sz="2" w:space="0" w:color="auto"/>
            </w:tcBorders>
            <w:shd w:val="clear" w:color="auto" w:fill="D3D3D3"/>
            <w:vAlign w:val="center"/>
          </w:tcPr>
          <w:p w14:paraId="20E42528"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是否存在重大减值风险</w:t>
            </w:r>
          </w:p>
        </w:tc>
      </w:tr>
      <w:tr w:rsidR="00C57E60" w14:paraId="4BA091CB" w14:textId="77777777" w:rsidTr="00BF671C">
        <w:trPr>
          <w:trHeight w:val="240"/>
        </w:trPr>
        <w:tc>
          <w:tcPr>
            <w:tcW w:w="1077" w:type="dxa"/>
            <w:tcBorders>
              <w:top w:val="single" w:sz="2" w:space="0" w:color="auto"/>
              <w:left w:val="single" w:sz="2" w:space="0" w:color="auto"/>
              <w:bottom w:val="single" w:sz="2" w:space="0" w:color="auto"/>
              <w:right w:val="single" w:sz="2" w:space="0" w:color="auto"/>
            </w:tcBorders>
            <w:vAlign w:val="center"/>
          </w:tcPr>
          <w:p w14:paraId="7B9319C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Trividia</w:t>
            </w:r>
            <w:r>
              <w:rPr>
                <w:rFonts w:ascii="Times New Roman" w:eastAsia="宋体" w:hAnsi="Times New Roman" w:cs="宋体"/>
                <w:sz w:val="15"/>
                <w:szCs w:val="15"/>
              </w:rPr>
              <w:t>股权</w:t>
            </w:r>
          </w:p>
        </w:tc>
        <w:tc>
          <w:tcPr>
            <w:tcW w:w="539" w:type="dxa"/>
            <w:tcBorders>
              <w:top w:val="single" w:sz="2" w:space="0" w:color="auto"/>
              <w:left w:val="single" w:sz="2" w:space="0" w:color="auto"/>
              <w:bottom w:val="single" w:sz="2" w:space="0" w:color="auto"/>
              <w:right w:val="single" w:sz="2" w:space="0" w:color="auto"/>
            </w:tcBorders>
            <w:vAlign w:val="center"/>
          </w:tcPr>
          <w:p w14:paraId="4C93D5AF"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收购</w:t>
            </w:r>
          </w:p>
        </w:tc>
        <w:tc>
          <w:tcPr>
            <w:tcW w:w="1276" w:type="dxa"/>
            <w:gridSpan w:val="2"/>
            <w:tcBorders>
              <w:top w:val="single" w:sz="2" w:space="0" w:color="auto"/>
              <w:left w:val="single" w:sz="2" w:space="0" w:color="auto"/>
              <w:bottom w:val="single" w:sz="2" w:space="0" w:color="auto"/>
              <w:right w:val="single" w:sz="2" w:space="0" w:color="auto"/>
            </w:tcBorders>
            <w:vAlign w:val="center"/>
          </w:tcPr>
          <w:p w14:paraId="6B77E573" w14:textId="3702E4D3" w:rsidR="00113A51" w:rsidRDefault="00BF671C" w:rsidP="00BF671C">
            <w:pPr>
              <w:spacing w:line="360" w:lineRule="auto"/>
              <w:jc w:val="right"/>
              <w:rPr>
                <w:rFonts w:ascii="Times New Roman" w:eastAsia="宋体" w:hAnsi="Times New Roman" w:cs="宋体"/>
                <w:sz w:val="15"/>
                <w:szCs w:val="15"/>
              </w:rPr>
            </w:pPr>
            <w:r w:rsidRPr="00BF671C">
              <w:rPr>
                <w:rFonts w:ascii="Times New Roman" w:eastAsia="宋体" w:hAnsi="Times New Roman" w:cs="宋体"/>
                <w:sz w:val="15"/>
                <w:szCs w:val="15"/>
              </w:rPr>
              <w:t>1,091,071,525.78</w:t>
            </w:r>
          </w:p>
        </w:tc>
        <w:tc>
          <w:tcPr>
            <w:tcW w:w="1276" w:type="dxa"/>
            <w:tcBorders>
              <w:top w:val="single" w:sz="2" w:space="0" w:color="auto"/>
              <w:left w:val="single" w:sz="2" w:space="0" w:color="auto"/>
              <w:bottom w:val="single" w:sz="2" w:space="0" w:color="auto"/>
              <w:right w:val="single" w:sz="2" w:space="0" w:color="auto"/>
            </w:tcBorders>
            <w:vAlign w:val="center"/>
          </w:tcPr>
          <w:p w14:paraId="4C5A93F9" w14:textId="77777777" w:rsidR="00113A51" w:rsidRDefault="00766EC7" w:rsidP="00BF671C">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美国佛罗里达州</w:t>
            </w:r>
          </w:p>
        </w:tc>
        <w:tc>
          <w:tcPr>
            <w:tcW w:w="879" w:type="dxa"/>
            <w:tcBorders>
              <w:top w:val="single" w:sz="2" w:space="0" w:color="auto"/>
              <w:left w:val="single" w:sz="2" w:space="0" w:color="auto"/>
              <w:bottom w:val="single" w:sz="2" w:space="0" w:color="auto"/>
              <w:right w:val="single" w:sz="2" w:space="0" w:color="auto"/>
            </w:tcBorders>
            <w:vAlign w:val="center"/>
          </w:tcPr>
          <w:p w14:paraId="3922627F" w14:textId="4CFC7DB7" w:rsidR="00113A51" w:rsidRDefault="00766EC7" w:rsidP="00BF671C">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独立经营</w:t>
            </w:r>
          </w:p>
        </w:tc>
        <w:tc>
          <w:tcPr>
            <w:tcW w:w="1134" w:type="dxa"/>
            <w:tcBorders>
              <w:top w:val="single" w:sz="2" w:space="0" w:color="auto"/>
              <w:left w:val="single" w:sz="2" w:space="0" w:color="auto"/>
              <w:bottom w:val="single" w:sz="2" w:space="0" w:color="auto"/>
              <w:right w:val="single" w:sz="2" w:space="0" w:color="auto"/>
            </w:tcBorders>
            <w:vAlign w:val="center"/>
          </w:tcPr>
          <w:p w14:paraId="3797BAA6" w14:textId="77777777" w:rsidR="00113A51" w:rsidRDefault="00766EC7" w:rsidP="00BF671C">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加强监管</w:t>
            </w:r>
          </w:p>
        </w:tc>
        <w:tc>
          <w:tcPr>
            <w:tcW w:w="1332" w:type="dxa"/>
            <w:tcBorders>
              <w:top w:val="single" w:sz="2" w:space="0" w:color="auto"/>
              <w:left w:val="single" w:sz="2" w:space="0" w:color="auto"/>
              <w:bottom w:val="single" w:sz="2" w:space="0" w:color="auto"/>
              <w:right w:val="single" w:sz="2" w:space="0" w:color="auto"/>
            </w:tcBorders>
            <w:vAlign w:val="center"/>
          </w:tcPr>
          <w:p w14:paraId="04C5CC1C" w14:textId="386D0197" w:rsidR="00113A51" w:rsidRDefault="00BF671C" w:rsidP="00BF671C">
            <w:pPr>
              <w:spacing w:line="360" w:lineRule="auto"/>
              <w:jc w:val="right"/>
              <w:rPr>
                <w:rFonts w:ascii="Times New Roman" w:eastAsia="宋体" w:hAnsi="Times New Roman" w:cs="宋体"/>
                <w:sz w:val="15"/>
                <w:szCs w:val="15"/>
              </w:rPr>
            </w:pPr>
            <w:r w:rsidRPr="00BF671C">
              <w:rPr>
                <w:rFonts w:ascii="Times New Roman" w:eastAsia="宋体" w:hAnsi="Times New Roman" w:cs="宋体"/>
                <w:sz w:val="15"/>
                <w:szCs w:val="15"/>
              </w:rPr>
              <w:t>-129,372,300.73</w:t>
            </w:r>
          </w:p>
        </w:tc>
        <w:tc>
          <w:tcPr>
            <w:tcW w:w="1134" w:type="dxa"/>
            <w:tcBorders>
              <w:top w:val="single" w:sz="2" w:space="0" w:color="auto"/>
              <w:left w:val="single" w:sz="2" w:space="0" w:color="auto"/>
              <w:bottom w:val="single" w:sz="2" w:space="0" w:color="auto"/>
              <w:right w:val="single" w:sz="2" w:space="0" w:color="auto"/>
            </w:tcBorders>
            <w:vAlign w:val="center"/>
          </w:tcPr>
          <w:p w14:paraId="456E8E7F" w14:textId="20EA2C29" w:rsidR="00113A51" w:rsidRDefault="00BF671C">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35.05</w:t>
            </w:r>
            <w:r w:rsidR="00766EC7">
              <w:rPr>
                <w:rFonts w:ascii="Times New Roman" w:eastAsia="宋体" w:hAnsi="Times New Roman" w:cs="宋体"/>
                <w:sz w:val="15"/>
                <w:szCs w:val="15"/>
              </w:rPr>
              <w:t>%</w:t>
            </w:r>
          </w:p>
        </w:tc>
        <w:tc>
          <w:tcPr>
            <w:tcW w:w="1043" w:type="dxa"/>
            <w:tcBorders>
              <w:top w:val="single" w:sz="2" w:space="0" w:color="auto"/>
              <w:left w:val="single" w:sz="2" w:space="0" w:color="auto"/>
              <w:bottom w:val="single" w:sz="2" w:space="0" w:color="auto"/>
              <w:right w:val="single" w:sz="2" w:space="0" w:color="auto"/>
            </w:tcBorders>
            <w:vAlign w:val="center"/>
          </w:tcPr>
          <w:p w14:paraId="3D1633E7" w14:textId="77777777" w:rsidR="00113A51" w:rsidRDefault="00766EC7" w:rsidP="00BF671C">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否</w:t>
            </w:r>
          </w:p>
        </w:tc>
      </w:tr>
      <w:tr w:rsidR="00C57E60" w14:paraId="012CB6AF" w14:textId="77777777" w:rsidTr="00BF671C">
        <w:trPr>
          <w:trHeight w:val="240"/>
        </w:trPr>
        <w:tc>
          <w:tcPr>
            <w:tcW w:w="2142"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8832F7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其他情况说明</w:t>
            </w:r>
          </w:p>
        </w:tc>
        <w:tc>
          <w:tcPr>
            <w:tcW w:w="7548" w:type="dxa"/>
            <w:gridSpan w:val="7"/>
            <w:tcBorders>
              <w:top w:val="single" w:sz="2" w:space="0" w:color="auto"/>
              <w:left w:val="single" w:sz="2" w:space="0" w:color="auto"/>
              <w:bottom w:val="single" w:sz="2" w:space="0" w:color="auto"/>
              <w:right w:val="single" w:sz="2" w:space="0" w:color="auto"/>
            </w:tcBorders>
            <w:vAlign w:val="center"/>
          </w:tcPr>
          <w:p w14:paraId="7D3BA77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无</w:t>
            </w:r>
          </w:p>
        </w:tc>
      </w:tr>
    </w:tbl>
    <w:p w14:paraId="788C5141" w14:textId="77777777" w:rsidR="00113A51" w:rsidRDefault="00766EC7">
      <w:pPr>
        <w:pStyle w:val="3"/>
        <w:spacing w:line="280" w:lineRule="exact"/>
        <w:jc w:val="left"/>
        <w:rPr>
          <w:rFonts w:ascii="宋体" w:hAnsi="宋体" w:cs="宋体"/>
          <w:b/>
          <w:bCs/>
        </w:rPr>
      </w:pPr>
      <w:bookmarkStart w:id="38" w:name="_Toc988922"/>
      <w:r>
        <w:rPr>
          <w:rFonts w:ascii="宋体" w:hAnsi="宋体" w:cs="宋体"/>
          <w:b/>
          <w:bCs/>
        </w:rPr>
        <w:t>2、以公允价值计量的资产和负债</w:t>
      </w:r>
      <w:bookmarkEnd w:id="38"/>
    </w:p>
    <w:p w14:paraId="56378BB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E3BEFCA"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95" w:type="dxa"/>
        <w:tblInd w:w="108" w:type="dxa"/>
        <w:tblLayout w:type="fixed"/>
        <w:tblLook w:val="04A0" w:firstRow="1" w:lastRow="0" w:firstColumn="1" w:lastColumn="0" w:noHBand="0" w:noVBand="1"/>
      </w:tblPr>
      <w:tblGrid>
        <w:gridCol w:w="1695"/>
        <w:gridCol w:w="864"/>
        <w:gridCol w:w="1000"/>
        <w:gridCol w:w="1284"/>
        <w:gridCol w:w="864"/>
        <w:gridCol w:w="1124"/>
        <w:gridCol w:w="1123"/>
        <w:gridCol w:w="864"/>
        <w:gridCol w:w="877"/>
      </w:tblGrid>
      <w:tr w:rsidR="00C57E60" w14:paraId="7A40E7B7" w14:textId="77777777">
        <w:trPr>
          <w:trHeight w:val="240"/>
        </w:trPr>
        <w:tc>
          <w:tcPr>
            <w:tcW w:w="1695" w:type="dxa"/>
            <w:tcBorders>
              <w:top w:val="single" w:sz="2" w:space="0" w:color="auto"/>
              <w:left w:val="single" w:sz="2" w:space="0" w:color="auto"/>
              <w:bottom w:val="single" w:sz="2" w:space="0" w:color="auto"/>
              <w:right w:val="single" w:sz="2" w:space="0" w:color="auto"/>
            </w:tcBorders>
            <w:shd w:val="clear" w:color="auto" w:fill="D3D3D3"/>
            <w:vAlign w:val="center"/>
          </w:tcPr>
          <w:p w14:paraId="246E5679"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项目</w:t>
            </w:r>
          </w:p>
        </w:tc>
        <w:tc>
          <w:tcPr>
            <w:tcW w:w="864" w:type="dxa"/>
            <w:tcBorders>
              <w:top w:val="single" w:sz="2" w:space="0" w:color="auto"/>
              <w:left w:val="single" w:sz="2" w:space="0" w:color="auto"/>
              <w:bottom w:val="single" w:sz="2" w:space="0" w:color="auto"/>
              <w:right w:val="single" w:sz="2" w:space="0" w:color="auto"/>
            </w:tcBorders>
            <w:shd w:val="clear" w:color="auto" w:fill="D3D3D3"/>
            <w:vAlign w:val="center"/>
          </w:tcPr>
          <w:p w14:paraId="40E485A6"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期初数</w:t>
            </w:r>
          </w:p>
        </w:tc>
        <w:tc>
          <w:tcPr>
            <w:tcW w:w="1000" w:type="dxa"/>
            <w:tcBorders>
              <w:top w:val="single" w:sz="2" w:space="0" w:color="auto"/>
              <w:left w:val="single" w:sz="2" w:space="0" w:color="auto"/>
              <w:bottom w:val="single" w:sz="2" w:space="0" w:color="auto"/>
              <w:right w:val="single" w:sz="2" w:space="0" w:color="auto"/>
            </w:tcBorders>
            <w:shd w:val="clear" w:color="auto" w:fill="D3D3D3"/>
            <w:vAlign w:val="center"/>
          </w:tcPr>
          <w:p w14:paraId="619A9476"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本期公允价值变动损益</w:t>
            </w:r>
          </w:p>
        </w:tc>
        <w:tc>
          <w:tcPr>
            <w:tcW w:w="1284" w:type="dxa"/>
            <w:tcBorders>
              <w:top w:val="single" w:sz="2" w:space="0" w:color="auto"/>
              <w:left w:val="single" w:sz="2" w:space="0" w:color="auto"/>
              <w:bottom w:val="single" w:sz="2" w:space="0" w:color="auto"/>
              <w:right w:val="single" w:sz="2" w:space="0" w:color="auto"/>
            </w:tcBorders>
            <w:shd w:val="clear" w:color="auto" w:fill="D3D3D3"/>
            <w:vAlign w:val="center"/>
          </w:tcPr>
          <w:p w14:paraId="50FCC8F9"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计入权益的累计公允价值变动</w:t>
            </w:r>
          </w:p>
        </w:tc>
        <w:tc>
          <w:tcPr>
            <w:tcW w:w="864" w:type="dxa"/>
            <w:tcBorders>
              <w:top w:val="single" w:sz="2" w:space="0" w:color="auto"/>
              <w:left w:val="single" w:sz="2" w:space="0" w:color="auto"/>
              <w:bottom w:val="single" w:sz="2" w:space="0" w:color="auto"/>
              <w:right w:val="single" w:sz="2" w:space="0" w:color="auto"/>
            </w:tcBorders>
            <w:shd w:val="clear" w:color="auto" w:fill="D3D3D3"/>
            <w:vAlign w:val="center"/>
          </w:tcPr>
          <w:p w14:paraId="3F7728EB"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本期计提的减值</w:t>
            </w:r>
          </w:p>
        </w:tc>
        <w:tc>
          <w:tcPr>
            <w:tcW w:w="1124" w:type="dxa"/>
            <w:tcBorders>
              <w:top w:val="single" w:sz="2" w:space="0" w:color="auto"/>
              <w:left w:val="single" w:sz="2" w:space="0" w:color="auto"/>
              <w:bottom w:val="single" w:sz="2" w:space="0" w:color="auto"/>
              <w:right w:val="single" w:sz="2" w:space="0" w:color="auto"/>
            </w:tcBorders>
            <w:shd w:val="clear" w:color="auto" w:fill="D3D3D3"/>
            <w:vAlign w:val="center"/>
          </w:tcPr>
          <w:p w14:paraId="18551ADC"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本期购买金额</w:t>
            </w:r>
          </w:p>
        </w:tc>
        <w:tc>
          <w:tcPr>
            <w:tcW w:w="1123" w:type="dxa"/>
            <w:tcBorders>
              <w:top w:val="single" w:sz="2" w:space="0" w:color="auto"/>
              <w:left w:val="single" w:sz="2" w:space="0" w:color="auto"/>
              <w:bottom w:val="single" w:sz="2" w:space="0" w:color="auto"/>
              <w:right w:val="single" w:sz="2" w:space="0" w:color="auto"/>
            </w:tcBorders>
            <w:shd w:val="clear" w:color="auto" w:fill="D3D3D3"/>
            <w:vAlign w:val="center"/>
          </w:tcPr>
          <w:p w14:paraId="6C7CE881"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本期出售金额</w:t>
            </w:r>
          </w:p>
        </w:tc>
        <w:tc>
          <w:tcPr>
            <w:tcW w:w="864" w:type="dxa"/>
            <w:tcBorders>
              <w:top w:val="single" w:sz="2" w:space="0" w:color="auto"/>
              <w:left w:val="single" w:sz="2" w:space="0" w:color="auto"/>
              <w:bottom w:val="single" w:sz="2" w:space="0" w:color="auto"/>
              <w:right w:val="single" w:sz="2" w:space="0" w:color="auto"/>
            </w:tcBorders>
            <w:shd w:val="clear" w:color="auto" w:fill="D3D3D3"/>
            <w:vAlign w:val="center"/>
          </w:tcPr>
          <w:p w14:paraId="0399B609"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其他变动</w:t>
            </w:r>
          </w:p>
        </w:tc>
        <w:tc>
          <w:tcPr>
            <w:tcW w:w="877" w:type="dxa"/>
            <w:tcBorders>
              <w:top w:val="single" w:sz="2" w:space="0" w:color="auto"/>
              <w:left w:val="single" w:sz="2" w:space="0" w:color="auto"/>
              <w:bottom w:val="single" w:sz="2" w:space="0" w:color="auto"/>
              <w:right w:val="single" w:sz="2" w:space="0" w:color="auto"/>
            </w:tcBorders>
            <w:shd w:val="clear" w:color="auto" w:fill="D3D3D3"/>
            <w:vAlign w:val="center"/>
          </w:tcPr>
          <w:p w14:paraId="7ED623AE" w14:textId="77777777" w:rsidR="00113A51" w:rsidRDefault="00766EC7">
            <w:pPr>
              <w:spacing w:before="40" w:after="40" w:line="240" w:lineRule="exact"/>
              <w:jc w:val="center"/>
              <w:rPr>
                <w:rFonts w:ascii="Times New Roman" w:eastAsia="宋体" w:hAnsi="Times New Roman" w:cs="宋体"/>
                <w:sz w:val="15"/>
                <w:szCs w:val="15"/>
              </w:rPr>
            </w:pPr>
            <w:r>
              <w:rPr>
                <w:rFonts w:ascii="Times New Roman" w:eastAsia="宋体" w:hAnsi="Times New Roman" w:cs="宋体"/>
                <w:sz w:val="15"/>
                <w:szCs w:val="15"/>
              </w:rPr>
              <w:t>期末数</w:t>
            </w:r>
          </w:p>
        </w:tc>
      </w:tr>
      <w:tr w:rsidR="00C57E60" w14:paraId="3B17E282" w14:textId="77777777">
        <w:trPr>
          <w:trHeight w:val="240"/>
        </w:trPr>
        <w:tc>
          <w:tcPr>
            <w:tcW w:w="9695"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20EAC1C3" w14:textId="77777777" w:rsidR="00113A51" w:rsidRDefault="00766EC7">
            <w:pPr>
              <w:spacing w:before="40" w:after="40" w:line="240" w:lineRule="exact"/>
              <w:rPr>
                <w:rFonts w:ascii="Times New Roman" w:eastAsia="宋体" w:hAnsi="Times New Roman" w:cs="宋体"/>
                <w:sz w:val="15"/>
                <w:szCs w:val="15"/>
              </w:rPr>
            </w:pPr>
            <w:r>
              <w:rPr>
                <w:rFonts w:ascii="Times New Roman" w:eastAsia="宋体" w:hAnsi="Times New Roman" w:cs="宋体"/>
                <w:sz w:val="15"/>
                <w:szCs w:val="15"/>
              </w:rPr>
              <w:t>金融资产</w:t>
            </w:r>
          </w:p>
        </w:tc>
      </w:tr>
      <w:tr w:rsidR="00C57E60" w14:paraId="66B65FFA" w14:textId="77777777">
        <w:trPr>
          <w:trHeight w:val="240"/>
        </w:trPr>
        <w:tc>
          <w:tcPr>
            <w:tcW w:w="1695" w:type="dxa"/>
            <w:tcBorders>
              <w:top w:val="single" w:sz="2" w:space="0" w:color="auto"/>
              <w:left w:val="single" w:sz="2" w:space="0" w:color="auto"/>
              <w:bottom w:val="single" w:sz="2" w:space="0" w:color="auto"/>
              <w:right w:val="single" w:sz="2" w:space="0" w:color="auto"/>
            </w:tcBorders>
            <w:shd w:val="clear" w:color="auto" w:fill="D3D3D3"/>
            <w:vAlign w:val="center"/>
          </w:tcPr>
          <w:p w14:paraId="49EB43CD" w14:textId="77777777" w:rsidR="00113A51" w:rsidRDefault="00766EC7">
            <w:pPr>
              <w:spacing w:before="40" w:after="40" w:line="240" w:lineRule="exact"/>
              <w:rPr>
                <w:rFonts w:ascii="Times New Roman" w:eastAsia="宋体" w:hAnsi="Times New Roman" w:cs="宋体"/>
                <w:sz w:val="15"/>
                <w:szCs w:val="15"/>
              </w:rPr>
            </w:pPr>
            <w:r>
              <w:rPr>
                <w:rFonts w:ascii="Times New Roman" w:eastAsia="宋体" w:hAnsi="Times New Roman" w:cs="宋体"/>
                <w:sz w:val="15"/>
                <w:szCs w:val="15"/>
              </w:rPr>
              <w:t>1.</w:t>
            </w:r>
            <w:r>
              <w:rPr>
                <w:rFonts w:ascii="Times New Roman" w:eastAsia="宋体" w:hAnsi="Times New Roman" w:cs="宋体"/>
                <w:sz w:val="15"/>
                <w:szCs w:val="15"/>
              </w:rPr>
              <w:t>交易性金融资产（不含衍生金融资产）</w:t>
            </w:r>
          </w:p>
        </w:tc>
        <w:tc>
          <w:tcPr>
            <w:tcW w:w="864" w:type="dxa"/>
            <w:tcBorders>
              <w:top w:val="single" w:sz="2" w:space="0" w:color="auto"/>
              <w:left w:val="single" w:sz="2" w:space="0" w:color="auto"/>
              <w:bottom w:val="single" w:sz="2" w:space="0" w:color="auto"/>
              <w:right w:val="single" w:sz="2" w:space="0" w:color="auto"/>
            </w:tcBorders>
            <w:vAlign w:val="center"/>
          </w:tcPr>
          <w:p w14:paraId="28BCBD12"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11,000.00</w:t>
            </w:r>
          </w:p>
        </w:tc>
        <w:tc>
          <w:tcPr>
            <w:tcW w:w="1000" w:type="dxa"/>
            <w:tcBorders>
              <w:top w:val="single" w:sz="2" w:space="0" w:color="auto"/>
              <w:left w:val="single" w:sz="2" w:space="0" w:color="auto"/>
              <w:bottom w:val="single" w:sz="2" w:space="0" w:color="auto"/>
              <w:right w:val="single" w:sz="2" w:space="0" w:color="auto"/>
            </w:tcBorders>
            <w:vAlign w:val="center"/>
          </w:tcPr>
          <w:p w14:paraId="7C9AB8BA"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134.54</w:t>
            </w:r>
          </w:p>
        </w:tc>
        <w:tc>
          <w:tcPr>
            <w:tcW w:w="1284" w:type="dxa"/>
            <w:tcBorders>
              <w:top w:val="single" w:sz="2" w:space="0" w:color="auto"/>
              <w:left w:val="single" w:sz="2" w:space="0" w:color="auto"/>
              <w:bottom w:val="single" w:sz="2" w:space="0" w:color="auto"/>
              <w:right w:val="single" w:sz="2" w:space="0" w:color="auto"/>
            </w:tcBorders>
            <w:vAlign w:val="center"/>
          </w:tcPr>
          <w:p w14:paraId="487A9168" w14:textId="77777777" w:rsidR="00113A51" w:rsidRDefault="00113A51">
            <w:pPr>
              <w:spacing w:line="360" w:lineRule="auto"/>
              <w:jc w:val="right"/>
              <w:rPr>
                <w:rFonts w:ascii="Times New Roman" w:eastAsia="宋体" w:hAnsi="Times New Roman" w:cs="宋体"/>
                <w:sz w:val="15"/>
                <w:szCs w:val="15"/>
              </w:rPr>
            </w:pPr>
          </w:p>
        </w:tc>
        <w:tc>
          <w:tcPr>
            <w:tcW w:w="864" w:type="dxa"/>
            <w:tcBorders>
              <w:top w:val="single" w:sz="2" w:space="0" w:color="auto"/>
              <w:left w:val="single" w:sz="2" w:space="0" w:color="auto"/>
              <w:bottom w:val="single" w:sz="2" w:space="0" w:color="auto"/>
              <w:right w:val="single" w:sz="2" w:space="0" w:color="auto"/>
            </w:tcBorders>
            <w:vAlign w:val="center"/>
          </w:tcPr>
          <w:p w14:paraId="11DB5C29" w14:textId="77777777" w:rsidR="00113A51" w:rsidRDefault="00113A51">
            <w:pPr>
              <w:spacing w:line="240" w:lineRule="exact"/>
              <w:jc w:val="right"/>
              <w:rPr>
                <w:rFonts w:ascii="Times New Roman" w:eastAsia="宋体" w:hAnsi="Times New Roman" w:cs="宋体"/>
                <w:sz w:val="15"/>
                <w:szCs w:val="15"/>
              </w:rPr>
            </w:pPr>
          </w:p>
        </w:tc>
        <w:tc>
          <w:tcPr>
            <w:tcW w:w="1124" w:type="dxa"/>
            <w:tcBorders>
              <w:top w:val="single" w:sz="2" w:space="0" w:color="auto"/>
              <w:left w:val="single" w:sz="2" w:space="0" w:color="auto"/>
              <w:bottom w:val="single" w:sz="2" w:space="0" w:color="auto"/>
              <w:right w:val="single" w:sz="2" w:space="0" w:color="auto"/>
            </w:tcBorders>
            <w:vAlign w:val="center"/>
          </w:tcPr>
          <w:p w14:paraId="09D96164"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99,300.00</w:t>
            </w:r>
          </w:p>
        </w:tc>
        <w:tc>
          <w:tcPr>
            <w:tcW w:w="1123" w:type="dxa"/>
            <w:tcBorders>
              <w:top w:val="single" w:sz="2" w:space="0" w:color="auto"/>
              <w:left w:val="single" w:sz="2" w:space="0" w:color="auto"/>
              <w:bottom w:val="single" w:sz="2" w:space="0" w:color="auto"/>
              <w:right w:val="single" w:sz="2" w:space="0" w:color="auto"/>
            </w:tcBorders>
            <w:vAlign w:val="center"/>
          </w:tcPr>
          <w:p w14:paraId="0E46B21C"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86,000.00</w:t>
            </w:r>
          </w:p>
        </w:tc>
        <w:tc>
          <w:tcPr>
            <w:tcW w:w="864" w:type="dxa"/>
            <w:tcBorders>
              <w:top w:val="single" w:sz="2" w:space="0" w:color="auto"/>
              <w:left w:val="single" w:sz="2" w:space="0" w:color="auto"/>
              <w:bottom w:val="single" w:sz="2" w:space="0" w:color="auto"/>
              <w:right w:val="single" w:sz="2" w:space="0" w:color="auto"/>
            </w:tcBorders>
            <w:vAlign w:val="center"/>
          </w:tcPr>
          <w:p w14:paraId="10CE0D03" w14:textId="77777777" w:rsidR="00113A51" w:rsidRDefault="00113A51">
            <w:pPr>
              <w:spacing w:line="240" w:lineRule="exact"/>
              <w:jc w:val="right"/>
              <w:rPr>
                <w:rFonts w:ascii="Times New Roman" w:eastAsia="宋体" w:hAnsi="Times New Roman" w:cs="宋体"/>
                <w:sz w:val="15"/>
                <w:szCs w:val="15"/>
              </w:rPr>
            </w:pPr>
          </w:p>
        </w:tc>
        <w:tc>
          <w:tcPr>
            <w:tcW w:w="877" w:type="dxa"/>
            <w:tcBorders>
              <w:top w:val="single" w:sz="2" w:space="0" w:color="auto"/>
              <w:left w:val="single" w:sz="2" w:space="0" w:color="auto"/>
              <w:bottom w:val="single" w:sz="2" w:space="0" w:color="auto"/>
              <w:right w:val="single" w:sz="2" w:space="0" w:color="auto"/>
            </w:tcBorders>
            <w:vAlign w:val="center"/>
          </w:tcPr>
          <w:p w14:paraId="3E74C1A8"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24,434.54</w:t>
            </w:r>
          </w:p>
        </w:tc>
      </w:tr>
      <w:tr w:rsidR="00C57E60" w14:paraId="21D40736" w14:textId="77777777">
        <w:trPr>
          <w:trHeight w:val="240"/>
        </w:trPr>
        <w:tc>
          <w:tcPr>
            <w:tcW w:w="1695" w:type="dxa"/>
            <w:tcBorders>
              <w:top w:val="single" w:sz="2" w:space="0" w:color="auto"/>
              <w:left w:val="single" w:sz="2" w:space="0" w:color="auto"/>
              <w:bottom w:val="single" w:sz="2" w:space="0" w:color="auto"/>
              <w:right w:val="single" w:sz="2" w:space="0" w:color="auto"/>
            </w:tcBorders>
            <w:shd w:val="clear" w:color="auto" w:fill="D3D3D3"/>
            <w:vAlign w:val="center"/>
          </w:tcPr>
          <w:p w14:paraId="6B1E7C30" w14:textId="77777777" w:rsidR="00113A51" w:rsidRDefault="00766EC7">
            <w:pPr>
              <w:spacing w:before="40" w:after="40" w:line="240" w:lineRule="exact"/>
              <w:rPr>
                <w:rFonts w:ascii="Times New Roman" w:eastAsia="宋体" w:hAnsi="Times New Roman" w:cs="宋体"/>
                <w:sz w:val="15"/>
                <w:szCs w:val="15"/>
              </w:rPr>
            </w:pPr>
            <w:r>
              <w:rPr>
                <w:rFonts w:ascii="Times New Roman" w:eastAsia="宋体" w:hAnsi="Times New Roman" w:cs="宋体"/>
                <w:sz w:val="15"/>
                <w:szCs w:val="15"/>
              </w:rPr>
              <w:t>4.</w:t>
            </w:r>
            <w:r>
              <w:rPr>
                <w:rFonts w:ascii="Times New Roman" w:eastAsia="宋体" w:hAnsi="Times New Roman" w:cs="宋体"/>
                <w:sz w:val="15"/>
                <w:szCs w:val="15"/>
              </w:rPr>
              <w:t>其他权益工具投资</w:t>
            </w:r>
          </w:p>
        </w:tc>
        <w:tc>
          <w:tcPr>
            <w:tcW w:w="864" w:type="dxa"/>
            <w:tcBorders>
              <w:top w:val="single" w:sz="2" w:space="0" w:color="auto"/>
              <w:left w:val="single" w:sz="2" w:space="0" w:color="auto"/>
              <w:bottom w:val="single" w:sz="2" w:space="0" w:color="auto"/>
              <w:right w:val="single" w:sz="2" w:space="0" w:color="auto"/>
            </w:tcBorders>
            <w:vAlign w:val="center"/>
          </w:tcPr>
          <w:p w14:paraId="3B3A2E87"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29,871.88</w:t>
            </w:r>
          </w:p>
        </w:tc>
        <w:tc>
          <w:tcPr>
            <w:tcW w:w="1000" w:type="dxa"/>
            <w:tcBorders>
              <w:top w:val="single" w:sz="2" w:space="0" w:color="auto"/>
              <w:left w:val="single" w:sz="2" w:space="0" w:color="auto"/>
              <w:bottom w:val="single" w:sz="2" w:space="0" w:color="auto"/>
              <w:right w:val="single" w:sz="2" w:space="0" w:color="auto"/>
            </w:tcBorders>
            <w:vAlign w:val="center"/>
          </w:tcPr>
          <w:p w14:paraId="6FABD5D5" w14:textId="77777777" w:rsidR="00113A51" w:rsidRDefault="00113A51">
            <w:pPr>
              <w:spacing w:line="240" w:lineRule="exact"/>
              <w:jc w:val="right"/>
              <w:rPr>
                <w:rFonts w:ascii="Times New Roman" w:eastAsia="宋体" w:hAnsi="Times New Roman" w:cs="宋体"/>
                <w:sz w:val="15"/>
                <w:szCs w:val="15"/>
              </w:rPr>
            </w:pPr>
          </w:p>
        </w:tc>
        <w:tc>
          <w:tcPr>
            <w:tcW w:w="1284" w:type="dxa"/>
            <w:tcBorders>
              <w:top w:val="single" w:sz="2" w:space="0" w:color="auto"/>
              <w:left w:val="single" w:sz="2" w:space="0" w:color="auto"/>
              <w:bottom w:val="single" w:sz="2" w:space="0" w:color="auto"/>
              <w:right w:val="single" w:sz="2" w:space="0" w:color="auto"/>
            </w:tcBorders>
            <w:vAlign w:val="center"/>
          </w:tcPr>
          <w:p w14:paraId="46D69043"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1,199.23</w:t>
            </w:r>
          </w:p>
        </w:tc>
        <w:tc>
          <w:tcPr>
            <w:tcW w:w="864" w:type="dxa"/>
            <w:tcBorders>
              <w:top w:val="single" w:sz="2" w:space="0" w:color="auto"/>
              <w:left w:val="single" w:sz="2" w:space="0" w:color="auto"/>
              <w:bottom w:val="single" w:sz="2" w:space="0" w:color="auto"/>
              <w:right w:val="single" w:sz="2" w:space="0" w:color="auto"/>
            </w:tcBorders>
            <w:vAlign w:val="center"/>
          </w:tcPr>
          <w:p w14:paraId="7E8117A6" w14:textId="77777777" w:rsidR="00113A51" w:rsidRDefault="00113A51">
            <w:pPr>
              <w:spacing w:line="240" w:lineRule="exact"/>
              <w:jc w:val="right"/>
              <w:rPr>
                <w:rFonts w:ascii="Times New Roman" w:eastAsia="宋体" w:hAnsi="Times New Roman" w:cs="宋体"/>
                <w:sz w:val="15"/>
                <w:szCs w:val="15"/>
              </w:rPr>
            </w:pPr>
          </w:p>
        </w:tc>
        <w:tc>
          <w:tcPr>
            <w:tcW w:w="1124" w:type="dxa"/>
            <w:tcBorders>
              <w:top w:val="single" w:sz="2" w:space="0" w:color="auto"/>
              <w:left w:val="single" w:sz="2" w:space="0" w:color="auto"/>
              <w:bottom w:val="single" w:sz="2" w:space="0" w:color="auto"/>
              <w:right w:val="single" w:sz="2" w:space="0" w:color="auto"/>
            </w:tcBorders>
            <w:vAlign w:val="center"/>
          </w:tcPr>
          <w:p w14:paraId="495FA00D" w14:textId="77777777" w:rsidR="00113A51" w:rsidRDefault="00113A51">
            <w:pPr>
              <w:spacing w:line="240" w:lineRule="exact"/>
              <w:jc w:val="right"/>
              <w:rPr>
                <w:rFonts w:ascii="Times New Roman" w:eastAsia="宋体" w:hAnsi="Times New Roman" w:cs="宋体"/>
                <w:sz w:val="15"/>
                <w:szCs w:val="15"/>
              </w:rPr>
            </w:pPr>
          </w:p>
        </w:tc>
        <w:tc>
          <w:tcPr>
            <w:tcW w:w="1123" w:type="dxa"/>
            <w:tcBorders>
              <w:top w:val="single" w:sz="2" w:space="0" w:color="auto"/>
              <w:left w:val="single" w:sz="2" w:space="0" w:color="auto"/>
              <w:bottom w:val="single" w:sz="2" w:space="0" w:color="auto"/>
              <w:right w:val="single" w:sz="2" w:space="0" w:color="auto"/>
            </w:tcBorders>
            <w:vAlign w:val="center"/>
          </w:tcPr>
          <w:p w14:paraId="5BB184A9"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3,445.25</w:t>
            </w:r>
          </w:p>
        </w:tc>
        <w:tc>
          <w:tcPr>
            <w:tcW w:w="864" w:type="dxa"/>
            <w:tcBorders>
              <w:top w:val="single" w:sz="2" w:space="0" w:color="auto"/>
              <w:left w:val="single" w:sz="2" w:space="0" w:color="auto"/>
              <w:bottom w:val="single" w:sz="2" w:space="0" w:color="auto"/>
              <w:right w:val="single" w:sz="2" w:space="0" w:color="auto"/>
            </w:tcBorders>
            <w:vAlign w:val="center"/>
          </w:tcPr>
          <w:p w14:paraId="198CD1D9"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-179.89</w:t>
            </w:r>
          </w:p>
        </w:tc>
        <w:tc>
          <w:tcPr>
            <w:tcW w:w="877" w:type="dxa"/>
            <w:tcBorders>
              <w:top w:val="single" w:sz="2" w:space="0" w:color="auto"/>
              <w:left w:val="single" w:sz="2" w:space="0" w:color="auto"/>
              <w:bottom w:val="single" w:sz="2" w:space="0" w:color="auto"/>
              <w:right w:val="single" w:sz="2" w:space="0" w:color="auto"/>
            </w:tcBorders>
            <w:vAlign w:val="center"/>
          </w:tcPr>
          <w:p w14:paraId="0FCE059E"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25,509.97</w:t>
            </w:r>
          </w:p>
        </w:tc>
      </w:tr>
      <w:tr w:rsidR="00C57E60" w14:paraId="5B8C8F8F" w14:textId="77777777">
        <w:trPr>
          <w:trHeight w:val="240"/>
        </w:trPr>
        <w:tc>
          <w:tcPr>
            <w:tcW w:w="1695" w:type="dxa"/>
            <w:tcBorders>
              <w:top w:val="single" w:sz="2" w:space="0" w:color="auto"/>
              <w:left w:val="single" w:sz="2" w:space="0" w:color="auto"/>
              <w:bottom w:val="single" w:sz="2" w:space="0" w:color="auto"/>
              <w:right w:val="single" w:sz="2" w:space="0" w:color="auto"/>
            </w:tcBorders>
            <w:shd w:val="clear" w:color="auto" w:fill="D3D3D3"/>
            <w:vAlign w:val="center"/>
          </w:tcPr>
          <w:p w14:paraId="61341F24" w14:textId="77777777" w:rsidR="00113A51" w:rsidRDefault="00766EC7">
            <w:pPr>
              <w:spacing w:before="40" w:after="40" w:line="240" w:lineRule="exact"/>
              <w:rPr>
                <w:rFonts w:ascii="Times New Roman" w:eastAsia="宋体" w:hAnsi="Times New Roman" w:cs="宋体"/>
                <w:sz w:val="15"/>
                <w:szCs w:val="15"/>
              </w:rPr>
            </w:pPr>
            <w:r>
              <w:rPr>
                <w:rFonts w:ascii="Times New Roman" w:eastAsia="宋体" w:hAnsi="Times New Roman" w:cs="宋体"/>
                <w:sz w:val="15"/>
                <w:szCs w:val="15"/>
              </w:rPr>
              <w:t>金融资产小计</w:t>
            </w:r>
          </w:p>
        </w:tc>
        <w:tc>
          <w:tcPr>
            <w:tcW w:w="864" w:type="dxa"/>
            <w:tcBorders>
              <w:top w:val="single" w:sz="2" w:space="0" w:color="auto"/>
              <w:left w:val="single" w:sz="2" w:space="0" w:color="auto"/>
              <w:bottom w:val="single" w:sz="2" w:space="0" w:color="auto"/>
              <w:right w:val="single" w:sz="2" w:space="0" w:color="auto"/>
            </w:tcBorders>
            <w:vAlign w:val="center"/>
          </w:tcPr>
          <w:p w14:paraId="7D7C4D1B"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40,871.88</w:t>
            </w:r>
          </w:p>
        </w:tc>
        <w:tc>
          <w:tcPr>
            <w:tcW w:w="1000" w:type="dxa"/>
            <w:tcBorders>
              <w:top w:val="single" w:sz="2" w:space="0" w:color="auto"/>
              <w:left w:val="single" w:sz="2" w:space="0" w:color="auto"/>
              <w:bottom w:val="single" w:sz="2" w:space="0" w:color="auto"/>
              <w:right w:val="single" w:sz="2" w:space="0" w:color="auto"/>
            </w:tcBorders>
            <w:vAlign w:val="center"/>
          </w:tcPr>
          <w:p w14:paraId="7A496C13"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134.54</w:t>
            </w:r>
          </w:p>
        </w:tc>
        <w:tc>
          <w:tcPr>
            <w:tcW w:w="1284" w:type="dxa"/>
            <w:tcBorders>
              <w:top w:val="single" w:sz="2" w:space="0" w:color="auto"/>
              <w:left w:val="single" w:sz="2" w:space="0" w:color="auto"/>
              <w:bottom w:val="single" w:sz="2" w:space="0" w:color="auto"/>
              <w:right w:val="single" w:sz="2" w:space="0" w:color="auto"/>
            </w:tcBorders>
            <w:vAlign w:val="center"/>
          </w:tcPr>
          <w:p w14:paraId="1ED78A89"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1,199.23</w:t>
            </w:r>
          </w:p>
        </w:tc>
        <w:tc>
          <w:tcPr>
            <w:tcW w:w="864" w:type="dxa"/>
            <w:tcBorders>
              <w:top w:val="single" w:sz="2" w:space="0" w:color="auto"/>
              <w:left w:val="single" w:sz="2" w:space="0" w:color="auto"/>
              <w:bottom w:val="single" w:sz="2" w:space="0" w:color="auto"/>
              <w:right w:val="single" w:sz="2" w:space="0" w:color="auto"/>
            </w:tcBorders>
            <w:vAlign w:val="center"/>
          </w:tcPr>
          <w:p w14:paraId="70B3BECD"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0.00</w:t>
            </w:r>
          </w:p>
        </w:tc>
        <w:tc>
          <w:tcPr>
            <w:tcW w:w="1124" w:type="dxa"/>
            <w:tcBorders>
              <w:top w:val="single" w:sz="2" w:space="0" w:color="auto"/>
              <w:left w:val="single" w:sz="2" w:space="0" w:color="auto"/>
              <w:bottom w:val="single" w:sz="2" w:space="0" w:color="auto"/>
              <w:right w:val="single" w:sz="2" w:space="0" w:color="auto"/>
            </w:tcBorders>
            <w:vAlign w:val="center"/>
          </w:tcPr>
          <w:p w14:paraId="3F3BE2DB"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99,300.00</w:t>
            </w:r>
          </w:p>
        </w:tc>
        <w:tc>
          <w:tcPr>
            <w:tcW w:w="1123" w:type="dxa"/>
            <w:tcBorders>
              <w:top w:val="single" w:sz="2" w:space="0" w:color="auto"/>
              <w:left w:val="single" w:sz="2" w:space="0" w:color="auto"/>
              <w:bottom w:val="single" w:sz="2" w:space="0" w:color="auto"/>
              <w:right w:val="single" w:sz="2" w:space="0" w:color="auto"/>
            </w:tcBorders>
            <w:vAlign w:val="center"/>
          </w:tcPr>
          <w:p w14:paraId="1C912C9D"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89,445.25</w:t>
            </w:r>
          </w:p>
        </w:tc>
        <w:tc>
          <w:tcPr>
            <w:tcW w:w="864" w:type="dxa"/>
            <w:tcBorders>
              <w:top w:val="single" w:sz="2" w:space="0" w:color="auto"/>
              <w:left w:val="single" w:sz="2" w:space="0" w:color="auto"/>
              <w:bottom w:val="single" w:sz="2" w:space="0" w:color="auto"/>
              <w:right w:val="single" w:sz="2" w:space="0" w:color="auto"/>
            </w:tcBorders>
            <w:vAlign w:val="center"/>
          </w:tcPr>
          <w:p w14:paraId="3D7766FD"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-179.89</w:t>
            </w:r>
          </w:p>
        </w:tc>
        <w:tc>
          <w:tcPr>
            <w:tcW w:w="877" w:type="dxa"/>
            <w:tcBorders>
              <w:top w:val="single" w:sz="2" w:space="0" w:color="auto"/>
              <w:left w:val="single" w:sz="2" w:space="0" w:color="auto"/>
              <w:bottom w:val="single" w:sz="2" w:space="0" w:color="auto"/>
              <w:right w:val="single" w:sz="2" w:space="0" w:color="auto"/>
            </w:tcBorders>
            <w:vAlign w:val="center"/>
          </w:tcPr>
          <w:p w14:paraId="6783E8BE"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49,944.51</w:t>
            </w:r>
          </w:p>
        </w:tc>
      </w:tr>
      <w:tr w:rsidR="00C57E60" w14:paraId="672ED0FF" w14:textId="77777777">
        <w:trPr>
          <w:trHeight w:val="240"/>
        </w:trPr>
        <w:tc>
          <w:tcPr>
            <w:tcW w:w="1695" w:type="dxa"/>
            <w:tcBorders>
              <w:top w:val="single" w:sz="2" w:space="0" w:color="auto"/>
              <w:left w:val="single" w:sz="2" w:space="0" w:color="auto"/>
              <w:bottom w:val="single" w:sz="2" w:space="0" w:color="auto"/>
              <w:right w:val="single" w:sz="2" w:space="0" w:color="auto"/>
            </w:tcBorders>
            <w:vAlign w:val="center"/>
          </w:tcPr>
          <w:p w14:paraId="755AF6B6" w14:textId="77777777" w:rsidR="00113A51" w:rsidRDefault="00766EC7">
            <w:pPr>
              <w:spacing w:line="240" w:lineRule="exact"/>
              <w:rPr>
                <w:rFonts w:ascii="Times New Roman" w:eastAsia="宋体" w:hAnsi="Times New Roman" w:cs="宋体"/>
                <w:sz w:val="15"/>
                <w:szCs w:val="15"/>
              </w:rPr>
            </w:pPr>
            <w:r>
              <w:rPr>
                <w:rFonts w:ascii="Times New Roman" w:eastAsia="宋体" w:hAnsi="Times New Roman" w:cs="宋体"/>
                <w:sz w:val="15"/>
                <w:szCs w:val="15"/>
              </w:rPr>
              <w:t>应收款项融资</w:t>
            </w:r>
          </w:p>
        </w:tc>
        <w:tc>
          <w:tcPr>
            <w:tcW w:w="864" w:type="dxa"/>
            <w:tcBorders>
              <w:top w:val="single" w:sz="2" w:space="0" w:color="auto"/>
              <w:left w:val="single" w:sz="2" w:space="0" w:color="auto"/>
              <w:bottom w:val="single" w:sz="2" w:space="0" w:color="auto"/>
              <w:right w:val="single" w:sz="2" w:space="0" w:color="auto"/>
            </w:tcBorders>
            <w:vAlign w:val="center"/>
          </w:tcPr>
          <w:p w14:paraId="367CC71A"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3,099.37</w:t>
            </w:r>
          </w:p>
        </w:tc>
        <w:tc>
          <w:tcPr>
            <w:tcW w:w="1000" w:type="dxa"/>
            <w:tcBorders>
              <w:top w:val="single" w:sz="2" w:space="0" w:color="auto"/>
              <w:left w:val="single" w:sz="2" w:space="0" w:color="auto"/>
              <w:bottom w:val="single" w:sz="2" w:space="0" w:color="auto"/>
              <w:right w:val="single" w:sz="2" w:space="0" w:color="auto"/>
            </w:tcBorders>
            <w:vAlign w:val="center"/>
          </w:tcPr>
          <w:p w14:paraId="130D366C" w14:textId="77777777" w:rsidR="00113A51" w:rsidRDefault="00113A51">
            <w:pPr>
              <w:spacing w:line="240" w:lineRule="exact"/>
              <w:jc w:val="right"/>
              <w:rPr>
                <w:rFonts w:ascii="Times New Roman" w:eastAsia="宋体" w:hAnsi="Times New Roman" w:cs="宋体"/>
                <w:sz w:val="15"/>
                <w:szCs w:val="15"/>
              </w:rPr>
            </w:pPr>
          </w:p>
        </w:tc>
        <w:tc>
          <w:tcPr>
            <w:tcW w:w="1284" w:type="dxa"/>
            <w:tcBorders>
              <w:top w:val="single" w:sz="2" w:space="0" w:color="auto"/>
              <w:left w:val="single" w:sz="2" w:space="0" w:color="auto"/>
              <w:bottom w:val="single" w:sz="2" w:space="0" w:color="auto"/>
              <w:right w:val="single" w:sz="2" w:space="0" w:color="auto"/>
            </w:tcBorders>
            <w:vAlign w:val="center"/>
          </w:tcPr>
          <w:p w14:paraId="596E20E0" w14:textId="77777777" w:rsidR="00113A51" w:rsidRDefault="00113A51">
            <w:pPr>
              <w:spacing w:line="360" w:lineRule="auto"/>
              <w:jc w:val="right"/>
              <w:rPr>
                <w:rFonts w:ascii="Times New Roman" w:eastAsia="宋体" w:hAnsi="Times New Roman" w:cs="宋体"/>
                <w:sz w:val="15"/>
                <w:szCs w:val="15"/>
              </w:rPr>
            </w:pPr>
          </w:p>
        </w:tc>
        <w:tc>
          <w:tcPr>
            <w:tcW w:w="864" w:type="dxa"/>
            <w:tcBorders>
              <w:top w:val="single" w:sz="2" w:space="0" w:color="auto"/>
              <w:left w:val="single" w:sz="2" w:space="0" w:color="auto"/>
              <w:bottom w:val="single" w:sz="2" w:space="0" w:color="auto"/>
              <w:right w:val="single" w:sz="2" w:space="0" w:color="auto"/>
            </w:tcBorders>
            <w:vAlign w:val="center"/>
          </w:tcPr>
          <w:p w14:paraId="63CA4640" w14:textId="77777777" w:rsidR="00113A51" w:rsidRDefault="00113A51">
            <w:pPr>
              <w:spacing w:line="240" w:lineRule="exact"/>
              <w:jc w:val="right"/>
              <w:rPr>
                <w:rFonts w:ascii="Times New Roman" w:eastAsia="宋体" w:hAnsi="Times New Roman" w:cs="宋体"/>
                <w:sz w:val="15"/>
                <w:szCs w:val="15"/>
              </w:rPr>
            </w:pPr>
          </w:p>
        </w:tc>
        <w:tc>
          <w:tcPr>
            <w:tcW w:w="1124" w:type="dxa"/>
            <w:tcBorders>
              <w:top w:val="single" w:sz="2" w:space="0" w:color="auto"/>
              <w:left w:val="single" w:sz="2" w:space="0" w:color="auto"/>
              <w:bottom w:val="single" w:sz="2" w:space="0" w:color="auto"/>
              <w:right w:val="single" w:sz="2" w:space="0" w:color="auto"/>
            </w:tcBorders>
            <w:vAlign w:val="center"/>
          </w:tcPr>
          <w:p w14:paraId="65A0CC92" w14:textId="77777777" w:rsidR="00113A51" w:rsidRDefault="00113A51">
            <w:pPr>
              <w:spacing w:line="240" w:lineRule="exact"/>
              <w:jc w:val="right"/>
              <w:rPr>
                <w:rFonts w:ascii="Times New Roman" w:eastAsia="宋体" w:hAnsi="Times New Roman" w:cs="宋体"/>
                <w:sz w:val="15"/>
                <w:szCs w:val="15"/>
              </w:rPr>
            </w:pPr>
          </w:p>
        </w:tc>
        <w:tc>
          <w:tcPr>
            <w:tcW w:w="1123" w:type="dxa"/>
            <w:tcBorders>
              <w:top w:val="single" w:sz="2" w:space="0" w:color="auto"/>
              <w:left w:val="single" w:sz="2" w:space="0" w:color="auto"/>
              <w:bottom w:val="single" w:sz="2" w:space="0" w:color="auto"/>
              <w:right w:val="single" w:sz="2" w:space="0" w:color="auto"/>
            </w:tcBorders>
            <w:vAlign w:val="center"/>
          </w:tcPr>
          <w:p w14:paraId="7A8F8726" w14:textId="77777777" w:rsidR="00113A51" w:rsidRDefault="00113A51">
            <w:pPr>
              <w:spacing w:line="240" w:lineRule="exact"/>
              <w:jc w:val="right"/>
              <w:rPr>
                <w:rFonts w:ascii="Times New Roman" w:eastAsia="宋体" w:hAnsi="Times New Roman" w:cs="宋体"/>
                <w:sz w:val="15"/>
                <w:szCs w:val="15"/>
              </w:rPr>
            </w:pPr>
          </w:p>
        </w:tc>
        <w:tc>
          <w:tcPr>
            <w:tcW w:w="864" w:type="dxa"/>
            <w:tcBorders>
              <w:top w:val="single" w:sz="2" w:space="0" w:color="auto"/>
              <w:left w:val="single" w:sz="2" w:space="0" w:color="auto"/>
              <w:bottom w:val="single" w:sz="2" w:space="0" w:color="auto"/>
              <w:right w:val="single" w:sz="2" w:space="0" w:color="auto"/>
            </w:tcBorders>
            <w:vAlign w:val="center"/>
          </w:tcPr>
          <w:p w14:paraId="1C7FA548" w14:textId="77777777" w:rsidR="00113A51" w:rsidRDefault="00113A51">
            <w:pPr>
              <w:spacing w:line="240" w:lineRule="exact"/>
              <w:jc w:val="right"/>
              <w:rPr>
                <w:rFonts w:ascii="Times New Roman" w:eastAsia="宋体" w:hAnsi="Times New Roman" w:cs="宋体"/>
                <w:sz w:val="15"/>
                <w:szCs w:val="15"/>
              </w:rPr>
            </w:pPr>
          </w:p>
        </w:tc>
        <w:tc>
          <w:tcPr>
            <w:tcW w:w="877" w:type="dxa"/>
            <w:tcBorders>
              <w:top w:val="single" w:sz="2" w:space="0" w:color="auto"/>
              <w:left w:val="single" w:sz="2" w:space="0" w:color="auto"/>
              <w:bottom w:val="single" w:sz="2" w:space="0" w:color="auto"/>
              <w:right w:val="single" w:sz="2" w:space="0" w:color="auto"/>
            </w:tcBorders>
            <w:vAlign w:val="center"/>
          </w:tcPr>
          <w:p w14:paraId="7D6EC9A3"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3,473.20</w:t>
            </w:r>
          </w:p>
        </w:tc>
      </w:tr>
      <w:tr w:rsidR="00C57E60" w14:paraId="5A287742" w14:textId="77777777">
        <w:trPr>
          <w:trHeight w:val="240"/>
        </w:trPr>
        <w:tc>
          <w:tcPr>
            <w:tcW w:w="1695" w:type="dxa"/>
            <w:tcBorders>
              <w:top w:val="single" w:sz="2" w:space="0" w:color="auto"/>
              <w:left w:val="single" w:sz="2" w:space="0" w:color="auto"/>
              <w:bottom w:val="single" w:sz="2" w:space="0" w:color="auto"/>
              <w:right w:val="single" w:sz="2" w:space="0" w:color="auto"/>
            </w:tcBorders>
            <w:shd w:val="clear" w:color="auto" w:fill="D3D3D3"/>
            <w:vAlign w:val="center"/>
          </w:tcPr>
          <w:p w14:paraId="0B46D925" w14:textId="77777777" w:rsidR="00113A51" w:rsidRDefault="00766EC7">
            <w:pPr>
              <w:spacing w:before="40" w:after="40" w:line="240" w:lineRule="exact"/>
              <w:rPr>
                <w:rFonts w:ascii="Times New Roman" w:eastAsia="宋体" w:hAnsi="Times New Roman" w:cs="宋体"/>
                <w:sz w:val="15"/>
                <w:szCs w:val="15"/>
              </w:rPr>
            </w:pPr>
            <w:r>
              <w:rPr>
                <w:rFonts w:ascii="Times New Roman" w:eastAsia="宋体" w:hAnsi="Times New Roman" w:cs="宋体"/>
                <w:sz w:val="15"/>
                <w:szCs w:val="15"/>
              </w:rPr>
              <w:t>上述合计</w:t>
            </w:r>
          </w:p>
        </w:tc>
        <w:tc>
          <w:tcPr>
            <w:tcW w:w="864" w:type="dxa"/>
            <w:tcBorders>
              <w:top w:val="single" w:sz="2" w:space="0" w:color="auto"/>
              <w:left w:val="single" w:sz="2" w:space="0" w:color="auto"/>
              <w:bottom w:val="single" w:sz="2" w:space="0" w:color="auto"/>
              <w:right w:val="single" w:sz="2" w:space="0" w:color="auto"/>
            </w:tcBorders>
            <w:vAlign w:val="center"/>
          </w:tcPr>
          <w:p w14:paraId="4F836EF4"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43,971.25</w:t>
            </w:r>
          </w:p>
        </w:tc>
        <w:tc>
          <w:tcPr>
            <w:tcW w:w="1000" w:type="dxa"/>
            <w:tcBorders>
              <w:top w:val="single" w:sz="2" w:space="0" w:color="auto"/>
              <w:left w:val="single" w:sz="2" w:space="0" w:color="auto"/>
              <w:bottom w:val="single" w:sz="2" w:space="0" w:color="auto"/>
              <w:right w:val="single" w:sz="2" w:space="0" w:color="auto"/>
            </w:tcBorders>
            <w:vAlign w:val="center"/>
          </w:tcPr>
          <w:p w14:paraId="764FD85D"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134.54</w:t>
            </w:r>
          </w:p>
        </w:tc>
        <w:tc>
          <w:tcPr>
            <w:tcW w:w="1284" w:type="dxa"/>
            <w:tcBorders>
              <w:top w:val="single" w:sz="2" w:space="0" w:color="auto"/>
              <w:left w:val="single" w:sz="2" w:space="0" w:color="auto"/>
              <w:bottom w:val="single" w:sz="2" w:space="0" w:color="auto"/>
              <w:right w:val="single" w:sz="2" w:space="0" w:color="auto"/>
            </w:tcBorders>
            <w:vAlign w:val="center"/>
          </w:tcPr>
          <w:p w14:paraId="6BC4412A"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1,199.23</w:t>
            </w:r>
          </w:p>
        </w:tc>
        <w:tc>
          <w:tcPr>
            <w:tcW w:w="864" w:type="dxa"/>
            <w:tcBorders>
              <w:top w:val="single" w:sz="2" w:space="0" w:color="auto"/>
              <w:left w:val="single" w:sz="2" w:space="0" w:color="auto"/>
              <w:bottom w:val="single" w:sz="2" w:space="0" w:color="auto"/>
              <w:right w:val="single" w:sz="2" w:space="0" w:color="auto"/>
            </w:tcBorders>
            <w:vAlign w:val="center"/>
          </w:tcPr>
          <w:p w14:paraId="21F0388B"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0.00</w:t>
            </w:r>
          </w:p>
        </w:tc>
        <w:tc>
          <w:tcPr>
            <w:tcW w:w="1124" w:type="dxa"/>
            <w:tcBorders>
              <w:top w:val="single" w:sz="2" w:space="0" w:color="auto"/>
              <w:left w:val="single" w:sz="2" w:space="0" w:color="auto"/>
              <w:bottom w:val="single" w:sz="2" w:space="0" w:color="auto"/>
              <w:right w:val="single" w:sz="2" w:space="0" w:color="auto"/>
            </w:tcBorders>
            <w:vAlign w:val="center"/>
          </w:tcPr>
          <w:p w14:paraId="2B4739B6"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99,300.00</w:t>
            </w:r>
          </w:p>
        </w:tc>
        <w:tc>
          <w:tcPr>
            <w:tcW w:w="1123" w:type="dxa"/>
            <w:tcBorders>
              <w:top w:val="single" w:sz="2" w:space="0" w:color="auto"/>
              <w:left w:val="single" w:sz="2" w:space="0" w:color="auto"/>
              <w:bottom w:val="single" w:sz="2" w:space="0" w:color="auto"/>
              <w:right w:val="single" w:sz="2" w:space="0" w:color="auto"/>
            </w:tcBorders>
            <w:vAlign w:val="center"/>
          </w:tcPr>
          <w:p w14:paraId="107B5FD7"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89,445.25</w:t>
            </w:r>
          </w:p>
        </w:tc>
        <w:tc>
          <w:tcPr>
            <w:tcW w:w="864" w:type="dxa"/>
            <w:tcBorders>
              <w:top w:val="single" w:sz="2" w:space="0" w:color="auto"/>
              <w:left w:val="single" w:sz="2" w:space="0" w:color="auto"/>
              <w:bottom w:val="single" w:sz="2" w:space="0" w:color="auto"/>
              <w:right w:val="single" w:sz="2" w:space="0" w:color="auto"/>
            </w:tcBorders>
            <w:vAlign w:val="center"/>
          </w:tcPr>
          <w:p w14:paraId="7CCF4E2A"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-179.89</w:t>
            </w:r>
          </w:p>
        </w:tc>
        <w:tc>
          <w:tcPr>
            <w:tcW w:w="877" w:type="dxa"/>
            <w:tcBorders>
              <w:top w:val="single" w:sz="2" w:space="0" w:color="auto"/>
              <w:left w:val="single" w:sz="2" w:space="0" w:color="auto"/>
              <w:bottom w:val="single" w:sz="2" w:space="0" w:color="auto"/>
              <w:right w:val="single" w:sz="2" w:space="0" w:color="auto"/>
            </w:tcBorders>
            <w:vAlign w:val="center"/>
          </w:tcPr>
          <w:p w14:paraId="6B2C8E02"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53,417.72</w:t>
            </w:r>
          </w:p>
        </w:tc>
      </w:tr>
      <w:tr w:rsidR="00C57E60" w14:paraId="4853569C" w14:textId="77777777">
        <w:trPr>
          <w:trHeight w:val="240"/>
        </w:trPr>
        <w:tc>
          <w:tcPr>
            <w:tcW w:w="1695" w:type="dxa"/>
            <w:tcBorders>
              <w:top w:val="single" w:sz="2" w:space="0" w:color="auto"/>
              <w:left w:val="single" w:sz="2" w:space="0" w:color="auto"/>
              <w:bottom w:val="single" w:sz="2" w:space="0" w:color="auto"/>
              <w:right w:val="single" w:sz="2" w:space="0" w:color="auto"/>
            </w:tcBorders>
            <w:shd w:val="clear" w:color="auto" w:fill="D3D3D3"/>
            <w:vAlign w:val="center"/>
          </w:tcPr>
          <w:p w14:paraId="772B92C7" w14:textId="77777777" w:rsidR="00113A51" w:rsidRDefault="00766EC7">
            <w:pPr>
              <w:spacing w:before="40" w:after="40" w:line="240" w:lineRule="exact"/>
              <w:rPr>
                <w:rFonts w:ascii="Times New Roman" w:eastAsia="宋体" w:hAnsi="Times New Roman" w:cs="宋体"/>
                <w:sz w:val="15"/>
                <w:szCs w:val="15"/>
              </w:rPr>
            </w:pPr>
            <w:r>
              <w:rPr>
                <w:rFonts w:ascii="Times New Roman" w:eastAsia="宋体" w:hAnsi="Times New Roman" w:cs="宋体"/>
                <w:sz w:val="15"/>
                <w:szCs w:val="15"/>
              </w:rPr>
              <w:t>金融负债</w:t>
            </w:r>
          </w:p>
        </w:tc>
        <w:tc>
          <w:tcPr>
            <w:tcW w:w="864" w:type="dxa"/>
            <w:tcBorders>
              <w:top w:val="single" w:sz="2" w:space="0" w:color="auto"/>
              <w:left w:val="single" w:sz="2" w:space="0" w:color="auto"/>
              <w:bottom w:val="single" w:sz="2" w:space="0" w:color="auto"/>
              <w:right w:val="single" w:sz="2" w:space="0" w:color="auto"/>
            </w:tcBorders>
            <w:vAlign w:val="center"/>
          </w:tcPr>
          <w:p w14:paraId="1DC7B4DB"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0.00</w:t>
            </w:r>
          </w:p>
        </w:tc>
        <w:tc>
          <w:tcPr>
            <w:tcW w:w="1000" w:type="dxa"/>
            <w:tcBorders>
              <w:top w:val="single" w:sz="2" w:space="0" w:color="auto"/>
              <w:left w:val="single" w:sz="2" w:space="0" w:color="auto"/>
              <w:bottom w:val="single" w:sz="2" w:space="0" w:color="auto"/>
              <w:right w:val="single" w:sz="2" w:space="0" w:color="auto"/>
            </w:tcBorders>
            <w:vAlign w:val="center"/>
          </w:tcPr>
          <w:p w14:paraId="73DB8C97" w14:textId="77777777" w:rsidR="00113A51" w:rsidRDefault="00113A51">
            <w:pPr>
              <w:spacing w:line="240" w:lineRule="exact"/>
              <w:jc w:val="right"/>
              <w:rPr>
                <w:rFonts w:ascii="Times New Roman" w:eastAsia="宋体" w:hAnsi="Times New Roman" w:cs="宋体"/>
                <w:sz w:val="15"/>
                <w:szCs w:val="15"/>
              </w:rPr>
            </w:pPr>
          </w:p>
        </w:tc>
        <w:tc>
          <w:tcPr>
            <w:tcW w:w="1284" w:type="dxa"/>
            <w:tcBorders>
              <w:top w:val="single" w:sz="2" w:space="0" w:color="auto"/>
              <w:left w:val="single" w:sz="2" w:space="0" w:color="auto"/>
              <w:bottom w:val="single" w:sz="2" w:space="0" w:color="auto"/>
              <w:right w:val="single" w:sz="2" w:space="0" w:color="auto"/>
            </w:tcBorders>
            <w:vAlign w:val="center"/>
          </w:tcPr>
          <w:p w14:paraId="0424ADB5" w14:textId="77777777" w:rsidR="00113A51" w:rsidRDefault="00113A51">
            <w:pPr>
              <w:spacing w:line="360" w:lineRule="auto"/>
              <w:jc w:val="right"/>
              <w:rPr>
                <w:rFonts w:ascii="Times New Roman" w:eastAsia="宋体" w:hAnsi="Times New Roman" w:cs="宋体"/>
                <w:sz w:val="15"/>
                <w:szCs w:val="15"/>
              </w:rPr>
            </w:pPr>
          </w:p>
        </w:tc>
        <w:tc>
          <w:tcPr>
            <w:tcW w:w="864" w:type="dxa"/>
            <w:tcBorders>
              <w:top w:val="single" w:sz="2" w:space="0" w:color="auto"/>
              <w:left w:val="single" w:sz="2" w:space="0" w:color="auto"/>
              <w:bottom w:val="single" w:sz="2" w:space="0" w:color="auto"/>
              <w:right w:val="single" w:sz="2" w:space="0" w:color="auto"/>
            </w:tcBorders>
            <w:vAlign w:val="center"/>
          </w:tcPr>
          <w:p w14:paraId="3D2A4BFE" w14:textId="77777777" w:rsidR="00113A51" w:rsidRDefault="00113A51">
            <w:pPr>
              <w:spacing w:line="240" w:lineRule="exact"/>
              <w:jc w:val="right"/>
              <w:rPr>
                <w:rFonts w:ascii="Times New Roman" w:eastAsia="宋体" w:hAnsi="Times New Roman" w:cs="宋体"/>
                <w:sz w:val="15"/>
                <w:szCs w:val="15"/>
              </w:rPr>
            </w:pPr>
          </w:p>
        </w:tc>
        <w:tc>
          <w:tcPr>
            <w:tcW w:w="1124" w:type="dxa"/>
            <w:tcBorders>
              <w:top w:val="single" w:sz="2" w:space="0" w:color="auto"/>
              <w:left w:val="single" w:sz="2" w:space="0" w:color="auto"/>
              <w:bottom w:val="single" w:sz="2" w:space="0" w:color="auto"/>
              <w:right w:val="single" w:sz="2" w:space="0" w:color="auto"/>
            </w:tcBorders>
            <w:vAlign w:val="center"/>
          </w:tcPr>
          <w:p w14:paraId="69443C50" w14:textId="77777777" w:rsidR="00113A51" w:rsidRDefault="00113A51">
            <w:pPr>
              <w:spacing w:line="240" w:lineRule="exact"/>
              <w:jc w:val="right"/>
              <w:rPr>
                <w:rFonts w:ascii="Times New Roman" w:eastAsia="宋体" w:hAnsi="Times New Roman" w:cs="宋体"/>
                <w:sz w:val="15"/>
                <w:szCs w:val="15"/>
              </w:rPr>
            </w:pPr>
          </w:p>
        </w:tc>
        <w:tc>
          <w:tcPr>
            <w:tcW w:w="1123" w:type="dxa"/>
            <w:tcBorders>
              <w:top w:val="single" w:sz="2" w:space="0" w:color="auto"/>
              <w:left w:val="single" w:sz="2" w:space="0" w:color="auto"/>
              <w:bottom w:val="single" w:sz="2" w:space="0" w:color="auto"/>
              <w:right w:val="single" w:sz="2" w:space="0" w:color="auto"/>
            </w:tcBorders>
            <w:vAlign w:val="center"/>
          </w:tcPr>
          <w:p w14:paraId="4C31F41C" w14:textId="77777777" w:rsidR="00113A51" w:rsidRDefault="00113A51">
            <w:pPr>
              <w:spacing w:line="240" w:lineRule="exact"/>
              <w:jc w:val="right"/>
              <w:rPr>
                <w:rFonts w:ascii="Times New Roman" w:eastAsia="宋体" w:hAnsi="Times New Roman" w:cs="宋体"/>
                <w:sz w:val="15"/>
                <w:szCs w:val="15"/>
              </w:rPr>
            </w:pPr>
          </w:p>
        </w:tc>
        <w:tc>
          <w:tcPr>
            <w:tcW w:w="864" w:type="dxa"/>
            <w:tcBorders>
              <w:top w:val="single" w:sz="2" w:space="0" w:color="auto"/>
              <w:left w:val="single" w:sz="2" w:space="0" w:color="auto"/>
              <w:bottom w:val="single" w:sz="2" w:space="0" w:color="auto"/>
              <w:right w:val="single" w:sz="2" w:space="0" w:color="auto"/>
            </w:tcBorders>
            <w:vAlign w:val="center"/>
          </w:tcPr>
          <w:p w14:paraId="29A0E7FE" w14:textId="77777777" w:rsidR="00113A51" w:rsidRDefault="00113A51">
            <w:pPr>
              <w:spacing w:line="240" w:lineRule="exact"/>
              <w:jc w:val="right"/>
              <w:rPr>
                <w:rFonts w:ascii="Times New Roman" w:eastAsia="宋体" w:hAnsi="Times New Roman" w:cs="宋体"/>
                <w:sz w:val="15"/>
                <w:szCs w:val="15"/>
              </w:rPr>
            </w:pPr>
          </w:p>
        </w:tc>
        <w:tc>
          <w:tcPr>
            <w:tcW w:w="877" w:type="dxa"/>
            <w:tcBorders>
              <w:top w:val="single" w:sz="2" w:space="0" w:color="auto"/>
              <w:left w:val="single" w:sz="2" w:space="0" w:color="auto"/>
              <w:bottom w:val="single" w:sz="2" w:space="0" w:color="auto"/>
              <w:right w:val="single" w:sz="2" w:space="0" w:color="auto"/>
            </w:tcBorders>
            <w:vAlign w:val="center"/>
          </w:tcPr>
          <w:p w14:paraId="7613FFED" w14:textId="77777777" w:rsidR="00113A51" w:rsidRDefault="00766EC7">
            <w:pPr>
              <w:spacing w:line="240" w:lineRule="exact"/>
              <w:jc w:val="right"/>
              <w:rPr>
                <w:rFonts w:ascii="Times New Roman" w:eastAsia="宋体" w:hAnsi="Times New Roman" w:cs="宋体"/>
                <w:sz w:val="15"/>
                <w:szCs w:val="15"/>
              </w:rPr>
            </w:pPr>
            <w:r>
              <w:rPr>
                <w:rFonts w:ascii="Times New Roman" w:eastAsia="宋体" w:hAnsi="Times New Roman" w:cs="宋体"/>
                <w:sz w:val="15"/>
                <w:szCs w:val="15"/>
              </w:rPr>
              <w:t>0.00</w:t>
            </w:r>
          </w:p>
        </w:tc>
      </w:tr>
    </w:tbl>
    <w:p w14:paraId="0A4C0F3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其他变动的内容</w:t>
      </w:r>
    </w:p>
    <w:p w14:paraId="68ACCE69" w14:textId="77777777" w:rsidR="00113A51" w:rsidRPr="0086498D" w:rsidRDefault="00766EC7" w:rsidP="0086498D">
      <w:pPr>
        <w:pStyle w:val="a9"/>
        <w:spacing w:before="0" w:beforeAutospacing="0" w:after="0" w:afterAutospacing="0" w:line="360" w:lineRule="auto"/>
        <w:ind w:firstLineChars="200" w:firstLine="420"/>
        <w:rPr>
          <w:rFonts w:ascii="Times New Roman" w:hAnsi="Times New Roman"/>
          <w:sz w:val="21"/>
          <w:szCs w:val="18"/>
        </w:rPr>
      </w:pPr>
      <w:r w:rsidRPr="0086498D">
        <w:rPr>
          <w:rFonts w:ascii="Times New Roman" w:hAnsi="Times New Roman" w:hint="eastAsia"/>
          <w:sz w:val="21"/>
          <w:szCs w:val="18"/>
        </w:rPr>
        <w:t>其他变动为汇率变动。</w:t>
      </w:r>
    </w:p>
    <w:p w14:paraId="089F94E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报告期内公司主要资产计量属性是否发生重大变化</w:t>
      </w:r>
    </w:p>
    <w:p w14:paraId="4F47054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92EF4E8" w14:textId="77777777" w:rsidR="00113A51" w:rsidRDefault="00766EC7">
      <w:pPr>
        <w:pStyle w:val="3"/>
        <w:spacing w:line="280" w:lineRule="exact"/>
        <w:jc w:val="left"/>
        <w:rPr>
          <w:rFonts w:ascii="宋体" w:hAnsi="宋体" w:cs="宋体"/>
          <w:b/>
          <w:bCs/>
        </w:rPr>
      </w:pPr>
      <w:bookmarkStart w:id="39" w:name="_Toc988923"/>
      <w:r>
        <w:rPr>
          <w:rFonts w:ascii="宋体" w:hAnsi="宋体" w:cs="宋体"/>
          <w:b/>
          <w:bCs/>
        </w:rPr>
        <w:t>3、截至报告期末的资产权利受限情况</w:t>
      </w:r>
      <w:bookmarkEnd w:id="39"/>
    </w:p>
    <w:p w14:paraId="35C52B6F" w14:textId="73399A40" w:rsidR="00113A51" w:rsidRPr="0001460F" w:rsidRDefault="00BF5A41" w:rsidP="0001460F">
      <w:pPr>
        <w:pStyle w:val="a9"/>
        <w:spacing w:before="0" w:beforeAutospacing="0" w:after="0" w:afterAutospacing="0" w:line="360" w:lineRule="auto"/>
        <w:ind w:firstLineChars="200" w:firstLine="420"/>
        <w:rPr>
          <w:rFonts w:ascii="Times New Roman" w:hAnsi="Times New Roman"/>
          <w:sz w:val="21"/>
          <w:szCs w:val="18"/>
        </w:rPr>
      </w:pPr>
      <w:r w:rsidRPr="00BF5A41">
        <w:rPr>
          <w:rFonts w:ascii="Times New Roman" w:hAnsi="Times New Roman" w:hint="eastAsia"/>
          <w:sz w:val="21"/>
          <w:szCs w:val="18"/>
        </w:rPr>
        <w:t>截至报告期末，公司受到限制的资产为货币资金及其他非流动资产，金额合计为</w:t>
      </w:r>
      <w:r w:rsidRPr="00BF5A41">
        <w:rPr>
          <w:rFonts w:ascii="Times New Roman" w:hAnsi="Times New Roman"/>
          <w:sz w:val="21"/>
          <w:szCs w:val="18"/>
        </w:rPr>
        <w:t>9,192,291.52</w:t>
      </w:r>
      <w:r w:rsidRPr="00BF5A41">
        <w:rPr>
          <w:rFonts w:ascii="Times New Roman" w:hAnsi="Times New Roman"/>
          <w:sz w:val="21"/>
          <w:szCs w:val="18"/>
        </w:rPr>
        <w:t>元，主要为保函保证金、租赁保证金及银行承兑保证金。</w:t>
      </w:r>
    </w:p>
    <w:p w14:paraId="51F6ABE2" w14:textId="77777777" w:rsidR="00113A51" w:rsidRDefault="00766EC7">
      <w:pPr>
        <w:pStyle w:val="2"/>
        <w:spacing w:before="300" w:after="300" w:line="320" w:lineRule="exact"/>
        <w:rPr>
          <w:rFonts w:ascii="宋体" w:eastAsia="宋体" w:hAnsi="宋体" w:cs="宋体"/>
          <w:b/>
          <w:bCs/>
          <w:sz w:val="24"/>
          <w:szCs w:val="24"/>
        </w:rPr>
      </w:pPr>
      <w:bookmarkStart w:id="40" w:name="_Toc988924"/>
      <w:r>
        <w:rPr>
          <w:rFonts w:ascii="宋体" w:eastAsia="宋体" w:hAnsi="宋体" w:cs="宋体"/>
          <w:b/>
          <w:bCs/>
          <w:sz w:val="24"/>
          <w:szCs w:val="24"/>
        </w:rPr>
        <w:t>七、投资状况分析</w:t>
      </w:r>
      <w:bookmarkEnd w:id="40"/>
    </w:p>
    <w:p w14:paraId="583446E5" w14:textId="77777777" w:rsidR="00113A51" w:rsidRDefault="00766EC7">
      <w:pPr>
        <w:pStyle w:val="3"/>
        <w:spacing w:line="280" w:lineRule="exact"/>
        <w:jc w:val="left"/>
        <w:rPr>
          <w:rFonts w:ascii="宋体" w:hAnsi="宋体" w:cs="宋体"/>
          <w:b/>
          <w:bCs/>
        </w:rPr>
      </w:pPr>
      <w:bookmarkStart w:id="41" w:name="_Toc988925"/>
      <w:r>
        <w:rPr>
          <w:rFonts w:ascii="宋体" w:hAnsi="宋体" w:cs="宋体"/>
          <w:b/>
          <w:bCs/>
        </w:rPr>
        <w:t>1、总体情况</w:t>
      </w:r>
      <w:bookmarkEnd w:id="41"/>
    </w:p>
    <w:p w14:paraId="4F316F2F"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Layout w:type="fixed"/>
        <w:tblLook w:val="04A0" w:firstRow="1" w:lastRow="0" w:firstColumn="1" w:lastColumn="0" w:noHBand="0" w:noVBand="1"/>
      </w:tblPr>
      <w:tblGrid>
        <w:gridCol w:w="3213"/>
        <w:gridCol w:w="3213"/>
        <w:gridCol w:w="3213"/>
      </w:tblGrid>
      <w:tr w:rsidR="00C57E60" w14:paraId="5358F9AC" w14:textId="77777777">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C3539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报告期投资额（元）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257F3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上年同期投资额（元）</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6E502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变动幅度</w:t>
            </w:r>
          </w:p>
        </w:tc>
      </w:tr>
      <w:tr w:rsidR="00C57E60" w14:paraId="1DBF89BD" w14:textId="77777777">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65B65B4"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98,274,836.40</w:t>
            </w:r>
          </w:p>
        </w:tc>
        <w:tc>
          <w:tcPr>
            <w:tcW w:w="3213" w:type="dxa"/>
            <w:tcBorders>
              <w:top w:val="single" w:sz="2" w:space="0" w:color="auto"/>
              <w:left w:val="single" w:sz="2" w:space="0" w:color="auto"/>
              <w:bottom w:val="single" w:sz="2" w:space="0" w:color="auto"/>
              <w:right w:val="single" w:sz="2" w:space="0" w:color="auto"/>
            </w:tcBorders>
            <w:vAlign w:val="center"/>
          </w:tcPr>
          <w:p w14:paraId="589E07F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75,907,346.32</w:t>
            </w:r>
          </w:p>
        </w:tc>
        <w:tc>
          <w:tcPr>
            <w:tcW w:w="3213" w:type="dxa"/>
            <w:tcBorders>
              <w:top w:val="single" w:sz="2" w:space="0" w:color="auto"/>
              <w:left w:val="single" w:sz="2" w:space="0" w:color="auto"/>
              <w:bottom w:val="single" w:sz="2" w:space="0" w:color="auto"/>
              <w:right w:val="single" w:sz="2" w:space="0" w:color="auto"/>
            </w:tcBorders>
            <w:vAlign w:val="center"/>
          </w:tcPr>
          <w:p w14:paraId="5D4CF386"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29.47%</w:t>
            </w:r>
          </w:p>
        </w:tc>
      </w:tr>
    </w:tbl>
    <w:p w14:paraId="03D5ABAD" w14:textId="77777777" w:rsidR="00113A51" w:rsidRDefault="00766EC7">
      <w:pPr>
        <w:pStyle w:val="3"/>
        <w:spacing w:line="280" w:lineRule="exact"/>
        <w:jc w:val="left"/>
        <w:rPr>
          <w:rFonts w:ascii="宋体" w:hAnsi="宋体" w:cs="宋体"/>
          <w:b/>
          <w:bCs/>
        </w:rPr>
      </w:pPr>
      <w:bookmarkStart w:id="42" w:name="_Toc988926"/>
      <w:r>
        <w:rPr>
          <w:rFonts w:ascii="宋体" w:hAnsi="宋体" w:cs="宋体"/>
          <w:b/>
          <w:bCs/>
        </w:rPr>
        <w:t>2、报告期内获取的重大的股权投资情况</w:t>
      </w:r>
      <w:bookmarkEnd w:id="42"/>
    </w:p>
    <w:p w14:paraId="2C5A8D4D"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943D782" w14:textId="77777777" w:rsidR="00113A51" w:rsidRDefault="00766EC7">
      <w:pPr>
        <w:pStyle w:val="3"/>
        <w:spacing w:line="280" w:lineRule="exact"/>
        <w:jc w:val="left"/>
        <w:rPr>
          <w:rFonts w:ascii="宋体" w:hAnsi="宋体" w:cs="宋体"/>
          <w:b/>
          <w:bCs/>
        </w:rPr>
      </w:pPr>
      <w:bookmarkStart w:id="43" w:name="_Toc988927"/>
      <w:r>
        <w:rPr>
          <w:rFonts w:ascii="宋体" w:hAnsi="宋体" w:cs="宋体"/>
          <w:b/>
          <w:bCs/>
        </w:rPr>
        <w:t>3、报告期内正在进行的重大的非股权投资情况</w:t>
      </w:r>
      <w:bookmarkEnd w:id="43"/>
    </w:p>
    <w:p w14:paraId="47AE38F0"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02D2F289"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873" w:type="dxa"/>
        <w:tblInd w:w="108" w:type="dxa"/>
        <w:tblLayout w:type="fixed"/>
        <w:tblCellMar>
          <w:left w:w="28" w:type="dxa"/>
          <w:right w:w="28" w:type="dxa"/>
        </w:tblCellMar>
        <w:tblLook w:val="04A0" w:firstRow="1" w:lastRow="0" w:firstColumn="1" w:lastColumn="0" w:noHBand="0" w:noVBand="1"/>
      </w:tblPr>
      <w:tblGrid>
        <w:gridCol w:w="964"/>
        <w:gridCol w:w="510"/>
        <w:gridCol w:w="624"/>
        <w:gridCol w:w="680"/>
        <w:gridCol w:w="964"/>
        <w:gridCol w:w="1077"/>
        <w:gridCol w:w="567"/>
        <w:gridCol w:w="624"/>
        <w:gridCol w:w="567"/>
        <w:gridCol w:w="907"/>
        <w:gridCol w:w="907"/>
        <w:gridCol w:w="741"/>
        <w:gridCol w:w="741"/>
      </w:tblGrid>
      <w:tr w:rsidR="00C57E60" w14:paraId="0B3F4590" w14:textId="77777777" w:rsidTr="00472846">
        <w:trPr>
          <w:trHeight w:val="240"/>
          <w:tblHeader/>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1DD8E7F"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项目名称</w:t>
            </w:r>
          </w:p>
        </w:tc>
        <w:tc>
          <w:tcPr>
            <w:tcW w:w="510" w:type="dxa"/>
            <w:tcBorders>
              <w:top w:val="single" w:sz="2" w:space="0" w:color="auto"/>
              <w:left w:val="single" w:sz="2" w:space="0" w:color="auto"/>
              <w:bottom w:val="single" w:sz="2" w:space="0" w:color="auto"/>
              <w:right w:val="single" w:sz="2" w:space="0" w:color="auto"/>
            </w:tcBorders>
            <w:shd w:val="clear" w:color="auto" w:fill="D3D3D3"/>
            <w:vAlign w:val="center"/>
          </w:tcPr>
          <w:p w14:paraId="1D5DC114"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投资方式</w:t>
            </w:r>
          </w:p>
        </w:tc>
        <w:tc>
          <w:tcPr>
            <w:tcW w:w="624" w:type="dxa"/>
            <w:tcBorders>
              <w:top w:val="single" w:sz="2" w:space="0" w:color="auto"/>
              <w:left w:val="single" w:sz="2" w:space="0" w:color="auto"/>
              <w:bottom w:val="single" w:sz="2" w:space="0" w:color="auto"/>
              <w:right w:val="single" w:sz="2" w:space="0" w:color="auto"/>
            </w:tcBorders>
            <w:shd w:val="clear" w:color="auto" w:fill="D3D3D3"/>
            <w:vAlign w:val="center"/>
          </w:tcPr>
          <w:p w14:paraId="426DC03E"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是否为固定资产投资</w:t>
            </w:r>
          </w:p>
        </w:tc>
        <w:tc>
          <w:tcPr>
            <w:tcW w:w="680" w:type="dxa"/>
            <w:tcBorders>
              <w:top w:val="single" w:sz="2" w:space="0" w:color="auto"/>
              <w:left w:val="single" w:sz="2" w:space="0" w:color="auto"/>
              <w:bottom w:val="single" w:sz="2" w:space="0" w:color="auto"/>
              <w:right w:val="single" w:sz="2" w:space="0" w:color="auto"/>
            </w:tcBorders>
            <w:shd w:val="clear" w:color="auto" w:fill="D3D3D3"/>
            <w:vAlign w:val="center"/>
          </w:tcPr>
          <w:p w14:paraId="1C5035EE"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投资项目涉及行业</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3294E81"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本报告期投入金额</w:t>
            </w:r>
          </w:p>
        </w:tc>
        <w:tc>
          <w:tcPr>
            <w:tcW w:w="1077" w:type="dxa"/>
            <w:tcBorders>
              <w:top w:val="single" w:sz="2" w:space="0" w:color="auto"/>
              <w:left w:val="single" w:sz="2" w:space="0" w:color="auto"/>
              <w:bottom w:val="single" w:sz="2" w:space="0" w:color="auto"/>
              <w:right w:val="single" w:sz="2" w:space="0" w:color="auto"/>
            </w:tcBorders>
            <w:shd w:val="clear" w:color="auto" w:fill="D3D3D3"/>
            <w:vAlign w:val="center"/>
          </w:tcPr>
          <w:p w14:paraId="3BF97DE0"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截至报告期末累计实际投入金额</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73ABAFA"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资金来源</w:t>
            </w:r>
          </w:p>
        </w:tc>
        <w:tc>
          <w:tcPr>
            <w:tcW w:w="624" w:type="dxa"/>
            <w:tcBorders>
              <w:top w:val="single" w:sz="2" w:space="0" w:color="auto"/>
              <w:left w:val="single" w:sz="2" w:space="0" w:color="auto"/>
              <w:bottom w:val="single" w:sz="2" w:space="0" w:color="auto"/>
              <w:right w:val="single" w:sz="2" w:space="0" w:color="auto"/>
            </w:tcBorders>
            <w:shd w:val="clear" w:color="auto" w:fill="D3D3D3"/>
            <w:vAlign w:val="center"/>
          </w:tcPr>
          <w:p w14:paraId="338BC0AB"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项目进度</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922F825"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预计收益</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65D0BC06"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截止报告期末累计实现的收益</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528A018D"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未达到计划进度和预计收益的原因</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24E495D"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披露日期（如有）</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5084C85"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披露索引（如有）</w:t>
            </w:r>
          </w:p>
        </w:tc>
      </w:tr>
      <w:tr w:rsidR="00C57E60" w14:paraId="11C45AB2" w14:textId="77777777" w:rsidTr="00472846">
        <w:trPr>
          <w:trHeight w:val="240"/>
          <w:tblHeader/>
        </w:trPr>
        <w:tc>
          <w:tcPr>
            <w:tcW w:w="964" w:type="dxa"/>
            <w:tcBorders>
              <w:top w:val="single" w:sz="2" w:space="0" w:color="auto"/>
              <w:left w:val="single" w:sz="2" w:space="0" w:color="auto"/>
              <w:bottom w:val="single" w:sz="2" w:space="0" w:color="auto"/>
              <w:right w:val="single" w:sz="2" w:space="0" w:color="auto"/>
            </w:tcBorders>
            <w:vAlign w:val="center"/>
          </w:tcPr>
          <w:p w14:paraId="3168FA17"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全球研发中心建设项目</w:t>
            </w:r>
          </w:p>
        </w:tc>
        <w:tc>
          <w:tcPr>
            <w:tcW w:w="510" w:type="dxa"/>
            <w:tcBorders>
              <w:top w:val="single" w:sz="2" w:space="0" w:color="auto"/>
              <w:left w:val="single" w:sz="2" w:space="0" w:color="auto"/>
              <w:bottom w:val="single" w:sz="2" w:space="0" w:color="auto"/>
              <w:right w:val="single" w:sz="2" w:space="0" w:color="auto"/>
            </w:tcBorders>
            <w:vAlign w:val="center"/>
          </w:tcPr>
          <w:p w14:paraId="2D9A64EF"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自建</w:t>
            </w:r>
          </w:p>
        </w:tc>
        <w:tc>
          <w:tcPr>
            <w:tcW w:w="624" w:type="dxa"/>
            <w:tcBorders>
              <w:top w:val="single" w:sz="2" w:space="0" w:color="auto"/>
              <w:left w:val="single" w:sz="2" w:space="0" w:color="auto"/>
              <w:bottom w:val="single" w:sz="2" w:space="0" w:color="auto"/>
              <w:right w:val="single" w:sz="2" w:space="0" w:color="auto"/>
            </w:tcBorders>
            <w:vAlign w:val="center"/>
          </w:tcPr>
          <w:p w14:paraId="527E6F26" w14:textId="77777777" w:rsidR="00113A51" w:rsidRDefault="00766EC7">
            <w:pPr>
              <w:spacing w:line="360" w:lineRule="auto"/>
              <w:jc w:val="center"/>
              <w:rPr>
                <w:rFonts w:ascii="Times New Roman" w:eastAsia="宋体" w:hAnsi="Times New Roman" w:cs="宋体"/>
                <w:sz w:val="13"/>
                <w:szCs w:val="13"/>
              </w:rPr>
            </w:pPr>
            <w:r>
              <w:rPr>
                <w:rFonts w:ascii="Times New Roman" w:eastAsia="宋体" w:hAnsi="Times New Roman" w:cs="宋体"/>
                <w:sz w:val="13"/>
                <w:szCs w:val="13"/>
              </w:rPr>
              <w:t>是</w:t>
            </w:r>
          </w:p>
        </w:tc>
        <w:tc>
          <w:tcPr>
            <w:tcW w:w="680" w:type="dxa"/>
            <w:tcBorders>
              <w:top w:val="single" w:sz="2" w:space="0" w:color="auto"/>
              <w:left w:val="single" w:sz="2" w:space="0" w:color="auto"/>
              <w:bottom w:val="single" w:sz="2" w:space="0" w:color="auto"/>
              <w:right w:val="single" w:sz="2" w:space="0" w:color="auto"/>
            </w:tcBorders>
            <w:vAlign w:val="center"/>
          </w:tcPr>
          <w:p w14:paraId="6889D034"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医疗器械行业</w:t>
            </w:r>
          </w:p>
        </w:tc>
        <w:tc>
          <w:tcPr>
            <w:tcW w:w="964" w:type="dxa"/>
            <w:tcBorders>
              <w:top w:val="single" w:sz="2" w:space="0" w:color="auto"/>
              <w:left w:val="single" w:sz="2" w:space="0" w:color="auto"/>
              <w:bottom w:val="single" w:sz="2" w:space="0" w:color="auto"/>
              <w:right w:val="single" w:sz="2" w:space="0" w:color="auto"/>
            </w:tcBorders>
            <w:vAlign w:val="center"/>
          </w:tcPr>
          <w:p w14:paraId="2A9A1D57"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98,274,836.40</w:t>
            </w:r>
          </w:p>
        </w:tc>
        <w:tc>
          <w:tcPr>
            <w:tcW w:w="1077" w:type="dxa"/>
            <w:tcBorders>
              <w:top w:val="single" w:sz="2" w:space="0" w:color="auto"/>
              <w:left w:val="single" w:sz="2" w:space="0" w:color="auto"/>
              <w:bottom w:val="single" w:sz="2" w:space="0" w:color="auto"/>
              <w:right w:val="single" w:sz="2" w:space="0" w:color="auto"/>
            </w:tcBorders>
            <w:vAlign w:val="center"/>
          </w:tcPr>
          <w:p w14:paraId="20AA8434"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247,881,313.25</w:t>
            </w:r>
          </w:p>
        </w:tc>
        <w:tc>
          <w:tcPr>
            <w:tcW w:w="567" w:type="dxa"/>
            <w:tcBorders>
              <w:top w:val="single" w:sz="2" w:space="0" w:color="auto"/>
              <w:left w:val="single" w:sz="2" w:space="0" w:color="auto"/>
              <w:bottom w:val="single" w:sz="2" w:space="0" w:color="auto"/>
              <w:right w:val="single" w:sz="2" w:space="0" w:color="auto"/>
            </w:tcBorders>
            <w:vAlign w:val="center"/>
          </w:tcPr>
          <w:p w14:paraId="15998FC6"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自有资金</w:t>
            </w:r>
          </w:p>
        </w:tc>
        <w:tc>
          <w:tcPr>
            <w:tcW w:w="624" w:type="dxa"/>
            <w:tcBorders>
              <w:top w:val="single" w:sz="2" w:space="0" w:color="auto"/>
              <w:left w:val="single" w:sz="2" w:space="0" w:color="auto"/>
              <w:bottom w:val="single" w:sz="2" w:space="0" w:color="auto"/>
              <w:right w:val="single" w:sz="2" w:space="0" w:color="auto"/>
            </w:tcBorders>
            <w:vAlign w:val="center"/>
          </w:tcPr>
          <w:p w14:paraId="0226371C"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49.58%</w:t>
            </w:r>
          </w:p>
        </w:tc>
        <w:tc>
          <w:tcPr>
            <w:tcW w:w="567" w:type="dxa"/>
            <w:tcBorders>
              <w:top w:val="single" w:sz="2" w:space="0" w:color="auto"/>
              <w:left w:val="single" w:sz="2" w:space="0" w:color="auto"/>
              <w:bottom w:val="single" w:sz="2" w:space="0" w:color="auto"/>
              <w:right w:val="single" w:sz="2" w:space="0" w:color="auto"/>
            </w:tcBorders>
            <w:vAlign w:val="center"/>
          </w:tcPr>
          <w:p w14:paraId="7A3875E7"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0.00</w:t>
            </w:r>
          </w:p>
        </w:tc>
        <w:tc>
          <w:tcPr>
            <w:tcW w:w="907" w:type="dxa"/>
            <w:tcBorders>
              <w:top w:val="single" w:sz="2" w:space="0" w:color="auto"/>
              <w:left w:val="single" w:sz="2" w:space="0" w:color="auto"/>
              <w:bottom w:val="single" w:sz="2" w:space="0" w:color="auto"/>
              <w:right w:val="single" w:sz="2" w:space="0" w:color="auto"/>
            </w:tcBorders>
            <w:vAlign w:val="center"/>
          </w:tcPr>
          <w:p w14:paraId="39BDD99C"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0.00</w:t>
            </w:r>
          </w:p>
        </w:tc>
        <w:tc>
          <w:tcPr>
            <w:tcW w:w="907" w:type="dxa"/>
            <w:tcBorders>
              <w:top w:val="single" w:sz="2" w:space="0" w:color="auto"/>
              <w:left w:val="single" w:sz="2" w:space="0" w:color="auto"/>
              <w:bottom w:val="single" w:sz="2" w:space="0" w:color="auto"/>
              <w:right w:val="single" w:sz="2" w:space="0" w:color="auto"/>
            </w:tcBorders>
            <w:vAlign w:val="center"/>
          </w:tcPr>
          <w:p w14:paraId="3068F5B7" w14:textId="77777777" w:rsidR="00113A51" w:rsidRDefault="00766EC7">
            <w:pPr>
              <w:spacing w:line="360" w:lineRule="auto"/>
              <w:jc w:val="center"/>
              <w:rPr>
                <w:rFonts w:ascii="Times New Roman" w:eastAsia="宋体" w:hAnsi="Times New Roman" w:cs="宋体"/>
                <w:sz w:val="13"/>
                <w:szCs w:val="13"/>
              </w:rPr>
            </w:pPr>
            <w:r>
              <w:rPr>
                <w:rFonts w:ascii="Times New Roman" w:eastAsia="宋体" w:hAnsi="Times New Roman" w:cs="宋体"/>
                <w:sz w:val="13"/>
                <w:szCs w:val="13"/>
              </w:rPr>
              <w:t>不适用</w:t>
            </w:r>
          </w:p>
        </w:tc>
        <w:tc>
          <w:tcPr>
            <w:tcW w:w="741" w:type="dxa"/>
            <w:tcBorders>
              <w:top w:val="single" w:sz="2" w:space="0" w:color="auto"/>
              <w:left w:val="single" w:sz="2" w:space="0" w:color="auto"/>
              <w:bottom w:val="single" w:sz="2" w:space="0" w:color="auto"/>
              <w:right w:val="single" w:sz="2" w:space="0" w:color="auto"/>
            </w:tcBorders>
            <w:vAlign w:val="center"/>
          </w:tcPr>
          <w:p w14:paraId="2A728CC6"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2023</w:t>
            </w:r>
            <w:r>
              <w:rPr>
                <w:rFonts w:ascii="Times New Roman" w:eastAsia="宋体" w:hAnsi="Times New Roman" w:cs="宋体"/>
                <w:sz w:val="13"/>
                <w:szCs w:val="13"/>
              </w:rPr>
              <w:t>年</w:t>
            </w:r>
            <w:r>
              <w:rPr>
                <w:rFonts w:ascii="Times New Roman" w:eastAsia="宋体" w:hAnsi="Times New Roman" w:cs="宋体"/>
                <w:sz w:val="13"/>
                <w:szCs w:val="13"/>
              </w:rPr>
              <w:t>12</w:t>
            </w:r>
            <w:r>
              <w:rPr>
                <w:rFonts w:ascii="Times New Roman" w:eastAsia="宋体" w:hAnsi="Times New Roman" w:cs="宋体"/>
                <w:sz w:val="13"/>
                <w:szCs w:val="13"/>
              </w:rPr>
              <w:t>月</w:t>
            </w:r>
            <w:r>
              <w:rPr>
                <w:rFonts w:ascii="Times New Roman" w:eastAsia="宋体" w:hAnsi="Times New Roman" w:cs="宋体"/>
                <w:sz w:val="13"/>
                <w:szCs w:val="13"/>
              </w:rPr>
              <w:t>29</w:t>
            </w:r>
            <w:r>
              <w:rPr>
                <w:rFonts w:ascii="Times New Roman" w:eastAsia="宋体" w:hAnsi="Times New Roman" w:cs="宋体"/>
                <w:sz w:val="13"/>
                <w:szCs w:val="13"/>
              </w:rPr>
              <w:t>日</w:t>
            </w:r>
          </w:p>
        </w:tc>
        <w:tc>
          <w:tcPr>
            <w:tcW w:w="741" w:type="dxa"/>
            <w:tcBorders>
              <w:top w:val="single" w:sz="2" w:space="0" w:color="auto"/>
              <w:left w:val="single" w:sz="2" w:space="0" w:color="auto"/>
              <w:bottom w:val="single" w:sz="2" w:space="0" w:color="auto"/>
              <w:right w:val="single" w:sz="2" w:space="0" w:color="auto"/>
            </w:tcBorders>
            <w:vAlign w:val="center"/>
          </w:tcPr>
          <w:p w14:paraId="2B11E059"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巨潮资讯网</w:t>
            </w:r>
            <w:r>
              <w:rPr>
                <w:rFonts w:ascii="Times New Roman" w:eastAsia="宋体" w:hAnsi="Times New Roman" w:cs="宋体"/>
                <w:sz w:val="13"/>
                <w:szCs w:val="13"/>
              </w:rPr>
              <w:t>www.cninfo.com.cn</w:t>
            </w:r>
          </w:p>
        </w:tc>
      </w:tr>
      <w:tr w:rsidR="00C57E60" w14:paraId="6402954B" w14:textId="77777777" w:rsidTr="00472846">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BAED522" w14:textId="77777777" w:rsidR="00113A51" w:rsidRDefault="00766EC7">
            <w:pPr>
              <w:spacing w:before="40" w:after="40" w:line="360" w:lineRule="auto"/>
              <w:rPr>
                <w:rFonts w:ascii="Times New Roman" w:eastAsia="宋体" w:hAnsi="Times New Roman" w:cs="宋体"/>
                <w:sz w:val="13"/>
                <w:szCs w:val="13"/>
              </w:rPr>
            </w:pPr>
            <w:r>
              <w:rPr>
                <w:rFonts w:ascii="Times New Roman" w:eastAsia="宋体" w:hAnsi="Times New Roman" w:cs="宋体"/>
                <w:sz w:val="13"/>
                <w:szCs w:val="13"/>
              </w:rPr>
              <w:t>合计</w:t>
            </w:r>
          </w:p>
        </w:tc>
        <w:tc>
          <w:tcPr>
            <w:tcW w:w="510" w:type="dxa"/>
            <w:tcBorders>
              <w:top w:val="single" w:sz="2" w:space="0" w:color="auto"/>
              <w:left w:val="single" w:sz="2" w:space="0" w:color="auto"/>
              <w:bottom w:val="single" w:sz="2" w:space="0" w:color="auto"/>
              <w:right w:val="single" w:sz="2" w:space="0" w:color="auto"/>
            </w:tcBorders>
            <w:shd w:val="clear" w:color="auto" w:fill="D3D3D3"/>
            <w:vAlign w:val="center"/>
          </w:tcPr>
          <w:p w14:paraId="012449A3"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624" w:type="dxa"/>
            <w:tcBorders>
              <w:top w:val="single" w:sz="2" w:space="0" w:color="auto"/>
              <w:left w:val="single" w:sz="2" w:space="0" w:color="auto"/>
              <w:bottom w:val="single" w:sz="2" w:space="0" w:color="auto"/>
              <w:right w:val="single" w:sz="2" w:space="0" w:color="auto"/>
            </w:tcBorders>
            <w:shd w:val="clear" w:color="auto" w:fill="D3D3D3"/>
            <w:vAlign w:val="center"/>
          </w:tcPr>
          <w:p w14:paraId="138DBEE6"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680" w:type="dxa"/>
            <w:tcBorders>
              <w:top w:val="single" w:sz="2" w:space="0" w:color="auto"/>
              <w:left w:val="single" w:sz="2" w:space="0" w:color="auto"/>
              <w:bottom w:val="single" w:sz="2" w:space="0" w:color="auto"/>
              <w:right w:val="single" w:sz="2" w:space="0" w:color="auto"/>
            </w:tcBorders>
            <w:shd w:val="clear" w:color="auto" w:fill="D3D3D3"/>
            <w:vAlign w:val="center"/>
          </w:tcPr>
          <w:p w14:paraId="120ADD96"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964" w:type="dxa"/>
            <w:tcBorders>
              <w:top w:val="single" w:sz="2" w:space="0" w:color="auto"/>
              <w:left w:val="single" w:sz="2" w:space="0" w:color="auto"/>
              <w:bottom w:val="single" w:sz="2" w:space="0" w:color="auto"/>
              <w:right w:val="single" w:sz="2" w:space="0" w:color="auto"/>
            </w:tcBorders>
            <w:vAlign w:val="center"/>
          </w:tcPr>
          <w:p w14:paraId="61190D49"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98,274,836.40</w:t>
            </w:r>
          </w:p>
        </w:tc>
        <w:tc>
          <w:tcPr>
            <w:tcW w:w="1077" w:type="dxa"/>
            <w:tcBorders>
              <w:top w:val="single" w:sz="2" w:space="0" w:color="auto"/>
              <w:left w:val="single" w:sz="2" w:space="0" w:color="auto"/>
              <w:bottom w:val="single" w:sz="2" w:space="0" w:color="auto"/>
              <w:right w:val="single" w:sz="2" w:space="0" w:color="auto"/>
            </w:tcBorders>
            <w:vAlign w:val="center"/>
          </w:tcPr>
          <w:p w14:paraId="4B081836"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247,881,313.25</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C313C3C"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624" w:type="dxa"/>
            <w:tcBorders>
              <w:top w:val="single" w:sz="2" w:space="0" w:color="auto"/>
              <w:left w:val="single" w:sz="2" w:space="0" w:color="auto"/>
              <w:bottom w:val="single" w:sz="2" w:space="0" w:color="auto"/>
              <w:right w:val="single" w:sz="2" w:space="0" w:color="auto"/>
            </w:tcBorders>
            <w:shd w:val="clear" w:color="auto" w:fill="D3D3D3"/>
            <w:vAlign w:val="center"/>
          </w:tcPr>
          <w:p w14:paraId="1EBEA7A0"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567" w:type="dxa"/>
            <w:tcBorders>
              <w:top w:val="single" w:sz="2" w:space="0" w:color="auto"/>
              <w:left w:val="single" w:sz="2" w:space="0" w:color="auto"/>
              <w:bottom w:val="single" w:sz="2" w:space="0" w:color="auto"/>
              <w:right w:val="single" w:sz="2" w:space="0" w:color="auto"/>
            </w:tcBorders>
            <w:vAlign w:val="center"/>
          </w:tcPr>
          <w:p w14:paraId="658B09A8"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0.00</w:t>
            </w:r>
          </w:p>
        </w:tc>
        <w:tc>
          <w:tcPr>
            <w:tcW w:w="907" w:type="dxa"/>
            <w:tcBorders>
              <w:top w:val="single" w:sz="2" w:space="0" w:color="auto"/>
              <w:left w:val="single" w:sz="2" w:space="0" w:color="auto"/>
              <w:bottom w:val="single" w:sz="2" w:space="0" w:color="auto"/>
              <w:right w:val="single" w:sz="2" w:space="0" w:color="auto"/>
            </w:tcBorders>
            <w:vAlign w:val="center"/>
          </w:tcPr>
          <w:p w14:paraId="0CF7ED41"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0.00</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61EAFA2A"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66F4EE49"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77C7E674"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w:t>
            </w:r>
          </w:p>
        </w:tc>
      </w:tr>
    </w:tbl>
    <w:p w14:paraId="56EEF0EE" w14:textId="77777777" w:rsidR="00113A51" w:rsidRDefault="00766EC7">
      <w:pPr>
        <w:pStyle w:val="3"/>
        <w:spacing w:line="280" w:lineRule="exact"/>
        <w:jc w:val="left"/>
        <w:rPr>
          <w:rFonts w:ascii="宋体" w:hAnsi="宋体" w:cs="宋体"/>
          <w:b/>
          <w:bCs/>
        </w:rPr>
      </w:pPr>
      <w:bookmarkStart w:id="44" w:name="_Toc988928"/>
      <w:r>
        <w:rPr>
          <w:rFonts w:ascii="宋体" w:hAnsi="宋体" w:cs="宋体"/>
          <w:b/>
          <w:bCs/>
        </w:rPr>
        <w:t>4、金融资产投资</w:t>
      </w:r>
      <w:bookmarkEnd w:id="44"/>
    </w:p>
    <w:p w14:paraId="43A64FEE" w14:textId="77777777" w:rsidR="00113A51" w:rsidRDefault="00766EC7">
      <w:pPr>
        <w:keepNext/>
        <w:keepLines/>
        <w:spacing w:before="300" w:after="300" w:line="280" w:lineRule="exact"/>
        <w:outlineLvl w:val="3"/>
        <w:rPr>
          <w:rFonts w:ascii="宋体" w:eastAsia="宋体" w:hAnsi="宋体" w:cs="宋体"/>
          <w:b/>
          <w:bCs/>
          <w:sz w:val="18"/>
          <w:szCs w:val="18"/>
        </w:rPr>
      </w:pPr>
      <w:bookmarkStart w:id="45" w:name="_Toc988929"/>
      <w:r>
        <w:rPr>
          <w:rFonts w:ascii="宋体" w:eastAsia="宋体" w:hAnsi="宋体" w:cs="宋体"/>
          <w:b/>
          <w:bCs/>
          <w:sz w:val="18"/>
          <w:szCs w:val="18"/>
        </w:rPr>
        <w:t>（1） 证券投资情况</w:t>
      </w:r>
      <w:bookmarkEnd w:id="45"/>
    </w:p>
    <w:p w14:paraId="7B34A1E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AB9FB06"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公司报告期不存在证券投资。</w:t>
      </w:r>
    </w:p>
    <w:p w14:paraId="37FA8A4F" w14:textId="77777777" w:rsidR="00113A51" w:rsidRDefault="00766EC7">
      <w:pPr>
        <w:keepNext/>
        <w:keepLines/>
        <w:spacing w:before="300" w:after="300" w:line="280" w:lineRule="exact"/>
        <w:outlineLvl w:val="3"/>
        <w:rPr>
          <w:rFonts w:ascii="宋体" w:eastAsia="宋体" w:hAnsi="宋体" w:cs="宋体"/>
          <w:b/>
          <w:bCs/>
          <w:sz w:val="18"/>
          <w:szCs w:val="18"/>
        </w:rPr>
      </w:pPr>
      <w:bookmarkStart w:id="46" w:name="_Toc988930"/>
      <w:r>
        <w:rPr>
          <w:rFonts w:ascii="宋体" w:eastAsia="宋体" w:hAnsi="宋体" w:cs="宋体"/>
          <w:b/>
          <w:bCs/>
          <w:sz w:val="18"/>
          <w:szCs w:val="18"/>
        </w:rPr>
        <w:t>（2） 衍生品投资情况</w:t>
      </w:r>
      <w:bookmarkEnd w:id="46"/>
    </w:p>
    <w:p w14:paraId="2D47F06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6FCB0F8"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公司报告期不存在衍生品投资。</w:t>
      </w:r>
    </w:p>
    <w:p w14:paraId="2F472C1D" w14:textId="77777777" w:rsidR="00113A51" w:rsidRDefault="00766EC7">
      <w:pPr>
        <w:pStyle w:val="2"/>
        <w:spacing w:before="300" w:after="300" w:line="320" w:lineRule="exact"/>
        <w:rPr>
          <w:rFonts w:ascii="宋体" w:eastAsia="宋体" w:hAnsi="宋体" w:cs="宋体"/>
          <w:b/>
          <w:bCs/>
          <w:sz w:val="24"/>
          <w:szCs w:val="24"/>
        </w:rPr>
      </w:pPr>
      <w:bookmarkStart w:id="47" w:name="_Toc988931"/>
      <w:r>
        <w:rPr>
          <w:rFonts w:ascii="宋体" w:eastAsia="宋体" w:hAnsi="宋体" w:cs="宋体"/>
          <w:b/>
          <w:bCs/>
          <w:sz w:val="24"/>
          <w:szCs w:val="24"/>
        </w:rPr>
        <w:t>八、重大资产和股权出售</w:t>
      </w:r>
      <w:bookmarkEnd w:id="47"/>
    </w:p>
    <w:p w14:paraId="727D0A58" w14:textId="77777777" w:rsidR="00113A51" w:rsidRDefault="00766EC7">
      <w:pPr>
        <w:pStyle w:val="3"/>
        <w:spacing w:line="280" w:lineRule="exact"/>
        <w:jc w:val="left"/>
        <w:rPr>
          <w:rFonts w:ascii="宋体" w:hAnsi="宋体" w:cs="宋体"/>
          <w:b/>
          <w:bCs/>
        </w:rPr>
      </w:pPr>
      <w:bookmarkStart w:id="48" w:name="_Toc988932"/>
      <w:r>
        <w:rPr>
          <w:rFonts w:ascii="宋体" w:hAnsi="宋体" w:cs="宋体"/>
          <w:b/>
          <w:bCs/>
        </w:rPr>
        <w:t>1、出售重大资产情况</w:t>
      </w:r>
      <w:bookmarkEnd w:id="48"/>
    </w:p>
    <w:p w14:paraId="15296E85"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B9B41AE"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公司报告期未出售重大资产。</w:t>
      </w:r>
    </w:p>
    <w:p w14:paraId="25DDA681" w14:textId="77777777" w:rsidR="00113A51" w:rsidRDefault="00766EC7">
      <w:pPr>
        <w:pStyle w:val="3"/>
        <w:spacing w:line="280" w:lineRule="exact"/>
        <w:jc w:val="left"/>
        <w:rPr>
          <w:rFonts w:ascii="宋体" w:hAnsi="宋体" w:cs="宋体"/>
          <w:b/>
          <w:bCs/>
        </w:rPr>
      </w:pPr>
      <w:bookmarkStart w:id="49" w:name="_Toc988933"/>
      <w:r>
        <w:rPr>
          <w:rFonts w:ascii="宋体" w:hAnsi="宋体" w:cs="宋体"/>
          <w:b/>
          <w:bCs/>
        </w:rPr>
        <w:t>2、出售重大股权情况</w:t>
      </w:r>
      <w:bookmarkEnd w:id="49"/>
    </w:p>
    <w:p w14:paraId="4C8567B2"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2C91DC5" w14:textId="77777777" w:rsidR="00113A51" w:rsidRDefault="00766EC7">
      <w:pPr>
        <w:pStyle w:val="2"/>
        <w:spacing w:before="300" w:after="300" w:line="320" w:lineRule="exact"/>
        <w:rPr>
          <w:rFonts w:ascii="宋体" w:eastAsia="宋体" w:hAnsi="宋体" w:cs="宋体"/>
          <w:b/>
          <w:bCs/>
          <w:sz w:val="24"/>
          <w:szCs w:val="24"/>
        </w:rPr>
      </w:pPr>
      <w:bookmarkStart w:id="50" w:name="_Toc988934"/>
      <w:r>
        <w:rPr>
          <w:rFonts w:ascii="宋体" w:eastAsia="宋体" w:hAnsi="宋体" w:cs="宋体"/>
          <w:b/>
          <w:bCs/>
          <w:sz w:val="24"/>
          <w:szCs w:val="24"/>
        </w:rPr>
        <w:t>九、主要控股参股公司分析</w:t>
      </w:r>
      <w:bookmarkEnd w:id="50"/>
    </w:p>
    <w:p w14:paraId="7E2273A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190EA6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主要子公司及对公司净利润影响达10%以上的参股公司情况</w:t>
      </w:r>
    </w:p>
    <w:p w14:paraId="0453F342"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37"/>
        <w:gridCol w:w="964"/>
        <w:gridCol w:w="1020"/>
        <w:gridCol w:w="1134"/>
        <w:gridCol w:w="1077"/>
        <w:gridCol w:w="1134"/>
        <w:gridCol w:w="1134"/>
        <w:gridCol w:w="1134"/>
      </w:tblGrid>
      <w:tr w:rsidR="00113A51" w14:paraId="22EC3C33" w14:textId="77777777" w:rsidTr="0001460F">
        <w:trPr>
          <w:trHeight w:val="240"/>
        </w:trPr>
        <w:tc>
          <w:tcPr>
            <w:tcW w:w="1247" w:type="dxa"/>
            <w:shd w:val="clear" w:color="auto" w:fill="D3D3D3"/>
            <w:vAlign w:val="center"/>
          </w:tcPr>
          <w:p w14:paraId="3AEA637F"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公司名称</w:t>
            </w:r>
          </w:p>
        </w:tc>
        <w:tc>
          <w:tcPr>
            <w:tcW w:w="737" w:type="dxa"/>
            <w:shd w:val="clear" w:color="auto" w:fill="D3D3D3"/>
            <w:vAlign w:val="center"/>
          </w:tcPr>
          <w:p w14:paraId="3FE0D1F6"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公司类型</w:t>
            </w:r>
          </w:p>
        </w:tc>
        <w:tc>
          <w:tcPr>
            <w:tcW w:w="964" w:type="dxa"/>
            <w:shd w:val="clear" w:color="auto" w:fill="D3D3D3"/>
            <w:vAlign w:val="center"/>
          </w:tcPr>
          <w:p w14:paraId="712F3779"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主要业务</w:t>
            </w:r>
          </w:p>
        </w:tc>
        <w:tc>
          <w:tcPr>
            <w:tcW w:w="1020" w:type="dxa"/>
            <w:shd w:val="clear" w:color="auto" w:fill="D3D3D3"/>
            <w:vAlign w:val="center"/>
          </w:tcPr>
          <w:p w14:paraId="562A3B5A"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注册资本</w:t>
            </w:r>
          </w:p>
        </w:tc>
        <w:tc>
          <w:tcPr>
            <w:tcW w:w="1134" w:type="dxa"/>
            <w:shd w:val="clear" w:color="auto" w:fill="D3D3D3"/>
            <w:vAlign w:val="center"/>
          </w:tcPr>
          <w:p w14:paraId="55ED7643"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总资产</w:t>
            </w:r>
          </w:p>
        </w:tc>
        <w:tc>
          <w:tcPr>
            <w:tcW w:w="1077" w:type="dxa"/>
            <w:shd w:val="clear" w:color="auto" w:fill="D3D3D3"/>
            <w:vAlign w:val="center"/>
          </w:tcPr>
          <w:p w14:paraId="4615BE01"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净资产</w:t>
            </w:r>
          </w:p>
        </w:tc>
        <w:tc>
          <w:tcPr>
            <w:tcW w:w="1134" w:type="dxa"/>
            <w:shd w:val="clear" w:color="auto" w:fill="D3D3D3"/>
            <w:vAlign w:val="center"/>
          </w:tcPr>
          <w:p w14:paraId="2AC657C2"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营业收入</w:t>
            </w:r>
          </w:p>
        </w:tc>
        <w:tc>
          <w:tcPr>
            <w:tcW w:w="1134" w:type="dxa"/>
            <w:shd w:val="clear" w:color="auto" w:fill="D3D3D3"/>
            <w:vAlign w:val="center"/>
          </w:tcPr>
          <w:p w14:paraId="70F0C623"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营业利润</w:t>
            </w:r>
          </w:p>
        </w:tc>
        <w:tc>
          <w:tcPr>
            <w:tcW w:w="1134" w:type="dxa"/>
            <w:shd w:val="clear" w:color="auto" w:fill="D3D3D3"/>
            <w:vAlign w:val="center"/>
          </w:tcPr>
          <w:p w14:paraId="44562318" w14:textId="77777777" w:rsidR="00113A51" w:rsidRDefault="00766EC7">
            <w:pPr>
              <w:spacing w:before="40" w:after="40" w:line="360" w:lineRule="auto"/>
              <w:jc w:val="center"/>
              <w:rPr>
                <w:rFonts w:ascii="Times New Roman" w:eastAsia="宋体" w:hAnsi="Times New Roman" w:cs="宋体"/>
                <w:sz w:val="13"/>
                <w:szCs w:val="13"/>
              </w:rPr>
            </w:pPr>
            <w:r>
              <w:rPr>
                <w:rFonts w:ascii="Times New Roman" w:eastAsia="宋体" w:hAnsi="Times New Roman" w:cs="宋体"/>
                <w:sz w:val="13"/>
                <w:szCs w:val="13"/>
              </w:rPr>
              <w:t>净利润</w:t>
            </w:r>
          </w:p>
        </w:tc>
      </w:tr>
      <w:tr w:rsidR="00113A51" w14:paraId="3619E0B1" w14:textId="77777777" w:rsidTr="0001460F">
        <w:trPr>
          <w:trHeight w:val="240"/>
        </w:trPr>
        <w:tc>
          <w:tcPr>
            <w:tcW w:w="1247" w:type="dxa"/>
            <w:vAlign w:val="center"/>
          </w:tcPr>
          <w:p w14:paraId="3B3CDB79"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长沙心诺健康产业投资有限公司</w:t>
            </w:r>
          </w:p>
        </w:tc>
        <w:tc>
          <w:tcPr>
            <w:tcW w:w="737" w:type="dxa"/>
            <w:vAlign w:val="center"/>
          </w:tcPr>
          <w:p w14:paraId="3F49C465"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子公司</w:t>
            </w:r>
          </w:p>
        </w:tc>
        <w:tc>
          <w:tcPr>
            <w:tcW w:w="964" w:type="dxa"/>
            <w:vAlign w:val="center"/>
          </w:tcPr>
          <w:p w14:paraId="6FC44073"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医疗与健康产业投资</w:t>
            </w:r>
          </w:p>
        </w:tc>
        <w:tc>
          <w:tcPr>
            <w:tcW w:w="1020" w:type="dxa"/>
            <w:vAlign w:val="center"/>
          </w:tcPr>
          <w:p w14:paraId="66B87919" w14:textId="77777777" w:rsidR="00113A51" w:rsidRDefault="00766EC7">
            <w:pPr>
              <w:spacing w:line="360" w:lineRule="auto"/>
              <w:rPr>
                <w:rFonts w:ascii="Times New Roman" w:eastAsia="宋体" w:hAnsi="Times New Roman" w:cs="宋体"/>
                <w:sz w:val="13"/>
                <w:szCs w:val="13"/>
              </w:rPr>
            </w:pPr>
            <w:r>
              <w:rPr>
                <w:rFonts w:ascii="Times New Roman" w:eastAsia="宋体" w:hAnsi="Times New Roman" w:cs="宋体"/>
                <w:sz w:val="13"/>
                <w:szCs w:val="13"/>
              </w:rPr>
              <w:t>133906667.00</w:t>
            </w:r>
          </w:p>
        </w:tc>
        <w:tc>
          <w:tcPr>
            <w:tcW w:w="1134" w:type="dxa"/>
            <w:vAlign w:val="center"/>
          </w:tcPr>
          <w:p w14:paraId="64D20E3F"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1,868,317,171.49</w:t>
            </w:r>
          </w:p>
        </w:tc>
        <w:tc>
          <w:tcPr>
            <w:tcW w:w="1077" w:type="dxa"/>
            <w:vAlign w:val="center"/>
          </w:tcPr>
          <w:p w14:paraId="3FE52087"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690,276,043.23</w:t>
            </w:r>
          </w:p>
        </w:tc>
        <w:tc>
          <w:tcPr>
            <w:tcW w:w="1134" w:type="dxa"/>
            <w:vAlign w:val="center"/>
          </w:tcPr>
          <w:p w14:paraId="1BAC2506"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1,215,052,427.26</w:t>
            </w:r>
          </w:p>
        </w:tc>
        <w:tc>
          <w:tcPr>
            <w:tcW w:w="1134" w:type="dxa"/>
            <w:vAlign w:val="center"/>
          </w:tcPr>
          <w:p w14:paraId="712876C3" w14:textId="22E77C61" w:rsidR="00113A51" w:rsidRDefault="00A13D38">
            <w:pPr>
              <w:spacing w:line="360" w:lineRule="auto"/>
              <w:jc w:val="right"/>
              <w:rPr>
                <w:rFonts w:ascii="Times New Roman" w:eastAsia="宋体" w:hAnsi="Times New Roman" w:cs="宋体"/>
                <w:sz w:val="13"/>
                <w:szCs w:val="13"/>
              </w:rPr>
            </w:pPr>
            <w:r w:rsidRPr="00A13D38">
              <w:rPr>
                <w:rFonts w:ascii="Times New Roman" w:eastAsia="宋体" w:hAnsi="Times New Roman" w:cs="宋体"/>
                <w:sz w:val="13"/>
                <w:szCs w:val="13"/>
              </w:rPr>
              <w:t>-151,247,347.11</w:t>
            </w:r>
          </w:p>
        </w:tc>
        <w:tc>
          <w:tcPr>
            <w:tcW w:w="1134" w:type="dxa"/>
            <w:vAlign w:val="center"/>
          </w:tcPr>
          <w:p w14:paraId="5728E9B2" w14:textId="77777777" w:rsidR="00113A51" w:rsidRDefault="00766EC7">
            <w:pPr>
              <w:spacing w:line="360" w:lineRule="auto"/>
              <w:jc w:val="right"/>
              <w:rPr>
                <w:rFonts w:ascii="Times New Roman" w:eastAsia="宋体" w:hAnsi="Times New Roman" w:cs="宋体"/>
                <w:sz w:val="13"/>
                <w:szCs w:val="13"/>
              </w:rPr>
            </w:pPr>
            <w:r>
              <w:rPr>
                <w:rFonts w:ascii="Times New Roman" w:eastAsia="宋体" w:hAnsi="Times New Roman" w:cs="宋体"/>
                <w:sz w:val="13"/>
                <w:szCs w:val="13"/>
              </w:rPr>
              <w:t>-149,591,437.19</w:t>
            </w:r>
          </w:p>
        </w:tc>
      </w:tr>
    </w:tbl>
    <w:p w14:paraId="59AEDDEF"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报告期内取得和处置子公司的情况</w:t>
      </w:r>
    </w:p>
    <w:p w14:paraId="44590A11"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412" w:type="dxa"/>
        <w:tblInd w:w="108" w:type="dxa"/>
        <w:tblLayout w:type="fixed"/>
        <w:tblCellMar>
          <w:left w:w="28" w:type="dxa"/>
          <w:right w:w="28" w:type="dxa"/>
        </w:tblCellMar>
        <w:tblLook w:val="04A0" w:firstRow="1" w:lastRow="0" w:firstColumn="1" w:lastColumn="0" w:noHBand="0" w:noVBand="1"/>
      </w:tblPr>
      <w:tblGrid>
        <w:gridCol w:w="4111"/>
        <w:gridCol w:w="2835"/>
        <w:gridCol w:w="2466"/>
      </w:tblGrid>
      <w:tr w:rsidR="00C57E60" w14:paraId="2466FA6F"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5C4D532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公司名称</w:t>
            </w:r>
          </w:p>
        </w:tc>
        <w:tc>
          <w:tcPr>
            <w:tcW w:w="2835" w:type="dxa"/>
            <w:tcBorders>
              <w:top w:val="single" w:sz="2" w:space="0" w:color="auto"/>
              <w:left w:val="single" w:sz="2" w:space="0" w:color="auto"/>
              <w:bottom w:val="single" w:sz="2" w:space="0" w:color="auto"/>
              <w:right w:val="single" w:sz="2" w:space="0" w:color="auto"/>
            </w:tcBorders>
            <w:shd w:val="clear" w:color="auto" w:fill="D3D3D3"/>
            <w:vAlign w:val="center"/>
          </w:tcPr>
          <w:p w14:paraId="3F6D28E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报告期内取得和处置子公司方式</w:t>
            </w:r>
          </w:p>
        </w:tc>
        <w:tc>
          <w:tcPr>
            <w:tcW w:w="2466" w:type="dxa"/>
            <w:tcBorders>
              <w:top w:val="single" w:sz="2" w:space="0" w:color="auto"/>
              <w:left w:val="single" w:sz="2" w:space="0" w:color="auto"/>
              <w:bottom w:val="single" w:sz="2" w:space="0" w:color="auto"/>
              <w:right w:val="single" w:sz="2" w:space="0" w:color="auto"/>
            </w:tcBorders>
            <w:shd w:val="clear" w:color="auto" w:fill="D3D3D3"/>
            <w:vAlign w:val="center"/>
          </w:tcPr>
          <w:p w14:paraId="7B04811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对整体生产经营和业绩的影响</w:t>
            </w:r>
          </w:p>
        </w:tc>
      </w:tr>
      <w:tr w:rsidR="00C57E60" w14:paraId="756700E5"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7558ABF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Sinocare MeditechNetherlands B.V.</w:t>
            </w:r>
          </w:p>
        </w:tc>
        <w:tc>
          <w:tcPr>
            <w:tcW w:w="2835" w:type="dxa"/>
            <w:tcBorders>
              <w:top w:val="single" w:sz="2" w:space="0" w:color="auto"/>
              <w:left w:val="single" w:sz="2" w:space="0" w:color="auto"/>
              <w:bottom w:val="single" w:sz="2" w:space="0" w:color="auto"/>
              <w:right w:val="single" w:sz="2" w:space="0" w:color="auto"/>
            </w:tcBorders>
            <w:vAlign w:val="center"/>
          </w:tcPr>
          <w:p w14:paraId="0A7E8B4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设立</w:t>
            </w:r>
          </w:p>
        </w:tc>
        <w:tc>
          <w:tcPr>
            <w:tcW w:w="2466" w:type="dxa"/>
            <w:tcBorders>
              <w:top w:val="single" w:sz="2" w:space="0" w:color="auto"/>
              <w:left w:val="single" w:sz="2" w:space="0" w:color="auto"/>
              <w:bottom w:val="single" w:sz="2" w:space="0" w:color="auto"/>
              <w:right w:val="single" w:sz="2" w:space="0" w:color="auto"/>
            </w:tcBorders>
            <w:vAlign w:val="center"/>
          </w:tcPr>
          <w:p w14:paraId="20FC2DD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37D5BC99"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4EC8D6E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SINOCARE MALAYSIA SDN. BHD.</w:t>
            </w:r>
          </w:p>
        </w:tc>
        <w:tc>
          <w:tcPr>
            <w:tcW w:w="2835" w:type="dxa"/>
            <w:tcBorders>
              <w:top w:val="single" w:sz="2" w:space="0" w:color="auto"/>
              <w:left w:val="single" w:sz="2" w:space="0" w:color="auto"/>
              <w:bottom w:val="single" w:sz="2" w:space="0" w:color="auto"/>
              <w:right w:val="single" w:sz="2" w:space="0" w:color="auto"/>
            </w:tcBorders>
            <w:vAlign w:val="center"/>
          </w:tcPr>
          <w:p w14:paraId="4108927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设立</w:t>
            </w:r>
          </w:p>
        </w:tc>
        <w:tc>
          <w:tcPr>
            <w:tcW w:w="2466" w:type="dxa"/>
            <w:tcBorders>
              <w:top w:val="single" w:sz="2" w:space="0" w:color="auto"/>
              <w:left w:val="single" w:sz="2" w:space="0" w:color="auto"/>
              <w:bottom w:val="single" w:sz="2" w:space="0" w:color="auto"/>
              <w:right w:val="single" w:sz="2" w:space="0" w:color="auto"/>
            </w:tcBorders>
            <w:vAlign w:val="center"/>
          </w:tcPr>
          <w:p w14:paraId="0BC1350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2BB359E2"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5C75DAF2" w14:textId="74F40601" w:rsidR="00113A51" w:rsidRDefault="0052230E">
            <w:pPr>
              <w:spacing w:line="360" w:lineRule="auto"/>
              <w:rPr>
                <w:rFonts w:ascii="Times New Roman" w:eastAsia="宋体" w:hAnsi="Times New Roman" w:cs="宋体"/>
                <w:sz w:val="18"/>
                <w:szCs w:val="18"/>
              </w:rPr>
            </w:pPr>
            <w:r w:rsidRPr="0052230E">
              <w:rPr>
                <w:rFonts w:ascii="Times New Roman" w:eastAsia="宋体" w:hAnsi="Times New Roman" w:cs="宋体"/>
                <w:sz w:val="18"/>
                <w:szCs w:val="18"/>
              </w:rPr>
              <w:t>SINOCARE MEDITECH SINGAPORE PTE. LTD.</w:t>
            </w:r>
          </w:p>
        </w:tc>
        <w:tc>
          <w:tcPr>
            <w:tcW w:w="2835" w:type="dxa"/>
            <w:tcBorders>
              <w:top w:val="single" w:sz="2" w:space="0" w:color="auto"/>
              <w:left w:val="single" w:sz="2" w:space="0" w:color="auto"/>
              <w:bottom w:val="single" w:sz="2" w:space="0" w:color="auto"/>
              <w:right w:val="single" w:sz="2" w:space="0" w:color="auto"/>
            </w:tcBorders>
            <w:vAlign w:val="center"/>
          </w:tcPr>
          <w:p w14:paraId="14EEF1D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设立</w:t>
            </w:r>
          </w:p>
        </w:tc>
        <w:tc>
          <w:tcPr>
            <w:tcW w:w="2466" w:type="dxa"/>
            <w:tcBorders>
              <w:top w:val="single" w:sz="2" w:space="0" w:color="auto"/>
              <w:left w:val="single" w:sz="2" w:space="0" w:color="auto"/>
              <w:bottom w:val="single" w:sz="2" w:space="0" w:color="auto"/>
              <w:right w:val="single" w:sz="2" w:space="0" w:color="auto"/>
            </w:tcBorders>
            <w:vAlign w:val="center"/>
          </w:tcPr>
          <w:p w14:paraId="2FBFCA0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09637087"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32AFFEB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上海绮风电子商务有限公司</w:t>
            </w:r>
          </w:p>
        </w:tc>
        <w:tc>
          <w:tcPr>
            <w:tcW w:w="2835" w:type="dxa"/>
            <w:tcBorders>
              <w:top w:val="single" w:sz="2" w:space="0" w:color="auto"/>
              <w:left w:val="single" w:sz="2" w:space="0" w:color="auto"/>
              <w:bottom w:val="single" w:sz="2" w:space="0" w:color="auto"/>
              <w:right w:val="single" w:sz="2" w:space="0" w:color="auto"/>
            </w:tcBorders>
            <w:vAlign w:val="center"/>
          </w:tcPr>
          <w:p w14:paraId="16B6845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设立</w:t>
            </w:r>
          </w:p>
        </w:tc>
        <w:tc>
          <w:tcPr>
            <w:tcW w:w="2466" w:type="dxa"/>
            <w:tcBorders>
              <w:top w:val="single" w:sz="2" w:space="0" w:color="auto"/>
              <w:left w:val="single" w:sz="2" w:space="0" w:color="auto"/>
              <w:bottom w:val="single" w:sz="2" w:space="0" w:color="auto"/>
              <w:right w:val="single" w:sz="2" w:space="0" w:color="auto"/>
            </w:tcBorders>
            <w:vAlign w:val="center"/>
          </w:tcPr>
          <w:p w14:paraId="26D82A0C"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346FEBFF"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18FFB8E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长沙甜蜜医联网络科技有限公司</w:t>
            </w:r>
          </w:p>
        </w:tc>
        <w:tc>
          <w:tcPr>
            <w:tcW w:w="2835" w:type="dxa"/>
            <w:tcBorders>
              <w:top w:val="single" w:sz="2" w:space="0" w:color="auto"/>
              <w:left w:val="single" w:sz="2" w:space="0" w:color="auto"/>
              <w:bottom w:val="single" w:sz="2" w:space="0" w:color="auto"/>
              <w:right w:val="single" w:sz="2" w:space="0" w:color="auto"/>
            </w:tcBorders>
            <w:vAlign w:val="center"/>
          </w:tcPr>
          <w:p w14:paraId="0171694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收购</w:t>
            </w:r>
          </w:p>
        </w:tc>
        <w:tc>
          <w:tcPr>
            <w:tcW w:w="2466" w:type="dxa"/>
            <w:tcBorders>
              <w:top w:val="single" w:sz="2" w:space="0" w:color="auto"/>
              <w:left w:val="single" w:sz="2" w:space="0" w:color="auto"/>
              <w:bottom w:val="single" w:sz="2" w:space="0" w:color="auto"/>
              <w:right w:val="single" w:sz="2" w:space="0" w:color="auto"/>
            </w:tcBorders>
            <w:vAlign w:val="center"/>
          </w:tcPr>
          <w:p w14:paraId="7227C37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2EF234F5"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7FAFF91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三伟达健康管理有限公司</w:t>
            </w:r>
          </w:p>
        </w:tc>
        <w:tc>
          <w:tcPr>
            <w:tcW w:w="2835" w:type="dxa"/>
            <w:tcBorders>
              <w:top w:val="single" w:sz="2" w:space="0" w:color="auto"/>
              <w:left w:val="single" w:sz="2" w:space="0" w:color="auto"/>
              <w:bottom w:val="single" w:sz="2" w:space="0" w:color="auto"/>
              <w:right w:val="single" w:sz="2" w:space="0" w:color="auto"/>
            </w:tcBorders>
            <w:vAlign w:val="center"/>
          </w:tcPr>
          <w:p w14:paraId="726CF8F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注销</w:t>
            </w:r>
          </w:p>
        </w:tc>
        <w:tc>
          <w:tcPr>
            <w:tcW w:w="2466" w:type="dxa"/>
            <w:tcBorders>
              <w:top w:val="single" w:sz="2" w:space="0" w:color="auto"/>
              <w:left w:val="single" w:sz="2" w:space="0" w:color="auto"/>
              <w:bottom w:val="single" w:sz="2" w:space="0" w:color="auto"/>
              <w:right w:val="single" w:sz="2" w:space="0" w:color="auto"/>
            </w:tcBorders>
            <w:vAlign w:val="center"/>
          </w:tcPr>
          <w:p w14:paraId="68D60DF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4B68EA54"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3180AA0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三诺健康（香港）有限公司</w:t>
            </w:r>
          </w:p>
        </w:tc>
        <w:tc>
          <w:tcPr>
            <w:tcW w:w="2835" w:type="dxa"/>
            <w:tcBorders>
              <w:top w:val="single" w:sz="2" w:space="0" w:color="auto"/>
              <w:left w:val="single" w:sz="2" w:space="0" w:color="auto"/>
              <w:bottom w:val="single" w:sz="2" w:space="0" w:color="auto"/>
              <w:right w:val="single" w:sz="2" w:space="0" w:color="auto"/>
            </w:tcBorders>
            <w:vAlign w:val="center"/>
          </w:tcPr>
          <w:p w14:paraId="00BA9DD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注销</w:t>
            </w:r>
          </w:p>
        </w:tc>
        <w:tc>
          <w:tcPr>
            <w:tcW w:w="2466" w:type="dxa"/>
            <w:tcBorders>
              <w:top w:val="single" w:sz="2" w:space="0" w:color="auto"/>
              <w:left w:val="single" w:sz="2" w:space="0" w:color="auto"/>
              <w:bottom w:val="single" w:sz="2" w:space="0" w:color="auto"/>
              <w:right w:val="single" w:sz="2" w:space="0" w:color="auto"/>
            </w:tcBorders>
            <w:vAlign w:val="center"/>
          </w:tcPr>
          <w:p w14:paraId="27F55820"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C57E60" w14:paraId="7A16FEDB"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736901C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Sinocare Medical (Singapore) Pte.Ltd</w:t>
            </w:r>
          </w:p>
        </w:tc>
        <w:tc>
          <w:tcPr>
            <w:tcW w:w="2835" w:type="dxa"/>
            <w:tcBorders>
              <w:top w:val="single" w:sz="2" w:space="0" w:color="auto"/>
              <w:left w:val="single" w:sz="2" w:space="0" w:color="auto"/>
              <w:bottom w:val="single" w:sz="2" w:space="0" w:color="auto"/>
              <w:right w:val="single" w:sz="2" w:space="0" w:color="auto"/>
            </w:tcBorders>
            <w:vAlign w:val="center"/>
          </w:tcPr>
          <w:p w14:paraId="0C7FE5F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注销</w:t>
            </w:r>
          </w:p>
        </w:tc>
        <w:tc>
          <w:tcPr>
            <w:tcW w:w="2466" w:type="dxa"/>
            <w:tcBorders>
              <w:top w:val="single" w:sz="2" w:space="0" w:color="auto"/>
              <w:left w:val="single" w:sz="2" w:space="0" w:color="auto"/>
              <w:bottom w:val="single" w:sz="2" w:space="0" w:color="auto"/>
              <w:right w:val="single" w:sz="2" w:space="0" w:color="auto"/>
            </w:tcBorders>
            <w:vAlign w:val="center"/>
          </w:tcPr>
          <w:p w14:paraId="092D745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无重大影响</w:t>
            </w:r>
          </w:p>
        </w:tc>
      </w:tr>
      <w:tr w:rsidR="00BF5A41" w14:paraId="14959AA9" w14:textId="77777777" w:rsidTr="0052230E">
        <w:trPr>
          <w:trHeight w:val="240"/>
        </w:trPr>
        <w:tc>
          <w:tcPr>
            <w:tcW w:w="4111" w:type="dxa"/>
            <w:tcBorders>
              <w:top w:val="single" w:sz="2" w:space="0" w:color="auto"/>
              <w:left w:val="single" w:sz="2" w:space="0" w:color="auto"/>
              <w:bottom w:val="single" w:sz="2" w:space="0" w:color="auto"/>
              <w:right w:val="single" w:sz="2" w:space="0" w:color="auto"/>
            </w:tcBorders>
            <w:vAlign w:val="center"/>
          </w:tcPr>
          <w:p w14:paraId="22CAF915" w14:textId="5EC2E176" w:rsidR="00BF5A41" w:rsidRDefault="00BF5A41">
            <w:pPr>
              <w:spacing w:line="360" w:lineRule="auto"/>
              <w:rPr>
                <w:rFonts w:ascii="Times New Roman" w:eastAsia="宋体" w:hAnsi="Times New Roman" w:cs="宋体"/>
                <w:sz w:val="18"/>
                <w:szCs w:val="18"/>
              </w:rPr>
            </w:pPr>
            <w:r w:rsidRPr="00BF5A41">
              <w:rPr>
                <w:rFonts w:ascii="Times New Roman" w:eastAsia="宋体" w:hAnsi="Times New Roman" w:cs="宋体"/>
                <w:sz w:val="18"/>
                <w:szCs w:val="18"/>
              </w:rPr>
              <w:t>Trividia Health Australia Pty Ltd.</w:t>
            </w:r>
          </w:p>
        </w:tc>
        <w:tc>
          <w:tcPr>
            <w:tcW w:w="2835" w:type="dxa"/>
            <w:tcBorders>
              <w:top w:val="single" w:sz="2" w:space="0" w:color="auto"/>
              <w:left w:val="single" w:sz="2" w:space="0" w:color="auto"/>
              <w:bottom w:val="single" w:sz="2" w:space="0" w:color="auto"/>
              <w:right w:val="single" w:sz="2" w:space="0" w:color="auto"/>
            </w:tcBorders>
            <w:vAlign w:val="center"/>
          </w:tcPr>
          <w:p w14:paraId="5FC25D77" w14:textId="26C4880D" w:rsidR="00BF5A41" w:rsidRDefault="00BF5A41">
            <w:pPr>
              <w:spacing w:line="360" w:lineRule="auto"/>
              <w:jc w:val="center"/>
              <w:rPr>
                <w:rFonts w:ascii="Times New Roman" w:eastAsia="宋体" w:hAnsi="Times New Roman" w:cs="宋体"/>
                <w:sz w:val="18"/>
                <w:szCs w:val="18"/>
              </w:rPr>
            </w:pPr>
            <w:r w:rsidRPr="00BF5A41">
              <w:rPr>
                <w:rFonts w:ascii="Times New Roman" w:eastAsia="宋体" w:hAnsi="Times New Roman" w:cs="宋体" w:hint="eastAsia"/>
                <w:sz w:val="18"/>
                <w:szCs w:val="18"/>
              </w:rPr>
              <w:t>注销</w:t>
            </w:r>
          </w:p>
        </w:tc>
        <w:tc>
          <w:tcPr>
            <w:tcW w:w="2466" w:type="dxa"/>
            <w:tcBorders>
              <w:top w:val="single" w:sz="2" w:space="0" w:color="auto"/>
              <w:left w:val="single" w:sz="2" w:space="0" w:color="auto"/>
              <w:bottom w:val="single" w:sz="2" w:space="0" w:color="auto"/>
              <w:right w:val="single" w:sz="2" w:space="0" w:color="auto"/>
            </w:tcBorders>
            <w:vAlign w:val="center"/>
          </w:tcPr>
          <w:p w14:paraId="3E8878F8" w14:textId="0C53A782" w:rsidR="00BF5A41" w:rsidRDefault="00BF5A41">
            <w:pPr>
              <w:spacing w:line="360" w:lineRule="auto"/>
              <w:jc w:val="center"/>
              <w:rPr>
                <w:rFonts w:ascii="Times New Roman" w:eastAsia="宋体" w:hAnsi="Times New Roman" w:cs="宋体"/>
                <w:sz w:val="18"/>
                <w:szCs w:val="18"/>
              </w:rPr>
            </w:pPr>
            <w:r w:rsidRPr="00BF5A41">
              <w:rPr>
                <w:rFonts w:ascii="Times New Roman" w:eastAsia="宋体" w:hAnsi="Times New Roman" w:cs="宋体" w:hint="eastAsia"/>
                <w:sz w:val="18"/>
                <w:szCs w:val="18"/>
              </w:rPr>
              <w:t>无重大影响</w:t>
            </w:r>
          </w:p>
        </w:tc>
      </w:tr>
    </w:tbl>
    <w:p w14:paraId="5C2FF76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主要控股参股公司情况说明</w:t>
      </w:r>
    </w:p>
    <w:p w14:paraId="477838C9" w14:textId="561B2E48" w:rsidR="00113A51" w:rsidRDefault="00766EC7" w:rsidP="00C707CF">
      <w:pPr>
        <w:pStyle w:val="a9"/>
        <w:spacing w:before="0" w:beforeAutospacing="0" w:after="0" w:afterAutospacing="0" w:line="360" w:lineRule="auto"/>
        <w:ind w:firstLineChars="200" w:firstLine="420"/>
        <w:jc w:val="both"/>
        <w:rPr>
          <w:rFonts w:ascii="Times New Roman" w:hAnsi="Times New Roman"/>
          <w:sz w:val="21"/>
          <w:szCs w:val="18"/>
        </w:rPr>
      </w:pPr>
      <w:r>
        <w:rPr>
          <w:rFonts w:ascii="Times New Roman" w:hAnsi="Times New Roman" w:hint="eastAsia"/>
          <w:sz w:val="21"/>
          <w:szCs w:val="18"/>
        </w:rPr>
        <w:t>报告期内，公司控股子公司心诺健康实现营业收入</w:t>
      </w:r>
      <w:r>
        <w:rPr>
          <w:rFonts w:ascii="Times New Roman" w:hAnsi="Times New Roman" w:hint="eastAsia"/>
          <w:sz w:val="21"/>
          <w:szCs w:val="18"/>
        </w:rPr>
        <w:t>121,505.24</w:t>
      </w:r>
      <w:r>
        <w:rPr>
          <w:rFonts w:ascii="Times New Roman" w:hAnsi="Times New Roman" w:hint="eastAsia"/>
          <w:sz w:val="21"/>
          <w:szCs w:val="18"/>
        </w:rPr>
        <w:t>万元，对公司净利润影响为</w:t>
      </w:r>
      <w:r>
        <w:rPr>
          <w:rFonts w:ascii="Times New Roman" w:hAnsi="Times New Roman" w:hint="eastAsia"/>
          <w:sz w:val="21"/>
          <w:szCs w:val="18"/>
        </w:rPr>
        <w:t>-</w:t>
      </w:r>
      <w:r w:rsidR="00BF5A41" w:rsidRPr="00BF5A41">
        <w:rPr>
          <w:rFonts w:ascii="Times New Roman" w:hAnsi="Times New Roman"/>
          <w:sz w:val="21"/>
          <w:szCs w:val="18"/>
        </w:rPr>
        <w:t>14,959.14</w:t>
      </w:r>
      <w:r>
        <w:rPr>
          <w:rFonts w:ascii="Times New Roman" w:hAnsi="Times New Roman" w:hint="eastAsia"/>
          <w:sz w:val="21"/>
          <w:szCs w:val="18"/>
        </w:rPr>
        <w:t>万元，主要受</w:t>
      </w:r>
      <w:r w:rsidR="00DD1F52" w:rsidRPr="00DD1F52">
        <w:rPr>
          <w:rFonts w:ascii="Times New Roman" w:hAnsi="Times New Roman" w:hint="eastAsia"/>
          <w:sz w:val="21"/>
          <w:szCs w:val="18"/>
        </w:rPr>
        <w:t>子公司</w:t>
      </w:r>
      <w:r w:rsidR="00DD1F52" w:rsidRPr="00DD1F52">
        <w:rPr>
          <w:rFonts w:ascii="Times New Roman" w:hAnsi="Times New Roman"/>
          <w:sz w:val="21"/>
          <w:szCs w:val="18"/>
        </w:rPr>
        <w:t xml:space="preserve"> Trividia Health Inc.</w:t>
      </w:r>
      <w:r w:rsidR="009431B0">
        <w:rPr>
          <w:rFonts w:ascii="Times New Roman" w:hAnsi="Times New Roman"/>
          <w:sz w:val="21"/>
          <w:szCs w:val="18"/>
        </w:rPr>
        <w:t>与罗氏</w:t>
      </w:r>
      <w:r w:rsidR="009431B0">
        <w:rPr>
          <w:rFonts w:ascii="Times New Roman" w:hAnsi="Times New Roman" w:hint="eastAsia"/>
          <w:sz w:val="21"/>
          <w:szCs w:val="18"/>
        </w:rPr>
        <w:t>达成</w:t>
      </w:r>
      <w:r w:rsidR="009431B0">
        <w:rPr>
          <w:rFonts w:ascii="Times New Roman" w:hAnsi="Times New Roman"/>
          <w:sz w:val="21"/>
          <w:szCs w:val="18"/>
        </w:rPr>
        <w:t>交叉专利许可</w:t>
      </w:r>
      <w:r>
        <w:rPr>
          <w:rFonts w:ascii="Times New Roman" w:hAnsi="Times New Roman" w:hint="eastAsia"/>
          <w:sz w:val="21"/>
          <w:szCs w:val="18"/>
        </w:rPr>
        <w:t>及产品召回影响。</w:t>
      </w:r>
    </w:p>
    <w:p w14:paraId="22782876" w14:textId="77777777" w:rsidR="00113A51" w:rsidRDefault="00766EC7">
      <w:pPr>
        <w:pStyle w:val="2"/>
        <w:spacing w:before="300" w:after="300" w:line="320" w:lineRule="exact"/>
        <w:rPr>
          <w:rFonts w:ascii="宋体" w:eastAsia="宋体" w:hAnsi="宋体" w:cs="宋体"/>
          <w:b/>
          <w:bCs/>
          <w:sz w:val="24"/>
          <w:szCs w:val="24"/>
        </w:rPr>
      </w:pPr>
      <w:bookmarkStart w:id="51" w:name="_Toc988935"/>
      <w:r>
        <w:rPr>
          <w:rFonts w:ascii="宋体" w:eastAsia="宋体" w:hAnsi="宋体" w:cs="宋体"/>
          <w:b/>
          <w:bCs/>
          <w:sz w:val="24"/>
          <w:szCs w:val="24"/>
        </w:rPr>
        <w:t>十、公司控制的结构化主体情况</w:t>
      </w:r>
      <w:bookmarkEnd w:id="51"/>
    </w:p>
    <w:p w14:paraId="3906C3B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0E59FFC" w14:textId="77777777" w:rsidR="00113A51" w:rsidRDefault="00766EC7">
      <w:pPr>
        <w:pStyle w:val="2"/>
        <w:spacing w:before="300" w:after="300" w:line="320" w:lineRule="exact"/>
        <w:rPr>
          <w:rFonts w:ascii="宋体" w:eastAsia="宋体" w:hAnsi="宋体" w:cs="宋体"/>
          <w:b/>
          <w:bCs/>
          <w:sz w:val="24"/>
          <w:szCs w:val="24"/>
        </w:rPr>
      </w:pPr>
      <w:bookmarkStart w:id="52" w:name="_Toc988936"/>
      <w:r>
        <w:rPr>
          <w:rFonts w:ascii="宋体" w:eastAsia="宋体" w:hAnsi="宋体" w:cs="宋体"/>
          <w:b/>
          <w:bCs/>
          <w:sz w:val="24"/>
          <w:szCs w:val="24"/>
        </w:rPr>
        <w:t>十一、公司未来发展的展望</w:t>
      </w:r>
      <w:bookmarkEnd w:id="52"/>
    </w:p>
    <w:p w14:paraId="1E74118A"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（一）公司的发展战略</w:t>
      </w:r>
    </w:p>
    <w:p w14:paraId="594A9A16"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全球老龄化、糖尿病仍然是人类公共卫生中现在和未来相当长时间内的巨大挑战，全球糖尿病管理市场正高速向</w:t>
      </w:r>
      <w:r>
        <w:rPr>
          <w:rFonts w:ascii="Times New Roman" w:hAnsi="Times New Roman" w:cs="Times New Roman"/>
          <w:sz w:val="21"/>
          <w:szCs w:val="21"/>
        </w:rPr>
        <w:t>AI</w:t>
      </w:r>
      <w:r>
        <w:rPr>
          <w:rFonts w:ascii="Times New Roman" w:hAnsi="Times New Roman" w:hint="eastAsia"/>
          <w:sz w:val="21"/>
          <w:szCs w:val="21"/>
        </w:rPr>
        <w:t>驱动、数据互联的新阶段演进，随着“健康中国</w:t>
      </w:r>
      <w:r>
        <w:rPr>
          <w:rFonts w:ascii="Times New Roman" w:hAnsi="Times New Roman" w:cs="Times New Roman"/>
          <w:sz w:val="21"/>
          <w:szCs w:val="21"/>
        </w:rPr>
        <w:t>2030</w:t>
      </w:r>
      <w:r>
        <w:rPr>
          <w:rFonts w:ascii="Times New Roman" w:hAnsi="Times New Roman" w:hint="eastAsia"/>
          <w:sz w:val="21"/>
          <w:szCs w:val="21"/>
        </w:rPr>
        <w:t>”战略深入推进，慢病管理关口前移、分级诊疗落地、</w:t>
      </w:r>
      <w:r>
        <w:rPr>
          <w:rFonts w:ascii="Times New Roman" w:hAnsi="Times New Roman" w:cs="Times New Roman"/>
          <w:sz w:val="21"/>
          <w:szCs w:val="21"/>
        </w:rPr>
        <w:t>AI</w:t>
      </w:r>
      <w:r>
        <w:rPr>
          <w:rFonts w:ascii="Times New Roman" w:hAnsi="Times New Roman" w:hint="eastAsia"/>
          <w:sz w:val="21"/>
          <w:szCs w:val="21"/>
        </w:rPr>
        <w:t>赋能医疗已成为不可逆转的趋势。面对复杂多变的国内外形势，公司不仅要守住传统业务的护城河，更要在数字化和国际化上实现突破。公司将坚持探索“生物传感</w:t>
      </w:r>
      <w:r>
        <w:rPr>
          <w:rFonts w:ascii="Times New Roman" w:hAnsi="Times New Roman" w:hint="eastAsia"/>
          <w:sz w:val="21"/>
          <w:szCs w:val="21"/>
        </w:rPr>
        <w:t>+</w:t>
      </w:r>
      <w:r>
        <w:rPr>
          <w:rFonts w:ascii="Times New Roman" w:hAnsi="Times New Roman" w:cs="Times New Roman"/>
          <w:sz w:val="21"/>
          <w:szCs w:val="21"/>
        </w:rPr>
        <w:t>AI</w:t>
      </w:r>
      <w:r>
        <w:rPr>
          <w:rFonts w:ascii="Times New Roman" w:hAnsi="Times New Roman" w:hint="eastAsia"/>
          <w:sz w:val="21"/>
          <w:szCs w:val="21"/>
        </w:rPr>
        <w:t>+</w:t>
      </w:r>
      <w:r>
        <w:rPr>
          <w:rFonts w:ascii="Times New Roman" w:hAnsi="Times New Roman" w:hint="eastAsia"/>
          <w:sz w:val="21"/>
          <w:szCs w:val="21"/>
        </w:rPr>
        <w:t>医疗”的糖尿病及相关慢病数字管理模式，深化</w:t>
      </w:r>
      <w:r>
        <w:rPr>
          <w:rFonts w:ascii="Times New Roman" w:hAnsi="Times New Roman" w:cs="Times New Roman"/>
          <w:sz w:val="21"/>
          <w:szCs w:val="21"/>
        </w:rPr>
        <w:t>AI</w:t>
      </w:r>
      <w:r>
        <w:rPr>
          <w:rFonts w:ascii="Times New Roman" w:hAnsi="Times New Roman" w:hint="eastAsia"/>
          <w:sz w:val="21"/>
          <w:szCs w:val="21"/>
        </w:rPr>
        <w:t>技术在慢病管理领域的应用，以实现“感知</w:t>
      </w:r>
      <w:r>
        <w:rPr>
          <w:rFonts w:ascii="Times New Roman" w:hAnsi="Times New Roman" w:hint="eastAsia"/>
          <w:sz w:val="21"/>
          <w:szCs w:val="21"/>
        </w:rPr>
        <w:t>+</w:t>
      </w:r>
      <w:r>
        <w:rPr>
          <w:rFonts w:ascii="Times New Roman" w:hAnsi="Times New Roman" w:hint="eastAsia"/>
          <w:sz w:val="21"/>
          <w:szCs w:val="21"/>
        </w:rPr>
        <w:t>评估</w:t>
      </w:r>
      <w:r>
        <w:rPr>
          <w:rFonts w:ascii="Times New Roman" w:hAnsi="Times New Roman" w:hint="eastAsia"/>
          <w:sz w:val="21"/>
          <w:szCs w:val="21"/>
        </w:rPr>
        <w:t>+</w:t>
      </w:r>
      <w:r>
        <w:rPr>
          <w:rFonts w:ascii="Times New Roman" w:hAnsi="Times New Roman" w:hint="eastAsia"/>
          <w:sz w:val="21"/>
          <w:szCs w:val="21"/>
        </w:rPr>
        <w:t>干预”的糖尿病智慧管理闭环</w:t>
      </w:r>
      <w:r>
        <w:rPr>
          <w:rFonts w:ascii="Times New Roman" w:hAnsi="Times New Roman" w:cs="Times New Roman"/>
          <w:sz w:val="21"/>
          <w:szCs w:val="21"/>
        </w:rPr>
        <w:t>​</w:t>
      </w:r>
      <w:r>
        <w:rPr>
          <w:rFonts w:ascii="Times New Roman" w:hAnsi="Times New Roman" w:hint="eastAsia"/>
          <w:sz w:val="21"/>
          <w:szCs w:val="21"/>
        </w:rPr>
        <w:t>，打造可持续发展的慢病管理生态体系。</w:t>
      </w:r>
    </w:p>
    <w:p w14:paraId="0443D172"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回顾过去二十多年发展历程，三诺一直在努力前行的路上。第一个十年，三诺是中国血糖仪的普及推动者，致力于让每一个中国糖尿病人能够愿意买、买得起好的血糖仪；第二个十年，三诺致力于做全球领先的血糖监测专家，通过产品品类扩张、内部创新以及外部并购来实现成长；第三个十年，三诺将协同海外子公司推动糖尿病管理专家的数智化转型，保持第一曲线持续成长的同时，努力培育以</w:t>
      </w:r>
      <w:r>
        <w:rPr>
          <w:rFonts w:ascii="Times New Roman" w:hAnsi="Times New Roman" w:cs="Times New Roman"/>
          <w:sz w:val="21"/>
          <w:szCs w:val="21"/>
        </w:rPr>
        <w:t>CGM</w:t>
      </w:r>
      <w:r>
        <w:rPr>
          <w:rFonts w:ascii="Times New Roman" w:hAnsi="Times New Roman" w:hint="eastAsia"/>
          <w:sz w:val="21"/>
          <w:szCs w:val="21"/>
        </w:rPr>
        <w:t>为基础的第二曲线，并积极探索基于</w:t>
      </w:r>
      <w:r>
        <w:rPr>
          <w:rFonts w:ascii="Times New Roman" w:hAnsi="Times New Roman" w:cs="Times New Roman"/>
          <w:sz w:val="21"/>
          <w:szCs w:val="21"/>
        </w:rPr>
        <w:t>AI</w:t>
      </w:r>
      <w:r>
        <w:rPr>
          <w:rFonts w:ascii="Times New Roman" w:hAnsi="Times New Roman" w:hint="eastAsia"/>
          <w:sz w:val="21"/>
          <w:szCs w:val="21"/>
        </w:rPr>
        <w:t>的各业务场景应用。在这个不确定的时代，三诺将持续坚持长期主义思想，践行“保证业务的真实性和会计的真实性；保证对未来的适当投资，绝不过度投资；严格管理，不断提高运营效率和提升用户体验”三原则，同时结合“</w:t>
      </w:r>
      <w:r>
        <w:rPr>
          <w:rFonts w:ascii="Times New Roman" w:hAnsi="Times New Roman" w:cs="Times New Roman"/>
          <w:sz w:val="21"/>
          <w:szCs w:val="21"/>
        </w:rPr>
        <w:t xml:space="preserve">One Sinocare </w:t>
      </w:r>
      <w:r>
        <w:rPr>
          <w:rFonts w:ascii="Times New Roman" w:hAnsi="Times New Roman" w:hint="eastAsia"/>
          <w:sz w:val="21"/>
          <w:szCs w:val="21"/>
        </w:rPr>
        <w:t>同一个三诺”理念，持续朝着“全球领先的糖尿病数字管理专家”战略愿景前行。</w:t>
      </w:r>
    </w:p>
    <w:p w14:paraId="0E4F7F61"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（二）</w:t>
      </w:r>
      <w:r>
        <w:rPr>
          <w:rStyle w:val="aa"/>
          <w:rFonts w:ascii="Times New Roman" w:hAnsi="Times New Roman" w:cs="Times New Roman"/>
          <w:sz w:val="21"/>
          <w:szCs w:val="21"/>
        </w:rPr>
        <w:t>2026</w:t>
      </w:r>
      <w:r>
        <w:rPr>
          <w:rStyle w:val="aa"/>
          <w:rFonts w:ascii="Times New Roman" w:hAnsi="Times New Roman" w:hint="eastAsia"/>
          <w:sz w:val="21"/>
          <w:szCs w:val="21"/>
        </w:rPr>
        <w:t>年度的经营计划</w:t>
      </w:r>
    </w:p>
    <w:p w14:paraId="4DE5950C"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2026</w:t>
      </w:r>
      <w:r>
        <w:rPr>
          <w:rFonts w:ascii="Times New Roman" w:hAnsi="Times New Roman" w:hint="eastAsia"/>
          <w:sz w:val="21"/>
          <w:szCs w:val="21"/>
        </w:rPr>
        <w:t>年，公司将持续围绕“</w:t>
      </w:r>
      <w:r>
        <w:rPr>
          <w:rFonts w:ascii="Times New Roman" w:hAnsi="Times New Roman" w:cs="Times New Roman"/>
          <w:sz w:val="21"/>
          <w:szCs w:val="21"/>
        </w:rPr>
        <w:t>i</w:t>
      </w:r>
      <w:r>
        <w:rPr>
          <w:rFonts w:ascii="Times New Roman" w:hAnsi="Times New Roman" w:hint="eastAsia"/>
          <w:sz w:val="21"/>
          <w:szCs w:val="21"/>
        </w:rPr>
        <w:t>成长，高效”的主题，秉持“常变长青”的企业生存进化信念，深化“简化创造价值•</w:t>
      </w:r>
      <w:r>
        <w:rPr>
          <w:rFonts w:ascii="Times New Roman" w:hAnsi="Times New Roman" w:cs="Times New Roman"/>
          <w:sz w:val="21"/>
          <w:szCs w:val="21"/>
        </w:rPr>
        <w:t>AI</w:t>
      </w:r>
      <w:r>
        <w:rPr>
          <w:rFonts w:ascii="Times New Roman" w:hAnsi="Times New Roman" w:hint="eastAsia"/>
          <w:sz w:val="21"/>
          <w:szCs w:val="21"/>
        </w:rPr>
        <w:t>淬炼专业•交付定义承诺”三个支点，推动支点向支柱跃升。同时，继续聚焦专业化、数智化、全球化三大方向，推进关键任务落地，以创新为企业核心竞争力，不断加强研发创新力度，提高生产经营水平，建立直达用户、覆盖全球市场和深度融合</w:t>
      </w:r>
      <w:r>
        <w:rPr>
          <w:rFonts w:ascii="Times New Roman" w:hAnsi="Times New Roman" w:cs="Times New Roman"/>
          <w:sz w:val="21"/>
          <w:szCs w:val="21"/>
        </w:rPr>
        <w:t>AI</w:t>
      </w:r>
      <w:r>
        <w:rPr>
          <w:rFonts w:ascii="Times New Roman" w:hAnsi="Times New Roman" w:hint="eastAsia"/>
          <w:sz w:val="21"/>
          <w:szCs w:val="21"/>
        </w:rPr>
        <w:t>应用的运营体系，做好</w:t>
      </w:r>
      <w:r>
        <w:rPr>
          <w:rFonts w:ascii="Times New Roman" w:hAnsi="Times New Roman" w:cs="Times New Roman"/>
          <w:sz w:val="21"/>
          <w:szCs w:val="21"/>
        </w:rPr>
        <w:t>CGM</w:t>
      </w:r>
      <w:r>
        <w:rPr>
          <w:rFonts w:ascii="Times New Roman" w:hAnsi="Times New Roman" w:hint="eastAsia"/>
          <w:sz w:val="21"/>
          <w:szCs w:val="21"/>
        </w:rPr>
        <w:t>质量与产能双提升、</w:t>
      </w:r>
      <w:r>
        <w:rPr>
          <w:rFonts w:ascii="Times New Roman" w:hAnsi="Times New Roman" w:cs="Times New Roman"/>
          <w:sz w:val="21"/>
          <w:szCs w:val="21"/>
        </w:rPr>
        <w:t>BGM</w:t>
      </w:r>
      <w:r>
        <w:rPr>
          <w:rFonts w:ascii="Times New Roman" w:hAnsi="Times New Roman" w:hint="eastAsia"/>
          <w:sz w:val="21"/>
          <w:szCs w:val="21"/>
        </w:rPr>
        <w:t>持续迭代降本、</w:t>
      </w:r>
      <w:r>
        <w:rPr>
          <w:rFonts w:ascii="Times New Roman" w:hAnsi="Times New Roman" w:cs="Times New Roman"/>
          <w:sz w:val="21"/>
          <w:szCs w:val="21"/>
        </w:rPr>
        <w:t>iCARE</w:t>
      </w:r>
      <w:r>
        <w:rPr>
          <w:rFonts w:ascii="Times New Roman" w:hAnsi="Times New Roman" w:hint="eastAsia"/>
          <w:sz w:val="21"/>
          <w:szCs w:val="21"/>
        </w:rPr>
        <w:t>价值创造等工作，为客户、社会提供更多有价值的产品和服务；同时将坚持“合作共赢”的理念，为有潜力的合作伙伴提供深层次合作路径，并优化代理商、经销商管理与服务，整合学术、品牌、市场资源，实现互利共赢。</w:t>
      </w:r>
    </w:p>
    <w:p w14:paraId="78BBCED0"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在专业化方面，继续做好整体的人效提升和管理改善，通过精益方法论去推广运营，搭建</w:t>
      </w:r>
      <w:r>
        <w:rPr>
          <w:rFonts w:ascii="Times New Roman" w:hAnsi="Times New Roman" w:cs="Times New Roman"/>
          <w:sz w:val="21"/>
          <w:szCs w:val="21"/>
        </w:rPr>
        <w:t>CGM</w:t>
      </w:r>
      <w:r>
        <w:rPr>
          <w:rFonts w:ascii="Times New Roman" w:hAnsi="Times New Roman" w:hint="eastAsia"/>
          <w:sz w:val="21"/>
          <w:szCs w:val="21"/>
        </w:rPr>
        <w:t>业务生态平台，探索优化成品管理模式，进一步提升</w:t>
      </w:r>
      <w:r>
        <w:rPr>
          <w:rFonts w:ascii="Times New Roman" w:hAnsi="Times New Roman" w:cs="Times New Roman"/>
          <w:sz w:val="21"/>
          <w:szCs w:val="21"/>
        </w:rPr>
        <w:t>HPALC</w:t>
      </w:r>
      <w:r>
        <w:rPr>
          <w:rFonts w:ascii="Times New Roman" w:hAnsi="Times New Roman" w:hint="eastAsia"/>
          <w:sz w:val="21"/>
          <w:szCs w:val="21"/>
        </w:rPr>
        <w:t>、</w:t>
      </w:r>
      <w:r>
        <w:rPr>
          <w:rFonts w:ascii="Times New Roman" w:hAnsi="Times New Roman" w:cs="Times New Roman"/>
          <w:sz w:val="21"/>
          <w:szCs w:val="21"/>
        </w:rPr>
        <w:t>CGM</w:t>
      </w:r>
      <w:r>
        <w:rPr>
          <w:rFonts w:ascii="Times New Roman" w:hAnsi="Times New Roman" w:hint="eastAsia"/>
          <w:sz w:val="21"/>
          <w:szCs w:val="21"/>
        </w:rPr>
        <w:t>、</w:t>
      </w:r>
      <w:r>
        <w:rPr>
          <w:rFonts w:ascii="Times New Roman" w:hAnsi="Times New Roman" w:cs="Times New Roman"/>
          <w:sz w:val="21"/>
          <w:szCs w:val="21"/>
        </w:rPr>
        <w:t>iCARE</w:t>
      </w:r>
      <w:r>
        <w:rPr>
          <w:rFonts w:ascii="Times New Roman" w:hAnsi="Times New Roman" w:hint="eastAsia"/>
          <w:sz w:val="21"/>
          <w:szCs w:val="21"/>
        </w:rPr>
        <w:t>等的生产质量与产能，突破核心技术瓶颈，构建公司自主可控的技术能力与长期护城河；在数智化方面，继续做好智能制造，产品销售实现线上线下一体化建设，推广全球物料标准化体系和直达用户的全球智能客服平台，致力于</w:t>
      </w:r>
      <w:r>
        <w:rPr>
          <w:rFonts w:ascii="Times New Roman" w:hAnsi="Times New Roman" w:cs="Times New Roman"/>
          <w:sz w:val="21"/>
          <w:szCs w:val="21"/>
        </w:rPr>
        <w:t>iSEE</w:t>
      </w:r>
      <w:r>
        <w:rPr>
          <w:rFonts w:ascii="Times New Roman" w:hAnsi="Times New Roman" w:hint="eastAsia"/>
          <w:sz w:val="21"/>
          <w:szCs w:val="21"/>
        </w:rPr>
        <w:t>平台优化建设及运营决策支持，重视数据安全运营；在全球化方面，要推动和实现</w:t>
      </w:r>
      <w:r>
        <w:rPr>
          <w:rFonts w:ascii="Times New Roman" w:hAnsi="Times New Roman" w:cs="Times New Roman"/>
          <w:sz w:val="21"/>
          <w:szCs w:val="21"/>
        </w:rPr>
        <w:t>CGM</w:t>
      </w:r>
      <w:r>
        <w:rPr>
          <w:rFonts w:ascii="Times New Roman" w:hAnsi="Times New Roman" w:hint="eastAsia"/>
          <w:sz w:val="21"/>
          <w:szCs w:val="21"/>
        </w:rPr>
        <w:t>在全球市场的全渠道销售，完成中国与欧美市场的关键突破，公司产品在全球质量合规，推动全球供应链和研发的协同创新。公司将保持乐观、惟精惟一，推行“</w:t>
      </w:r>
      <w:r>
        <w:rPr>
          <w:rFonts w:ascii="Times New Roman" w:hAnsi="Times New Roman" w:cs="Times New Roman"/>
          <w:sz w:val="21"/>
          <w:szCs w:val="21"/>
        </w:rPr>
        <w:t>One Sinocare</w:t>
      </w:r>
      <w:r>
        <w:rPr>
          <w:rFonts w:ascii="Times New Roman" w:hAnsi="Times New Roman" w:hint="eastAsia"/>
          <w:sz w:val="21"/>
          <w:szCs w:val="21"/>
        </w:rPr>
        <w:t xml:space="preserve"> </w:t>
      </w:r>
      <w:r>
        <w:rPr>
          <w:rFonts w:ascii="Times New Roman" w:hAnsi="Times New Roman" w:hint="eastAsia"/>
          <w:sz w:val="21"/>
          <w:szCs w:val="21"/>
        </w:rPr>
        <w:t>同一个三诺”共识理念，坚持长期主义、提高效率，以专业化、数智化、全球化的核心组织能力，投入更多的资源聚焦在糖尿病等慢性疾病精准监测技术的创新和管理系统的数智化，成就“全球领先的糖尿病数字管理专家”的长期价值。</w:t>
      </w:r>
    </w:p>
    <w:p w14:paraId="3F0B1AF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公司坚持以确保业绩健康、持续、稳定增长为核心，围绕公司发展战略，制定</w:t>
      </w:r>
      <w:r>
        <w:rPr>
          <w:rFonts w:ascii="Times New Roman" w:hAnsi="Times New Roman" w:cs="Times New Roman"/>
          <w:sz w:val="21"/>
          <w:szCs w:val="21"/>
        </w:rPr>
        <w:t>2026</w:t>
      </w:r>
      <w:r>
        <w:rPr>
          <w:rFonts w:ascii="Times New Roman" w:hAnsi="Times New Roman" w:hint="eastAsia"/>
          <w:sz w:val="21"/>
          <w:szCs w:val="21"/>
        </w:rPr>
        <w:t>年核心工作部署如下（下述经营计划、经营目标并不代表上市公司对</w:t>
      </w:r>
      <w:r>
        <w:rPr>
          <w:rFonts w:ascii="Times New Roman" w:hAnsi="Times New Roman" w:cs="Times New Roman"/>
          <w:sz w:val="21"/>
          <w:szCs w:val="21"/>
        </w:rPr>
        <w:t>2026</w:t>
      </w:r>
      <w:r>
        <w:rPr>
          <w:rFonts w:ascii="Times New Roman" w:hAnsi="Times New Roman" w:hint="eastAsia"/>
          <w:sz w:val="21"/>
          <w:szCs w:val="21"/>
        </w:rPr>
        <w:t>年度的盈利预测，能否实现取决于市场状况变化、经营团队的努力程度等多种因素，存在很大的不确定性，请投资者特别注意）：</w:t>
      </w:r>
    </w:p>
    <w:p w14:paraId="58E84E2F" w14:textId="1E57D61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1</w:t>
      </w:r>
      <w:r>
        <w:rPr>
          <w:rFonts w:ascii="Times New Roman" w:hAnsi="Times New Roman" w:hint="eastAsia"/>
          <w:sz w:val="21"/>
          <w:szCs w:val="21"/>
        </w:rPr>
        <w:t>、</w:t>
      </w:r>
      <w:r>
        <w:rPr>
          <w:rFonts w:ascii="Times New Roman" w:hAnsi="Times New Roman" w:cs="Times New Roman"/>
          <w:sz w:val="21"/>
          <w:szCs w:val="21"/>
        </w:rPr>
        <w:t>2026</w:t>
      </w:r>
      <w:r>
        <w:rPr>
          <w:rFonts w:ascii="Times New Roman" w:hAnsi="Times New Roman" w:hint="eastAsia"/>
          <w:sz w:val="21"/>
          <w:szCs w:val="21"/>
        </w:rPr>
        <w:t>年经营目标：计划实现营业收入人民币</w:t>
      </w:r>
      <w:r w:rsidR="00785DF8">
        <w:rPr>
          <w:rFonts w:ascii="Times New Roman" w:hAnsi="Times New Roman" w:cs="Times New Roman"/>
          <w:sz w:val="21"/>
          <w:szCs w:val="21"/>
        </w:rPr>
        <w:t>50.36</w:t>
      </w:r>
      <w:r>
        <w:rPr>
          <w:rFonts w:ascii="Times New Roman" w:hAnsi="Times New Roman" w:hint="eastAsia"/>
          <w:sz w:val="21"/>
          <w:szCs w:val="21"/>
        </w:rPr>
        <w:t>亿元，力争公司整体销售收入和经营利润稳步持续增长。</w:t>
      </w:r>
    </w:p>
    <w:p w14:paraId="5D188783"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2</w:t>
      </w:r>
      <w:r>
        <w:rPr>
          <w:rFonts w:ascii="Times New Roman" w:hAnsi="Times New Roman" w:hint="eastAsia"/>
          <w:sz w:val="21"/>
          <w:szCs w:val="21"/>
        </w:rPr>
        <w:t>、市场营销方面</w:t>
      </w:r>
    </w:p>
    <w:p w14:paraId="0CEA8B03"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1</w:t>
      </w:r>
      <w:r>
        <w:rPr>
          <w:rFonts w:ascii="Times New Roman" w:hAnsi="Times New Roman" w:hint="eastAsia"/>
          <w:sz w:val="21"/>
          <w:szCs w:val="21"/>
        </w:rPr>
        <w:t>）在强化信息化建设基础上，持续改进和优化核心业务，以提升运营效率和质量，探索“数字产品</w:t>
      </w:r>
      <w:r>
        <w:rPr>
          <w:rFonts w:ascii="Times New Roman" w:hAnsi="Times New Roman" w:cs="Times New Roman"/>
          <w:sz w:val="21"/>
          <w:szCs w:val="21"/>
        </w:rPr>
        <w:t>/</w:t>
      </w:r>
      <w:r>
        <w:rPr>
          <w:rFonts w:ascii="Times New Roman" w:hAnsi="Times New Roman" w:hint="eastAsia"/>
          <w:sz w:val="21"/>
          <w:szCs w:val="21"/>
        </w:rPr>
        <w:t>服务创新”提供良好的客户体验和增加用户价值。从筛查到监测评估到干预的全病程管理，从糖尿病科到心血管、肾内科等科室的全院血糖管理，通过主动会诊实现随访到区域医防融合，通过提高院内糖尿病管理效率来实现院内院外糖尿病管理一体化的落地。</w:t>
      </w:r>
    </w:p>
    <w:p w14:paraId="056B005D"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2</w:t>
      </w:r>
      <w:r>
        <w:rPr>
          <w:rFonts w:ascii="Times New Roman" w:hAnsi="Times New Roman" w:hint="eastAsia"/>
          <w:sz w:val="21"/>
          <w:szCs w:val="21"/>
        </w:rPr>
        <w:t>）把握分级诊疗机遇，强化基层医疗市场的拓展，将公司多指标检测系统及分钟诊疗系统推广至基层医疗机构，开拓新业务渠道，扩大基层市场份额。通过先进的医疗</w:t>
      </w:r>
      <w:r>
        <w:rPr>
          <w:rFonts w:ascii="Times New Roman" w:hAnsi="Times New Roman" w:cs="Times New Roman"/>
          <w:sz w:val="21"/>
          <w:szCs w:val="21"/>
        </w:rPr>
        <w:t>5G</w:t>
      </w:r>
      <w:r>
        <w:rPr>
          <w:rFonts w:ascii="Times New Roman" w:hAnsi="Times New Roman" w:hint="eastAsia"/>
          <w:sz w:val="21"/>
          <w:szCs w:val="21"/>
        </w:rPr>
        <w:t>技术和成熟的互联网远程质控手段来处理医疗用户端的技术支持和售后服务，让医疗机构充分感受创新服务下的快速触达响应和高效故障处理。通过</w:t>
      </w:r>
      <w:r>
        <w:rPr>
          <w:rFonts w:ascii="Times New Roman" w:hAnsi="Times New Roman" w:cs="Times New Roman"/>
          <w:sz w:val="21"/>
          <w:szCs w:val="21"/>
        </w:rPr>
        <w:t>iPOCT</w:t>
      </w:r>
      <w:r>
        <w:rPr>
          <w:rFonts w:ascii="Times New Roman" w:hAnsi="Times New Roman" w:hint="eastAsia"/>
          <w:sz w:val="21"/>
          <w:szCs w:val="21"/>
        </w:rPr>
        <w:t>连接基层医生和服务，提高基层诊疗的水平，为基层医疗机构快速进行常见病、慢性疾病患者的诊断和管理，提高基层医生效能，发挥广大的基层医疗机构的作用。使基层医疗业务触达到公立医疗、民营医疗、消费医疗以及科研医疗的相关领域，为不同的医疗应用场景提供有价值的服务。</w:t>
      </w:r>
    </w:p>
    <w:p w14:paraId="48B0F372"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3</w:t>
      </w:r>
      <w:r>
        <w:rPr>
          <w:rFonts w:ascii="Times New Roman" w:hAnsi="Times New Roman" w:hint="eastAsia"/>
          <w:sz w:val="21"/>
          <w:szCs w:val="21"/>
        </w:rPr>
        <w:t>）持续开拓全球新兴市场，实现全球主要市场的本地化，推动</w:t>
      </w:r>
      <w:r>
        <w:rPr>
          <w:rFonts w:ascii="Times New Roman" w:hAnsi="Times New Roman" w:cs="Times New Roman"/>
          <w:sz w:val="21"/>
          <w:szCs w:val="21"/>
        </w:rPr>
        <w:t>Sinocare</w:t>
      </w:r>
      <w:r>
        <w:rPr>
          <w:rFonts w:ascii="Times New Roman" w:hAnsi="Times New Roman" w:hint="eastAsia"/>
          <w:sz w:val="21"/>
          <w:szCs w:val="21"/>
        </w:rPr>
        <w:t>、</w:t>
      </w:r>
      <w:r>
        <w:rPr>
          <w:rFonts w:ascii="Times New Roman" w:hAnsi="Times New Roman" w:cs="Times New Roman"/>
          <w:sz w:val="21"/>
          <w:szCs w:val="21"/>
        </w:rPr>
        <w:t>PTS</w:t>
      </w:r>
      <w:r>
        <w:rPr>
          <w:rFonts w:ascii="Times New Roman" w:hAnsi="Times New Roman" w:hint="eastAsia"/>
          <w:sz w:val="21"/>
          <w:szCs w:val="21"/>
        </w:rPr>
        <w:t>和</w:t>
      </w:r>
      <w:r>
        <w:rPr>
          <w:rFonts w:ascii="Times New Roman" w:hAnsi="Times New Roman" w:cs="Times New Roman"/>
          <w:sz w:val="21"/>
          <w:szCs w:val="21"/>
        </w:rPr>
        <w:t>Trividia</w:t>
      </w:r>
      <w:r>
        <w:rPr>
          <w:rFonts w:ascii="Times New Roman" w:hAnsi="Times New Roman" w:hint="eastAsia"/>
          <w:sz w:val="21"/>
          <w:szCs w:val="21"/>
        </w:rPr>
        <w:t>的全球营销体系的合作与协同。多种方式开拓国际市场，持续实行国际市场本土化精耕策略，聚焦亚太区域精耕市场，建设精耕潜力市场，打造标杆市场优势，完善产品注册规划，拓宽国际渠道通路，在全球的合规运营的基础上，建立主要市场的员工本土化，实现公司在国际市场上从单一的产品销售升级到技术和标准的输出。</w:t>
      </w:r>
    </w:p>
    <w:p w14:paraId="31E94CCB"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4</w:t>
      </w:r>
      <w:r>
        <w:rPr>
          <w:rFonts w:ascii="Times New Roman" w:hAnsi="Times New Roman" w:hint="eastAsia"/>
          <w:sz w:val="21"/>
          <w:szCs w:val="21"/>
        </w:rPr>
        <w:t>）充分利用研发优势、产品优势、渠道与终端优势、市场服务优势、品牌形象优势，扩大公司产品在糖尿病及相关慢病检测市场的份额，提升公司的产品和服务能力。建立中国领先的糖尿病数字管理能力和全球领先的代谢病检测能力，创造客户价值，实现全球化竞争能力的提高。</w:t>
      </w:r>
    </w:p>
    <w:p w14:paraId="16926F5E"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3</w:t>
      </w:r>
      <w:r>
        <w:rPr>
          <w:rFonts w:ascii="Times New Roman" w:hAnsi="Times New Roman" w:hint="eastAsia"/>
          <w:sz w:val="21"/>
          <w:szCs w:val="21"/>
        </w:rPr>
        <w:t>、产品研发与数智化转型</w:t>
      </w:r>
    </w:p>
    <w:p w14:paraId="769D3D11" w14:textId="1FDB021A"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1</w:t>
      </w:r>
      <w:r>
        <w:rPr>
          <w:rFonts w:ascii="Times New Roman" w:hAnsi="Times New Roman" w:hint="eastAsia"/>
          <w:sz w:val="21"/>
          <w:szCs w:val="21"/>
        </w:rPr>
        <w:t>）建立数智化转型的能力，精准服务糖尿病患者。努力实现仪器与用户的连接，用户与数据的连接、数据与健康服务提供者的连接，为糖尿病及慢病患者提供线上问诊、开方、购药、医保支付及异常指标干预等全病程健康管理服务，打造线上线下一体化、院内院外一体</w:t>
      </w:r>
      <w:r w:rsidR="00B34F5B">
        <w:rPr>
          <w:rFonts w:ascii="Times New Roman" w:hAnsi="Times New Roman" w:hint="eastAsia"/>
          <w:sz w:val="21"/>
          <w:szCs w:val="21"/>
        </w:rPr>
        <w:t>化</w:t>
      </w:r>
      <w:r>
        <w:rPr>
          <w:rFonts w:ascii="Times New Roman" w:hAnsi="Times New Roman" w:hint="eastAsia"/>
          <w:sz w:val="21"/>
          <w:szCs w:val="21"/>
        </w:rPr>
        <w:t>的糖尿病慢病服务管理体系。</w:t>
      </w:r>
    </w:p>
    <w:p w14:paraId="17B5E104"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2</w:t>
      </w:r>
      <w:r>
        <w:rPr>
          <w:rFonts w:ascii="Times New Roman" w:hAnsi="Times New Roman" w:hint="eastAsia"/>
          <w:sz w:val="21"/>
          <w:szCs w:val="21"/>
        </w:rPr>
        <w:t>）努力实现从</w:t>
      </w:r>
      <w:r>
        <w:rPr>
          <w:rFonts w:ascii="Times New Roman" w:hAnsi="Times New Roman" w:cs="Times New Roman"/>
          <w:sz w:val="21"/>
          <w:szCs w:val="21"/>
        </w:rPr>
        <w:t>BGM</w:t>
      </w:r>
      <w:r>
        <w:rPr>
          <w:rFonts w:ascii="Times New Roman" w:hAnsi="Times New Roman" w:hint="eastAsia"/>
          <w:sz w:val="21"/>
          <w:szCs w:val="21"/>
        </w:rPr>
        <w:t>到</w:t>
      </w:r>
      <w:r>
        <w:rPr>
          <w:rFonts w:ascii="Times New Roman" w:hAnsi="Times New Roman" w:cs="Times New Roman"/>
          <w:sz w:val="21"/>
          <w:szCs w:val="21"/>
        </w:rPr>
        <w:t>BXM</w:t>
      </w:r>
      <w:r>
        <w:rPr>
          <w:rFonts w:ascii="Times New Roman" w:hAnsi="Times New Roman" w:hint="eastAsia"/>
          <w:sz w:val="21"/>
          <w:szCs w:val="21"/>
        </w:rPr>
        <w:t>，从</w:t>
      </w:r>
      <w:r>
        <w:rPr>
          <w:rFonts w:ascii="Times New Roman" w:hAnsi="Times New Roman" w:cs="Times New Roman"/>
          <w:sz w:val="21"/>
          <w:szCs w:val="21"/>
        </w:rPr>
        <w:t>POCT</w:t>
      </w:r>
      <w:r>
        <w:rPr>
          <w:rFonts w:ascii="Times New Roman" w:hAnsi="Times New Roman" w:hint="eastAsia"/>
          <w:sz w:val="21"/>
          <w:szCs w:val="21"/>
        </w:rPr>
        <w:t>扩展到</w:t>
      </w:r>
      <w:r>
        <w:rPr>
          <w:rFonts w:ascii="Times New Roman" w:hAnsi="Times New Roman" w:cs="Times New Roman"/>
          <w:sz w:val="21"/>
          <w:szCs w:val="21"/>
        </w:rPr>
        <w:t>PDL</w:t>
      </w:r>
      <w:r>
        <w:rPr>
          <w:rFonts w:ascii="Times New Roman" w:hAnsi="Times New Roman" w:hint="eastAsia"/>
          <w:sz w:val="21"/>
          <w:szCs w:val="21"/>
        </w:rPr>
        <w:t>（</w:t>
      </w:r>
      <w:r>
        <w:rPr>
          <w:rFonts w:ascii="Times New Roman" w:hAnsi="Times New Roman" w:cs="Times New Roman"/>
          <w:sz w:val="21"/>
          <w:szCs w:val="21"/>
        </w:rPr>
        <w:t>Precision Desk Lab</w:t>
      </w:r>
      <w:r>
        <w:rPr>
          <w:rFonts w:ascii="Times New Roman" w:hAnsi="Times New Roman" w:hint="eastAsia"/>
          <w:sz w:val="21"/>
          <w:szCs w:val="21"/>
        </w:rPr>
        <w:t>）即精准桌面实验室，从</w:t>
      </w:r>
      <w:r>
        <w:rPr>
          <w:rFonts w:ascii="Times New Roman" w:hAnsi="Times New Roman" w:cs="Times New Roman"/>
          <w:sz w:val="21"/>
          <w:szCs w:val="21"/>
        </w:rPr>
        <w:t>CGM</w:t>
      </w:r>
      <w:r>
        <w:rPr>
          <w:rFonts w:ascii="Times New Roman" w:hAnsi="Times New Roman" w:hint="eastAsia"/>
          <w:sz w:val="21"/>
          <w:szCs w:val="21"/>
        </w:rPr>
        <w:t>扩展</w:t>
      </w:r>
      <w:r>
        <w:rPr>
          <w:rFonts w:ascii="Times New Roman" w:hAnsi="Times New Roman" w:cs="Times New Roman"/>
          <w:sz w:val="21"/>
          <w:szCs w:val="21"/>
        </w:rPr>
        <w:t>PWS</w:t>
      </w:r>
      <w:r>
        <w:rPr>
          <w:rFonts w:ascii="Times New Roman" w:hAnsi="Times New Roman" w:hint="eastAsia"/>
          <w:sz w:val="21"/>
          <w:szCs w:val="21"/>
        </w:rPr>
        <w:t>（</w:t>
      </w:r>
      <w:r>
        <w:rPr>
          <w:rFonts w:ascii="Times New Roman" w:hAnsi="Times New Roman" w:cs="Times New Roman"/>
          <w:sz w:val="21"/>
          <w:szCs w:val="21"/>
        </w:rPr>
        <w:t>precision wearable system</w:t>
      </w:r>
      <w:r>
        <w:rPr>
          <w:rFonts w:ascii="Times New Roman" w:hAnsi="Times New Roman" w:hint="eastAsia"/>
          <w:sz w:val="21"/>
          <w:szCs w:val="21"/>
        </w:rPr>
        <w:t>）即精准可穿戴系统。实现碳平台产品持续迭代升级，检测指标持续优化扩充，基于公司的产品和服务实现对“五高”的管理，即从高血糖、高尿酸和高血脂再到高血压和高体重的管理。为慢性疾病的防治提供更多创新性、系统性的智慧医疗解决方案，从而实现帮助用户提高生活质量。</w:t>
      </w:r>
    </w:p>
    <w:p w14:paraId="691D2C67"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w:t>
      </w:r>
      <w:r>
        <w:rPr>
          <w:rFonts w:ascii="Times New Roman" w:hAnsi="Times New Roman" w:cs="Times New Roman"/>
          <w:sz w:val="21"/>
          <w:szCs w:val="21"/>
        </w:rPr>
        <w:t>3</w:t>
      </w:r>
      <w:r>
        <w:rPr>
          <w:rFonts w:ascii="Times New Roman" w:hAnsi="Times New Roman" w:hint="eastAsia"/>
          <w:sz w:val="21"/>
          <w:szCs w:val="21"/>
        </w:rPr>
        <w:t>）推广</w:t>
      </w:r>
      <w:r>
        <w:rPr>
          <w:rFonts w:ascii="Times New Roman" w:hAnsi="Times New Roman" w:cs="Times New Roman"/>
          <w:sz w:val="21"/>
          <w:szCs w:val="21"/>
        </w:rPr>
        <w:t>AI</w:t>
      </w:r>
      <w:r>
        <w:rPr>
          <w:rFonts w:ascii="Times New Roman" w:hAnsi="Times New Roman" w:hint="eastAsia"/>
          <w:sz w:val="21"/>
          <w:szCs w:val="21"/>
        </w:rPr>
        <w:t>辅助人工服务直达用户的全球智能客服体系，通过“数字营销平台</w:t>
      </w:r>
      <w:r>
        <w:rPr>
          <w:rFonts w:ascii="Times New Roman" w:hAnsi="Times New Roman" w:hint="eastAsia"/>
          <w:sz w:val="21"/>
          <w:szCs w:val="21"/>
        </w:rPr>
        <w:t>-</w:t>
      </w:r>
      <w:r>
        <w:rPr>
          <w:rFonts w:ascii="Times New Roman" w:hAnsi="Times New Roman" w:hint="eastAsia"/>
          <w:sz w:val="21"/>
          <w:szCs w:val="21"/>
        </w:rPr>
        <w:t>呼叫中心（</w:t>
      </w:r>
      <w:r>
        <w:rPr>
          <w:rFonts w:ascii="Times New Roman" w:hAnsi="Times New Roman" w:cs="Times New Roman"/>
          <w:sz w:val="21"/>
          <w:szCs w:val="21"/>
        </w:rPr>
        <w:t>DMCC</w:t>
      </w:r>
      <w:r>
        <w:rPr>
          <w:rFonts w:ascii="Times New Roman" w:hAnsi="Times New Roman" w:hint="eastAsia"/>
          <w:sz w:val="21"/>
          <w:szCs w:val="21"/>
        </w:rPr>
        <w:t>）、</w:t>
      </w:r>
      <w:r>
        <w:rPr>
          <w:rFonts w:ascii="Times New Roman" w:hAnsi="Times New Roman" w:cs="Times New Roman"/>
          <w:sz w:val="21"/>
          <w:szCs w:val="21"/>
        </w:rPr>
        <w:t>iCan</w:t>
      </w:r>
      <w:r>
        <w:rPr>
          <w:rFonts w:ascii="Times New Roman" w:hAnsi="Times New Roman" w:hint="eastAsia"/>
          <w:sz w:val="21"/>
          <w:szCs w:val="21"/>
        </w:rPr>
        <w:t>、国际云呼叫平台”等系统实现全球数据的统一收集和统一管理，由</w:t>
      </w:r>
      <w:r>
        <w:rPr>
          <w:rFonts w:ascii="Times New Roman" w:hAnsi="Times New Roman" w:cs="Times New Roman"/>
          <w:sz w:val="21"/>
          <w:szCs w:val="21"/>
        </w:rPr>
        <w:t>AI</w:t>
      </w:r>
      <w:r>
        <w:rPr>
          <w:rFonts w:ascii="Times New Roman" w:hAnsi="Times New Roman" w:hint="eastAsia"/>
          <w:sz w:val="21"/>
          <w:szCs w:val="21"/>
        </w:rPr>
        <w:t>智能客服提供售后流程导航、实时在线翻译、多模态意图理解、智能流量调度等辅助支持，利用</w:t>
      </w:r>
      <w:r>
        <w:rPr>
          <w:rFonts w:ascii="Times New Roman" w:hAnsi="Times New Roman" w:cs="Times New Roman"/>
          <w:sz w:val="21"/>
          <w:szCs w:val="21"/>
        </w:rPr>
        <w:t>AI</w:t>
      </w:r>
      <w:r>
        <w:rPr>
          <w:rFonts w:ascii="Times New Roman" w:hAnsi="Times New Roman" w:hint="eastAsia"/>
          <w:sz w:val="21"/>
          <w:szCs w:val="21"/>
        </w:rPr>
        <w:t>系统完成数据统计分析，并基于标准操作流程（</w:t>
      </w:r>
      <w:r>
        <w:rPr>
          <w:rFonts w:ascii="Times New Roman" w:hAnsi="Times New Roman" w:cs="Times New Roman"/>
          <w:sz w:val="21"/>
          <w:szCs w:val="21"/>
        </w:rPr>
        <w:t>SOP</w:t>
      </w:r>
      <w:r>
        <w:rPr>
          <w:rFonts w:ascii="Times New Roman" w:hAnsi="Times New Roman" w:hint="eastAsia"/>
          <w:sz w:val="21"/>
          <w:szCs w:val="21"/>
        </w:rPr>
        <w:t>）进行决策和客户诉求的处理，清晰定义问题，找出根因，积极行动，高质及时交付结果。将小诺智能体打造成为慢病核心入口，从工具型助手升级为健康管理智能体，让融合</w:t>
      </w:r>
      <w:r>
        <w:rPr>
          <w:rFonts w:ascii="Times New Roman" w:hAnsi="Times New Roman" w:cs="Times New Roman"/>
          <w:sz w:val="21"/>
          <w:szCs w:val="21"/>
        </w:rPr>
        <w:t>AI</w:t>
      </w:r>
      <w:r>
        <w:rPr>
          <w:rFonts w:ascii="Times New Roman" w:hAnsi="Times New Roman" w:hint="eastAsia"/>
          <w:sz w:val="21"/>
          <w:szCs w:val="21"/>
        </w:rPr>
        <w:t>能力的软件为糖尿病及相关人群提供个性化、精准化的高价值服务，与设备、数据、服务形成闭环。</w:t>
      </w:r>
    </w:p>
    <w:p w14:paraId="3756EFE9"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4</w:t>
      </w:r>
      <w:r>
        <w:rPr>
          <w:rFonts w:ascii="Times New Roman" w:hAnsi="Times New Roman" w:hint="eastAsia"/>
          <w:sz w:val="21"/>
          <w:szCs w:val="21"/>
        </w:rPr>
        <w:t>、质量保障</w:t>
      </w:r>
    </w:p>
    <w:p w14:paraId="00945F67"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质量是公司稳步发展的基础，多年来公司一直秉承“质量第一”的宗旨。以“</w:t>
      </w:r>
      <w:r>
        <w:rPr>
          <w:rFonts w:ascii="Times New Roman" w:hAnsi="Times New Roman" w:cs="Times New Roman"/>
          <w:sz w:val="21"/>
          <w:szCs w:val="21"/>
        </w:rPr>
        <w:t>One Sinocare</w:t>
      </w:r>
      <w:r>
        <w:rPr>
          <w:rFonts w:ascii="Times New Roman" w:hAnsi="Times New Roman" w:hint="eastAsia"/>
          <w:sz w:val="21"/>
          <w:szCs w:val="21"/>
        </w:rPr>
        <w:t>”为质量战略主题，全球连通，树立中国医疗器械行业质量管理体系标杆企业形象，并引导公司全球业务合规且高速度、高质量发展。公司将质量管理体系贯穿于产品全生命周期，建立并持续优化涵盖产品注册、生产管理、经营活动、售后监督在内的产品全生命周期管理体系，确保公司注册、生产及经营的医疗器械安全可信赖，相关信息真实、准确、完整与可追溯。协同各分子公司的质量、管控与合规适配，使用</w:t>
      </w:r>
      <w:r>
        <w:rPr>
          <w:rFonts w:ascii="Times New Roman" w:hAnsi="Times New Roman" w:cs="Times New Roman"/>
          <w:sz w:val="21"/>
          <w:szCs w:val="21"/>
        </w:rPr>
        <w:t>FMEA</w:t>
      </w:r>
      <w:r>
        <w:rPr>
          <w:rFonts w:ascii="Times New Roman" w:hAnsi="Times New Roman" w:hint="eastAsia"/>
          <w:sz w:val="21"/>
          <w:szCs w:val="21"/>
        </w:rPr>
        <w:t>、</w:t>
      </w:r>
      <w:r>
        <w:rPr>
          <w:rFonts w:ascii="Times New Roman" w:hAnsi="Times New Roman" w:cs="Times New Roman"/>
          <w:sz w:val="21"/>
          <w:szCs w:val="21"/>
        </w:rPr>
        <w:t>TQM</w:t>
      </w:r>
      <w:r>
        <w:rPr>
          <w:rFonts w:ascii="Times New Roman" w:hAnsi="Times New Roman" w:hint="eastAsia"/>
          <w:sz w:val="21"/>
          <w:szCs w:val="21"/>
        </w:rPr>
        <w:t>、</w:t>
      </w:r>
      <w:r>
        <w:rPr>
          <w:rFonts w:ascii="Times New Roman" w:hAnsi="Times New Roman" w:cs="Times New Roman"/>
          <w:sz w:val="21"/>
          <w:szCs w:val="21"/>
        </w:rPr>
        <w:t>QCC</w:t>
      </w:r>
      <w:r>
        <w:rPr>
          <w:rFonts w:ascii="Times New Roman" w:hAnsi="Times New Roman" w:hint="eastAsia"/>
          <w:sz w:val="21"/>
          <w:szCs w:val="21"/>
        </w:rPr>
        <w:t>等一系列质量管理的方法和工具，不断深化质量体系的建设，细化和落实法律法规的具体要求，使得改进后的质量管理体系更符合国际化标准要求且能更好的进行过程控制，为公司质量控制体系全球合规性打下坚实的基础。</w:t>
      </w:r>
    </w:p>
    <w:p w14:paraId="20E63D46"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5</w:t>
      </w:r>
      <w:r>
        <w:rPr>
          <w:rFonts w:ascii="Times New Roman" w:hAnsi="Times New Roman" w:hint="eastAsia"/>
          <w:sz w:val="21"/>
          <w:szCs w:val="21"/>
        </w:rPr>
        <w:t>、数据安全</w:t>
      </w:r>
    </w:p>
    <w:p w14:paraId="100C0247"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在数字化时代，数据安全是数字时代的基石，不仅关系到每个人的隐私，更是企业竞争力和建立用户信任的关键，数据安全合规管理是企业合规管理和可持续发展的重要组成部分。公司高度重视数据安全，严格依据《中华人民共和国数据安全法》《中华人民共和国个人信息保护法》《中华人民共和国网络安全法》等相关法律法规的要求，建立系统化、规范化、权责分明的数据安全管理体系，保护公司核心数据资产安全，为公司数字化转型变革和健康运营提供有力支持，切实保障用户隐私信息安全，公司重视数据安全贯宣，将持续提升全员合规意识，确保数据安全防护体系符合国际要求，共同守护公司数据安全与用户信任。</w:t>
      </w:r>
    </w:p>
    <w:p w14:paraId="1ED130AA"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（三）公司可能面对的风险及应对措施</w:t>
      </w:r>
    </w:p>
    <w:p w14:paraId="31B5517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1</w:t>
      </w:r>
      <w:r>
        <w:rPr>
          <w:rFonts w:ascii="Times New Roman" w:hAnsi="Times New Roman" w:hint="eastAsia"/>
          <w:sz w:val="21"/>
          <w:szCs w:val="21"/>
        </w:rPr>
        <w:t>、行业竞争加剧的风险</w:t>
      </w:r>
    </w:p>
    <w:p w14:paraId="6BD63D5E"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公司所处的</w:t>
      </w:r>
      <w:r>
        <w:rPr>
          <w:rFonts w:ascii="Times New Roman" w:hAnsi="Times New Roman" w:cs="Times New Roman"/>
          <w:sz w:val="21"/>
          <w:szCs w:val="21"/>
        </w:rPr>
        <w:t>POCT</w:t>
      </w:r>
      <w:r>
        <w:rPr>
          <w:rFonts w:ascii="Times New Roman" w:hAnsi="Times New Roman" w:hint="eastAsia"/>
          <w:sz w:val="21"/>
          <w:szCs w:val="21"/>
        </w:rPr>
        <w:t>监测产品产业应用领域前景广阔，受益于国家政策和不断扩大的市场需求，未来将吸引更多国内外厂商进入该行业，公司将面对更为激烈市场竞争。公司在行业内具有一定的技术、成本、品牌等综合优势，产品技术已达到国际先进水平，但随着行业竞争不断加剧，若公司不能进一步提升技术、管理、规模、品牌及技术研发等方面的实力，则可能面临被竞争对手超越的风险，从而对公司的经营业绩产生一定不利影响。</w:t>
      </w:r>
    </w:p>
    <w:p w14:paraId="40FD68F3"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为此，公司将不断加大研发投入，积累产品与技术储备，实现产品迭代升级，完善产品生产管理体系，提升效率降低成本，优化产品品质，强化产品和品牌推广营销，提升客户体验。构建基于生物传感技术的产品及服务体系，并积极探索大数据和</w:t>
      </w:r>
      <w:r>
        <w:rPr>
          <w:rFonts w:ascii="Times New Roman" w:hAnsi="Times New Roman" w:cs="Times New Roman"/>
          <w:sz w:val="21"/>
          <w:szCs w:val="21"/>
        </w:rPr>
        <w:t>AI</w:t>
      </w:r>
      <w:r>
        <w:rPr>
          <w:rFonts w:ascii="Times New Roman" w:hAnsi="Times New Roman" w:hint="eastAsia"/>
          <w:sz w:val="21"/>
          <w:szCs w:val="21"/>
        </w:rPr>
        <w:t>前沿技术，围绕糖尿病管理，为患者、医疗机构提供整体的解决方案，以应对行业竞争加剧的风险。</w:t>
      </w:r>
    </w:p>
    <w:p w14:paraId="13A985F5"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2</w:t>
      </w:r>
      <w:r>
        <w:rPr>
          <w:rFonts w:ascii="Times New Roman" w:hAnsi="Times New Roman" w:hint="eastAsia"/>
          <w:sz w:val="21"/>
          <w:szCs w:val="21"/>
        </w:rPr>
        <w:t>、质量控制及产品责任的风险</w:t>
      </w:r>
    </w:p>
    <w:p w14:paraId="129069C4"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公司非常重视产品生产工艺和质量控制，建立了符合</w:t>
      </w:r>
      <w:r>
        <w:rPr>
          <w:rFonts w:ascii="Times New Roman" w:hAnsi="Times New Roman" w:cs="Times New Roman"/>
          <w:sz w:val="21"/>
          <w:szCs w:val="21"/>
        </w:rPr>
        <w:t>ISO 13485</w:t>
      </w:r>
      <w:r>
        <w:rPr>
          <w:rFonts w:ascii="Times New Roman" w:hAnsi="Times New Roman" w:hint="eastAsia"/>
          <w:sz w:val="21"/>
          <w:szCs w:val="21"/>
        </w:rPr>
        <w:t>《医疗器械质量管理体系用于法规的要求》、</w:t>
      </w:r>
      <w:r>
        <w:rPr>
          <w:rFonts w:ascii="Times New Roman" w:hAnsi="Times New Roman" w:cs="Times New Roman"/>
          <w:sz w:val="21"/>
          <w:szCs w:val="21"/>
        </w:rPr>
        <w:t>ISO 9001</w:t>
      </w:r>
      <w:r>
        <w:rPr>
          <w:rFonts w:ascii="Times New Roman" w:hAnsi="Times New Roman" w:hint="eastAsia"/>
          <w:sz w:val="21"/>
          <w:szCs w:val="21"/>
        </w:rPr>
        <w:t>《质量管理体系要求》、</w:t>
      </w:r>
      <w:r>
        <w:rPr>
          <w:rFonts w:ascii="Times New Roman" w:hAnsi="Times New Roman" w:cs="Times New Roman"/>
          <w:sz w:val="21"/>
          <w:szCs w:val="21"/>
        </w:rPr>
        <w:t>GB/T42061-2022</w:t>
      </w:r>
      <w:r>
        <w:rPr>
          <w:rFonts w:ascii="Times New Roman" w:hAnsi="Times New Roman" w:hint="eastAsia"/>
          <w:sz w:val="21"/>
          <w:szCs w:val="21"/>
        </w:rPr>
        <w:t>《医疗器械质量管理体系用于法规的要求》、中国《医疗器械生产质量管理规范》及其附录、美国</w:t>
      </w:r>
      <w:r>
        <w:rPr>
          <w:rFonts w:ascii="Times New Roman" w:hAnsi="Times New Roman" w:cs="Times New Roman"/>
          <w:sz w:val="21"/>
          <w:szCs w:val="21"/>
        </w:rPr>
        <w:t>21 CFR 820</w:t>
      </w:r>
      <w:r>
        <w:rPr>
          <w:rFonts w:ascii="Times New Roman" w:hAnsi="Times New Roman" w:hint="eastAsia"/>
          <w:sz w:val="21"/>
          <w:szCs w:val="21"/>
        </w:rPr>
        <w:t>《质量体系法规》、欧盟</w:t>
      </w:r>
      <w:r>
        <w:rPr>
          <w:rFonts w:ascii="Times New Roman" w:hAnsi="Times New Roman" w:cs="Times New Roman"/>
          <w:sz w:val="21"/>
          <w:szCs w:val="21"/>
        </w:rPr>
        <w:t>MDD/IVDD/MDR/IVDR</w:t>
      </w:r>
      <w:r>
        <w:rPr>
          <w:rFonts w:ascii="Times New Roman" w:hAnsi="Times New Roman" w:hint="eastAsia"/>
          <w:sz w:val="21"/>
          <w:szCs w:val="21"/>
        </w:rPr>
        <w:t>、巴西</w:t>
      </w:r>
      <w:r>
        <w:rPr>
          <w:rFonts w:ascii="Times New Roman" w:hAnsi="Times New Roman" w:cs="Times New Roman"/>
          <w:sz w:val="21"/>
          <w:szCs w:val="21"/>
        </w:rPr>
        <w:t>RDC 665/2022</w:t>
      </w:r>
      <w:r>
        <w:rPr>
          <w:rFonts w:ascii="Times New Roman" w:hAnsi="Times New Roman" w:hint="eastAsia"/>
          <w:sz w:val="21"/>
          <w:szCs w:val="21"/>
        </w:rPr>
        <w:t>《医疗器械与体外诊断器械的良好生产技术规范》、</w:t>
      </w:r>
      <w:r>
        <w:rPr>
          <w:rFonts w:ascii="Times New Roman" w:hAnsi="Times New Roman" w:cs="Times New Roman"/>
          <w:sz w:val="21"/>
          <w:szCs w:val="21"/>
        </w:rPr>
        <w:t>MDSAP</w:t>
      </w:r>
      <w:r>
        <w:rPr>
          <w:rFonts w:ascii="Times New Roman" w:hAnsi="Times New Roman" w:hint="eastAsia"/>
          <w:sz w:val="21"/>
          <w:szCs w:val="21"/>
        </w:rPr>
        <w:t>等相关法律法规和标准要求的国际化质量管理体系。但随着公司产品产量的扩大，生产线和厂区的增多，若公司不能随着业务扩张相应提高质量风险控制的能力，仍将使得公司面临一定的质量控制风险。如发生质量事故，患者因此提出产品责任索赔，或因此发生法律诉讼、仲裁，均可能会对公司的业务、经营、财务状况及声誉造成不利影响。</w:t>
      </w:r>
    </w:p>
    <w:p w14:paraId="055214D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为此，公司将不断强化质量控制与体系标准，提升生产线的自动化程度，完善内部质量审核体系和溯源体系，培育员工的质量意识，加强计量管理和来料检验，严格过程控制，严控产品质量，杜绝产品质量事故，避免产品责任风险。</w:t>
      </w:r>
    </w:p>
    <w:p w14:paraId="768897D3"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3</w:t>
      </w:r>
      <w:r>
        <w:rPr>
          <w:rFonts w:ascii="Times New Roman" w:hAnsi="Times New Roman" w:hint="eastAsia"/>
          <w:sz w:val="21"/>
          <w:szCs w:val="21"/>
        </w:rPr>
        <w:t>、新产品研发和技术替代的风险</w:t>
      </w:r>
    </w:p>
    <w:p w14:paraId="338FFBA1"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近年来中国、欧盟及美国的注册政策趋严，由于</w:t>
      </w:r>
      <w:r>
        <w:rPr>
          <w:rFonts w:ascii="Times New Roman" w:hAnsi="Times New Roman" w:cs="Times New Roman"/>
          <w:sz w:val="21"/>
          <w:szCs w:val="21"/>
        </w:rPr>
        <w:t>POCT</w:t>
      </w:r>
      <w:r>
        <w:rPr>
          <w:rFonts w:ascii="Times New Roman" w:hAnsi="Times New Roman" w:hint="eastAsia"/>
          <w:sz w:val="21"/>
          <w:szCs w:val="21"/>
        </w:rPr>
        <w:t>测试仪器产业具有科技含量高、对人员综合素质要求高、临床试验周期长等特点，总体上对公司研发能力和产品注册能力提出了更高的要求。随着血糖监测系统行业的竞争日益激烈以及</w:t>
      </w:r>
      <w:r>
        <w:rPr>
          <w:rFonts w:ascii="Times New Roman" w:hAnsi="Times New Roman" w:cs="Times New Roman"/>
          <w:sz w:val="21"/>
          <w:szCs w:val="21"/>
        </w:rPr>
        <w:t>CGM</w:t>
      </w:r>
      <w:r>
        <w:rPr>
          <w:rFonts w:ascii="Times New Roman" w:hAnsi="Times New Roman" w:hint="eastAsia"/>
          <w:sz w:val="21"/>
          <w:szCs w:val="21"/>
        </w:rPr>
        <w:t>或其他血糖监测工具的应用，如果公司不能准确把握行业的发展趋势，对新产品和市场需求的把握出现偏差、不能及时调整技术和产品方向；或者新技术、新产品不能迅速推广应用；或者公司目前所掌握的专有技术可能被国内、国际同行业更先进的技术所代替，公司有可能丧失技术和市场的领先地位，对未来公司业绩增长及盈利能力产生不利影响。</w:t>
      </w:r>
    </w:p>
    <w:p w14:paraId="2A3DDA3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为此，公司将不断完善科学的决策与管理体系，准确把握行业发展趋势，通过内部创新和外部并购的路径实现战略发展，与美国</w:t>
      </w:r>
      <w:r>
        <w:rPr>
          <w:rFonts w:ascii="Times New Roman" w:hAnsi="Times New Roman" w:cs="Times New Roman"/>
          <w:sz w:val="21"/>
          <w:szCs w:val="21"/>
        </w:rPr>
        <w:t>Trividia</w:t>
      </w:r>
      <w:r>
        <w:rPr>
          <w:rFonts w:ascii="Times New Roman" w:hAnsi="Times New Roman" w:hint="eastAsia"/>
          <w:sz w:val="21"/>
          <w:szCs w:val="21"/>
        </w:rPr>
        <w:t>和</w:t>
      </w:r>
      <w:r>
        <w:rPr>
          <w:rFonts w:ascii="Times New Roman" w:hAnsi="Times New Roman" w:cs="Times New Roman"/>
          <w:sz w:val="21"/>
          <w:szCs w:val="21"/>
        </w:rPr>
        <w:t>PTS</w:t>
      </w:r>
      <w:r>
        <w:rPr>
          <w:rFonts w:ascii="Times New Roman" w:hAnsi="Times New Roman" w:hint="eastAsia"/>
          <w:sz w:val="21"/>
          <w:szCs w:val="21"/>
        </w:rPr>
        <w:t>公司共同建立协同工作机制，实现各方在产品研发、规模化生产等方面的全方位深度协作，掌握行业领先的核心技术，及时把握技术、市场和政策的变化趋势，跟踪掌握行业新技术、新工艺，将技术研发成果与客户需求相结合，提高技术研发成果对经济效益的贡献，不断加强公司的技术优势，目前公司已构建了较为完善的技术平台和产品线，为公司的持续快速成长提供保障。</w:t>
      </w:r>
    </w:p>
    <w:p w14:paraId="2775D7B5"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4</w:t>
      </w:r>
      <w:r>
        <w:rPr>
          <w:rFonts w:ascii="Times New Roman" w:hAnsi="Times New Roman" w:hint="eastAsia"/>
          <w:sz w:val="21"/>
          <w:szCs w:val="21"/>
        </w:rPr>
        <w:t>、行业监管及政策变化风险</w:t>
      </w:r>
    </w:p>
    <w:p w14:paraId="2D4B4C28"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医疗器械行业与医疗器械批发行业中的流通产品与人类生命健康直接相关，为保障产品的安全性，国家对医疗器械行业实施严格监管，颁布了一系列较为严格的注册法规及行业标准。医疗器械行业景气度与政策环境高度相关，受政策变化影响较大。近年来，国家药品监督管理局以及其他监管部门也在持续完善相关行业法律法规，历次监管政策的变革都会引发医疗卫生、医疗保障、医疗流通体制的改变，进一步对本行业的经营和发展产生重大影响，产业政策的变化是行业内企业需要面对的风险。近年来，部分地区发布政策，将部分临床用量较大、采购金额较高、临床使用较成熟、市场竞争较充分的临床检验试剂纳入采购范围，以及各国家和地区不同的行业规范要求。整个行业也在不断进步，企业需要快速达到并适应新的要求，若公司不能较好调整并适应新的经营环境，公司经营将面临不利变化，客观上政策上的不确定性，使得政策风险增加。</w:t>
      </w:r>
    </w:p>
    <w:p w14:paraId="6DB1C6BA"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为此，公司将积极应对行业政策变化带来的风险，始终坚持合法合规经营，加强风险管理能力，密切关注政府相关法律法规动态，根据市场动态及需求及时调整优化营销体系。同时不断提升自身的经营规划、管理架构和财务管理等方面统筹规划能力，提高自身经营管理水平，加大新兴市场开发力度和产品研发投入，为公司的持续快速成长提供保障，充分降低因行业政策变化引起的经营风险。</w:t>
      </w:r>
    </w:p>
    <w:p w14:paraId="701ABE1D"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cs="Times New Roman"/>
          <w:sz w:val="21"/>
          <w:szCs w:val="21"/>
        </w:rPr>
        <w:t>5</w:t>
      </w:r>
      <w:r>
        <w:rPr>
          <w:rFonts w:ascii="Times New Roman" w:hAnsi="Times New Roman" w:hint="eastAsia"/>
          <w:sz w:val="21"/>
          <w:szCs w:val="21"/>
        </w:rPr>
        <w:t>、海外并购标的整合不达预期的风险</w:t>
      </w:r>
      <w:r>
        <w:rPr>
          <w:rFonts w:ascii="Times New Roman" w:hAnsi="Times New Roman" w:cs="Times New Roman"/>
          <w:sz w:val="21"/>
          <w:szCs w:val="21"/>
        </w:rPr>
        <w:t xml:space="preserve"> </w:t>
      </w:r>
    </w:p>
    <w:p w14:paraId="60F44A50"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公司与海外并购标的公司</w:t>
      </w:r>
      <w:r>
        <w:rPr>
          <w:rFonts w:ascii="Times New Roman" w:hAnsi="Times New Roman" w:cs="Times New Roman"/>
          <w:sz w:val="21"/>
          <w:szCs w:val="21"/>
        </w:rPr>
        <w:t>Trividia</w:t>
      </w:r>
      <w:r>
        <w:rPr>
          <w:rFonts w:ascii="Times New Roman" w:hAnsi="Times New Roman" w:hint="eastAsia"/>
          <w:sz w:val="21"/>
          <w:szCs w:val="21"/>
        </w:rPr>
        <w:t>与</w:t>
      </w:r>
      <w:r>
        <w:rPr>
          <w:rFonts w:ascii="Times New Roman" w:hAnsi="Times New Roman" w:cs="Times New Roman"/>
          <w:sz w:val="21"/>
          <w:szCs w:val="21"/>
        </w:rPr>
        <w:t>PTS</w:t>
      </w:r>
      <w:r>
        <w:rPr>
          <w:rFonts w:ascii="Times New Roman" w:hAnsi="Times New Roman" w:hint="eastAsia"/>
          <w:sz w:val="21"/>
          <w:szCs w:val="21"/>
        </w:rPr>
        <w:t>属于同一行业，双方具有较高的业务关联度、行业互补或者技术互补，双方将在企业文化、经营管理、业务拓展等方面进行融合，实现资源整合。但通过兼并收购实现公司快速扩张对公司整合能力提出了更高的挑战，虽然公司管理层已经具备丰富的整合经验，但被并购方企业文化的差异性以及人员管理的复杂性，仍增加了公司运营管理的不确定性。若公司在对标的公司的整合过程中，未能及时制定与之相适应的企业文化、组织模式、财务管理与内控、技术研发管理等方面的具体措施，可能会对盈利能力产生不利影响。此外，国际贸易环境日趋复杂，境外子公司会受到所在国家和地区的政治经济、市场变化等因素影响，如上述国家和地区该等影响因素发生不利变化，则可能会对境外业务的经营稳定性和持续盈利能力造成一定影响。</w:t>
      </w:r>
    </w:p>
    <w:p w14:paraId="7E5B69F4" w14:textId="77777777" w:rsidR="00113A51" w:rsidRDefault="00766EC7">
      <w:pPr>
        <w:pStyle w:val="a9"/>
        <w:spacing w:before="0" w:beforeAutospacing="0" w:after="0" w:afterAutospacing="0" w:line="360" w:lineRule="auto"/>
        <w:ind w:firstLine="420"/>
        <w:jc w:val="both"/>
        <w:rPr>
          <w:rFonts w:ascii="等线" w:eastAsia="等线" w:hAnsi="等线"/>
          <w:sz w:val="21"/>
          <w:szCs w:val="21"/>
        </w:rPr>
      </w:pPr>
      <w:r>
        <w:rPr>
          <w:rFonts w:ascii="Times New Roman" w:hAnsi="Times New Roman" w:hint="eastAsia"/>
          <w:sz w:val="21"/>
          <w:szCs w:val="21"/>
        </w:rPr>
        <w:t>为此，公司将与海外各子公司共同建立协同工作机制，在相互认同的基础上逐步实现各方在运营管理、产品研发、生产及国际市场开拓等方面的全方位深度协作。同时，公司将不断提升自身的经营规划、管理架构和财务管理等方面统筹规划能力，加强企业文化建设和人性化管理，与海外公司一同充分挖掘各方在产品研发、生产、销售等方面存在的协同，求同存异，同时加快高素质人才引进，建立主要市场的本土化，充分发挥和调动管理团队的积极性，促进发展思路、管理和文化的有效整合，最大限度降低整合风险，适应全球商业竞争环境不确定性的挑战。</w:t>
      </w:r>
    </w:p>
    <w:p w14:paraId="2798C7E2" w14:textId="77777777" w:rsidR="00113A51" w:rsidRDefault="00766EC7">
      <w:pPr>
        <w:pStyle w:val="2"/>
        <w:spacing w:before="300" w:after="300" w:line="320" w:lineRule="exact"/>
        <w:rPr>
          <w:rFonts w:ascii="宋体" w:eastAsia="宋体" w:hAnsi="宋体" w:cs="宋体"/>
          <w:b/>
          <w:bCs/>
          <w:sz w:val="24"/>
          <w:szCs w:val="24"/>
        </w:rPr>
      </w:pPr>
      <w:bookmarkStart w:id="53" w:name="_Toc988937"/>
      <w:r>
        <w:rPr>
          <w:rFonts w:ascii="宋体" w:eastAsia="宋体" w:hAnsi="宋体" w:cs="宋体"/>
          <w:b/>
          <w:bCs/>
          <w:sz w:val="24"/>
          <w:szCs w:val="24"/>
        </w:rPr>
        <w:t>十二、报告期内接待调研、沟通、采访等活动登记表</w:t>
      </w:r>
      <w:bookmarkEnd w:id="53"/>
    </w:p>
    <w:p w14:paraId="39BA07C9"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552" w:type="dxa"/>
        <w:tblInd w:w="108" w:type="dxa"/>
        <w:tblLayout w:type="fixed"/>
        <w:tblLook w:val="04A0" w:firstRow="1" w:lastRow="0" w:firstColumn="1" w:lastColumn="0" w:noHBand="0" w:noVBand="1"/>
      </w:tblPr>
      <w:tblGrid>
        <w:gridCol w:w="1020"/>
        <w:gridCol w:w="595"/>
        <w:gridCol w:w="595"/>
        <w:gridCol w:w="794"/>
        <w:gridCol w:w="3770"/>
        <w:gridCol w:w="1644"/>
        <w:gridCol w:w="1134"/>
      </w:tblGrid>
      <w:tr w:rsidR="00C57E60" w14:paraId="1FF53F2D" w14:textId="77777777">
        <w:trPr>
          <w:trHeight w:val="240"/>
        </w:trPr>
        <w:tc>
          <w:tcPr>
            <w:tcW w:w="1020" w:type="dxa"/>
            <w:tcBorders>
              <w:top w:val="single" w:sz="2" w:space="0" w:color="auto"/>
              <w:left w:val="single" w:sz="2" w:space="0" w:color="auto"/>
              <w:bottom w:val="single" w:sz="2" w:space="0" w:color="auto"/>
              <w:right w:val="single" w:sz="2" w:space="0" w:color="auto"/>
            </w:tcBorders>
            <w:shd w:val="clear" w:color="auto" w:fill="D3D3D3"/>
            <w:vAlign w:val="center"/>
          </w:tcPr>
          <w:p w14:paraId="2D2391E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接待时间</w:t>
            </w:r>
          </w:p>
        </w:tc>
        <w:tc>
          <w:tcPr>
            <w:tcW w:w="595" w:type="dxa"/>
            <w:tcBorders>
              <w:top w:val="single" w:sz="2" w:space="0" w:color="auto"/>
              <w:left w:val="single" w:sz="2" w:space="0" w:color="auto"/>
              <w:bottom w:val="single" w:sz="2" w:space="0" w:color="auto"/>
              <w:right w:val="single" w:sz="2" w:space="0" w:color="auto"/>
            </w:tcBorders>
            <w:shd w:val="clear" w:color="auto" w:fill="D3D3D3"/>
            <w:vAlign w:val="center"/>
          </w:tcPr>
          <w:p w14:paraId="70277901"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接待地点</w:t>
            </w:r>
          </w:p>
        </w:tc>
        <w:tc>
          <w:tcPr>
            <w:tcW w:w="595" w:type="dxa"/>
            <w:tcBorders>
              <w:top w:val="single" w:sz="2" w:space="0" w:color="auto"/>
              <w:left w:val="single" w:sz="2" w:space="0" w:color="auto"/>
              <w:bottom w:val="single" w:sz="2" w:space="0" w:color="auto"/>
              <w:right w:val="single" w:sz="2" w:space="0" w:color="auto"/>
            </w:tcBorders>
            <w:shd w:val="clear" w:color="auto" w:fill="D3D3D3"/>
            <w:vAlign w:val="center"/>
          </w:tcPr>
          <w:p w14:paraId="3F1A70C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接待方式</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74C30F3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接待对象类型</w:t>
            </w:r>
          </w:p>
        </w:tc>
        <w:tc>
          <w:tcPr>
            <w:tcW w:w="3770" w:type="dxa"/>
            <w:tcBorders>
              <w:top w:val="single" w:sz="2" w:space="0" w:color="auto"/>
              <w:left w:val="single" w:sz="2" w:space="0" w:color="auto"/>
              <w:bottom w:val="single" w:sz="2" w:space="0" w:color="auto"/>
              <w:right w:val="single" w:sz="2" w:space="0" w:color="auto"/>
            </w:tcBorders>
            <w:shd w:val="clear" w:color="auto" w:fill="D3D3D3"/>
            <w:vAlign w:val="center"/>
          </w:tcPr>
          <w:p w14:paraId="73AFE88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接待对象</w:t>
            </w:r>
          </w:p>
        </w:tc>
        <w:tc>
          <w:tcPr>
            <w:tcW w:w="1644" w:type="dxa"/>
            <w:tcBorders>
              <w:top w:val="single" w:sz="2" w:space="0" w:color="auto"/>
              <w:left w:val="single" w:sz="2" w:space="0" w:color="auto"/>
              <w:bottom w:val="single" w:sz="2" w:space="0" w:color="auto"/>
              <w:right w:val="single" w:sz="2" w:space="0" w:color="auto"/>
            </w:tcBorders>
            <w:shd w:val="clear" w:color="auto" w:fill="D3D3D3"/>
            <w:vAlign w:val="center"/>
          </w:tcPr>
          <w:p w14:paraId="3D161E4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谈论的主要内容及提供的资料</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51E32D3"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调研的基本情况索引</w:t>
            </w:r>
          </w:p>
        </w:tc>
      </w:tr>
      <w:tr w:rsidR="00C57E60" w14:paraId="003E6459" w14:textId="77777777">
        <w:trPr>
          <w:trHeight w:val="240"/>
        </w:trPr>
        <w:tc>
          <w:tcPr>
            <w:tcW w:w="1020" w:type="dxa"/>
            <w:tcBorders>
              <w:top w:val="single" w:sz="2" w:space="0" w:color="auto"/>
              <w:left w:val="single" w:sz="2" w:space="0" w:color="auto"/>
              <w:bottom w:val="single" w:sz="2" w:space="0" w:color="auto"/>
              <w:right w:val="single" w:sz="2" w:space="0" w:color="auto"/>
            </w:tcBorders>
            <w:vAlign w:val="center"/>
          </w:tcPr>
          <w:p w14:paraId="6138996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22</w:t>
            </w:r>
            <w:r>
              <w:rPr>
                <w:rFonts w:ascii="Times New Roman" w:eastAsia="宋体" w:hAnsi="Times New Roman" w:cs="宋体"/>
                <w:sz w:val="18"/>
                <w:szCs w:val="18"/>
              </w:rPr>
              <w:t>日</w:t>
            </w:r>
          </w:p>
        </w:tc>
        <w:tc>
          <w:tcPr>
            <w:tcW w:w="595" w:type="dxa"/>
            <w:tcBorders>
              <w:top w:val="single" w:sz="2" w:space="0" w:color="auto"/>
              <w:left w:val="single" w:sz="2" w:space="0" w:color="auto"/>
              <w:bottom w:val="single" w:sz="2" w:space="0" w:color="auto"/>
              <w:right w:val="single" w:sz="2" w:space="0" w:color="auto"/>
            </w:tcBorders>
            <w:vAlign w:val="center"/>
          </w:tcPr>
          <w:p w14:paraId="2ADE385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电话会议</w:t>
            </w:r>
          </w:p>
        </w:tc>
        <w:tc>
          <w:tcPr>
            <w:tcW w:w="595" w:type="dxa"/>
            <w:tcBorders>
              <w:top w:val="single" w:sz="2" w:space="0" w:color="auto"/>
              <w:left w:val="single" w:sz="2" w:space="0" w:color="auto"/>
              <w:bottom w:val="single" w:sz="2" w:space="0" w:color="auto"/>
              <w:right w:val="single" w:sz="2" w:space="0" w:color="auto"/>
            </w:tcBorders>
            <w:vAlign w:val="center"/>
          </w:tcPr>
          <w:p w14:paraId="2A2D958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电话沟通</w:t>
            </w:r>
          </w:p>
        </w:tc>
        <w:tc>
          <w:tcPr>
            <w:tcW w:w="794" w:type="dxa"/>
            <w:tcBorders>
              <w:top w:val="single" w:sz="2" w:space="0" w:color="auto"/>
              <w:left w:val="single" w:sz="2" w:space="0" w:color="auto"/>
              <w:bottom w:val="single" w:sz="2" w:space="0" w:color="auto"/>
              <w:right w:val="single" w:sz="2" w:space="0" w:color="auto"/>
            </w:tcBorders>
            <w:vAlign w:val="center"/>
          </w:tcPr>
          <w:p w14:paraId="39DD44A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机构</w:t>
            </w:r>
          </w:p>
        </w:tc>
        <w:tc>
          <w:tcPr>
            <w:tcW w:w="3770" w:type="dxa"/>
            <w:tcBorders>
              <w:top w:val="single" w:sz="2" w:space="0" w:color="auto"/>
              <w:left w:val="single" w:sz="2" w:space="0" w:color="auto"/>
              <w:bottom w:val="single" w:sz="2" w:space="0" w:color="auto"/>
              <w:right w:val="single" w:sz="2" w:space="0" w:color="auto"/>
            </w:tcBorders>
            <w:vAlign w:val="center"/>
          </w:tcPr>
          <w:p w14:paraId="4EC0E4D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华泰证券：代雯、高鹏、杨昌源；长江医药：彭英骐、徐晓欣；德邦证券：周新明、向潇；东吴证券：朱国广、王美麒；方正证券：周超泽、窦慧敏、唐娜；光大证券：王明瑞、吴佳青；国金证券：袁维、何冠洲；国联民生证券：郑薇、许津华；国盛证券：张金洋、杨芳、王震；华安证券：谭国超、李婵；华福证券：黄冠群；民生证券：王班、朱凤萍；申万宏源证券：张静含、陈烨远；西南证券：杜向阳、阮雯；信达医药：唐爱金、曹佳琳；兴业证券：孙媛媛、黄翰漾、董晓洁；中金公司：张琎、朱言音、刘雅馨；中信证券：陈竹、宋硕、沈睦钧；中信建投医药：贺菊颖、王在存、李虹达；中国银河证券：孟熙、程培；天风证券：周海涛；西部证券：孙阿敏；财通证券：赵则芬；国信证券：张佳博；华金证券：苏雪儿；华创证券：郑辰、李婵娟、张良龙；华福证券：陈铁林、王艳、黄冠群等人员</w:t>
            </w:r>
          </w:p>
        </w:tc>
        <w:tc>
          <w:tcPr>
            <w:tcW w:w="1644" w:type="dxa"/>
            <w:tcBorders>
              <w:top w:val="single" w:sz="2" w:space="0" w:color="auto"/>
              <w:left w:val="single" w:sz="2" w:space="0" w:color="auto"/>
              <w:bottom w:val="single" w:sz="2" w:space="0" w:color="auto"/>
              <w:right w:val="single" w:sz="2" w:space="0" w:color="auto"/>
            </w:tcBorders>
            <w:vAlign w:val="center"/>
          </w:tcPr>
          <w:p w14:paraId="6B9A91B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w:t>
            </w:r>
            <w:r>
              <w:rPr>
                <w:rFonts w:ascii="Times New Roman" w:eastAsia="宋体" w:hAnsi="Times New Roman" w:cs="宋体"/>
                <w:sz w:val="18"/>
                <w:szCs w:val="18"/>
              </w:rPr>
              <w:t>1</w:t>
            </w:r>
            <w:r>
              <w:rPr>
                <w:rFonts w:ascii="Times New Roman" w:eastAsia="宋体" w:hAnsi="Times New Roman" w:cs="宋体"/>
                <w:sz w:val="18"/>
                <w:szCs w:val="18"/>
              </w:rPr>
              <w:t>）介绍公司</w:t>
            </w:r>
            <w:r>
              <w:rPr>
                <w:rFonts w:ascii="Times New Roman" w:eastAsia="宋体" w:hAnsi="Times New Roman" w:cs="宋体"/>
                <w:sz w:val="18"/>
                <w:szCs w:val="18"/>
              </w:rPr>
              <w:t>2024</w:t>
            </w:r>
            <w:r>
              <w:rPr>
                <w:rFonts w:ascii="Times New Roman" w:eastAsia="宋体" w:hAnsi="Times New Roman" w:cs="宋体"/>
                <w:sz w:val="18"/>
                <w:szCs w:val="18"/>
              </w:rPr>
              <w:t>年年度主要经营情况；</w:t>
            </w:r>
            <w:r>
              <w:rPr>
                <w:rFonts w:ascii="Times New Roman" w:eastAsia="宋体" w:hAnsi="Times New Roman" w:cs="宋体"/>
                <w:sz w:val="18"/>
                <w:szCs w:val="18"/>
              </w:rPr>
              <w:t xml:space="preserve"> </w:t>
            </w:r>
          </w:p>
          <w:p w14:paraId="0F4052B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w:t>
            </w:r>
            <w:r>
              <w:rPr>
                <w:rFonts w:ascii="Times New Roman" w:eastAsia="宋体" w:hAnsi="Times New Roman" w:cs="宋体"/>
                <w:sz w:val="18"/>
                <w:szCs w:val="18"/>
              </w:rPr>
              <w:t>2</w:t>
            </w:r>
            <w:r>
              <w:rPr>
                <w:rFonts w:ascii="Times New Roman" w:eastAsia="宋体" w:hAnsi="Times New Roman" w:cs="宋体"/>
                <w:sz w:val="18"/>
                <w:szCs w:val="18"/>
              </w:rPr>
              <w:t>）就公司业务发展、产品优势、战略规划等投资者关心的问题进行交流。</w:t>
            </w:r>
          </w:p>
        </w:tc>
        <w:tc>
          <w:tcPr>
            <w:tcW w:w="1134" w:type="dxa"/>
            <w:tcBorders>
              <w:top w:val="single" w:sz="2" w:space="0" w:color="auto"/>
              <w:left w:val="single" w:sz="2" w:space="0" w:color="auto"/>
              <w:bottom w:val="single" w:sz="2" w:space="0" w:color="auto"/>
              <w:right w:val="single" w:sz="2" w:space="0" w:color="auto"/>
            </w:tcBorders>
            <w:vAlign w:val="center"/>
          </w:tcPr>
          <w:p w14:paraId="7063A3F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详见公司于</w:t>
            </w: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4</w:t>
            </w:r>
            <w:r>
              <w:rPr>
                <w:rFonts w:ascii="Times New Roman" w:eastAsia="宋体" w:hAnsi="Times New Roman" w:cs="宋体"/>
                <w:sz w:val="18"/>
                <w:szCs w:val="18"/>
              </w:rPr>
              <w:t>月</w:t>
            </w:r>
            <w:r>
              <w:rPr>
                <w:rFonts w:ascii="Times New Roman" w:eastAsia="宋体" w:hAnsi="Times New Roman" w:cs="宋体"/>
                <w:sz w:val="18"/>
                <w:szCs w:val="18"/>
              </w:rPr>
              <w:t>22</w:t>
            </w:r>
            <w:r>
              <w:rPr>
                <w:rFonts w:ascii="Times New Roman" w:eastAsia="宋体" w:hAnsi="Times New Roman" w:cs="宋体"/>
                <w:sz w:val="18"/>
                <w:szCs w:val="18"/>
              </w:rPr>
              <w:t>日在巨潮资讯网上发布的投资者关系活动记录表。</w:t>
            </w:r>
          </w:p>
        </w:tc>
      </w:tr>
      <w:tr w:rsidR="00C57E60" w14:paraId="2E8DF6F3" w14:textId="77777777">
        <w:trPr>
          <w:trHeight w:val="240"/>
        </w:trPr>
        <w:tc>
          <w:tcPr>
            <w:tcW w:w="1020" w:type="dxa"/>
            <w:tcBorders>
              <w:top w:val="single" w:sz="2" w:space="0" w:color="auto"/>
              <w:left w:val="single" w:sz="2" w:space="0" w:color="auto"/>
              <w:bottom w:val="single" w:sz="2" w:space="0" w:color="auto"/>
              <w:right w:val="single" w:sz="2" w:space="0" w:color="auto"/>
            </w:tcBorders>
            <w:vAlign w:val="center"/>
          </w:tcPr>
          <w:p w14:paraId="41FAC46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05</w:t>
            </w:r>
            <w:r>
              <w:rPr>
                <w:rFonts w:ascii="Times New Roman" w:eastAsia="宋体" w:hAnsi="Times New Roman" w:cs="宋体"/>
                <w:sz w:val="18"/>
                <w:szCs w:val="18"/>
              </w:rPr>
              <w:t>月</w:t>
            </w:r>
            <w:r>
              <w:rPr>
                <w:rFonts w:ascii="Times New Roman" w:eastAsia="宋体" w:hAnsi="Times New Roman" w:cs="宋体"/>
                <w:sz w:val="18"/>
                <w:szCs w:val="18"/>
              </w:rPr>
              <w:t>07</w:t>
            </w:r>
            <w:r>
              <w:rPr>
                <w:rFonts w:ascii="Times New Roman" w:eastAsia="宋体" w:hAnsi="Times New Roman" w:cs="宋体"/>
                <w:sz w:val="18"/>
                <w:szCs w:val="18"/>
              </w:rPr>
              <w:t>日</w:t>
            </w:r>
          </w:p>
        </w:tc>
        <w:tc>
          <w:tcPr>
            <w:tcW w:w="595" w:type="dxa"/>
            <w:tcBorders>
              <w:top w:val="single" w:sz="2" w:space="0" w:color="auto"/>
              <w:left w:val="single" w:sz="2" w:space="0" w:color="auto"/>
              <w:bottom w:val="single" w:sz="2" w:space="0" w:color="auto"/>
              <w:right w:val="single" w:sz="2" w:space="0" w:color="auto"/>
            </w:tcBorders>
            <w:vAlign w:val="center"/>
          </w:tcPr>
          <w:p w14:paraId="41DB32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全景网</w:t>
            </w:r>
          </w:p>
        </w:tc>
        <w:tc>
          <w:tcPr>
            <w:tcW w:w="595" w:type="dxa"/>
            <w:tcBorders>
              <w:top w:val="single" w:sz="2" w:space="0" w:color="auto"/>
              <w:left w:val="single" w:sz="2" w:space="0" w:color="auto"/>
              <w:bottom w:val="single" w:sz="2" w:space="0" w:color="auto"/>
              <w:right w:val="single" w:sz="2" w:space="0" w:color="auto"/>
            </w:tcBorders>
            <w:vAlign w:val="center"/>
          </w:tcPr>
          <w:p w14:paraId="7BC48BA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网络平台线上交流</w:t>
            </w:r>
          </w:p>
        </w:tc>
        <w:tc>
          <w:tcPr>
            <w:tcW w:w="794" w:type="dxa"/>
            <w:tcBorders>
              <w:top w:val="single" w:sz="2" w:space="0" w:color="auto"/>
              <w:left w:val="single" w:sz="2" w:space="0" w:color="auto"/>
              <w:bottom w:val="single" w:sz="2" w:space="0" w:color="auto"/>
              <w:right w:val="single" w:sz="2" w:space="0" w:color="auto"/>
            </w:tcBorders>
            <w:vAlign w:val="center"/>
          </w:tcPr>
          <w:p w14:paraId="2B44B1A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个人</w:t>
            </w:r>
          </w:p>
        </w:tc>
        <w:tc>
          <w:tcPr>
            <w:tcW w:w="3770" w:type="dxa"/>
            <w:tcBorders>
              <w:top w:val="single" w:sz="2" w:space="0" w:color="auto"/>
              <w:left w:val="single" w:sz="2" w:space="0" w:color="auto"/>
              <w:bottom w:val="single" w:sz="2" w:space="0" w:color="auto"/>
              <w:right w:val="single" w:sz="2" w:space="0" w:color="auto"/>
            </w:tcBorders>
            <w:vAlign w:val="center"/>
          </w:tcPr>
          <w:p w14:paraId="4AF8581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投资者</w:t>
            </w:r>
          </w:p>
        </w:tc>
        <w:tc>
          <w:tcPr>
            <w:tcW w:w="1644" w:type="dxa"/>
            <w:tcBorders>
              <w:top w:val="single" w:sz="2" w:space="0" w:color="auto"/>
              <w:left w:val="single" w:sz="2" w:space="0" w:color="auto"/>
              <w:bottom w:val="single" w:sz="2" w:space="0" w:color="auto"/>
              <w:right w:val="single" w:sz="2" w:space="0" w:color="auto"/>
            </w:tcBorders>
            <w:vAlign w:val="center"/>
          </w:tcPr>
          <w:p w14:paraId="624396B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就公司经营情况、业务发展、产品优势、战略规划等投资者关心的问题进行交流。</w:t>
            </w:r>
          </w:p>
        </w:tc>
        <w:tc>
          <w:tcPr>
            <w:tcW w:w="1134" w:type="dxa"/>
            <w:tcBorders>
              <w:top w:val="single" w:sz="2" w:space="0" w:color="auto"/>
              <w:left w:val="single" w:sz="2" w:space="0" w:color="auto"/>
              <w:bottom w:val="single" w:sz="2" w:space="0" w:color="auto"/>
              <w:right w:val="single" w:sz="2" w:space="0" w:color="auto"/>
            </w:tcBorders>
            <w:vAlign w:val="center"/>
          </w:tcPr>
          <w:p w14:paraId="334E6FF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详见公司于</w:t>
            </w: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5</w:t>
            </w:r>
            <w:r>
              <w:rPr>
                <w:rFonts w:ascii="Times New Roman" w:eastAsia="宋体" w:hAnsi="Times New Roman" w:cs="宋体"/>
                <w:sz w:val="18"/>
                <w:szCs w:val="18"/>
              </w:rPr>
              <w:t>月</w:t>
            </w:r>
            <w:r>
              <w:rPr>
                <w:rFonts w:ascii="Times New Roman" w:eastAsia="宋体" w:hAnsi="Times New Roman" w:cs="宋体"/>
                <w:sz w:val="18"/>
                <w:szCs w:val="18"/>
              </w:rPr>
              <w:t>7</w:t>
            </w:r>
            <w:r>
              <w:rPr>
                <w:rFonts w:ascii="Times New Roman" w:eastAsia="宋体" w:hAnsi="Times New Roman" w:cs="宋体"/>
                <w:sz w:val="18"/>
                <w:szCs w:val="18"/>
              </w:rPr>
              <w:t>日在巨潮资讯网上发布的投资者关系活动记录表。</w:t>
            </w:r>
          </w:p>
        </w:tc>
      </w:tr>
      <w:tr w:rsidR="00C57E60" w14:paraId="31DE2DAD" w14:textId="77777777">
        <w:trPr>
          <w:trHeight w:val="240"/>
        </w:trPr>
        <w:tc>
          <w:tcPr>
            <w:tcW w:w="1020" w:type="dxa"/>
            <w:tcBorders>
              <w:top w:val="single" w:sz="2" w:space="0" w:color="auto"/>
              <w:left w:val="single" w:sz="2" w:space="0" w:color="auto"/>
              <w:bottom w:val="single" w:sz="2" w:space="0" w:color="auto"/>
              <w:right w:val="single" w:sz="2" w:space="0" w:color="auto"/>
            </w:tcBorders>
            <w:vAlign w:val="center"/>
          </w:tcPr>
          <w:p w14:paraId="6A9E829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08</w:t>
            </w:r>
            <w:r>
              <w:rPr>
                <w:rFonts w:ascii="Times New Roman" w:eastAsia="宋体" w:hAnsi="Times New Roman" w:cs="宋体"/>
                <w:sz w:val="18"/>
                <w:szCs w:val="18"/>
              </w:rPr>
              <w:t>月</w:t>
            </w:r>
            <w:r>
              <w:rPr>
                <w:rFonts w:ascii="Times New Roman" w:eastAsia="宋体" w:hAnsi="Times New Roman" w:cs="宋体"/>
                <w:sz w:val="18"/>
                <w:szCs w:val="18"/>
              </w:rPr>
              <w:t>28</w:t>
            </w:r>
            <w:r>
              <w:rPr>
                <w:rFonts w:ascii="Times New Roman" w:eastAsia="宋体" w:hAnsi="Times New Roman" w:cs="宋体"/>
                <w:sz w:val="18"/>
                <w:szCs w:val="18"/>
              </w:rPr>
              <w:t>日</w:t>
            </w:r>
          </w:p>
        </w:tc>
        <w:tc>
          <w:tcPr>
            <w:tcW w:w="595" w:type="dxa"/>
            <w:tcBorders>
              <w:top w:val="single" w:sz="2" w:space="0" w:color="auto"/>
              <w:left w:val="single" w:sz="2" w:space="0" w:color="auto"/>
              <w:bottom w:val="single" w:sz="2" w:space="0" w:color="auto"/>
              <w:right w:val="single" w:sz="2" w:space="0" w:color="auto"/>
            </w:tcBorders>
            <w:vAlign w:val="center"/>
          </w:tcPr>
          <w:p w14:paraId="02E9540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电话会议</w:t>
            </w:r>
          </w:p>
        </w:tc>
        <w:tc>
          <w:tcPr>
            <w:tcW w:w="595" w:type="dxa"/>
            <w:tcBorders>
              <w:top w:val="single" w:sz="2" w:space="0" w:color="auto"/>
              <w:left w:val="single" w:sz="2" w:space="0" w:color="auto"/>
              <w:bottom w:val="single" w:sz="2" w:space="0" w:color="auto"/>
              <w:right w:val="single" w:sz="2" w:space="0" w:color="auto"/>
            </w:tcBorders>
            <w:vAlign w:val="center"/>
          </w:tcPr>
          <w:p w14:paraId="3E24EB3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电话沟通</w:t>
            </w:r>
          </w:p>
        </w:tc>
        <w:tc>
          <w:tcPr>
            <w:tcW w:w="794" w:type="dxa"/>
            <w:tcBorders>
              <w:top w:val="single" w:sz="2" w:space="0" w:color="auto"/>
              <w:left w:val="single" w:sz="2" w:space="0" w:color="auto"/>
              <w:bottom w:val="single" w:sz="2" w:space="0" w:color="auto"/>
              <w:right w:val="single" w:sz="2" w:space="0" w:color="auto"/>
            </w:tcBorders>
            <w:vAlign w:val="center"/>
          </w:tcPr>
          <w:p w14:paraId="13DB17C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机构、个人</w:t>
            </w:r>
          </w:p>
        </w:tc>
        <w:tc>
          <w:tcPr>
            <w:tcW w:w="3770" w:type="dxa"/>
            <w:tcBorders>
              <w:top w:val="single" w:sz="2" w:space="0" w:color="auto"/>
              <w:left w:val="single" w:sz="2" w:space="0" w:color="auto"/>
              <w:bottom w:val="single" w:sz="2" w:space="0" w:color="auto"/>
              <w:right w:val="single" w:sz="2" w:space="0" w:color="auto"/>
            </w:tcBorders>
            <w:vAlign w:val="center"/>
          </w:tcPr>
          <w:p w14:paraId="546DA30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华泰证券：代雯、高鹏、杨昌源、李艳光、严爱华、朱弘毅、刘藏丹、曹冠昊；中信证券：沈睦钧；东吴证券：王美麒；中金公司：刘雅馨；国盛证券：杨芳；申万宏源：陈烨远；国金证券：何冠洲；华创证券：陈俊威；兴业证券：董晓洁；高盛证券：</w:t>
            </w:r>
            <w:r>
              <w:rPr>
                <w:rFonts w:ascii="Times New Roman" w:eastAsia="宋体" w:hAnsi="Times New Roman" w:cs="宋体"/>
                <w:sz w:val="18"/>
                <w:szCs w:val="18"/>
              </w:rPr>
              <w:t>Chris Pan</w:t>
            </w:r>
            <w:r>
              <w:rPr>
                <w:rFonts w:ascii="Times New Roman" w:eastAsia="宋体" w:hAnsi="Times New Roman" w:cs="宋体"/>
                <w:sz w:val="18"/>
                <w:szCs w:val="18"/>
              </w:rPr>
              <w:t>、</w:t>
            </w:r>
            <w:r>
              <w:rPr>
                <w:rFonts w:ascii="Times New Roman" w:eastAsia="宋体" w:hAnsi="Times New Roman" w:cs="宋体"/>
                <w:sz w:val="18"/>
                <w:szCs w:val="18"/>
              </w:rPr>
              <w:t>Kaylee Jiang</w:t>
            </w:r>
            <w:r>
              <w:rPr>
                <w:rFonts w:ascii="Times New Roman" w:eastAsia="宋体" w:hAnsi="Times New Roman" w:cs="宋体"/>
                <w:sz w:val="18"/>
                <w:szCs w:val="18"/>
              </w:rPr>
              <w:t>；中信建投：华冉；光大证券：吴佳青；华金证券：计文祚；天风证券：周海涛；国泰海通证券：孟陆；信达医药：曹佳琳；东北证券：叶菁、庞景曦；湘财证券：蒋栋；民生证券：朱凤萍；华安证券：李婵；德邦证券：向潇；建信养老：李平祝；金元顺安：刘梦杨、陈铭杰；银杏环球资本：潘孜骅；南方基金：苏雨蓝；鹏华基金：李韬；国联基金：杜伟；泰康资产：陈怡；中国人寿：张肖星；上海丹羿投资：冒小康、王帅；柏基投资：</w:t>
            </w:r>
            <w:r>
              <w:rPr>
                <w:rFonts w:ascii="Times New Roman" w:eastAsia="宋体" w:hAnsi="Times New Roman" w:cs="宋体"/>
                <w:sz w:val="18"/>
                <w:szCs w:val="18"/>
              </w:rPr>
              <w:t>Louise Lin</w:t>
            </w:r>
            <w:r>
              <w:rPr>
                <w:rFonts w:ascii="Times New Roman" w:eastAsia="宋体" w:hAnsi="Times New Roman" w:cs="宋体"/>
                <w:sz w:val="18"/>
                <w:szCs w:val="18"/>
              </w:rPr>
              <w:t>；瑞和资产：祁瑞；上海博颐投资：雷雨；个人投资者马远喆等</w:t>
            </w:r>
            <w:r>
              <w:rPr>
                <w:rFonts w:ascii="Times New Roman" w:eastAsia="宋体" w:hAnsi="Times New Roman" w:cs="宋体"/>
                <w:sz w:val="18"/>
                <w:szCs w:val="18"/>
              </w:rPr>
              <w:t>84</w:t>
            </w:r>
            <w:r>
              <w:rPr>
                <w:rFonts w:ascii="Times New Roman" w:eastAsia="宋体" w:hAnsi="Times New Roman" w:cs="宋体"/>
                <w:sz w:val="18"/>
                <w:szCs w:val="18"/>
              </w:rPr>
              <w:t>位参与人员</w:t>
            </w:r>
          </w:p>
        </w:tc>
        <w:tc>
          <w:tcPr>
            <w:tcW w:w="1644" w:type="dxa"/>
            <w:tcBorders>
              <w:top w:val="single" w:sz="2" w:space="0" w:color="auto"/>
              <w:left w:val="single" w:sz="2" w:space="0" w:color="auto"/>
              <w:bottom w:val="single" w:sz="2" w:space="0" w:color="auto"/>
              <w:right w:val="single" w:sz="2" w:space="0" w:color="auto"/>
            </w:tcBorders>
            <w:vAlign w:val="center"/>
          </w:tcPr>
          <w:p w14:paraId="34343C8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w:t>
            </w:r>
            <w:r>
              <w:rPr>
                <w:rFonts w:ascii="Times New Roman" w:eastAsia="宋体" w:hAnsi="Times New Roman" w:cs="宋体"/>
                <w:sz w:val="18"/>
                <w:szCs w:val="18"/>
              </w:rPr>
              <w:t>1</w:t>
            </w:r>
            <w:r>
              <w:rPr>
                <w:rFonts w:ascii="Times New Roman" w:eastAsia="宋体" w:hAnsi="Times New Roman" w:cs="宋体"/>
                <w:sz w:val="18"/>
                <w:szCs w:val="18"/>
              </w:rPr>
              <w:t>）介绍公司</w:t>
            </w:r>
            <w:r>
              <w:rPr>
                <w:rFonts w:ascii="Times New Roman" w:eastAsia="宋体" w:hAnsi="Times New Roman" w:cs="宋体"/>
                <w:sz w:val="18"/>
                <w:szCs w:val="18"/>
              </w:rPr>
              <w:t>2025</w:t>
            </w:r>
            <w:r>
              <w:rPr>
                <w:rFonts w:ascii="Times New Roman" w:eastAsia="宋体" w:hAnsi="Times New Roman" w:cs="宋体"/>
                <w:sz w:val="18"/>
                <w:szCs w:val="18"/>
              </w:rPr>
              <w:t>年半年度主要经营情况；</w:t>
            </w:r>
            <w:r>
              <w:rPr>
                <w:rFonts w:ascii="Times New Roman" w:eastAsia="宋体" w:hAnsi="Times New Roman" w:cs="宋体"/>
                <w:sz w:val="18"/>
                <w:szCs w:val="18"/>
              </w:rPr>
              <w:t xml:space="preserve"> </w:t>
            </w:r>
          </w:p>
          <w:p w14:paraId="3A785A7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w:t>
            </w:r>
            <w:r>
              <w:rPr>
                <w:rFonts w:ascii="Times New Roman" w:eastAsia="宋体" w:hAnsi="Times New Roman" w:cs="宋体"/>
                <w:sz w:val="18"/>
                <w:szCs w:val="18"/>
              </w:rPr>
              <w:t>2</w:t>
            </w:r>
            <w:r>
              <w:rPr>
                <w:rFonts w:ascii="Times New Roman" w:eastAsia="宋体" w:hAnsi="Times New Roman" w:cs="宋体"/>
                <w:sz w:val="18"/>
                <w:szCs w:val="18"/>
              </w:rPr>
              <w:t>）就公司业务发展、产品优势、战略规划等投资者关心的问题进行交流。</w:t>
            </w:r>
          </w:p>
        </w:tc>
        <w:tc>
          <w:tcPr>
            <w:tcW w:w="1134" w:type="dxa"/>
            <w:tcBorders>
              <w:top w:val="single" w:sz="2" w:space="0" w:color="auto"/>
              <w:left w:val="single" w:sz="2" w:space="0" w:color="auto"/>
              <w:bottom w:val="single" w:sz="2" w:space="0" w:color="auto"/>
              <w:right w:val="single" w:sz="2" w:space="0" w:color="auto"/>
            </w:tcBorders>
            <w:vAlign w:val="center"/>
          </w:tcPr>
          <w:p w14:paraId="6496635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详见公司于</w:t>
            </w: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8</w:t>
            </w:r>
            <w:r>
              <w:rPr>
                <w:rFonts w:ascii="Times New Roman" w:eastAsia="宋体" w:hAnsi="Times New Roman" w:cs="宋体"/>
                <w:sz w:val="18"/>
                <w:szCs w:val="18"/>
              </w:rPr>
              <w:t>月</w:t>
            </w:r>
            <w:r>
              <w:rPr>
                <w:rFonts w:ascii="Times New Roman" w:eastAsia="宋体" w:hAnsi="Times New Roman" w:cs="宋体"/>
                <w:sz w:val="18"/>
                <w:szCs w:val="18"/>
              </w:rPr>
              <w:t>28</w:t>
            </w:r>
            <w:r>
              <w:rPr>
                <w:rFonts w:ascii="Times New Roman" w:eastAsia="宋体" w:hAnsi="Times New Roman" w:cs="宋体"/>
                <w:sz w:val="18"/>
                <w:szCs w:val="18"/>
              </w:rPr>
              <w:t>日在巨潮资讯网上发布的投资者关系活动记录表。</w:t>
            </w:r>
          </w:p>
        </w:tc>
      </w:tr>
      <w:tr w:rsidR="00C57E60" w14:paraId="78CD5151" w14:textId="77777777">
        <w:trPr>
          <w:trHeight w:val="240"/>
        </w:trPr>
        <w:tc>
          <w:tcPr>
            <w:tcW w:w="1020" w:type="dxa"/>
            <w:tcBorders>
              <w:top w:val="single" w:sz="2" w:space="0" w:color="auto"/>
              <w:left w:val="single" w:sz="2" w:space="0" w:color="auto"/>
              <w:bottom w:val="single" w:sz="2" w:space="0" w:color="auto"/>
              <w:right w:val="single" w:sz="2" w:space="0" w:color="auto"/>
            </w:tcBorders>
            <w:vAlign w:val="center"/>
          </w:tcPr>
          <w:p w14:paraId="224F327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09</w:t>
            </w:r>
            <w:r>
              <w:rPr>
                <w:rFonts w:ascii="Times New Roman" w:eastAsia="宋体" w:hAnsi="Times New Roman" w:cs="宋体"/>
                <w:sz w:val="18"/>
                <w:szCs w:val="18"/>
              </w:rPr>
              <w:t>月</w:t>
            </w:r>
            <w:r>
              <w:rPr>
                <w:rFonts w:ascii="Times New Roman" w:eastAsia="宋体" w:hAnsi="Times New Roman" w:cs="宋体"/>
                <w:sz w:val="18"/>
                <w:szCs w:val="18"/>
              </w:rPr>
              <w:t>19</w:t>
            </w:r>
            <w:r>
              <w:rPr>
                <w:rFonts w:ascii="Times New Roman" w:eastAsia="宋体" w:hAnsi="Times New Roman" w:cs="宋体"/>
                <w:sz w:val="18"/>
                <w:szCs w:val="18"/>
              </w:rPr>
              <w:t>日</w:t>
            </w:r>
          </w:p>
        </w:tc>
        <w:tc>
          <w:tcPr>
            <w:tcW w:w="595" w:type="dxa"/>
            <w:tcBorders>
              <w:top w:val="single" w:sz="2" w:space="0" w:color="auto"/>
              <w:left w:val="single" w:sz="2" w:space="0" w:color="auto"/>
              <w:bottom w:val="single" w:sz="2" w:space="0" w:color="auto"/>
              <w:right w:val="single" w:sz="2" w:space="0" w:color="auto"/>
            </w:tcBorders>
            <w:vAlign w:val="center"/>
          </w:tcPr>
          <w:p w14:paraId="33D6505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全景网</w:t>
            </w:r>
          </w:p>
        </w:tc>
        <w:tc>
          <w:tcPr>
            <w:tcW w:w="595" w:type="dxa"/>
            <w:tcBorders>
              <w:top w:val="single" w:sz="2" w:space="0" w:color="auto"/>
              <w:left w:val="single" w:sz="2" w:space="0" w:color="auto"/>
              <w:bottom w:val="single" w:sz="2" w:space="0" w:color="auto"/>
              <w:right w:val="single" w:sz="2" w:space="0" w:color="auto"/>
            </w:tcBorders>
            <w:vAlign w:val="center"/>
          </w:tcPr>
          <w:p w14:paraId="348357E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网络平台线上交流</w:t>
            </w:r>
          </w:p>
        </w:tc>
        <w:tc>
          <w:tcPr>
            <w:tcW w:w="794" w:type="dxa"/>
            <w:tcBorders>
              <w:top w:val="single" w:sz="2" w:space="0" w:color="auto"/>
              <w:left w:val="single" w:sz="2" w:space="0" w:color="auto"/>
              <w:bottom w:val="single" w:sz="2" w:space="0" w:color="auto"/>
              <w:right w:val="single" w:sz="2" w:space="0" w:color="auto"/>
            </w:tcBorders>
            <w:vAlign w:val="center"/>
          </w:tcPr>
          <w:p w14:paraId="374D3D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个人</w:t>
            </w:r>
          </w:p>
        </w:tc>
        <w:tc>
          <w:tcPr>
            <w:tcW w:w="3770" w:type="dxa"/>
            <w:tcBorders>
              <w:top w:val="single" w:sz="2" w:space="0" w:color="auto"/>
              <w:left w:val="single" w:sz="2" w:space="0" w:color="auto"/>
              <w:bottom w:val="single" w:sz="2" w:space="0" w:color="auto"/>
              <w:right w:val="single" w:sz="2" w:space="0" w:color="auto"/>
            </w:tcBorders>
            <w:vAlign w:val="center"/>
          </w:tcPr>
          <w:p w14:paraId="15D0B6D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投资者</w:t>
            </w:r>
          </w:p>
        </w:tc>
        <w:tc>
          <w:tcPr>
            <w:tcW w:w="1644" w:type="dxa"/>
            <w:tcBorders>
              <w:top w:val="single" w:sz="2" w:space="0" w:color="auto"/>
              <w:left w:val="single" w:sz="2" w:space="0" w:color="auto"/>
              <w:bottom w:val="single" w:sz="2" w:space="0" w:color="auto"/>
              <w:right w:val="single" w:sz="2" w:space="0" w:color="auto"/>
            </w:tcBorders>
            <w:vAlign w:val="center"/>
          </w:tcPr>
          <w:p w14:paraId="0F3E33A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就公司经营情况、业务发展、产品优势、战略规划等投资者关心的问题进行交流。</w:t>
            </w:r>
          </w:p>
        </w:tc>
        <w:tc>
          <w:tcPr>
            <w:tcW w:w="1134" w:type="dxa"/>
            <w:tcBorders>
              <w:top w:val="single" w:sz="2" w:space="0" w:color="auto"/>
              <w:left w:val="single" w:sz="2" w:space="0" w:color="auto"/>
              <w:bottom w:val="single" w:sz="2" w:space="0" w:color="auto"/>
              <w:right w:val="single" w:sz="2" w:space="0" w:color="auto"/>
            </w:tcBorders>
            <w:vAlign w:val="center"/>
          </w:tcPr>
          <w:p w14:paraId="2FA8FEE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详见公司于</w:t>
            </w: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9</w:t>
            </w:r>
            <w:r>
              <w:rPr>
                <w:rFonts w:ascii="Times New Roman" w:eastAsia="宋体" w:hAnsi="Times New Roman" w:cs="宋体"/>
                <w:sz w:val="18"/>
                <w:szCs w:val="18"/>
              </w:rPr>
              <w:t>月</w:t>
            </w:r>
            <w:r>
              <w:rPr>
                <w:rFonts w:ascii="Times New Roman" w:eastAsia="宋体" w:hAnsi="Times New Roman" w:cs="宋体"/>
                <w:sz w:val="18"/>
                <w:szCs w:val="18"/>
              </w:rPr>
              <w:t>19</w:t>
            </w:r>
            <w:r>
              <w:rPr>
                <w:rFonts w:ascii="Times New Roman" w:eastAsia="宋体" w:hAnsi="Times New Roman" w:cs="宋体"/>
                <w:sz w:val="18"/>
                <w:szCs w:val="18"/>
              </w:rPr>
              <w:t>日在巨潮资讯网上发布的投资者关系活动记录表。</w:t>
            </w:r>
          </w:p>
        </w:tc>
      </w:tr>
      <w:tr w:rsidR="00C57E60" w14:paraId="0A88CD1A" w14:textId="77777777">
        <w:trPr>
          <w:trHeight w:val="240"/>
        </w:trPr>
        <w:tc>
          <w:tcPr>
            <w:tcW w:w="1020" w:type="dxa"/>
            <w:tcBorders>
              <w:top w:val="single" w:sz="2" w:space="0" w:color="auto"/>
              <w:left w:val="single" w:sz="2" w:space="0" w:color="auto"/>
              <w:bottom w:val="single" w:sz="2" w:space="0" w:color="auto"/>
              <w:right w:val="single" w:sz="2" w:space="0" w:color="auto"/>
            </w:tcBorders>
            <w:vAlign w:val="center"/>
          </w:tcPr>
          <w:p w14:paraId="1A5207C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10</w:t>
            </w:r>
            <w:r>
              <w:rPr>
                <w:rFonts w:ascii="Times New Roman" w:eastAsia="宋体" w:hAnsi="Times New Roman" w:cs="宋体"/>
                <w:sz w:val="18"/>
                <w:szCs w:val="18"/>
              </w:rPr>
              <w:t>月</w:t>
            </w:r>
            <w:r>
              <w:rPr>
                <w:rFonts w:ascii="Times New Roman" w:eastAsia="宋体" w:hAnsi="Times New Roman" w:cs="宋体"/>
                <w:sz w:val="18"/>
                <w:szCs w:val="18"/>
              </w:rPr>
              <w:t>24</w:t>
            </w:r>
            <w:r>
              <w:rPr>
                <w:rFonts w:ascii="Times New Roman" w:eastAsia="宋体" w:hAnsi="Times New Roman" w:cs="宋体"/>
                <w:sz w:val="18"/>
                <w:szCs w:val="18"/>
              </w:rPr>
              <w:t>日</w:t>
            </w:r>
          </w:p>
        </w:tc>
        <w:tc>
          <w:tcPr>
            <w:tcW w:w="595" w:type="dxa"/>
            <w:tcBorders>
              <w:top w:val="single" w:sz="2" w:space="0" w:color="auto"/>
              <w:left w:val="single" w:sz="2" w:space="0" w:color="auto"/>
              <w:bottom w:val="single" w:sz="2" w:space="0" w:color="auto"/>
              <w:right w:val="single" w:sz="2" w:space="0" w:color="auto"/>
            </w:tcBorders>
            <w:vAlign w:val="center"/>
          </w:tcPr>
          <w:p w14:paraId="298F561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电话会议</w:t>
            </w:r>
          </w:p>
        </w:tc>
        <w:tc>
          <w:tcPr>
            <w:tcW w:w="595" w:type="dxa"/>
            <w:tcBorders>
              <w:top w:val="single" w:sz="2" w:space="0" w:color="auto"/>
              <w:left w:val="single" w:sz="2" w:space="0" w:color="auto"/>
              <w:bottom w:val="single" w:sz="2" w:space="0" w:color="auto"/>
              <w:right w:val="single" w:sz="2" w:space="0" w:color="auto"/>
            </w:tcBorders>
            <w:vAlign w:val="center"/>
          </w:tcPr>
          <w:p w14:paraId="51BD050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电话沟通</w:t>
            </w:r>
          </w:p>
        </w:tc>
        <w:tc>
          <w:tcPr>
            <w:tcW w:w="794" w:type="dxa"/>
            <w:tcBorders>
              <w:top w:val="single" w:sz="2" w:space="0" w:color="auto"/>
              <w:left w:val="single" w:sz="2" w:space="0" w:color="auto"/>
              <w:bottom w:val="single" w:sz="2" w:space="0" w:color="auto"/>
              <w:right w:val="single" w:sz="2" w:space="0" w:color="auto"/>
            </w:tcBorders>
            <w:vAlign w:val="center"/>
          </w:tcPr>
          <w:p w14:paraId="4D9318E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机构</w:t>
            </w:r>
          </w:p>
        </w:tc>
        <w:tc>
          <w:tcPr>
            <w:tcW w:w="3770" w:type="dxa"/>
            <w:tcBorders>
              <w:top w:val="single" w:sz="2" w:space="0" w:color="auto"/>
              <w:left w:val="single" w:sz="2" w:space="0" w:color="auto"/>
              <w:bottom w:val="single" w:sz="2" w:space="0" w:color="auto"/>
              <w:right w:val="single" w:sz="2" w:space="0" w:color="auto"/>
            </w:tcBorders>
            <w:vAlign w:val="center"/>
          </w:tcPr>
          <w:p w14:paraId="102CE8D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华泰证券：代雯、高鹏、杨昌源；华安证券：李婵；兴业证券：董晓洁；天风证券：周海涛；中信证券：沈睦钧；中信建投证券：华冉；中金公司：刘雅馨；国盛证券：杨芳、王震；华创证券：陈俊威；国金证券：何冠洲；申万宏源证券：陈烨远；东吴证券：向潇、王美麒；中国银河证券：程培、孟熙；光大证券：吴佳青；民生证券：朱凤萍；信达医药：曹佳琳、唐爱金；国泰海通证券：孟陆、谈嘉程；华金证券：苏雪儿；华福证券：王艳；长江证券：徐晓欣；睿远基金：傅鹏博；华夏基金：常黎曼、谢子情；西部证券：陆伏崴、吕晔、孙阿敏；泰信基金：曲奕丞、李俊江；南方基金：苏雨蓝；国盛证券：王震、杨芳；德邦基金：曾叙衡等</w:t>
            </w:r>
            <w:r>
              <w:rPr>
                <w:rFonts w:ascii="Times New Roman" w:eastAsia="宋体" w:hAnsi="Times New Roman" w:cs="宋体"/>
                <w:sz w:val="18"/>
                <w:szCs w:val="18"/>
              </w:rPr>
              <w:t>91</w:t>
            </w:r>
            <w:r>
              <w:rPr>
                <w:rFonts w:ascii="Times New Roman" w:eastAsia="宋体" w:hAnsi="Times New Roman" w:cs="宋体"/>
                <w:sz w:val="18"/>
                <w:szCs w:val="18"/>
              </w:rPr>
              <w:t>位参与人员</w:t>
            </w:r>
          </w:p>
        </w:tc>
        <w:tc>
          <w:tcPr>
            <w:tcW w:w="1644" w:type="dxa"/>
            <w:tcBorders>
              <w:top w:val="single" w:sz="2" w:space="0" w:color="auto"/>
              <w:left w:val="single" w:sz="2" w:space="0" w:color="auto"/>
              <w:bottom w:val="single" w:sz="2" w:space="0" w:color="auto"/>
              <w:right w:val="single" w:sz="2" w:space="0" w:color="auto"/>
            </w:tcBorders>
            <w:vAlign w:val="center"/>
          </w:tcPr>
          <w:p w14:paraId="5937ACC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w:t>
            </w:r>
            <w:r>
              <w:rPr>
                <w:rFonts w:ascii="Times New Roman" w:eastAsia="宋体" w:hAnsi="Times New Roman" w:cs="宋体"/>
                <w:sz w:val="18"/>
                <w:szCs w:val="18"/>
              </w:rPr>
              <w:t>1</w:t>
            </w:r>
            <w:r>
              <w:rPr>
                <w:rFonts w:ascii="Times New Roman" w:eastAsia="宋体" w:hAnsi="Times New Roman" w:cs="宋体"/>
                <w:sz w:val="18"/>
                <w:szCs w:val="18"/>
              </w:rPr>
              <w:t>）介绍公司</w:t>
            </w:r>
            <w:r>
              <w:rPr>
                <w:rFonts w:ascii="Times New Roman" w:eastAsia="宋体" w:hAnsi="Times New Roman" w:cs="宋体"/>
                <w:sz w:val="18"/>
                <w:szCs w:val="18"/>
              </w:rPr>
              <w:t>2025</w:t>
            </w:r>
            <w:r>
              <w:rPr>
                <w:rFonts w:ascii="Times New Roman" w:eastAsia="宋体" w:hAnsi="Times New Roman" w:cs="宋体"/>
                <w:sz w:val="18"/>
                <w:szCs w:val="18"/>
              </w:rPr>
              <w:t>年第三季度主要经营情况；</w:t>
            </w:r>
            <w:r>
              <w:rPr>
                <w:rFonts w:ascii="Times New Roman" w:eastAsia="宋体" w:hAnsi="Times New Roman" w:cs="宋体"/>
                <w:sz w:val="18"/>
                <w:szCs w:val="18"/>
              </w:rPr>
              <w:t xml:space="preserve"> </w:t>
            </w:r>
          </w:p>
          <w:p w14:paraId="1C1FFAA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w:t>
            </w:r>
            <w:r>
              <w:rPr>
                <w:rFonts w:ascii="Times New Roman" w:eastAsia="宋体" w:hAnsi="Times New Roman" w:cs="宋体"/>
                <w:sz w:val="18"/>
                <w:szCs w:val="18"/>
              </w:rPr>
              <w:t>2</w:t>
            </w:r>
            <w:r>
              <w:rPr>
                <w:rFonts w:ascii="Times New Roman" w:eastAsia="宋体" w:hAnsi="Times New Roman" w:cs="宋体"/>
                <w:sz w:val="18"/>
                <w:szCs w:val="18"/>
              </w:rPr>
              <w:t>）就公司业务发展、产品优势、战略规划等投资者关心的问题进行交流。</w:t>
            </w:r>
          </w:p>
        </w:tc>
        <w:tc>
          <w:tcPr>
            <w:tcW w:w="1134" w:type="dxa"/>
            <w:tcBorders>
              <w:top w:val="single" w:sz="2" w:space="0" w:color="auto"/>
              <w:left w:val="single" w:sz="2" w:space="0" w:color="auto"/>
              <w:bottom w:val="single" w:sz="2" w:space="0" w:color="auto"/>
              <w:right w:val="single" w:sz="2" w:space="0" w:color="auto"/>
            </w:tcBorders>
            <w:vAlign w:val="center"/>
          </w:tcPr>
          <w:p w14:paraId="1F64B4B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详见公司于</w:t>
            </w: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10</w:t>
            </w:r>
            <w:r>
              <w:rPr>
                <w:rFonts w:ascii="Times New Roman" w:eastAsia="宋体" w:hAnsi="Times New Roman" w:cs="宋体"/>
                <w:sz w:val="18"/>
                <w:szCs w:val="18"/>
              </w:rPr>
              <w:t>月</w:t>
            </w:r>
            <w:r>
              <w:rPr>
                <w:rFonts w:ascii="Times New Roman" w:eastAsia="宋体" w:hAnsi="Times New Roman" w:cs="宋体"/>
                <w:sz w:val="18"/>
                <w:szCs w:val="18"/>
              </w:rPr>
              <w:t>24</w:t>
            </w:r>
            <w:r>
              <w:rPr>
                <w:rFonts w:ascii="Times New Roman" w:eastAsia="宋体" w:hAnsi="Times New Roman" w:cs="宋体"/>
                <w:sz w:val="18"/>
                <w:szCs w:val="18"/>
              </w:rPr>
              <w:t>日在巨潮资讯网上发布的投资者关系活动记录表。</w:t>
            </w:r>
          </w:p>
        </w:tc>
      </w:tr>
    </w:tbl>
    <w:p w14:paraId="08E30C3A" w14:textId="77777777" w:rsidR="00113A51" w:rsidRDefault="00766EC7">
      <w:pPr>
        <w:pStyle w:val="2"/>
        <w:spacing w:before="300" w:after="300" w:line="320" w:lineRule="exact"/>
        <w:rPr>
          <w:rFonts w:ascii="宋体" w:eastAsia="宋体" w:hAnsi="宋体" w:cs="宋体"/>
          <w:b/>
          <w:bCs/>
          <w:sz w:val="24"/>
          <w:szCs w:val="24"/>
        </w:rPr>
      </w:pPr>
      <w:bookmarkStart w:id="54" w:name="_Toc988938"/>
      <w:r>
        <w:rPr>
          <w:rFonts w:ascii="宋体" w:eastAsia="宋体" w:hAnsi="宋体" w:cs="宋体"/>
          <w:b/>
          <w:bCs/>
          <w:sz w:val="24"/>
          <w:szCs w:val="24"/>
        </w:rPr>
        <w:t>十三、市值管理制度和估值提升计划的制定落实情况</w:t>
      </w:r>
      <w:bookmarkEnd w:id="54"/>
    </w:p>
    <w:p w14:paraId="50E7C7A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公司是否制定了市值管理制度。</w:t>
      </w:r>
    </w:p>
    <w:p w14:paraId="060C9B8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2F4174F7"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公司是否披露了估值提升计划。</w:t>
      </w:r>
    </w:p>
    <w:p w14:paraId="25C0488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4125E5D1" w14:textId="77777777" w:rsidR="00113A51" w:rsidRDefault="00766EC7">
      <w:pPr>
        <w:pStyle w:val="a9"/>
        <w:spacing w:line="360" w:lineRule="auto"/>
        <w:ind w:firstLineChars="200" w:firstLine="420"/>
        <w:rPr>
          <w:rFonts w:ascii="Times New Roman" w:hAnsi="Times New Roman"/>
          <w:sz w:val="21"/>
          <w:szCs w:val="21"/>
        </w:rPr>
      </w:pPr>
      <w:r>
        <w:rPr>
          <w:rFonts w:ascii="Times New Roman" w:hAnsi="Times New Roman" w:hint="eastAsia"/>
          <w:sz w:val="21"/>
          <w:szCs w:val="21"/>
        </w:rPr>
        <w:t>根据《国务院关于加强监管防范风险推动资本市场高质量发展的若干意见》《上市公司信息披露管理办法》《上市公司监管指引第</w:t>
      </w:r>
      <w:r>
        <w:rPr>
          <w:rFonts w:ascii="Times New Roman" w:hAnsi="Times New Roman" w:hint="eastAsia"/>
          <w:sz w:val="21"/>
          <w:szCs w:val="21"/>
        </w:rPr>
        <w:t>10</w:t>
      </w:r>
      <w:r>
        <w:rPr>
          <w:rFonts w:ascii="Times New Roman" w:hAnsi="Times New Roman" w:hint="eastAsia"/>
          <w:sz w:val="21"/>
          <w:szCs w:val="21"/>
        </w:rPr>
        <w:t>号——市值管理》的相关规定，为切实推动公司市值管理工作，进一步规范公司市值管理行为，维护公司、投资者及其他利益相关者的合法权益，公司制定《市值管理制度》并于</w:t>
      </w:r>
      <w:r>
        <w:rPr>
          <w:rFonts w:ascii="Times New Roman" w:hAnsi="Times New Roman" w:hint="eastAsia"/>
          <w:sz w:val="21"/>
          <w:szCs w:val="21"/>
        </w:rPr>
        <w:t>2025</w:t>
      </w:r>
      <w:r>
        <w:rPr>
          <w:rFonts w:ascii="Times New Roman" w:hAnsi="Times New Roman" w:hint="eastAsia"/>
          <w:sz w:val="21"/>
          <w:szCs w:val="21"/>
        </w:rPr>
        <w:t>年</w:t>
      </w:r>
      <w:r>
        <w:rPr>
          <w:rFonts w:ascii="Times New Roman" w:hAnsi="Times New Roman" w:hint="eastAsia"/>
          <w:sz w:val="21"/>
          <w:szCs w:val="21"/>
        </w:rPr>
        <w:t>4</w:t>
      </w:r>
      <w:r>
        <w:rPr>
          <w:rFonts w:ascii="Times New Roman" w:hAnsi="Times New Roman" w:hint="eastAsia"/>
          <w:sz w:val="21"/>
          <w:szCs w:val="21"/>
        </w:rPr>
        <w:t>月</w:t>
      </w:r>
      <w:r>
        <w:rPr>
          <w:rFonts w:ascii="Times New Roman" w:hAnsi="Times New Roman" w:hint="eastAsia"/>
          <w:sz w:val="21"/>
          <w:szCs w:val="21"/>
        </w:rPr>
        <w:t>18</w:t>
      </w:r>
      <w:r>
        <w:rPr>
          <w:rFonts w:ascii="Times New Roman" w:hAnsi="Times New Roman" w:hint="eastAsia"/>
          <w:sz w:val="21"/>
          <w:szCs w:val="21"/>
        </w:rPr>
        <w:t>日召开第五届董事会第十七次会议审议通过。</w:t>
      </w:r>
    </w:p>
    <w:p w14:paraId="54CC47B4" w14:textId="77777777" w:rsidR="00113A51" w:rsidRDefault="00766EC7">
      <w:pPr>
        <w:pStyle w:val="2"/>
        <w:spacing w:before="300" w:after="300" w:line="320" w:lineRule="exact"/>
        <w:rPr>
          <w:rFonts w:ascii="宋体" w:eastAsia="宋体" w:hAnsi="宋体" w:cs="宋体"/>
          <w:b/>
          <w:bCs/>
          <w:sz w:val="24"/>
          <w:szCs w:val="24"/>
        </w:rPr>
      </w:pPr>
      <w:bookmarkStart w:id="55" w:name="_Toc988939"/>
      <w:r>
        <w:rPr>
          <w:rFonts w:ascii="宋体" w:eastAsia="宋体" w:hAnsi="宋体" w:cs="宋体"/>
          <w:b/>
          <w:bCs/>
          <w:sz w:val="24"/>
          <w:szCs w:val="24"/>
        </w:rPr>
        <w:t>十四、“质量回报双提升”行动方案贯彻落实情况</w:t>
      </w:r>
      <w:bookmarkEnd w:id="55"/>
    </w:p>
    <w:p w14:paraId="7205925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公司是否披露了“质量回报双提升”行动方案公告。</w:t>
      </w:r>
    </w:p>
    <w:p w14:paraId="0F1E9E9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56F8FB58" w14:textId="0D4C5238" w:rsidR="00113A51" w:rsidRDefault="00766EC7">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为认真落实中共中央政治局会议提出的“要活跃资本市场，提振投资者信心”的会议精神以及国务院常务会议提出的“要大力提升上市公司质量和投资者价值，要采取更加有力有效措施，着力稳市场、稳信心”的指导思想，践行以投资者为本的发展理念，增强投资者信心，促进公司长远健康可持续发展，公司围绕聚焦主业提升、强化规范运作、坚持研发创新驱动、重视投资者回报和提升信息披露质量等方面，制定了“质量回报双提升”行动方案。</w:t>
      </w:r>
      <w:r w:rsidR="004F19DE" w:rsidRPr="004F19DE">
        <w:rPr>
          <w:rFonts w:ascii="Times New Roman" w:hAnsi="Times New Roman" w:hint="eastAsia"/>
          <w:sz w:val="21"/>
          <w:szCs w:val="21"/>
        </w:rPr>
        <w:t>现将公司落实“质量回报双提升”行动方案的进展情况</w:t>
      </w:r>
      <w:r w:rsidR="004F19DE">
        <w:rPr>
          <w:rFonts w:ascii="Times New Roman" w:hAnsi="Times New Roman" w:hint="eastAsia"/>
          <w:sz w:val="21"/>
          <w:szCs w:val="21"/>
        </w:rPr>
        <w:t>简要介绍</w:t>
      </w:r>
      <w:r w:rsidR="004F19DE" w:rsidRPr="004F19DE">
        <w:rPr>
          <w:rFonts w:ascii="Times New Roman" w:hAnsi="Times New Roman" w:hint="eastAsia"/>
          <w:sz w:val="21"/>
          <w:szCs w:val="21"/>
        </w:rPr>
        <w:t>如下</w:t>
      </w:r>
      <w:r w:rsidR="004F19DE">
        <w:rPr>
          <w:rFonts w:ascii="Times New Roman" w:hAnsi="Times New Roman" w:hint="eastAsia"/>
          <w:sz w:val="21"/>
          <w:szCs w:val="21"/>
        </w:rPr>
        <w:t>，</w:t>
      </w:r>
      <w:r w:rsidR="004F19DE" w:rsidRPr="004F19DE">
        <w:rPr>
          <w:rFonts w:ascii="Times New Roman" w:hAnsi="Times New Roman" w:hint="eastAsia"/>
          <w:sz w:val="21"/>
          <w:szCs w:val="21"/>
        </w:rPr>
        <w:t>具体内容详见公司</w:t>
      </w:r>
      <w:r w:rsidR="000C4C12">
        <w:rPr>
          <w:rFonts w:ascii="Times New Roman" w:hAnsi="Times New Roman" w:hint="eastAsia"/>
          <w:sz w:val="21"/>
          <w:szCs w:val="21"/>
        </w:rPr>
        <w:t>同日</w:t>
      </w:r>
      <w:r w:rsidR="004F19DE" w:rsidRPr="004F19DE">
        <w:rPr>
          <w:rFonts w:ascii="Times New Roman" w:hAnsi="Times New Roman"/>
          <w:sz w:val="21"/>
          <w:szCs w:val="21"/>
        </w:rPr>
        <w:t>在巨潮资讯网（</w:t>
      </w:r>
      <w:r w:rsidR="004F19DE" w:rsidRPr="004F19DE">
        <w:rPr>
          <w:rFonts w:ascii="Times New Roman" w:hAnsi="Times New Roman"/>
          <w:sz w:val="21"/>
          <w:szCs w:val="21"/>
        </w:rPr>
        <w:t>www.cninfo.com.cn</w:t>
      </w:r>
      <w:r w:rsidR="004F19DE" w:rsidRPr="004F19DE">
        <w:rPr>
          <w:rFonts w:ascii="Times New Roman" w:hAnsi="Times New Roman"/>
          <w:sz w:val="21"/>
          <w:szCs w:val="21"/>
        </w:rPr>
        <w:t>）披露的《关于</w:t>
      </w:r>
      <w:r w:rsidR="004F19DE" w:rsidRPr="000C4C12">
        <w:rPr>
          <w:sz w:val="21"/>
          <w:szCs w:val="21"/>
        </w:rPr>
        <w:t>“质量回报双提升”</w:t>
      </w:r>
      <w:r w:rsidR="004F19DE" w:rsidRPr="004F19DE">
        <w:rPr>
          <w:rFonts w:ascii="Times New Roman" w:hAnsi="Times New Roman"/>
          <w:sz w:val="21"/>
          <w:szCs w:val="21"/>
        </w:rPr>
        <w:t>行动方案的进展公告》（公告编号：</w:t>
      </w:r>
      <w:r w:rsidR="004F19DE" w:rsidRPr="004F19DE">
        <w:rPr>
          <w:rFonts w:ascii="Times New Roman" w:hAnsi="Times New Roman"/>
          <w:sz w:val="21"/>
          <w:szCs w:val="21"/>
        </w:rPr>
        <w:t>202</w:t>
      </w:r>
      <w:r w:rsidR="000C4C12">
        <w:rPr>
          <w:rFonts w:ascii="Times New Roman" w:hAnsi="Times New Roman"/>
          <w:sz w:val="21"/>
          <w:szCs w:val="21"/>
        </w:rPr>
        <w:t>6</w:t>
      </w:r>
      <w:r w:rsidR="004F19DE" w:rsidRPr="004F19DE">
        <w:rPr>
          <w:rFonts w:ascii="Times New Roman" w:hAnsi="Times New Roman"/>
          <w:sz w:val="21"/>
          <w:szCs w:val="21"/>
        </w:rPr>
        <w:t>-0</w:t>
      </w:r>
      <w:r w:rsidR="000C4C12">
        <w:rPr>
          <w:rFonts w:ascii="Times New Roman" w:hAnsi="Times New Roman"/>
          <w:sz w:val="21"/>
          <w:szCs w:val="21"/>
        </w:rPr>
        <w:t>5</w:t>
      </w:r>
      <w:r w:rsidR="004F19DE" w:rsidRPr="004F19DE">
        <w:rPr>
          <w:rFonts w:ascii="Times New Roman" w:hAnsi="Times New Roman"/>
          <w:sz w:val="21"/>
          <w:szCs w:val="21"/>
        </w:rPr>
        <w:t>9</w:t>
      </w:r>
      <w:r w:rsidR="004F19DE">
        <w:rPr>
          <w:rFonts w:ascii="Times New Roman" w:hAnsi="Times New Roman"/>
          <w:sz w:val="21"/>
          <w:szCs w:val="21"/>
        </w:rPr>
        <w:t>）</w:t>
      </w:r>
      <w:r w:rsidR="004F19DE" w:rsidRPr="004F19DE">
        <w:rPr>
          <w:rFonts w:ascii="Times New Roman" w:hAnsi="Times New Roman" w:hint="eastAsia"/>
          <w:sz w:val="21"/>
          <w:szCs w:val="21"/>
        </w:rPr>
        <w:t>：</w:t>
      </w:r>
    </w:p>
    <w:p w14:paraId="2C2E850D" w14:textId="77777777" w:rsidR="004F19DE" w:rsidRPr="004F19DE" w:rsidRDefault="004F19DE" w:rsidP="004F19DE">
      <w:pPr>
        <w:pStyle w:val="a9"/>
        <w:spacing w:before="0" w:beforeAutospacing="0" w:after="0" w:afterAutospacing="0" w:line="360" w:lineRule="auto"/>
        <w:ind w:firstLineChars="200" w:firstLine="422"/>
        <w:jc w:val="both"/>
        <w:rPr>
          <w:rFonts w:ascii="Times New Roman" w:hAnsi="Times New Roman"/>
          <w:b/>
          <w:sz w:val="21"/>
          <w:szCs w:val="21"/>
        </w:rPr>
      </w:pPr>
      <w:r w:rsidRPr="004F19DE">
        <w:rPr>
          <w:rFonts w:ascii="Times New Roman" w:hAnsi="Times New Roman"/>
          <w:b/>
          <w:sz w:val="21"/>
          <w:szCs w:val="21"/>
        </w:rPr>
        <w:t>一、</w:t>
      </w:r>
      <w:r w:rsidRPr="004F19DE">
        <w:rPr>
          <w:rFonts w:ascii="Times New Roman" w:hAnsi="Times New Roman" w:hint="eastAsia"/>
          <w:b/>
          <w:sz w:val="21"/>
          <w:szCs w:val="21"/>
        </w:rPr>
        <w:t>聚焦主业，推动公司高质量发展</w:t>
      </w:r>
    </w:p>
    <w:p w14:paraId="657F0F1D" w14:textId="777777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202</w:t>
      </w:r>
      <w:r w:rsidRPr="004F19DE">
        <w:rPr>
          <w:rFonts w:ascii="Times New Roman" w:hAnsi="Times New Roman"/>
          <w:sz w:val="21"/>
          <w:szCs w:val="21"/>
        </w:rPr>
        <w:t>5</w:t>
      </w:r>
      <w:r w:rsidRPr="004F19DE">
        <w:rPr>
          <w:rFonts w:ascii="Times New Roman" w:hAnsi="Times New Roman" w:hint="eastAsia"/>
          <w:sz w:val="21"/>
          <w:szCs w:val="21"/>
        </w:rPr>
        <w:t>年度，公司深入践行“</w:t>
      </w:r>
      <w:r w:rsidRPr="004F19DE">
        <w:rPr>
          <w:rFonts w:ascii="Times New Roman" w:hAnsi="Times New Roman" w:hint="eastAsia"/>
          <w:sz w:val="21"/>
          <w:szCs w:val="21"/>
        </w:rPr>
        <w:t>One Sinocare</w:t>
      </w:r>
      <w:r w:rsidRPr="004F19DE">
        <w:rPr>
          <w:rFonts w:ascii="Times New Roman" w:hAnsi="Times New Roman" w:hint="eastAsia"/>
          <w:sz w:val="21"/>
          <w:szCs w:val="21"/>
        </w:rPr>
        <w:t>同一个三诺”理念，围绕“</w:t>
      </w:r>
      <w:r w:rsidRPr="004F19DE">
        <w:rPr>
          <w:rFonts w:ascii="Times New Roman" w:hAnsi="Times New Roman" w:hint="eastAsia"/>
          <w:sz w:val="21"/>
          <w:szCs w:val="21"/>
        </w:rPr>
        <w:t>i</w:t>
      </w:r>
      <w:r w:rsidRPr="004F19DE">
        <w:rPr>
          <w:rFonts w:ascii="Times New Roman" w:hAnsi="Times New Roman" w:hint="eastAsia"/>
          <w:sz w:val="21"/>
          <w:szCs w:val="21"/>
        </w:rPr>
        <w:t>成长，高效”的主题，以“简化、</w:t>
      </w:r>
      <w:r w:rsidRPr="004F19DE">
        <w:rPr>
          <w:rFonts w:ascii="Times New Roman" w:hAnsi="Times New Roman" w:hint="eastAsia"/>
          <w:sz w:val="21"/>
          <w:szCs w:val="21"/>
        </w:rPr>
        <w:t>AI</w:t>
      </w:r>
      <w:r w:rsidRPr="004F19DE">
        <w:rPr>
          <w:rFonts w:ascii="Times New Roman" w:hAnsi="Times New Roman" w:hint="eastAsia"/>
          <w:sz w:val="21"/>
          <w:szCs w:val="21"/>
        </w:rPr>
        <w:t>、交付”为行动支点，围绕效率提升、流程优化和协同能力建设，不断夯实组织运营基础，持续深化与海外各分子公司的协同发展，不断完善国际市场布局，深化区域精耕模式，稳步推进全球化战略。在全球经济环境与医疗健康产业深度调整的背景下，技术加速迭代更新，用户需求不断变化，面对诸多的挑战和不确定性，公司团队始终坚定信心、积极应对，公司</w:t>
      </w:r>
      <w:r w:rsidRPr="004F19DE">
        <w:rPr>
          <w:rFonts w:ascii="Times New Roman" w:hAnsi="Times New Roman" w:hint="eastAsia"/>
          <w:sz w:val="21"/>
          <w:szCs w:val="21"/>
        </w:rPr>
        <w:t>2025</w:t>
      </w:r>
      <w:r w:rsidRPr="004F19DE">
        <w:rPr>
          <w:rFonts w:ascii="Times New Roman" w:hAnsi="Times New Roman" w:hint="eastAsia"/>
          <w:sz w:val="21"/>
          <w:szCs w:val="21"/>
        </w:rPr>
        <w:t>年实现营业收入</w:t>
      </w:r>
      <w:r w:rsidRPr="004F19DE">
        <w:rPr>
          <w:rFonts w:ascii="Times New Roman" w:hAnsi="Times New Roman" w:hint="eastAsia"/>
          <w:sz w:val="21"/>
          <w:szCs w:val="21"/>
        </w:rPr>
        <w:t>46.59</w:t>
      </w:r>
      <w:r w:rsidRPr="004F19DE">
        <w:rPr>
          <w:rFonts w:ascii="Times New Roman" w:hAnsi="Times New Roman" w:hint="eastAsia"/>
          <w:sz w:val="21"/>
          <w:szCs w:val="21"/>
        </w:rPr>
        <w:t>亿元，同比增长</w:t>
      </w:r>
      <w:r w:rsidRPr="004F19DE">
        <w:rPr>
          <w:rFonts w:ascii="Times New Roman" w:hAnsi="Times New Roman" w:hint="eastAsia"/>
          <w:sz w:val="21"/>
          <w:szCs w:val="21"/>
        </w:rPr>
        <w:t>4.87%</w:t>
      </w:r>
      <w:r w:rsidRPr="004F19DE">
        <w:rPr>
          <w:rFonts w:ascii="Times New Roman" w:hAnsi="Times New Roman" w:hint="eastAsia"/>
          <w:sz w:val="21"/>
          <w:szCs w:val="21"/>
        </w:rPr>
        <w:t>，其中海外收入</w:t>
      </w:r>
      <w:r w:rsidRPr="004F19DE">
        <w:rPr>
          <w:rFonts w:ascii="Times New Roman" w:hAnsi="Times New Roman" w:hint="eastAsia"/>
          <w:sz w:val="21"/>
          <w:szCs w:val="21"/>
        </w:rPr>
        <w:t>20.52</w:t>
      </w:r>
      <w:r w:rsidRPr="004F19DE">
        <w:rPr>
          <w:rFonts w:ascii="Times New Roman" w:hAnsi="Times New Roman" w:hint="eastAsia"/>
          <w:sz w:val="21"/>
          <w:szCs w:val="21"/>
        </w:rPr>
        <w:t>亿元，占比</w:t>
      </w:r>
      <w:r w:rsidRPr="004F19DE">
        <w:rPr>
          <w:rFonts w:ascii="Times New Roman" w:hAnsi="Times New Roman" w:hint="eastAsia"/>
          <w:sz w:val="21"/>
          <w:szCs w:val="21"/>
        </w:rPr>
        <w:t>44.04%</w:t>
      </w:r>
      <w:r w:rsidRPr="004F19DE">
        <w:rPr>
          <w:rFonts w:ascii="Times New Roman" w:hAnsi="Times New Roman" w:hint="eastAsia"/>
          <w:sz w:val="21"/>
          <w:szCs w:val="21"/>
        </w:rPr>
        <w:t>，同比增长</w:t>
      </w:r>
      <w:r w:rsidRPr="004F19DE">
        <w:rPr>
          <w:rFonts w:ascii="Times New Roman" w:hAnsi="Times New Roman" w:hint="eastAsia"/>
          <w:sz w:val="21"/>
          <w:szCs w:val="21"/>
        </w:rPr>
        <w:t>10.02%</w:t>
      </w:r>
      <w:r w:rsidRPr="004F19DE">
        <w:rPr>
          <w:rFonts w:ascii="Times New Roman" w:hAnsi="Times New Roman" w:hint="eastAsia"/>
          <w:sz w:val="21"/>
          <w:szCs w:val="21"/>
        </w:rPr>
        <w:t>；实现归属于母公司净利润</w:t>
      </w:r>
      <w:r w:rsidRPr="004F19DE">
        <w:rPr>
          <w:rFonts w:ascii="Times New Roman" w:hAnsi="Times New Roman" w:hint="eastAsia"/>
          <w:sz w:val="21"/>
          <w:szCs w:val="21"/>
        </w:rPr>
        <w:t>9264.89</w:t>
      </w:r>
      <w:r w:rsidRPr="004F19DE">
        <w:rPr>
          <w:rFonts w:ascii="Times New Roman" w:hAnsi="Times New Roman" w:hint="eastAsia"/>
          <w:sz w:val="21"/>
          <w:szCs w:val="21"/>
        </w:rPr>
        <w:t>万元，同比下降</w:t>
      </w:r>
      <w:r w:rsidRPr="004F19DE">
        <w:rPr>
          <w:rFonts w:ascii="Times New Roman" w:hAnsi="Times New Roman" w:hint="eastAsia"/>
          <w:sz w:val="21"/>
          <w:szCs w:val="21"/>
        </w:rPr>
        <w:t>71.61%</w:t>
      </w:r>
      <w:r w:rsidRPr="004F19DE">
        <w:rPr>
          <w:rFonts w:ascii="Times New Roman" w:hAnsi="Times New Roman" w:hint="eastAsia"/>
          <w:sz w:val="21"/>
          <w:szCs w:val="21"/>
        </w:rPr>
        <w:t>。净利润的大幅下滑，主要源于公司在全球化与新业务推进过程中所经历的阶段性挑战与投入：一方面，</w:t>
      </w:r>
      <w:r w:rsidRPr="004F19DE">
        <w:rPr>
          <w:rFonts w:ascii="Times New Roman" w:hAnsi="Times New Roman" w:hint="eastAsia"/>
          <w:sz w:val="21"/>
          <w:szCs w:val="21"/>
        </w:rPr>
        <w:t>CGM</w:t>
      </w:r>
      <w:r w:rsidRPr="004F19DE">
        <w:rPr>
          <w:rFonts w:ascii="Times New Roman" w:hAnsi="Times New Roman" w:hint="eastAsia"/>
          <w:sz w:val="21"/>
          <w:szCs w:val="21"/>
        </w:rPr>
        <w:t>业务在欧洲市场遭遇专利诉讼，影响了阶段性推进节奏；另一方面，子公司</w:t>
      </w:r>
      <w:r w:rsidRPr="004F19DE">
        <w:rPr>
          <w:rFonts w:ascii="Times New Roman" w:hAnsi="Times New Roman" w:hint="eastAsia"/>
          <w:sz w:val="21"/>
          <w:szCs w:val="21"/>
        </w:rPr>
        <w:t>Trividia</w:t>
      </w:r>
      <w:r w:rsidRPr="004F19DE">
        <w:rPr>
          <w:rFonts w:ascii="Times New Roman" w:hAnsi="Times New Roman" w:hint="eastAsia"/>
          <w:sz w:val="21"/>
          <w:szCs w:val="21"/>
        </w:rPr>
        <w:t>完成与罗氏的专利纠纷和解，同时</w:t>
      </w:r>
      <w:r w:rsidRPr="004F19DE">
        <w:rPr>
          <w:rFonts w:ascii="Times New Roman" w:hAnsi="Times New Roman" w:hint="eastAsia"/>
          <w:sz w:val="21"/>
          <w:szCs w:val="21"/>
        </w:rPr>
        <w:t>PTS</w:t>
      </w:r>
      <w:r w:rsidRPr="004F19DE">
        <w:rPr>
          <w:rFonts w:ascii="Times New Roman" w:hAnsi="Times New Roman" w:hint="eastAsia"/>
          <w:sz w:val="21"/>
          <w:szCs w:val="21"/>
        </w:rPr>
        <w:t>相关业务计提商誉减值。这些因素在短期内对净利润产生了集中影响。</w:t>
      </w:r>
    </w:p>
    <w:p w14:paraId="5673A90B" w14:textId="777777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未来，公司将继续聚焦主业，充分发挥多领域发展布局与技术融合优势，以“</w:t>
      </w:r>
      <w:r w:rsidRPr="004F19DE">
        <w:rPr>
          <w:rFonts w:ascii="Times New Roman" w:hAnsi="Times New Roman" w:hint="eastAsia"/>
          <w:sz w:val="21"/>
          <w:szCs w:val="21"/>
        </w:rPr>
        <w:t>AI</w:t>
      </w:r>
      <w:r w:rsidRPr="004F19DE">
        <w:rPr>
          <w:rFonts w:ascii="Times New Roman" w:hAnsi="Times New Roman" w:hint="eastAsia"/>
          <w:sz w:val="21"/>
          <w:szCs w:val="21"/>
        </w:rPr>
        <w:t>”为引擎，重新思考业务流程优化与组织的适配，聚焦新型生物传感器的研发创新和高质量规模化生产，探索“生物传感</w:t>
      </w:r>
      <w:r w:rsidRPr="004F19DE">
        <w:rPr>
          <w:rFonts w:ascii="Times New Roman" w:hAnsi="Times New Roman" w:hint="eastAsia"/>
          <w:sz w:val="21"/>
          <w:szCs w:val="21"/>
        </w:rPr>
        <w:t>+</w:t>
      </w:r>
      <w:r w:rsidRPr="004F19DE">
        <w:rPr>
          <w:rFonts w:ascii="Times New Roman" w:hAnsi="Times New Roman" w:hint="eastAsia"/>
          <w:sz w:val="21"/>
          <w:szCs w:val="21"/>
        </w:rPr>
        <w:t>人工智能</w:t>
      </w:r>
      <w:r w:rsidRPr="004F19DE">
        <w:rPr>
          <w:rFonts w:ascii="Times New Roman" w:hAnsi="Times New Roman" w:hint="eastAsia"/>
          <w:sz w:val="21"/>
          <w:szCs w:val="21"/>
        </w:rPr>
        <w:t>+</w:t>
      </w:r>
      <w:r w:rsidRPr="004F19DE">
        <w:rPr>
          <w:rFonts w:ascii="Times New Roman" w:hAnsi="Times New Roman" w:hint="eastAsia"/>
          <w:sz w:val="21"/>
          <w:szCs w:val="21"/>
        </w:rPr>
        <w:t>医疗”的新模式，实现“感知</w:t>
      </w:r>
      <w:r w:rsidRPr="004F19DE">
        <w:rPr>
          <w:rFonts w:ascii="Times New Roman" w:hAnsi="Times New Roman" w:hint="eastAsia"/>
          <w:sz w:val="21"/>
          <w:szCs w:val="21"/>
        </w:rPr>
        <w:t>+</w:t>
      </w:r>
      <w:r w:rsidRPr="004F19DE">
        <w:rPr>
          <w:rFonts w:ascii="Times New Roman" w:hAnsi="Times New Roman" w:hint="eastAsia"/>
          <w:sz w:val="21"/>
          <w:szCs w:val="21"/>
        </w:rPr>
        <w:t>评估</w:t>
      </w:r>
      <w:r w:rsidRPr="004F19DE">
        <w:rPr>
          <w:rFonts w:ascii="Times New Roman" w:hAnsi="Times New Roman" w:hint="eastAsia"/>
          <w:sz w:val="21"/>
          <w:szCs w:val="21"/>
        </w:rPr>
        <w:t>+</w:t>
      </w:r>
      <w:r w:rsidRPr="004F19DE">
        <w:rPr>
          <w:rFonts w:ascii="Times New Roman" w:hAnsi="Times New Roman" w:hint="eastAsia"/>
          <w:sz w:val="21"/>
          <w:szCs w:val="21"/>
        </w:rPr>
        <w:t>干预”的糖尿病智慧管理闭环；增强“人机协同”的员工能力，建设数据驱动的敏捷平台，将</w:t>
      </w:r>
      <w:r w:rsidRPr="004F19DE">
        <w:rPr>
          <w:rFonts w:ascii="Times New Roman" w:hAnsi="Times New Roman" w:hint="eastAsia"/>
          <w:sz w:val="21"/>
          <w:szCs w:val="21"/>
        </w:rPr>
        <w:t>AI</w:t>
      </w:r>
      <w:r w:rsidRPr="004F19DE">
        <w:rPr>
          <w:rFonts w:ascii="Times New Roman" w:hAnsi="Times New Roman" w:hint="eastAsia"/>
          <w:sz w:val="21"/>
          <w:szCs w:val="21"/>
        </w:rPr>
        <w:t>深度融入业务流程，而非简单工具化应用，在变化中筑牢根基，在创新中创造价值，持续推动业务高效运营、基业长青，以实现“全球领先的糖尿病数字管理专家”的战略愿景。</w:t>
      </w:r>
    </w:p>
    <w:p w14:paraId="2E28FF36" w14:textId="77777777" w:rsidR="004F19DE" w:rsidRPr="004F19DE" w:rsidRDefault="004F19DE" w:rsidP="004F19DE">
      <w:pPr>
        <w:pStyle w:val="a9"/>
        <w:spacing w:before="0" w:beforeAutospacing="0" w:after="0" w:afterAutospacing="0" w:line="360" w:lineRule="auto"/>
        <w:ind w:firstLineChars="200" w:firstLine="422"/>
        <w:jc w:val="both"/>
        <w:rPr>
          <w:rFonts w:ascii="Times New Roman" w:hAnsi="Times New Roman"/>
          <w:b/>
          <w:sz w:val="21"/>
          <w:szCs w:val="21"/>
        </w:rPr>
      </w:pPr>
      <w:r w:rsidRPr="004F19DE">
        <w:rPr>
          <w:rFonts w:ascii="Times New Roman" w:hAnsi="Times New Roman" w:hint="eastAsia"/>
          <w:b/>
          <w:sz w:val="21"/>
          <w:szCs w:val="21"/>
        </w:rPr>
        <w:t>二</w:t>
      </w:r>
      <w:r w:rsidRPr="004F19DE">
        <w:rPr>
          <w:rFonts w:ascii="Times New Roman" w:hAnsi="Times New Roman"/>
          <w:b/>
          <w:sz w:val="21"/>
          <w:szCs w:val="21"/>
        </w:rPr>
        <w:t>、</w:t>
      </w:r>
      <w:r w:rsidRPr="004F19DE">
        <w:rPr>
          <w:rFonts w:ascii="Times New Roman" w:hAnsi="Times New Roman" w:hint="eastAsia"/>
          <w:b/>
          <w:sz w:val="21"/>
          <w:szCs w:val="21"/>
        </w:rPr>
        <w:t>坚持研发创新驱动，构建公司核心竞争力</w:t>
      </w:r>
    </w:p>
    <w:p w14:paraId="75D389E3" w14:textId="5F9E4911"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bookmarkStart w:id="56" w:name="OLE_LINK12"/>
      <w:r w:rsidRPr="004F19DE">
        <w:rPr>
          <w:rFonts w:ascii="Times New Roman" w:hAnsi="Times New Roman" w:hint="eastAsia"/>
          <w:sz w:val="21"/>
          <w:szCs w:val="21"/>
        </w:rPr>
        <w:t>2025</w:t>
      </w:r>
      <w:r w:rsidRPr="004F19DE">
        <w:rPr>
          <w:rFonts w:ascii="Times New Roman" w:hAnsi="Times New Roman"/>
          <w:sz w:val="21"/>
          <w:szCs w:val="21"/>
        </w:rPr>
        <w:t>年</w:t>
      </w:r>
      <w:r w:rsidRPr="004F19DE">
        <w:rPr>
          <w:rFonts w:ascii="Times New Roman" w:hAnsi="Times New Roman" w:hint="eastAsia"/>
          <w:sz w:val="21"/>
          <w:szCs w:val="21"/>
        </w:rPr>
        <w:t>公司研发投入为</w:t>
      </w:r>
      <w:r w:rsidRPr="004F19DE">
        <w:rPr>
          <w:rFonts w:ascii="Times New Roman" w:hAnsi="Times New Roman" w:hint="eastAsia"/>
          <w:sz w:val="21"/>
          <w:szCs w:val="21"/>
        </w:rPr>
        <w:t>2.75</w:t>
      </w:r>
      <w:r w:rsidRPr="004F19DE">
        <w:rPr>
          <w:rFonts w:ascii="Times New Roman" w:hAnsi="Times New Roman" w:hint="eastAsia"/>
          <w:sz w:val="21"/>
          <w:szCs w:val="21"/>
        </w:rPr>
        <w:t>亿元，占同期总营收的比例为</w:t>
      </w:r>
      <w:r w:rsidRPr="004F19DE">
        <w:rPr>
          <w:rFonts w:ascii="Times New Roman" w:hAnsi="Times New Roman" w:hint="eastAsia"/>
          <w:sz w:val="21"/>
          <w:szCs w:val="21"/>
        </w:rPr>
        <w:t>5.89</w:t>
      </w:r>
      <w:r w:rsidRPr="004F19DE">
        <w:rPr>
          <w:rFonts w:ascii="Times New Roman" w:hAnsi="Times New Roman"/>
          <w:sz w:val="21"/>
          <w:szCs w:val="21"/>
        </w:rPr>
        <w:t>%</w:t>
      </w:r>
      <w:r w:rsidRPr="004F19DE">
        <w:rPr>
          <w:rFonts w:ascii="Times New Roman" w:hAnsi="Times New Roman" w:hint="eastAsia"/>
          <w:sz w:val="21"/>
          <w:szCs w:val="21"/>
        </w:rPr>
        <w:t>。截至</w:t>
      </w:r>
      <w:bookmarkEnd w:id="56"/>
      <w:r w:rsidRPr="004F19DE">
        <w:rPr>
          <w:rFonts w:ascii="Times New Roman" w:hAnsi="Times New Roman"/>
          <w:sz w:val="21"/>
          <w:szCs w:val="21"/>
        </w:rPr>
        <w:t>2025</w:t>
      </w:r>
      <w:r w:rsidRPr="004F19DE">
        <w:rPr>
          <w:rFonts w:ascii="Times New Roman" w:hAnsi="Times New Roman" w:hint="eastAsia"/>
          <w:sz w:val="21"/>
          <w:szCs w:val="21"/>
        </w:rPr>
        <w:t>年</w:t>
      </w:r>
      <w:r w:rsidRPr="004F19DE">
        <w:rPr>
          <w:rFonts w:ascii="Times New Roman" w:hAnsi="Times New Roman"/>
          <w:sz w:val="21"/>
          <w:szCs w:val="21"/>
        </w:rPr>
        <w:t>12</w:t>
      </w:r>
      <w:r w:rsidRPr="004F19DE">
        <w:rPr>
          <w:rFonts w:ascii="Times New Roman" w:hAnsi="Times New Roman" w:hint="eastAsia"/>
          <w:sz w:val="21"/>
          <w:szCs w:val="21"/>
        </w:rPr>
        <w:t>月</w:t>
      </w:r>
      <w:r w:rsidRPr="004F19DE">
        <w:rPr>
          <w:rFonts w:ascii="Times New Roman" w:hAnsi="Times New Roman"/>
          <w:sz w:val="21"/>
          <w:szCs w:val="21"/>
        </w:rPr>
        <w:t>31</w:t>
      </w:r>
      <w:r w:rsidRPr="004F19DE">
        <w:rPr>
          <w:rFonts w:ascii="Times New Roman" w:hAnsi="Times New Roman" w:hint="eastAsia"/>
          <w:sz w:val="21"/>
          <w:szCs w:val="21"/>
        </w:rPr>
        <w:t>日，研发人员共</w:t>
      </w:r>
      <w:r w:rsidRPr="004F19DE">
        <w:rPr>
          <w:rFonts w:ascii="Times New Roman" w:hAnsi="Times New Roman"/>
          <w:sz w:val="21"/>
          <w:szCs w:val="21"/>
        </w:rPr>
        <w:t>879</w:t>
      </w:r>
      <w:r w:rsidRPr="004F19DE">
        <w:rPr>
          <w:rFonts w:ascii="Times New Roman" w:hAnsi="Times New Roman" w:hint="eastAsia"/>
          <w:sz w:val="21"/>
          <w:szCs w:val="21"/>
        </w:rPr>
        <w:t>人，占公司员工总人数的比例为</w:t>
      </w:r>
      <w:r w:rsidRPr="004F19DE">
        <w:rPr>
          <w:rFonts w:ascii="Times New Roman" w:hAnsi="Times New Roman"/>
          <w:sz w:val="21"/>
          <w:szCs w:val="21"/>
        </w:rPr>
        <w:t>17.54%</w:t>
      </w:r>
      <w:r w:rsidRPr="004F19DE">
        <w:rPr>
          <w:rFonts w:ascii="Times New Roman" w:hAnsi="Times New Roman" w:hint="eastAsia"/>
          <w:sz w:val="21"/>
          <w:szCs w:val="21"/>
        </w:rPr>
        <w:t>，全球累计持有授权专利</w:t>
      </w:r>
      <w:r w:rsidRPr="004F19DE">
        <w:rPr>
          <w:rFonts w:ascii="Times New Roman" w:hAnsi="Times New Roman" w:hint="eastAsia"/>
          <w:sz w:val="21"/>
          <w:szCs w:val="21"/>
        </w:rPr>
        <w:t>724</w:t>
      </w:r>
      <w:r w:rsidRPr="004F19DE">
        <w:rPr>
          <w:rFonts w:ascii="Times New Roman" w:hAnsi="Times New Roman" w:hint="eastAsia"/>
          <w:sz w:val="21"/>
          <w:szCs w:val="21"/>
        </w:rPr>
        <w:t>项，其中中国授权专利</w:t>
      </w:r>
      <w:r w:rsidRPr="004F19DE">
        <w:rPr>
          <w:rFonts w:ascii="Times New Roman" w:hAnsi="Times New Roman" w:hint="eastAsia"/>
          <w:sz w:val="21"/>
          <w:szCs w:val="21"/>
        </w:rPr>
        <w:t>377</w:t>
      </w:r>
      <w:r w:rsidRPr="004F19DE">
        <w:rPr>
          <w:rFonts w:ascii="Times New Roman" w:hAnsi="Times New Roman" w:hint="eastAsia"/>
          <w:sz w:val="21"/>
          <w:szCs w:val="21"/>
        </w:rPr>
        <w:t>项，海外授权专利</w:t>
      </w:r>
      <w:r w:rsidRPr="004F19DE">
        <w:rPr>
          <w:rFonts w:ascii="Times New Roman" w:hAnsi="Times New Roman" w:hint="eastAsia"/>
          <w:sz w:val="21"/>
          <w:szCs w:val="21"/>
        </w:rPr>
        <w:t>347</w:t>
      </w:r>
      <w:r w:rsidRPr="004F19DE">
        <w:rPr>
          <w:rFonts w:ascii="Times New Roman" w:hAnsi="Times New Roman" w:hint="eastAsia"/>
          <w:sz w:val="21"/>
          <w:szCs w:val="21"/>
        </w:rPr>
        <w:t>项，有效地保障了公司产品升级和新产品的开发储备力度。</w:t>
      </w:r>
    </w:p>
    <w:p w14:paraId="4F5DD069" w14:textId="7375E546"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2025</w:t>
      </w:r>
      <w:r w:rsidRPr="004F19DE">
        <w:rPr>
          <w:rFonts w:ascii="Times New Roman" w:hAnsi="Times New Roman" w:hint="eastAsia"/>
          <w:sz w:val="21"/>
          <w:szCs w:val="21"/>
        </w:rPr>
        <w:t>年度，公司持续葡萄糖监测系统在多个国家获批注册证，二代产品获得欧盟</w:t>
      </w:r>
      <w:r w:rsidRPr="004F19DE">
        <w:rPr>
          <w:rFonts w:ascii="Times New Roman" w:hAnsi="Times New Roman" w:hint="eastAsia"/>
          <w:sz w:val="21"/>
          <w:szCs w:val="21"/>
        </w:rPr>
        <w:t>Medical Devices Regulation(EU)2017/745</w:t>
      </w:r>
      <w:r w:rsidRPr="004F19DE">
        <w:rPr>
          <w:rFonts w:ascii="Times New Roman" w:hAnsi="Times New Roman" w:hint="eastAsia"/>
          <w:sz w:val="21"/>
          <w:szCs w:val="21"/>
        </w:rPr>
        <w:t>（简称“</w:t>
      </w:r>
      <w:r w:rsidRPr="004F19DE">
        <w:rPr>
          <w:rFonts w:ascii="Times New Roman" w:hAnsi="Times New Roman" w:hint="eastAsia"/>
          <w:sz w:val="21"/>
          <w:szCs w:val="21"/>
        </w:rPr>
        <w:t>MDR</w:t>
      </w:r>
      <w:r w:rsidRPr="004F19DE">
        <w:rPr>
          <w:rFonts w:ascii="Times New Roman" w:hAnsi="Times New Roman" w:hint="eastAsia"/>
          <w:sz w:val="21"/>
          <w:szCs w:val="21"/>
        </w:rPr>
        <w:t>”）认证，并进一步扩大了公司两代</w:t>
      </w:r>
      <w:r w:rsidRPr="004F19DE">
        <w:rPr>
          <w:rFonts w:ascii="Times New Roman" w:hAnsi="Times New Roman" w:hint="eastAsia"/>
          <w:sz w:val="21"/>
          <w:szCs w:val="21"/>
        </w:rPr>
        <w:t>CGM</w:t>
      </w:r>
      <w:r w:rsidRPr="004F19DE">
        <w:rPr>
          <w:rFonts w:ascii="Times New Roman" w:hAnsi="Times New Roman" w:hint="eastAsia"/>
          <w:sz w:val="21"/>
          <w:szCs w:val="21"/>
        </w:rPr>
        <w:t>产品的适用场景，可广泛应用于监测</w:t>
      </w:r>
      <w:r w:rsidRPr="004F19DE">
        <w:rPr>
          <w:rFonts w:ascii="Times New Roman" w:hAnsi="Times New Roman" w:hint="eastAsia"/>
          <w:sz w:val="21"/>
          <w:szCs w:val="21"/>
        </w:rPr>
        <w:t>2</w:t>
      </w:r>
      <w:r w:rsidRPr="004F19DE">
        <w:rPr>
          <w:rFonts w:ascii="Times New Roman" w:hAnsi="Times New Roman" w:hint="eastAsia"/>
          <w:sz w:val="21"/>
          <w:szCs w:val="21"/>
        </w:rPr>
        <w:t>岁及以上人群葡萄糖水平，配套软件在多个国家上线并完成多语言适配；院内血糖管理系统在菲律宾、泰国等国家实现落地应用，推动数字化管理工具在真实医疗场景中的实践；陆续推出了优准</w:t>
      </w:r>
      <w:r w:rsidRPr="004F19DE">
        <w:rPr>
          <w:rFonts w:ascii="Times New Roman" w:hAnsi="Times New Roman" w:hint="eastAsia"/>
          <w:sz w:val="21"/>
          <w:szCs w:val="21"/>
        </w:rPr>
        <w:t>SC801/SC801 Air</w:t>
      </w:r>
      <w:r w:rsidRPr="004F19DE">
        <w:rPr>
          <w:rFonts w:ascii="Times New Roman" w:hAnsi="Times New Roman" w:hint="eastAsia"/>
          <w:sz w:val="21"/>
          <w:szCs w:val="21"/>
        </w:rPr>
        <w:t>血糖仪、掌优</w:t>
      </w:r>
      <w:r w:rsidRPr="004F19DE">
        <w:rPr>
          <w:rFonts w:ascii="Times New Roman" w:hAnsi="Times New Roman" w:hint="eastAsia"/>
          <w:sz w:val="21"/>
          <w:szCs w:val="21"/>
        </w:rPr>
        <w:t>M101/M101 Air</w:t>
      </w:r>
      <w:r w:rsidRPr="004F19DE">
        <w:rPr>
          <w:rFonts w:ascii="Times New Roman" w:hAnsi="Times New Roman" w:hint="eastAsia"/>
          <w:sz w:val="21"/>
          <w:szCs w:val="21"/>
        </w:rPr>
        <w:t>血糖尿酸血脂仪、</w:t>
      </w:r>
      <w:r w:rsidRPr="004F19DE">
        <w:rPr>
          <w:rFonts w:ascii="Times New Roman" w:hAnsi="Times New Roman" w:hint="eastAsia"/>
          <w:sz w:val="21"/>
          <w:szCs w:val="21"/>
        </w:rPr>
        <w:t>iCARE 3000</w:t>
      </w:r>
      <w:r w:rsidRPr="004F19DE">
        <w:rPr>
          <w:rFonts w:ascii="Times New Roman" w:hAnsi="Times New Roman" w:hint="eastAsia"/>
          <w:sz w:val="21"/>
          <w:szCs w:val="21"/>
        </w:rPr>
        <w:t>血细胞检测设备等新产品，有效拓宽了产品应用领域和适用人群，优化了公司产品结构和产业布局。公司参与修订了国家标准</w:t>
      </w:r>
      <w:bookmarkStart w:id="57" w:name="OLE_LINK4"/>
      <w:r w:rsidRPr="004F19DE">
        <w:rPr>
          <w:rFonts w:ascii="Times New Roman" w:hAnsi="Times New Roman" w:hint="eastAsia"/>
          <w:sz w:val="21"/>
          <w:szCs w:val="21"/>
        </w:rPr>
        <w:t>《体外诊断检验系统自测用血糖监测系统通用技术条件》</w:t>
      </w:r>
      <w:bookmarkEnd w:id="57"/>
      <w:r w:rsidRPr="004F19DE">
        <w:rPr>
          <w:rFonts w:ascii="Times New Roman" w:hAnsi="Times New Roman" w:hint="eastAsia"/>
          <w:sz w:val="21"/>
          <w:szCs w:val="21"/>
        </w:rPr>
        <w:t>（</w:t>
      </w:r>
      <w:r w:rsidRPr="004F19DE">
        <w:rPr>
          <w:rFonts w:ascii="Times New Roman" w:hAnsi="Times New Roman"/>
          <w:sz w:val="21"/>
          <w:szCs w:val="21"/>
        </w:rPr>
        <w:t>GB/T 19634-2021</w:t>
      </w:r>
      <w:r w:rsidRPr="004F19DE">
        <w:rPr>
          <w:rFonts w:ascii="Times New Roman" w:hAnsi="Times New Roman" w:hint="eastAsia"/>
          <w:sz w:val="21"/>
          <w:szCs w:val="21"/>
        </w:rPr>
        <w:t>），参与了团体标准《糖化血红蛋白检测系统的性能验证》（</w:t>
      </w:r>
      <w:r w:rsidRPr="004F19DE">
        <w:rPr>
          <w:rFonts w:ascii="Times New Roman" w:hAnsi="Times New Roman"/>
          <w:sz w:val="21"/>
          <w:szCs w:val="21"/>
        </w:rPr>
        <w:t>T/CITS 0000-2024</w:t>
      </w:r>
      <w:r w:rsidRPr="004F19DE">
        <w:rPr>
          <w:rFonts w:ascii="Times New Roman" w:hAnsi="Times New Roman" w:hint="eastAsia"/>
          <w:sz w:val="21"/>
          <w:szCs w:val="21"/>
        </w:rPr>
        <w:t>）的编制工作，并先后荣获“</w:t>
      </w:r>
      <w:bookmarkStart w:id="58" w:name="OLE_LINK5"/>
      <w:r w:rsidRPr="004F19DE">
        <w:rPr>
          <w:rFonts w:ascii="Times New Roman" w:hAnsi="Times New Roman" w:hint="eastAsia"/>
          <w:sz w:val="21"/>
          <w:szCs w:val="21"/>
        </w:rPr>
        <w:t>国家企业技术中心</w:t>
      </w:r>
      <w:bookmarkEnd w:id="58"/>
      <w:r w:rsidRPr="004F19DE">
        <w:rPr>
          <w:rFonts w:ascii="Times New Roman" w:hAnsi="Times New Roman" w:hint="eastAsia"/>
          <w:sz w:val="21"/>
          <w:szCs w:val="21"/>
        </w:rPr>
        <w:t>”、“国家工程研究中心”、“国家技术创新示范企业”、“国家知识产权优势企业”、“国家科技进步二等奖”等资质。</w:t>
      </w:r>
      <w:bookmarkStart w:id="59" w:name="OLE_LINK11"/>
    </w:p>
    <w:bookmarkEnd w:id="59"/>
    <w:p w14:paraId="5D112B3A" w14:textId="77777777" w:rsidR="004F19DE" w:rsidRPr="004F19DE" w:rsidRDefault="004F19DE" w:rsidP="004F19DE">
      <w:pPr>
        <w:pStyle w:val="a9"/>
        <w:spacing w:before="0" w:beforeAutospacing="0" w:after="0" w:afterAutospacing="0" w:line="360" w:lineRule="auto"/>
        <w:ind w:firstLineChars="200" w:firstLine="422"/>
        <w:jc w:val="both"/>
        <w:rPr>
          <w:rFonts w:ascii="Times New Roman" w:hAnsi="Times New Roman"/>
          <w:b/>
          <w:sz w:val="21"/>
          <w:szCs w:val="21"/>
        </w:rPr>
      </w:pPr>
      <w:r w:rsidRPr="004F19DE">
        <w:rPr>
          <w:rFonts w:ascii="Times New Roman" w:hAnsi="Times New Roman" w:hint="eastAsia"/>
          <w:b/>
          <w:sz w:val="21"/>
          <w:szCs w:val="21"/>
        </w:rPr>
        <w:t>三、夯实公司治理，积极履行社会责任</w:t>
      </w:r>
    </w:p>
    <w:p w14:paraId="76B43D2A" w14:textId="1D272110"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202</w:t>
      </w:r>
      <w:r w:rsidRPr="004F19DE">
        <w:rPr>
          <w:rFonts w:ascii="Times New Roman" w:hAnsi="Times New Roman"/>
          <w:sz w:val="21"/>
          <w:szCs w:val="21"/>
        </w:rPr>
        <w:t>5</w:t>
      </w:r>
      <w:r w:rsidRPr="004F19DE">
        <w:rPr>
          <w:rFonts w:ascii="Times New Roman" w:hAnsi="Times New Roman" w:hint="eastAsia"/>
          <w:sz w:val="21"/>
          <w:szCs w:val="21"/>
        </w:rPr>
        <w:t>年度，公司根据最新法律法规、规范性文件的要求规范运作，结合自身实际情况，优化公司治理结构及内部控制体系，保障股东会、董事会及管理层规范高效运作，进一步构建权责清晰、运转协调、有效制衡的长效治理机制</w:t>
      </w:r>
      <w:r w:rsidRPr="004F19DE">
        <w:rPr>
          <w:rFonts w:ascii="Times New Roman" w:hAnsi="Times New Roman"/>
          <w:sz w:val="21"/>
          <w:szCs w:val="21"/>
        </w:rPr>
        <w:t>。</w:t>
      </w:r>
      <w:r w:rsidRPr="004F19DE">
        <w:rPr>
          <w:rFonts w:ascii="Times New Roman" w:hAnsi="Times New Roman" w:hint="eastAsia"/>
          <w:sz w:val="21"/>
          <w:szCs w:val="21"/>
        </w:rPr>
        <w:t>2025</w:t>
      </w:r>
      <w:r w:rsidRPr="004F19DE">
        <w:rPr>
          <w:rFonts w:ascii="Times New Roman" w:hAnsi="Times New Roman"/>
          <w:sz w:val="21"/>
          <w:szCs w:val="21"/>
        </w:rPr>
        <w:t>年度，公司</w:t>
      </w:r>
      <w:r w:rsidRPr="004F19DE">
        <w:rPr>
          <w:rFonts w:ascii="Times New Roman" w:hAnsi="Times New Roman" w:hint="eastAsia"/>
          <w:sz w:val="21"/>
          <w:szCs w:val="21"/>
        </w:rPr>
        <w:t>对《公司章程》《股东会议事规则》《董事会议事规则》《独立董事工作制度》《董事会专门委员会工作细则》等</w:t>
      </w:r>
      <w:r w:rsidRPr="004F19DE">
        <w:rPr>
          <w:rFonts w:ascii="Times New Roman" w:hAnsi="Times New Roman" w:hint="eastAsia"/>
          <w:sz w:val="21"/>
          <w:szCs w:val="21"/>
        </w:rPr>
        <w:t>26</w:t>
      </w:r>
      <w:r w:rsidRPr="004F19DE">
        <w:rPr>
          <w:rFonts w:ascii="Times New Roman" w:hAnsi="Times New Roman" w:hint="eastAsia"/>
          <w:sz w:val="21"/>
          <w:szCs w:val="21"/>
        </w:rPr>
        <w:t>项治理制度进行系统性修订，新增制定</w:t>
      </w:r>
      <w:r w:rsidRPr="004F19DE">
        <w:rPr>
          <w:rFonts w:ascii="Times New Roman" w:hAnsi="Times New Roman" w:hint="eastAsia"/>
          <w:sz w:val="21"/>
          <w:szCs w:val="21"/>
        </w:rPr>
        <w:t>7</w:t>
      </w:r>
      <w:r w:rsidRPr="004F19DE">
        <w:rPr>
          <w:rFonts w:ascii="Times New Roman" w:hAnsi="Times New Roman" w:hint="eastAsia"/>
          <w:sz w:val="21"/>
          <w:szCs w:val="21"/>
        </w:rPr>
        <w:t>项治理制度，顺利完成取消监事会以及由审计委员会衔接等相关工作</w:t>
      </w:r>
      <w:r w:rsidRPr="004F19DE">
        <w:rPr>
          <w:rFonts w:ascii="Times New Roman" w:hAnsi="Times New Roman"/>
          <w:sz w:val="21"/>
          <w:szCs w:val="21"/>
        </w:rPr>
        <w:t>。</w:t>
      </w:r>
      <w:r w:rsidRPr="004F19DE">
        <w:rPr>
          <w:rFonts w:ascii="Times New Roman" w:hAnsi="Times New Roman" w:hint="eastAsia"/>
          <w:sz w:val="21"/>
          <w:szCs w:val="21"/>
        </w:rPr>
        <w:t>公司通过持续优化治理架构、完善制度体系、健全内部控制机制，进一步提升公司治理水平。</w:t>
      </w:r>
    </w:p>
    <w:p w14:paraId="7B9B6014" w14:textId="777777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在社会责任领域，公司积极投身公益事业，持续聚焦糖尿病防控与基层健康需求，开展覆盖广泛的公益筛查与科普行动，持续关注</w:t>
      </w:r>
      <w:r w:rsidRPr="004F19DE">
        <w:rPr>
          <w:rFonts w:ascii="Times New Roman" w:hAnsi="Times New Roman" w:hint="eastAsia"/>
          <w:sz w:val="21"/>
          <w:szCs w:val="21"/>
        </w:rPr>
        <w:t>1</w:t>
      </w:r>
      <w:r w:rsidRPr="004F19DE">
        <w:rPr>
          <w:rFonts w:ascii="Times New Roman" w:hAnsi="Times New Roman" w:hint="eastAsia"/>
          <w:sz w:val="21"/>
          <w:szCs w:val="21"/>
        </w:rPr>
        <w:t>型糖尿病患者家庭与乡村教育群体，推动健康资源向基层与弱势群体延伸，以实际行动回应“健康中国</w:t>
      </w:r>
      <w:r w:rsidRPr="004F19DE">
        <w:rPr>
          <w:rFonts w:ascii="Times New Roman" w:hAnsi="Times New Roman" w:hint="eastAsia"/>
          <w:sz w:val="21"/>
          <w:szCs w:val="21"/>
        </w:rPr>
        <w:t>2030</w:t>
      </w:r>
      <w:r w:rsidRPr="004F19DE">
        <w:rPr>
          <w:rFonts w:ascii="Times New Roman" w:hAnsi="Times New Roman" w:hint="eastAsia"/>
          <w:sz w:val="21"/>
          <w:szCs w:val="21"/>
        </w:rPr>
        <w:t>”战略目标。自</w:t>
      </w:r>
      <w:r w:rsidRPr="004F19DE">
        <w:rPr>
          <w:rFonts w:ascii="Times New Roman" w:hAnsi="Times New Roman" w:hint="eastAsia"/>
          <w:sz w:val="21"/>
          <w:szCs w:val="21"/>
        </w:rPr>
        <w:t>2020</w:t>
      </w:r>
      <w:r w:rsidRPr="004F19DE">
        <w:rPr>
          <w:rFonts w:ascii="Times New Roman" w:hAnsi="Times New Roman" w:hint="eastAsia"/>
          <w:sz w:val="21"/>
          <w:szCs w:val="21"/>
        </w:rPr>
        <w:t>年起，公司已连续</w:t>
      </w:r>
      <w:r w:rsidRPr="004F19DE">
        <w:rPr>
          <w:rFonts w:ascii="Times New Roman" w:hAnsi="Times New Roman" w:hint="eastAsia"/>
          <w:sz w:val="21"/>
          <w:szCs w:val="21"/>
        </w:rPr>
        <w:t>4</w:t>
      </w:r>
      <w:r w:rsidRPr="004F19DE">
        <w:rPr>
          <w:rFonts w:ascii="Times New Roman" w:hAnsi="Times New Roman" w:hint="eastAsia"/>
          <w:sz w:val="21"/>
          <w:szCs w:val="21"/>
        </w:rPr>
        <w:t>年自愿披露《企业社会责任报告》，并于</w:t>
      </w:r>
      <w:r w:rsidRPr="004F19DE">
        <w:rPr>
          <w:rFonts w:ascii="Times New Roman" w:hAnsi="Times New Roman" w:hint="eastAsia"/>
          <w:sz w:val="21"/>
          <w:szCs w:val="21"/>
        </w:rPr>
        <w:t>2025</w:t>
      </w:r>
      <w:r w:rsidRPr="004F19DE">
        <w:rPr>
          <w:rFonts w:ascii="Times New Roman" w:hAnsi="Times New Roman" w:hint="eastAsia"/>
          <w:sz w:val="21"/>
          <w:szCs w:val="21"/>
        </w:rPr>
        <w:t>年起发布《环境、社会及公司治理（</w:t>
      </w:r>
      <w:r w:rsidRPr="004F19DE">
        <w:rPr>
          <w:rFonts w:ascii="Times New Roman" w:hAnsi="Times New Roman" w:hint="eastAsia"/>
          <w:sz w:val="21"/>
          <w:szCs w:val="21"/>
        </w:rPr>
        <w:t>ESG</w:t>
      </w:r>
      <w:r w:rsidRPr="004F19DE">
        <w:rPr>
          <w:rFonts w:ascii="Times New Roman" w:hAnsi="Times New Roman" w:hint="eastAsia"/>
          <w:sz w:val="21"/>
          <w:szCs w:val="21"/>
        </w:rPr>
        <w:t>）报告》，系统呈现了公司在绿色低碳、合规治理、员工关怀、社会公益和供应链管理等方面的实践与成效，报告期内公司获评</w:t>
      </w:r>
      <w:r w:rsidRPr="004F19DE">
        <w:rPr>
          <w:rFonts w:ascii="Times New Roman" w:hAnsi="Times New Roman" w:hint="eastAsia"/>
          <w:sz w:val="21"/>
          <w:szCs w:val="21"/>
        </w:rPr>
        <w:t xml:space="preserve"> Wind ESG </w:t>
      </w:r>
      <w:r w:rsidRPr="004F19DE">
        <w:rPr>
          <w:rFonts w:ascii="Times New Roman" w:hAnsi="Times New Roman" w:hint="eastAsia"/>
          <w:sz w:val="21"/>
          <w:szCs w:val="21"/>
        </w:rPr>
        <w:t>评级</w:t>
      </w:r>
      <w:r w:rsidRPr="004F19DE">
        <w:rPr>
          <w:rFonts w:ascii="Times New Roman" w:hAnsi="Times New Roman" w:hint="eastAsia"/>
          <w:sz w:val="21"/>
          <w:szCs w:val="21"/>
        </w:rPr>
        <w:t>AA</w:t>
      </w:r>
      <w:r w:rsidRPr="004F19DE">
        <w:rPr>
          <w:rFonts w:ascii="Times New Roman" w:hAnsi="Times New Roman" w:hint="eastAsia"/>
          <w:sz w:val="21"/>
          <w:szCs w:val="21"/>
        </w:rPr>
        <w:t>级、华证指数评级</w:t>
      </w:r>
      <w:r w:rsidRPr="004F19DE">
        <w:rPr>
          <w:rFonts w:ascii="Times New Roman" w:hAnsi="Times New Roman" w:hint="eastAsia"/>
          <w:sz w:val="21"/>
          <w:szCs w:val="21"/>
        </w:rPr>
        <w:t>AA</w:t>
      </w:r>
      <w:r w:rsidRPr="004F19DE">
        <w:rPr>
          <w:rFonts w:ascii="Times New Roman" w:hAnsi="Times New Roman"/>
          <w:sz w:val="21"/>
          <w:szCs w:val="21"/>
        </w:rPr>
        <w:t>级</w:t>
      </w:r>
      <w:r w:rsidRPr="004F19DE">
        <w:rPr>
          <w:rFonts w:ascii="Times New Roman" w:hAnsi="Times New Roman" w:hint="eastAsia"/>
          <w:sz w:val="21"/>
          <w:szCs w:val="21"/>
        </w:rPr>
        <w:t>，更好地满足国内、国际投资者对公司</w:t>
      </w:r>
      <w:r w:rsidRPr="004F19DE">
        <w:rPr>
          <w:rFonts w:ascii="Times New Roman" w:hAnsi="Times New Roman" w:hint="eastAsia"/>
          <w:sz w:val="21"/>
          <w:szCs w:val="21"/>
        </w:rPr>
        <w:t>ESG</w:t>
      </w:r>
      <w:r w:rsidRPr="004F19DE">
        <w:rPr>
          <w:rFonts w:ascii="Times New Roman" w:hAnsi="Times New Roman" w:hint="eastAsia"/>
          <w:sz w:val="21"/>
          <w:szCs w:val="21"/>
        </w:rPr>
        <w:t>管理与实践信息的关注和需求。未来，公司将积极主动对接国际评级体系，推动</w:t>
      </w:r>
      <w:r w:rsidRPr="004F19DE">
        <w:rPr>
          <w:rFonts w:ascii="Times New Roman" w:hAnsi="Times New Roman" w:hint="eastAsia"/>
          <w:sz w:val="21"/>
          <w:szCs w:val="21"/>
        </w:rPr>
        <w:t>ESG</w:t>
      </w:r>
      <w:r w:rsidRPr="004F19DE">
        <w:rPr>
          <w:rFonts w:ascii="Times New Roman" w:hAnsi="Times New Roman" w:hint="eastAsia"/>
          <w:sz w:val="21"/>
          <w:szCs w:val="21"/>
        </w:rPr>
        <w:t>管理从“合规驱动”迈向“价值创造”。</w:t>
      </w:r>
    </w:p>
    <w:p w14:paraId="12C1C7CB" w14:textId="77777777" w:rsidR="004F19DE" w:rsidRPr="004F19DE" w:rsidRDefault="004F19DE" w:rsidP="004F19DE">
      <w:pPr>
        <w:pStyle w:val="a9"/>
        <w:spacing w:before="0" w:beforeAutospacing="0" w:after="0" w:afterAutospacing="0" w:line="360" w:lineRule="auto"/>
        <w:ind w:firstLineChars="200" w:firstLine="422"/>
        <w:jc w:val="both"/>
        <w:rPr>
          <w:rFonts w:ascii="Times New Roman" w:hAnsi="Times New Roman"/>
          <w:b/>
          <w:sz w:val="21"/>
          <w:szCs w:val="21"/>
        </w:rPr>
      </w:pPr>
      <w:r w:rsidRPr="004F19DE">
        <w:rPr>
          <w:rFonts w:ascii="Times New Roman" w:hAnsi="Times New Roman" w:hint="eastAsia"/>
          <w:b/>
          <w:sz w:val="21"/>
          <w:szCs w:val="21"/>
        </w:rPr>
        <w:t>四、强化市值管理，注重投资者回报</w:t>
      </w:r>
    </w:p>
    <w:p w14:paraId="25A8C484" w14:textId="777777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2</w:t>
      </w:r>
      <w:r w:rsidRPr="004F19DE">
        <w:rPr>
          <w:rFonts w:ascii="Times New Roman" w:hAnsi="Times New Roman"/>
          <w:sz w:val="21"/>
          <w:szCs w:val="21"/>
        </w:rPr>
        <w:t>025</w:t>
      </w:r>
      <w:r w:rsidRPr="004F19DE">
        <w:rPr>
          <w:rFonts w:ascii="Times New Roman" w:hAnsi="Times New Roman" w:hint="eastAsia"/>
          <w:sz w:val="21"/>
          <w:szCs w:val="21"/>
        </w:rPr>
        <w:t>年</w:t>
      </w:r>
      <w:r w:rsidRPr="004F19DE">
        <w:rPr>
          <w:rFonts w:ascii="Times New Roman" w:hAnsi="Times New Roman" w:hint="eastAsia"/>
          <w:sz w:val="21"/>
          <w:szCs w:val="21"/>
        </w:rPr>
        <w:t>6</w:t>
      </w:r>
      <w:r w:rsidRPr="004F19DE">
        <w:rPr>
          <w:rFonts w:ascii="Times New Roman" w:hAnsi="Times New Roman" w:hint="eastAsia"/>
          <w:sz w:val="21"/>
          <w:szCs w:val="21"/>
        </w:rPr>
        <w:t>月，公司顺利实施完</w:t>
      </w:r>
      <w:r w:rsidRPr="004F19DE">
        <w:rPr>
          <w:rFonts w:ascii="Times New Roman" w:hAnsi="Times New Roman"/>
          <w:sz w:val="21"/>
          <w:szCs w:val="21"/>
        </w:rPr>
        <w:t>成</w:t>
      </w:r>
      <w:r w:rsidRPr="004F19DE">
        <w:rPr>
          <w:rFonts w:ascii="Times New Roman" w:hAnsi="Times New Roman" w:hint="eastAsia"/>
          <w:sz w:val="21"/>
          <w:szCs w:val="21"/>
        </w:rPr>
        <w:t>2024</w:t>
      </w:r>
      <w:r w:rsidRPr="004F19DE">
        <w:rPr>
          <w:rFonts w:ascii="Times New Roman" w:hAnsi="Times New Roman" w:hint="eastAsia"/>
          <w:sz w:val="21"/>
          <w:szCs w:val="21"/>
        </w:rPr>
        <w:t>年度权益分派方案，共计派发现金红利人民币</w:t>
      </w:r>
      <w:r w:rsidRPr="004F19DE">
        <w:rPr>
          <w:rFonts w:ascii="Times New Roman" w:hAnsi="Times New Roman" w:hint="eastAsia"/>
          <w:sz w:val="21"/>
          <w:szCs w:val="21"/>
        </w:rPr>
        <w:t>121,654,717.36</w:t>
      </w:r>
      <w:r w:rsidRPr="004F19DE">
        <w:rPr>
          <w:rFonts w:ascii="Times New Roman" w:hAnsi="Times New Roman" w:hint="eastAsia"/>
          <w:sz w:val="21"/>
          <w:szCs w:val="21"/>
        </w:rPr>
        <w:t>元（含税），占公司</w:t>
      </w:r>
      <w:r w:rsidRPr="004F19DE">
        <w:rPr>
          <w:rFonts w:ascii="Times New Roman" w:hAnsi="Times New Roman" w:hint="eastAsia"/>
          <w:sz w:val="21"/>
          <w:szCs w:val="21"/>
        </w:rPr>
        <w:t>2024</w:t>
      </w:r>
      <w:r w:rsidRPr="004F19DE">
        <w:rPr>
          <w:rFonts w:ascii="Times New Roman" w:hAnsi="Times New Roman" w:hint="eastAsia"/>
          <w:sz w:val="21"/>
          <w:szCs w:val="21"/>
        </w:rPr>
        <w:t>年度归属于上市公司股东净利润的</w:t>
      </w:r>
      <w:r w:rsidRPr="004F19DE">
        <w:rPr>
          <w:rFonts w:ascii="Times New Roman" w:hAnsi="Times New Roman" w:hint="eastAsia"/>
          <w:sz w:val="21"/>
          <w:szCs w:val="21"/>
        </w:rPr>
        <w:t>37.28%</w:t>
      </w:r>
      <w:r w:rsidRPr="004F19DE">
        <w:rPr>
          <w:rFonts w:ascii="Times New Roman" w:hAnsi="Times New Roman" w:hint="eastAsia"/>
          <w:sz w:val="21"/>
          <w:szCs w:val="21"/>
        </w:rPr>
        <w:t>。</w:t>
      </w:r>
      <w:bookmarkStart w:id="60" w:name="_Hlk195131609"/>
    </w:p>
    <w:bookmarkEnd w:id="60"/>
    <w:p w14:paraId="5687C2C2" w14:textId="55F4EA08"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公司于</w:t>
      </w:r>
      <w:r w:rsidRPr="004F19DE">
        <w:rPr>
          <w:rFonts w:ascii="Times New Roman" w:hAnsi="Times New Roman" w:hint="eastAsia"/>
          <w:sz w:val="21"/>
          <w:szCs w:val="21"/>
        </w:rPr>
        <w:t>2</w:t>
      </w:r>
      <w:r w:rsidRPr="004F19DE">
        <w:rPr>
          <w:rFonts w:ascii="Times New Roman" w:hAnsi="Times New Roman"/>
          <w:sz w:val="21"/>
          <w:szCs w:val="21"/>
        </w:rPr>
        <w:t>025</w:t>
      </w:r>
      <w:r w:rsidRPr="004F19DE">
        <w:rPr>
          <w:rFonts w:ascii="Times New Roman" w:hAnsi="Times New Roman" w:hint="eastAsia"/>
          <w:sz w:val="21"/>
          <w:szCs w:val="21"/>
        </w:rPr>
        <w:t>年</w:t>
      </w:r>
      <w:r w:rsidRPr="004F19DE">
        <w:rPr>
          <w:rFonts w:ascii="Times New Roman" w:hAnsi="Times New Roman" w:hint="eastAsia"/>
          <w:sz w:val="21"/>
          <w:szCs w:val="21"/>
        </w:rPr>
        <w:t>2</w:t>
      </w:r>
      <w:r w:rsidRPr="004F19DE">
        <w:rPr>
          <w:rFonts w:ascii="Times New Roman" w:hAnsi="Times New Roman" w:hint="eastAsia"/>
          <w:sz w:val="21"/>
          <w:szCs w:val="21"/>
        </w:rPr>
        <w:t>月</w:t>
      </w:r>
      <w:r w:rsidRPr="004F19DE">
        <w:rPr>
          <w:rFonts w:ascii="Times New Roman" w:hAnsi="Times New Roman"/>
          <w:sz w:val="21"/>
          <w:szCs w:val="21"/>
        </w:rPr>
        <w:t>20</w:t>
      </w:r>
      <w:r w:rsidRPr="004F19DE">
        <w:rPr>
          <w:rFonts w:ascii="Times New Roman" w:hAnsi="Times New Roman" w:hint="eastAsia"/>
          <w:sz w:val="21"/>
          <w:szCs w:val="21"/>
        </w:rPr>
        <w:t>日召开第五届</w:t>
      </w:r>
      <w:r w:rsidR="005933BA">
        <w:rPr>
          <w:rFonts w:ascii="Times New Roman" w:hAnsi="Times New Roman" w:hint="eastAsia"/>
          <w:sz w:val="21"/>
          <w:szCs w:val="21"/>
        </w:rPr>
        <w:t>董事会第十六次会议，审议通过《关于回购公司部分股份方案的议案》</w:t>
      </w:r>
      <w:r w:rsidRPr="004F19DE">
        <w:rPr>
          <w:rFonts w:ascii="Times New Roman" w:hAnsi="Times New Roman" w:hint="eastAsia"/>
          <w:sz w:val="21"/>
          <w:szCs w:val="21"/>
        </w:rPr>
        <w:t>。截至</w:t>
      </w:r>
      <w:r w:rsidRPr="004F19DE">
        <w:rPr>
          <w:rFonts w:ascii="Times New Roman" w:hAnsi="Times New Roman" w:hint="eastAsia"/>
          <w:sz w:val="21"/>
          <w:szCs w:val="21"/>
        </w:rPr>
        <w:t>2</w:t>
      </w:r>
      <w:r w:rsidRPr="004F19DE">
        <w:rPr>
          <w:rFonts w:ascii="Times New Roman" w:hAnsi="Times New Roman"/>
          <w:sz w:val="21"/>
          <w:szCs w:val="21"/>
        </w:rPr>
        <w:t>026</w:t>
      </w:r>
      <w:r w:rsidRPr="004F19DE">
        <w:rPr>
          <w:rFonts w:ascii="Times New Roman" w:hAnsi="Times New Roman" w:hint="eastAsia"/>
          <w:sz w:val="21"/>
          <w:szCs w:val="21"/>
        </w:rPr>
        <w:t>年</w:t>
      </w:r>
      <w:r w:rsidRPr="004F19DE">
        <w:rPr>
          <w:rFonts w:ascii="Times New Roman" w:hAnsi="Times New Roman"/>
          <w:sz w:val="21"/>
          <w:szCs w:val="21"/>
        </w:rPr>
        <w:t>2</w:t>
      </w:r>
      <w:r w:rsidRPr="004F19DE">
        <w:rPr>
          <w:rFonts w:ascii="Times New Roman" w:hAnsi="Times New Roman" w:hint="eastAsia"/>
          <w:sz w:val="21"/>
          <w:szCs w:val="21"/>
        </w:rPr>
        <w:t>月</w:t>
      </w:r>
      <w:r w:rsidRPr="004F19DE">
        <w:rPr>
          <w:rFonts w:ascii="Times New Roman" w:hAnsi="Times New Roman" w:hint="eastAsia"/>
          <w:sz w:val="21"/>
          <w:szCs w:val="21"/>
        </w:rPr>
        <w:t>1</w:t>
      </w:r>
      <w:r w:rsidRPr="004F19DE">
        <w:rPr>
          <w:rFonts w:ascii="Times New Roman" w:hAnsi="Times New Roman"/>
          <w:sz w:val="21"/>
          <w:szCs w:val="21"/>
        </w:rPr>
        <w:t>3</w:t>
      </w:r>
      <w:r w:rsidRPr="004F19DE">
        <w:rPr>
          <w:rFonts w:ascii="Times New Roman" w:hAnsi="Times New Roman" w:hint="eastAsia"/>
          <w:sz w:val="21"/>
          <w:szCs w:val="21"/>
        </w:rPr>
        <w:t>日，公司已实施完毕本次回购股份方案，累计回购公司股份</w:t>
      </w:r>
      <w:r w:rsidRPr="004F19DE">
        <w:rPr>
          <w:rFonts w:ascii="Times New Roman" w:hAnsi="Times New Roman" w:hint="eastAsia"/>
          <w:sz w:val="21"/>
          <w:szCs w:val="21"/>
        </w:rPr>
        <w:t>15,755,261</w:t>
      </w:r>
      <w:r w:rsidRPr="004F19DE">
        <w:rPr>
          <w:rFonts w:ascii="Times New Roman" w:hAnsi="Times New Roman" w:hint="eastAsia"/>
          <w:sz w:val="21"/>
          <w:szCs w:val="21"/>
        </w:rPr>
        <w:t>股，成交总金额为</w:t>
      </w:r>
      <w:r w:rsidRPr="004F19DE">
        <w:rPr>
          <w:rFonts w:ascii="Times New Roman" w:hAnsi="Times New Roman" w:hint="eastAsia"/>
          <w:sz w:val="21"/>
          <w:szCs w:val="21"/>
        </w:rPr>
        <w:t>29,997</w:t>
      </w:r>
      <w:r w:rsidRPr="004F19DE">
        <w:rPr>
          <w:rFonts w:ascii="Times New Roman" w:hAnsi="Times New Roman"/>
          <w:sz w:val="21"/>
          <w:szCs w:val="21"/>
        </w:rPr>
        <w:t>.</w:t>
      </w:r>
      <w:r w:rsidRPr="004F19DE">
        <w:rPr>
          <w:rFonts w:ascii="Times New Roman" w:hAnsi="Times New Roman" w:hint="eastAsia"/>
          <w:sz w:val="21"/>
          <w:szCs w:val="21"/>
        </w:rPr>
        <w:t>4</w:t>
      </w:r>
      <w:r w:rsidRPr="004F19DE">
        <w:rPr>
          <w:rFonts w:ascii="Times New Roman" w:hAnsi="Times New Roman"/>
          <w:sz w:val="21"/>
          <w:szCs w:val="21"/>
        </w:rPr>
        <w:t>6</w:t>
      </w:r>
      <w:r w:rsidRPr="004F19DE">
        <w:rPr>
          <w:rFonts w:ascii="Times New Roman" w:hAnsi="Times New Roman" w:hint="eastAsia"/>
          <w:sz w:val="21"/>
          <w:szCs w:val="21"/>
        </w:rPr>
        <w:t>万元（不含交易费用）。公司于</w:t>
      </w:r>
      <w:r w:rsidRPr="004F19DE">
        <w:rPr>
          <w:rFonts w:ascii="Times New Roman" w:hAnsi="Times New Roman" w:hint="eastAsia"/>
          <w:sz w:val="21"/>
          <w:szCs w:val="21"/>
        </w:rPr>
        <w:t>2025</w:t>
      </w:r>
      <w:r w:rsidRPr="004F19DE">
        <w:rPr>
          <w:rFonts w:ascii="Times New Roman" w:hAnsi="Times New Roman" w:hint="eastAsia"/>
          <w:sz w:val="21"/>
          <w:szCs w:val="21"/>
        </w:rPr>
        <w:t>年</w:t>
      </w:r>
      <w:r w:rsidRPr="004F19DE">
        <w:rPr>
          <w:rFonts w:ascii="Times New Roman" w:hAnsi="Times New Roman" w:hint="eastAsia"/>
          <w:sz w:val="21"/>
          <w:szCs w:val="21"/>
        </w:rPr>
        <w:t>4</w:t>
      </w:r>
      <w:r w:rsidRPr="004F19DE">
        <w:rPr>
          <w:rFonts w:ascii="Times New Roman" w:hAnsi="Times New Roman" w:hint="eastAsia"/>
          <w:sz w:val="21"/>
          <w:szCs w:val="21"/>
        </w:rPr>
        <w:t>月</w:t>
      </w:r>
      <w:r w:rsidRPr="004F19DE">
        <w:rPr>
          <w:rFonts w:ascii="Times New Roman" w:hAnsi="Times New Roman" w:hint="eastAsia"/>
          <w:sz w:val="21"/>
          <w:szCs w:val="21"/>
        </w:rPr>
        <w:t>18</w:t>
      </w:r>
      <w:r w:rsidRPr="004F19DE">
        <w:rPr>
          <w:rFonts w:ascii="Times New Roman" w:hAnsi="Times New Roman" w:hint="eastAsia"/>
          <w:sz w:val="21"/>
          <w:szCs w:val="21"/>
        </w:rPr>
        <w:t>日召开五届董事会第十七次会议和第五届监事会第十三次会议，于</w:t>
      </w:r>
      <w:r w:rsidRPr="004F19DE">
        <w:rPr>
          <w:rFonts w:ascii="Times New Roman" w:hAnsi="Times New Roman" w:hint="eastAsia"/>
          <w:sz w:val="21"/>
          <w:szCs w:val="21"/>
        </w:rPr>
        <w:t>2025</w:t>
      </w:r>
      <w:r w:rsidRPr="004F19DE">
        <w:rPr>
          <w:rFonts w:ascii="Times New Roman" w:hAnsi="Times New Roman" w:hint="eastAsia"/>
          <w:sz w:val="21"/>
          <w:szCs w:val="21"/>
        </w:rPr>
        <w:t>年</w:t>
      </w:r>
      <w:r w:rsidRPr="004F19DE">
        <w:rPr>
          <w:rFonts w:ascii="Times New Roman" w:hAnsi="Times New Roman" w:hint="eastAsia"/>
          <w:sz w:val="21"/>
          <w:szCs w:val="21"/>
        </w:rPr>
        <w:t>5</w:t>
      </w:r>
      <w:r w:rsidRPr="004F19DE">
        <w:rPr>
          <w:rFonts w:ascii="Times New Roman" w:hAnsi="Times New Roman" w:hint="eastAsia"/>
          <w:sz w:val="21"/>
          <w:szCs w:val="21"/>
        </w:rPr>
        <w:t>月</w:t>
      </w:r>
      <w:r w:rsidRPr="004F19DE">
        <w:rPr>
          <w:rFonts w:ascii="Times New Roman" w:hAnsi="Times New Roman" w:hint="eastAsia"/>
          <w:sz w:val="21"/>
          <w:szCs w:val="21"/>
        </w:rPr>
        <w:t>14</w:t>
      </w:r>
      <w:r w:rsidRPr="004F19DE">
        <w:rPr>
          <w:rFonts w:ascii="Times New Roman" w:hAnsi="Times New Roman" w:hint="eastAsia"/>
          <w:sz w:val="21"/>
          <w:szCs w:val="21"/>
        </w:rPr>
        <w:t>日召开</w:t>
      </w:r>
      <w:r w:rsidRPr="004F19DE">
        <w:rPr>
          <w:rFonts w:ascii="Times New Roman" w:hAnsi="Times New Roman" w:hint="eastAsia"/>
          <w:sz w:val="21"/>
          <w:szCs w:val="21"/>
        </w:rPr>
        <w:t>2024</w:t>
      </w:r>
      <w:r w:rsidRPr="004F19DE">
        <w:rPr>
          <w:rFonts w:ascii="Times New Roman" w:hAnsi="Times New Roman" w:hint="eastAsia"/>
          <w:sz w:val="21"/>
          <w:szCs w:val="21"/>
        </w:rPr>
        <w:t>年年度股东大会，审议并通过《关于注销部分回购股份的议案》，同意公司注销回购专用证券账户股份</w:t>
      </w:r>
      <w:r w:rsidRPr="004F19DE">
        <w:rPr>
          <w:rFonts w:ascii="Times New Roman" w:hAnsi="Times New Roman" w:hint="eastAsia"/>
          <w:sz w:val="21"/>
          <w:szCs w:val="21"/>
        </w:rPr>
        <w:t>3,999,287</w:t>
      </w:r>
      <w:r w:rsidRPr="004F19DE">
        <w:rPr>
          <w:rFonts w:ascii="Times New Roman" w:hAnsi="Times New Roman" w:hint="eastAsia"/>
          <w:sz w:val="21"/>
          <w:szCs w:val="21"/>
        </w:rPr>
        <w:t>股。公司于</w:t>
      </w:r>
      <w:r w:rsidRPr="004F19DE">
        <w:rPr>
          <w:rFonts w:ascii="Times New Roman" w:hAnsi="Times New Roman" w:hint="eastAsia"/>
          <w:sz w:val="21"/>
          <w:szCs w:val="21"/>
        </w:rPr>
        <w:t>2025</w:t>
      </w:r>
      <w:r w:rsidRPr="004F19DE">
        <w:rPr>
          <w:rFonts w:ascii="Times New Roman" w:hAnsi="Times New Roman" w:hint="eastAsia"/>
          <w:sz w:val="21"/>
          <w:szCs w:val="21"/>
        </w:rPr>
        <w:t>年</w:t>
      </w:r>
      <w:r w:rsidRPr="004F19DE">
        <w:rPr>
          <w:rFonts w:ascii="Times New Roman" w:hAnsi="Times New Roman" w:hint="eastAsia"/>
          <w:sz w:val="21"/>
          <w:szCs w:val="21"/>
        </w:rPr>
        <w:t>7</w:t>
      </w:r>
      <w:r w:rsidRPr="004F19DE">
        <w:rPr>
          <w:rFonts w:ascii="Times New Roman" w:hAnsi="Times New Roman" w:hint="eastAsia"/>
          <w:sz w:val="21"/>
          <w:szCs w:val="21"/>
        </w:rPr>
        <w:t>月</w:t>
      </w:r>
      <w:r w:rsidRPr="004F19DE">
        <w:rPr>
          <w:rFonts w:ascii="Times New Roman" w:hAnsi="Times New Roman" w:hint="eastAsia"/>
          <w:sz w:val="21"/>
          <w:szCs w:val="21"/>
        </w:rPr>
        <w:t>10</w:t>
      </w:r>
      <w:r w:rsidRPr="004F19DE">
        <w:rPr>
          <w:rFonts w:ascii="Times New Roman" w:hAnsi="Times New Roman" w:hint="eastAsia"/>
          <w:sz w:val="21"/>
          <w:szCs w:val="21"/>
        </w:rPr>
        <w:t>日办理完成上述回购股份的注销事宜</w:t>
      </w:r>
      <w:r w:rsidR="008869D7">
        <w:rPr>
          <w:rFonts w:ascii="Times New Roman" w:hAnsi="Times New Roman" w:hint="eastAsia"/>
          <w:sz w:val="21"/>
          <w:szCs w:val="21"/>
        </w:rPr>
        <w:t>，</w:t>
      </w:r>
      <w:r w:rsidRPr="004F19DE">
        <w:rPr>
          <w:rFonts w:ascii="Times New Roman" w:hAnsi="Times New Roman" w:hint="eastAsia"/>
          <w:sz w:val="21"/>
          <w:szCs w:val="21"/>
        </w:rPr>
        <w:t>注销的回购股份数量为</w:t>
      </w:r>
      <w:r w:rsidRPr="004F19DE">
        <w:rPr>
          <w:rFonts w:ascii="Times New Roman" w:hAnsi="Times New Roman" w:hint="eastAsia"/>
          <w:sz w:val="21"/>
          <w:szCs w:val="21"/>
        </w:rPr>
        <w:t>3,999,287</w:t>
      </w:r>
      <w:r w:rsidRPr="004F19DE">
        <w:rPr>
          <w:rFonts w:ascii="Times New Roman" w:hAnsi="Times New Roman" w:hint="eastAsia"/>
          <w:sz w:val="21"/>
          <w:szCs w:val="21"/>
        </w:rPr>
        <w:t>股，实际回购注销金额为人民币</w:t>
      </w:r>
      <w:r w:rsidRPr="004F19DE">
        <w:rPr>
          <w:rFonts w:ascii="Times New Roman" w:hAnsi="Times New Roman" w:hint="eastAsia"/>
          <w:sz w:val="21"/>
          <w:szCs w:val="21"/>
        </w:rPr>
        <w:t>96,327,030.98</w:t>
      </w:r>
      <w:r w:rsidRPr="004F19DE">
        <w:rPr>
          <w:rFonts w:ascii="Times New Roman" w:hAnsi="Times New Roman" w:hint="eastAsia"/>
          <w:sz w:val="21"/>
          <w:szCs w:val="21"/>
        </w:rPr>
        <w:t>元。</w:t>
      </w:r>
    </w:p>
    <w:p w14:paraId="31477F45" w14:textId="5E943609"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公司开启新一轮股份回购方案，分别于</w:t>
      </w:r>
      <w:r w:rsidRPr="004F19DE">
        <w:rPr>
          <w:rFonts w:ascii="Times New Roman" w:hAnsi="Times New Roman" w:hint="eastAsia"/>
          <w:sz w:val="21"/>
          <w:szCs w:val="21"/>
        </w:rPr>
        <w:t>2</w:t>
      </w:r>
      <w:r w:rsidRPr="004F19DE">
        <w:rPr>
          <w:rFonts w:ascii="Times New Roman" w:hAnsi="Times New Roman"/>
          <w:sz w:val="21"/>
          <w:szCs w:val="21"/>
        </w:rPr>
        <w:t>026</w:t>
      </w:r>
      <w:r w:rsidRPr="004F19DE">
        <w:rPr>
          <w:rFonts w:ascii="Times New Roman" w:hAnsi="Times New Roman" w:hint="eastAsia"/>
          <w:sz w:val="21"/>
          <w:szCs w:val="21"/>
        </w:rPr>
        <w:t>年</w:t>
      </w:r>
      <w:r w:rsidRPr="004F19DE">
        <w:rPr>
          <w:rFonts w:ascii="Times New Roman" w:hAnsi="Times New Roman" w:hint="eastAsia"/>
          <w:sz w:val="21"/>
          <w:szCs w:val="21"/>
        </w:rPr>
        <w:t>3</w:t>
      </w:r>
      <w:r w:rsidRPr="004F19DE">
        <w:rPr>
          <w:rFonts w:ascii="Times New Roman" w:hAnsi="Times New Roman" w:hint="eastAsia"/>
          <w:sz w:val="21"/>
          <w:szCs w:val="21"/>
        </w:rPr>
        <w:t>月</w:t>
      </w:r>
      <w:r w:rsidRPr="004F19DE">
        <w:rPr>
          <w:rFonts w:ascii="Times New Roman" w:hAnsi="Times New Roman" w:hint="eastAsia"/>
          <w:sz w:val="21"/>
          <w:szCs w:val="21"/>
        </w:rPr>
        <w:t>2</w:t>
      </w:r>
      <w:r w:rsidRPr="004F19DE">
        <w:rPr>
          <w:rFonts w:ascii="Times New Roman" w:hAnsi="Times New Roman"/>
          <w:sz w:val="21"/>
          <w:szCs w:val="21"/>
        </w:rPr>
        <w:t>7</w:t>
      </w:r>
      <w:r w:rsidRPr="004F19DE">
        <w:rPr>
          <w:rFonts w:ascii="Times New Roman" w:hAnsi="Times New Roman" w:hint="eastAsia"/>
          <w:sz w:val="21"/>
          <w:szCs w:val="21"/>
        </w:rPr>
        <w:t>日、</w:t>
      </w:r>
      <w:r w:rsidRPr="004F19DE">
        <w:rPr>
          <w:rFonts w:ascii="Times New Roman" w:hAnsi="Times New Roman" w:hint="eastAsia"/>
          <w:sz w:val="21"/>
          <w:szCs w:val="21"/>
        </w:rPr>
        <w:t>2</w:t>
      </w:r>
      <w:r w:rsidRPr="004F19DE">
        <w:rPr>
          <w:rFonts w:ascii="Times New Roman" w:hAnsi="Times New Roman"/>
          <w:sz w:val="21"/>
          <w:szCs w:val="21"/>
        </w:rPr>
        <w:t>026</w:t>
      </w:r>
      <w:r w:rsidRPr="004F19DE">
        <w:rPr>
          <w:rFonts w:ascii="Times New Roman" w:hAnsi="Times New Roman" w:hint="eastAsia"/>
          <w:sz w:val="21"/>
          <w:szCs w:val="21"/>
        </w:rPr>
        <w:t>年</w:t>
      </w:r>
      <w:r w:rsidRPr="004F19DE">
        <w:rPr>
          <w:rFonts w:ascii="Times New Roman" w:hAnsi="Times New Roman" w:hint="eastAsia"/>
          <w:sz w:val="21"/>
          <w:szCs w:val="21"/>
        </w:rPr>
        <w:t>4</w:t>
      </w:r>
      <w:r w:rsidRPr="004F19DE">
        <w:rPr>
          <w:rFonts w:ascii="Times New Roman" w:hAnsi="Times New Roman" w:hint="eastAsia"/>
          <w:sz w:val="21"/>
          <w:szCs w:val="21"/>
        </w:rPr>
        <w:t>月</w:t>
      </w:r>
      <w:r w:rsidRPr="004F19DE">
        <w:rPr>
          <w:rFonts w:ascii="Times New Roman" w:hAnsi="Times New Roman" w:hint="eastAsia"/>
          <w:sz w:val="21"/>
          <w:szCs w:val="21"/>
        </w:rPr>
        <w:t>1</w:t>
      </w:r>
      <w:r w:rsidRPr="004F19DE">
        <w:rPr>
          <w:rFonts w:ascii="Times New Roman" w:hAnsi="Times New Roman"/>
          <w:sz w:val="21"/>
          <w:szCs w:val="21"/>
        </w:rPr>
        <w:t>3</w:t>
      </w:r>
      <w:r w:rsidRPr="004F19DE">
        <w:rPr>
          <w:rFonts w:ascii="Times New Roman" w:hAnsi="Times New Roman" w:hint="eastAsia"/>
          <w:sz w:val="21"/>
          <w:szCs w:val="21"/>
        </w:rPr>
        <w:t>日召开第六届董事会第三次会议和</w:t>
      </w:r>
      <w:r w:rsidRPr="004F19DE">
        <w:rPr>
          <w:rFonts w:ascii="Times New Roman" w:hAnsi="Times New Roman" w:hint="eastAsia"/>
          <w:sz w:val="21"/>
          <w:szCs w:val="21"/>
        </w:rPr>
        <w:t>2</w:t>
      </w:r>
      <w:r w:rsidRPr="004F19DE">
        <w:rPr>
          <w:rFonts w:ascii="Times New Roman" w:hAnsi="Times New Roman"/>
          <w:sz w:val="21"/>
          <w:szCs w:val="21"/>
        </w:rPr>
        <w:t>026</w:t>
      </w:r>
      <w:r w:rsidRPr="004F19DE">
        <w:rPr>
          <w:rFonts w:ascii="Times New Roman" w:hAnsi="Times New Roman" w:hint="eastAsia"/>
          <w:sz w:val="21"/>
          <w:szCs w:val="21"/>
        </w:rPr>
        <w:t>年第一次临时股东会，审议并通过《关于回购公司股份方案的议案》，同意公司自股东会审议通过本次回购股份方案之日起</w:t>
      </w:r>
      <w:r w:rsidRPr="004F19DE">
        <w:rPr>
          <w:rFonts w:ascii="Times New Roman" w:hAnsi="Times New Roman" w:hint="eastAsia"/>
          <w:sz w:val="21"/>
          <w:szCs w:val="21"/>
        </w:rPr>
        <w:t>12</w:t>
      </w:r>
      <w:r w:rsidRPr="004F19DE">
        <w:rPr>
          <w:rFonts w:ascii="Times New Roman" w:hAnsi="Times New Roman" w:hint="eastAsia"/>
          <w:sz w:val="21"/>
          <w:szCs w:val="21"/>
        </w:rPr>
        <w:t>个月内，使用回购资金总额不低于人民币</w:t>
      </w:r>
      <w:r w:rsidRPr="004F19DE">
        <w:rPr>
          <w:rFonts w:ascii="Times New Roman" w:hAnsi="Times New Roman" w:hint="eastAsia"/>
          <w:sz w:val="21"/>
          <w:szCs w:val="21"/>
        </w:rPr>
        <w:t>15,000</w:t>
      </w:r>
      <w:r w:rsidRPr="004F19DE">
        <w:rPr>
          <w:rFonts w:ascii="Times New Roman" w:hAnsi="Times New Roman" w:hint="eastAsia"/>
          <w:sz w:val="21"/>
          <w:szCs w:val="21"/>
        </w:rPr>
        <w:t>万元且不超过人民币</w:t>
      </w:r>
      <w:r w:rsidRPr="004F19DE">
        <w:rPr>
          <w:rFonts w:ascii="Times New Roman" w:hAnsi="Times New Roman" w:hint="eastAsia"/>
          <w:sz w:val="21"/>
          <w:szCs w:val="21"/>
        </w:rPr>
        <w:t>30,000</w:t>
      </w:r>
      <w:r w:rsidRPr="004F19DE">
        <w:rPr>
          <w:rFonts w:ascii="Times New Roman" w:hAnsi="Times New Roman" w:hint="eastAsia"/>
          <w:sz w:val="21"/>
          <w:szCs w:val="21"/>
        </w:rPr>
        <w:t>万元（均含本数），用于注销并减少注册资本。</w:t>
      </w:r>
    </w:p>
    <w:p w14:paraId="1EEA3809" w14:textId="22DF2C9A"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公司副董事长、总经理李心一女士基于对公司未来发展前景的信心及对公司长期投资价值的认可，分别于</w:t>
      </w:r>
      <w:r w:rsidRPr="004F19DE">
        <w:rPr>
          <w:rFonts w:ascii="Times New Roman" w:hAnsi="Times New Roman" w:hint="eastAsia"/>
          <w:sz w:val="21"/>
          <w:szCs w:val="21"/>
        </w:rPr>
        <w:t>2025</w:t>
      </w:r>
      <w:r w:rsidRPr="004F19DE">
        <w:rPr>
          <w:rFonts w:ascii="Times New Roman" w:hAnsi="Times New Roman" w:hint="eastAsia"/>
          <w:sz w:val="21"/>
          <w:szCs w:val="21"/>
        </w:rPr>
        <w:t>年</w:t>
      </w:r>
      <w:r w:rsidRPr="004F19DE">
        <w:rPr>
          <w:rFonts w:ascii="Times New Roman" w:hAnsi="Times New Roman" w:hint="eastAsia"/>
          <w:sz w:val="21"/>
          <w:szCs w:val="21"/>
        </w:rPr>
        <w:t>3</w:t>
      </w:r>
      <w:r w:rsidRPr="004F19DE">
        <w:rPr>
          <w:rFonts w:ascii="Times New Roman" w:hAnsi="Times New Roman" w:hint="eastAsia"/>
          <w:sz w:val="21"/>
          <w:szCs w:val="21"/>
        </w:rPr>
        <w:t>月</w:t>
      </w:r>
      <w:r w:rsidRPr="004F19DE">
        <w:rPr>
          <w:rFonts w:ascii="Times New Roman" w:hAnsi="Times New Roman" w:hint="eastAsia"/>
          <w:sz w:val="21"/>
          <w:szCs w:val="21"/>
        </w:rPr>
        <w:t>12</w:t>
      </w:r>
      <w:r w:rsidRPr="004F19DE">
        <w:rPr>
          <w:rFonts w:ascii="Times New Roman" w:hAnsi="Times New Roman" w:hint="eastAsia"/>
          <w:sz w:val="21"/>
          <w:szCs w:val="21"/>
        </w:rPr>
        <w:t>日、</w:t>
      </w:r>
      <w:r w:rsidRPr="004F19DE">
        <w:rPr>
          <w:rFonts w:ascii="Times New Roman" w:hAnsi="Times New Roman" w:hint="eastAsia"/>
          <w:sz w:val="21"/>
          <w:szCs w:val="21"/>
        </w:rPr>
        <w:t>2</w:t>
      </w:r>
      <w:r w:rsidRPr="004F19DE">
        <w:rPr>
          <w:rFonts w:ascii="Times New Roman" w:hAnsi="Times New Roman"/>
          <w:sz w:val="21"/>
          <w:szCs w:val="21"/>
        </w:rPr>
        <w:t>026</w:t>
      </w:r>
      <w:r w:rsidRPr="004F19DE">
        <w:rPr>
          <w:rFonts w:ascii="Times New Roman" w:hAnsi="Times New Roman" w:hint="eastAsia"/>
          <w:sz w:val="21"/>
          <w:szCs w:val="21"/>
        </w:rPr>
        <w:t>年</w:t>
      </w:r>
      <w:r w:rsidRPr="004F19DE">
        <w:rPr>
          <w:rFonts w:ascii="Times New Roman" w:hAnsi="Times New Roman" w:hint="eastAsia"/>
          <w:sz w:val="21"/>
          <w:szCs w:val="21"/>
        </w:rPr>
        <w:t>1</w:t>
      </w:r>
      <w:r w:rsidRPr="004F19DE">
        <w:rPr>
          <w:rFonts w:ascii="Times New Roman" w:hAnsi="Times New Roman" w:hint="eastAsia"/>
          <w:sz w:val="21"/>
          <w:szCs w:val="21"/>
        </w:rPr>
        <w:t>月</w:t>
      </w:r>
      <w:r w:rsidRPr="004F19DE">
        <w:rPr>
          <w:rFonts w:ascii="Times New Roman" w:hAnsi="Times New Roman" w:hint="eastAsia"/>
          <w:sz w:val="21"/>
          <w:szCs w:val="21"/>
        </w:rPr>
        <w:t>2</w:t>
      </w:r>
      <w:r w:rsidRPr="004F19DE">
        <w:rPr>
          <w:rFonts w:ascii="Times New Roman" w:hAnsi="Times New Roman"/>
          <w:sz w:val="21"/>
          <w:szCs w:val="21"/>
        </w:rPr>
        <w:t>9</w:t>
      </w:r>
      <w:r w:rsidRPr="004F19DE">
        <w:rPr>
          <w:rFonts w:ascii="Times New Roman" w:hAnsi="Times New Roman" w:hint="eastAsia"/>
          <w:sz w:val="21"/>
          <w:szCs w:val="21"/>
        </w:rPr>
        <w:t>日以其自有资金通过深圳证券交易所交易系统以集中竞价的方式增持公司股份，合计增持公司股份</w:t>
      </w:r>
      <w:r w:rsidRPr="004F19DE">
        <w:rPr>
          <w:rFonts w:ascii="Times New Roman" w:hAnsi="Times New Roman" w:hint="eastAsia"/>
          <w:sz w:val="21"/>
          <w:szCs w:val="21"/>
        </w:rPr>
        <w:t>6</w:t>
      </w:r>
      <w:r w:rsidRPr="004F19DE">
        <w:rPr>
          <w:rFonts w:ascii="Times New Roman" w:hAnsi="Times New Roman"/>
          <w:sz w:val="21"/>
          <w:szCs w:val="21"/>
        </w:rPr>
        <w:t>34,4</w:t>
      </w:r>
      <w:r w:rsidRPr="004F19DE">
        <w:rPr>
          <w:rFonts w:ascii="Times New Roman" w:hAnsi="Times New Roman" w:hint="eastAsia"/>
          <w:sz w:val="21"/>
          <w:szCs w:val="21"/>
        </w:rPr>
        <w:t>00</w:t>
      </w:r>
      <w:r w:rsidRPr="004F19DE">
        <w:rPr>
          <w:rFonts w:ascii="Times New Roman" w:hAnsi="Times New Roman" w:hint="eastAsia"/>
          <w:sz w:val="21"/>
          <w:szCs w:val="21"/>
        </w:rPr>
        <w:t>股，合计增持金额</w:t>
      </w:r>
      <w:r w:rsidRPr="004F19DE">
        <w:rPr>
          <w:rFonts w:ascii="Times New Roman" w:hAnsi="Times New Roman"/>
          <w:sz w:val="21"/>
          <w:szCs w:val="21"/>
        </w:rPr>
        <w:t>1</w:t>
      </w:r>
      <w:r w:rsidRPr="004F19DE">
        <w:rPr>
          <w:rFonts w:ascii="Times New Roman" w:hAnsi="Times New Roman" w:hint="eastAsia"/>
          <w:sz w:val="21"/>
          <w:szCs w:val="21"/>
        </w:rPr>
        <w:t>,</w:t>
      </w:r>
      <w:r w:rsidRPr="004F19DE">
        <w:rPr>
          <w:rFonts w:ascii="Times New Roman" w:hAnsi="Times New Roman"/>
          <w:sz w:val="21"/>
          <w:szCs w:val="21"/>
        </w:rPr>
        <w:t>172.83</w:t>
      </w:r>
      <w:r w:rsidRPr="004F19DE">
        <w:rPr>
          <w:rFonts w:ascii="Times New Roman" w:hAnsi="Times New Roman" w:hint="eastAsia"/>
          <w:sz w:val="21"/>
          <w:szCs w:val="21"/>
        </w:rPr>
        <w:t>万元（不含交易费）。</w:t>
      </w:r>
    </w:p>
    <w:p w14:paraId="1A746D11" w14:textId="777777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未来，公司将继续在兼顾业绩增长及高质量可持续发展的同时，持续强化回报股东的意识，加强市值管理工作，与投资者共享发展成果，致力于为股东创造长期的投资价值。</w:t>
      </w:r>
    </w:p>
    <w:p w14:paraId="7F88D6B3" w14:textId="77777777" w:rsidR="004F19DE" w:rsidRPr="004F19DE" w:rsidRDefault="004F19DE" w:rsidP="004F19DE">
      <w:pPr>
        <w:pStyle w:val="a9"/>
        <w:spacing w:before="0" w:beforeAutospacing="0" w:after="0" w:afterAutospacing="0" w:line="360" w:lineRule="auto"/>
        <w:ind w:firstLineChars="200" w:firstLine="422"/>
        <w:jc w:val="both"/>
        <w:rPr>
          <w:rFonts w:ascii="Times New Roman" w:hAnsi="Times New Roman"/>
          <w:b/>
          <w:sz w:val="21"/>
          <w:szCs w:val="21"/>
        </w:rPr>
      </w:pPr>
      <w:r w:rsidRPr="004F19DE">
        <w:rPr>
          <w:rFonts w:ascii="Times New Roman" w:hAnsi="Times New Roman" w:hint="eastAsia"/>
          <w:b/>
          <w:sz w:val="21"/>
          <w:szCs w:val="21"/>
        </w:rPr>
        <w:t>五、重视投资者关系管理，提升信息披露质量</w:t>
      </w:r>
    </w:p>
    <w:p w14:paraId="34AC31D7" w14:textId="777777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2</w:t>
      </w:r>
      <w:r w:rsidRPr="004F19DE">
        <w:rPr>
          <w:rFonts w:ascii="Times New Roman" w:hAnsi="Times New Roman"/>
          <w:sz w:val="21"/>
          <w:szCs w:val="21"/>
        </w:rPr>
        <w:t>025</w:t>
      </w:r>
      <w:r w:rsidRPr="004F19DE">
        <w:rPr>
          <w:rFonts w:ascii="Times New Roman" w:hAnsi="Times New Roman" w:hint="eastAsia"/>
          <w:sz w:val="21"/>
          <w:szCs w:val="21"/>
        </w:rPr>
        <w:t>年度，公司积极构建并维护多元化沟通渠道，积极参加投资者交流活动、组织投资者实地参观调研，累计接听投资者关系热线电话次数逾百次，线上回答投资者问询回复率</w:t>
      </w:r>
      <w:r w:rsidRPr="004F19DE">
        <w:rPr>
          <w:rFonts w:ascii="Times New Roman" w:hAnsi="Times New Roman" w:hint="eastAsia"/>
          <w:sz w:val="21"/>
          <w:szCs w:val="21"/>
        </w:rPr>
        <w:t>100%</w:t>
      </w:r>
      <w:r w:rsidRPr="004F19DE">
        <w:rPr>
          <w:rFonts w:ascii="Times New Roman" w:hAnsi="Times New Roman" w:hint="eastAsia"/>
          <w:sz w:val="21"/>
          <w:szCs w:val="21"/>
        </w:rPr>
        <w:t>，发布投资者关系活动记录表</w:t>
      </w:r>
      <w:r w:rsidRPr="004F19DE">
        <w:rPr>
          <w:rFonts w:ascii="Times New Roman" w:hAnsi="Times New Roman" w:hint="eastAsia"/>
          <w:sz w:val="21"/>
          <w:szCs w:val="21"/>
        </w:rPr>
        <w:t>5</w:t>
      </w:r>
      <w:r w:rsidRPr="004F19DE">
        <w:rPr>
          <w:rFonts w:ascii="Times New Roman" w:hAnsi="Times New Roman" w:hint="eastAsia"/>
          <w:sz w:val="21"/>
          <w:szCs w:val="21"/>
        </w:rPr>
        <w:t>份，发布信息披露文件</w:t>
      </w:r>
      <w:r w:rsidRPr="004F19DE">
        <w:rPr>
          <w:rFonts w:ascii="Times New Roman" w:hAnsi="Times New Roman" w:hint="eastAsia"/>
          <w:sz w:val="21"/>
          <w:szCs w:val="21"/>
        </w:rPr>
        <w:t>168</w:t>
      </w:r>
      <w:r w:rsidRPr="004F19DE">
        <w:rPr>
          <w:rFonts w:ascii="Times New Roman" w:hAnsi="Times New Roman" w:hint="eastAsia"/>
          <w:sz w:val="21"/>
          <w:szCs w:val="21"/>
        </w:rPr>
        <w:t>份，内容涵盖经营状况、财务数据、重大投资、关联交易等重要事项，全面、客观、真实地反映公司经营发展情况。通过这些具体举措，公司主动、精准地向市场传导长期投资价值，显著提升了信息披露的效率和透明度，连续</w:t>
      </w:r>
      <w:r w:rsidRPr="004F19DE">
        <w:rPr>
          <w:rFonts w:ascii="Times New Roman" w:hAnsi="Times New Roman" w:hint="eastAsia"/>
          <w:sz w:val="21"/>
          <w:szCs w:val="21"/>
        </w:rPr>
        <w:t>5</w:t>
      </w:r>
      <w:r w:rsidRPr="004F19DE">
        <w:rPr>
          <w:rFonts w:ascii="Times New Roman" w:hAnsi="Times New Roman" w:hint="eastAsia"/>
          <w:sz w:val="21"/>
          <w:szCs w:val="21"/>
        </w:rPr>
        <w:t>年在深圳证券交易所信息披露考核中获得最高评级</w:t>
      </w:r>
      <w:r w:rsidRPr="004F19DE">
        <w:rPr>
          <w:rFonts w:ascii="Times New Roman" w:hAnsi="Times New Roman" w:hint="eastAsia"/>
          <w:sz w:val="21"/>
          <w:szCs w:val="21"/>
        </w:rPr>
        <w:t>A</w:t>
      </w:r>
      <w:r w:rsidRPr="004F19DE">
        <w:rPr>
          <w:rFonts w:ascii="Times New Roman" w:hAnsi="Times New Roman" w:hint="eastAsia"/>
          <w:sz w:val="21"/>
          <w:szCs w:val="21"/>
        </w:rPr>
        <w:t>。公司信息披露质量和投资者关系管理水平不断提升，成功搭建起了公司与投资者及社会公众之间公平、有效、相互信任的沟通桥梁。</w:t>
      </w:r>
    </w:p>
    <w:p w14:paraId="59BDF988" w14:textId="11191077" w:rsidR="004F19DE" w:rsidRPr="004F19DE" w:rsidRDefault="004F19DE" w:rsidP="004F19DE">
      <w:pPr>
        <w:pStyle w:val="a9"/>
        <w:spacing w:before="0" w:beforeAutospacing="0" w:after="0" w:afterAutospacing="0" w:line="360" w:lineRule="auto"/>
        <w:ind w:firstLineChars="200" w:firstLine="420"/>
        <w:jc w:val="both"/>
        <w:rPr>
          <w:rFonts w:ascii="Times New Roman" w:hAnsi="Times New Roman"/>
          <w:sz w:val="21"/>
          <w:szCs w:val="21"/>
        </w:rPr>
      </w:pPr>
      <w:r w:rsidRPr="004F19DE">
        <w:rPr>
          <w:rFonts w:ascii="Times New Roman" w:hAnsi="Times New Roman" w:hint="eastAsia"/>
          <w:sz w:val="21"/>
          <w:szCs w:val="21"/>
        </w:rPr>
        <w:t>未来，公司将持续聚焦糖尿病及慢病健康核心事业，以创新为核心驱动力，坚守长期可持续的高质量发展理念，不断提升核心竞争力，切实履行上市公司的责任与义务，统筹兼顾公司发展、业绩增长与股东回报的动态平衡，推动公司市场价值与内在价值实现长期匹配、共同提升，持续多措并举落地“质量回报双提升”行动方案，为稳定市场预期、增强市场信心贡献力量。</w:t>
      </w:r>
    </w:p>
    <w:p w14:paraId="0BF06C8D" w14:textId="77777777" w:rsidR="00113A51" w:rsidRDefault="00766EC7">
      <w:r>
        <w:br w:type="page"/>
      </w:r>
    </w:p>
    <w:p w14:paraId="0F484B75" w14:textId="77777777" w:rsidR="00113A51" w:rsidRDefault="00766EC7">
      <w:pPr>
        <w:pStyle w:val="headingh1"/>
        <w:spacing w:before="340" w:after="330" w:line="773" w:lineRule="exact"/>
        <w:jc w:val="center"/>
        <w:rPr>
          <w:rFonts w:ascii="宋体" w:eastAsia="宋体" w:hAnsi="宋体" w:cs="宋体"/>
          <w:b/>
          <w:bCs/>
          <w:sz w:val="32"/>
          <w:szCs w:val="32"/>
        </w:rPr>
      </w:pPr>
      <w:bookmarkStart w:id="61" w:name="_Toc228122505"/>
      <w:r>
        <w:rPr>
          <w:rFonts w:ascii="宋体" w:eastAsia="宋体" w:hAnsi="宋体" w:cs="宋体"/>
          <w:b/>
          <w:bCs/>
          <w:sz w:val="32"/>
          <w:szCs w:val="32"/>
        </w:rPr>
        <w:t>第四节 公司治理、环境和社会</w:t>
      </w:r>
      <w:bookmarkEnd w:id="61"/>
    </w:p>
    <w:p w14:paraId="001EA54F" w14:textId="77777777" w:rsidR="00113A51" w:rsidRDefault="00766EC7">
      <w:pPr>
        <w:pStyle w:val="2"/>
        <w:spacing w:before="300" w:after="300" w:line="320" w:lineRule="exact"/>
        <w:rPr>
          <w:rFonts w:ascii="宋体" w:eastAsia="宋体" w:hAnsi="宋体" w:cs="宋体"/>
          <w:b/>
          <w:bCs/>
          <w:sz w:val="24"/>
          <w:szCs w:val="24"/>
        </w:rPr>
      </w:pPr>
      <w:bookmarkStart w:id="62" w:name="_Toc988941"/>
      <w:r>
        <w:rPr>
          <w:rFonts w:ascii="宋体" w:eastAsia="宋体" w:hAnsi="宋体" w:cs="宋体"/>
          <w:b/>
          <w:bCs/>
          <w:sz w:val="24"/>
          <w:szCs w:val="24"/>
        </w:rPr>
        <w:t>一、公司治理的基本状况</w:t>
      </w:r>
      <w:bookmarkEnd w:id="62"/>
    </w:p>
    <w:p w14:paraId="271FB80D"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报告期内，公司严格按照《公司法》《证券法》《上市公司治理准则》《深圳证券交易所创业板股票上市规则》《深圳证券交易所上市公司自律监管指引第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等最新法律法规、规范性文件的规定和中国证监会的要求，结合公司实际情况，持续完善和优化公司法人治理架构，建立健全公司内部管理和控制制度，形成了科学有效、权责明确、相互制衡、协调运作的治理机制，为公司持续、规范、健康发展提供了坚实保障，进一步促进了公司规范运作，提高了公司治理水平。</w:t>
      </w:r>
    </w:p>
    <w:p w14:paraId="1BC2A8FE"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截至报告期末，公司治理的实际状况符合现行法律法规、规范性文件和中国证监会、深圳证券交易所关于上市公司治理的有关规定和要求。</w:t>
      </w:r>
    </w:p>
    <w:p w14:paraId="58D8E5ED"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（一）关于股东与股东会</w:t>
      </w:r>
    </w:p>
    <w:p w14:paraId="1631ED1E"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公司严格按照《公司法》《上市公司股东会规则》《深圳证券交易所创业板股票上市规则》《深圳证券交易所上市公司自律监管指引第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以及《公司章程》《公司股东会议事规则》等的规定和要求，召集、召开公司股东会会议，规范审议和表决程序，采用现场投票与网络投票结合的方式，在会议进行中设置股东发言环节，对中小投资者表决情况单独计票并及时披露计票结果，尽可能为股东特别是中小股东参加公司股东会和行使股东权利提供便利，平等对待所有股东，同时公司邀请见证律师列席股东会并出具法律意见书，对公司股东会的召集召开、出席人员资格以及审议表决程序、结果进行现场见证与监督，确保全体股东特别是中小股东享有平等地位，使其能够充分行使股东权利。</w:t>
      </w:r>
    </w:p>
    <w:p w14:paraId="2A8DB555"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报告期内，公司共召开了</w:t>
      </w:r>
      <w:r>
        <w:rPr>
          <w:rFonts w:ascii="Times New Roman" w:hAnsi="Times New Roman" w:cs="Times New Roman"/>
          <w:sz w:val="21"/>
          <w:szCs w:val="21"/>
        </w:rPr>
        <w:t>2</w:t>
      </w:r>
      <w:r>
        <w:rPr>
          <w:rFonts w:ascii="Times New Roman" w:hAnsi="Times New Roman" w:hint="eastAsia"/>
          <w:sz w:val="21"/>
          <w:szCs w:val="21"/>
        </w:rPr>
        <w:t>次股东会，合计审议并通过</w:t>
      </w:r>
      <w:r>
        <w:rPr>
          <w:rFonts w:ascii="Times New Roman" w:hAnsi="Times New Roman" w:cs="Times New Roman"/>
          <w:sz w:val="21"/>
          <w:szCs w:val="21"/>
        </w:rPr>
        <w:t>18</w:t>
      </w:r>
      <w:r>
        <w:rPr>
          <w:rFonts w:ascii="Times New Roman" w:hAnsi="Times New Roman" w:hint="eastAsia"/>
          <w:sz w:val="21"/>
          <w:szCs w:val="21"/>
        </w:rPr>
        <w:t>项议案，对定期报告、利润分配、关联交易、续聘会计师事务所、制定和修订相关制度等应由股东会审议的重大事项作出最终决议，历次股东会会议均由公司董事会召集、召开，会议全程依法由见证律师现场见证并出具了法律意见书，股东会的召集、召开、审议和表决程序均符合相关法律法规、规范性文件以及《公司章程》的规定，出席会议人员资格合法合规，表决结果及会议决议合法有效。公司历次股东会均采用现场投票和网络投票相结合的方式召开，在会议上保证股东有充足的发言时间，为股东参加股东会和行使决策权提供便利，平等对待每一位股东，使其能充分地行使发言权、知情权、参与权、表决权等股东合法权利，切实维护了公司股东特别是中小股东的合法权益。公司不存在重大事项绕过股东会审议的情况，也不存在重大事项先实施后审议的情形。</w:t>
      </w:r>
    </w:p>
    <w:p w14:paraId="554766AA"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（二）关于公司与控股股东</w:t>
      </w:r>
    </w:p>
    <w:p w14:paraId="05A23D3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公司具有独立完整的业务和自主经营能力，在资产、人员、财务、机构、业务上均独立于控股股东，能够独立运作、独立经营、独立承担责任和风险。</w:t>
      </w:r>
    </w:p>
    <w:p w14:paraId="475F60E0"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报告期内，公司控股股东、实际控制人严格按照《上市公司治理准则》《深圳证券交易所创业板股票上市规则》《深圳证券交易所上市公司自律监管指引第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以及《公司章程》等相关规定和要求，规范自身行为及依法合规行使权利，不存在超越公司股东会、董事会授权范围行使职权、直接或者间接干预公司决策和经营活动的情形，不存在利用控制地位损害公司及其他股东利益的行为，也不存在控股股东及其关联方占用公司资金、要求公司为其或者他人提供担保等违规担保的情形。公司在涉及相关关联事项的审议表决时，公司控股股东及其关联方均回避表决，充分尊重和维护了公司全体股东，特别是中小股东的合法权益。</w:t>
      </w:r>
    </w:p>
    <w:p w14:paraId="77ABAAB3"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（三）关于董事与董事会</w:t>
      </w:r>
    </w:p>
    <w:p w14:paraId="5EFB15F0"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根据《公司章程》的规定，公司董事会由</w:t>
      </w:r>
      <w:r>
        <w:rPr>
          <w:rFonts w:ascii="Times New Roman" w:hAnsi="Times New Roman" w:cs="Times New Roman"/>
          <w:sz w:val="21"/>
          <w:szCs w:val="21"/>
        </w:rPr>
        <w:t>7</w:t>
      </w:r>
      <w:r>
        <w:rPr>
          <w:rFonts w:ascii="Times New Roman" w:hAnsi="Times New Roman" w:hint="eastAsia"/>
          <w:sz w:val="21"/>
          <w:szCs w:val="21"/>
        </w:rPr>
        <w:t>名董事组成，其中独立董事</w:t>
      </w:r>
      <w:r>
        <w:rPr>
          <w:rFonts w:ascii="Times New Roman" w:hAnsi="Times New Roman" w:cs="Times New Roman"/>
          <w:sz w:val="21"/>
          <w:szCs w:val="21"/>
        </w:rPr>
        <w:t>3</w:t>
      </w:r>
      <w:r>
        <w:rPr>
          <w:rFonts w:ascii="Times New Roman" w:hAnsi="Times New Roman" w:hint="eastAsia"/>
          <w:sz w:val="21"/>
          <w:szCs w:val="21"/>
        </w:rPr>
        <w:t>名；董事会下设战略委员会、审计委员会、提名委员会和薪酬与考核委员会四个专门委员会，董事会及各专门委员会的人数、人员构成及资格、聘任程序均符合《公司法》《上市公司独立董事管理办法》《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等法律法规、规范性文件和《公司章程》《公司董事会议事规则》的有关规定。公司董事会成员涉及生物医药、金融、治理等多元化领域，专业知识扎实，实践经验丰富，具备履职所必需的知识、技能及专业素养。</w:t>
      </w:r>
    </w:p>
    <w:p w14:paraId="7D2043ED"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为全面贯彻落实最新法律法规和监管规定要求，公司根据最新法律法规、规范性文件的相关规定，结合公司实际情况，对公司《董事会议事规则》《独立董事工作制度》《董事会专门委员会工作细则》等治理制度进行修订，优化公司治理结构，强化董事会职权，完善董事履职保障机制，压实董事忠实与勤勉义务，由董事会审计委员会承接原监事会相关监督职权，进一步构建权责清晰、运转协调、有效制衡的长效治理机制。</w:t>
      </w:r>
      <w:r>
        <w:rPr>
          <w:rFonts w:ascii="Times New Roman" w:hAnsi="Times New Roman" w:cs="Times New Roman"/>
          <w:sz w:val="21"/>
          <w:szCs w:val="21"/>
        </w:rPr>
        <w:t>2025</w:t>
      </w:r>
      <w:r>
        <w:rPr>
          <w:rFonts w:ascii="Times New Roman" w:hAnsi="Times New Roman" w:hint="eastAsia"/>
          <w:sz w:val="21"/>
          <w:szCs w:val="21"/>
        </w:rPr>
        <w:t>年度公司共召开了</w:t>
      </w:r>
      <w:r>
        <w:rPr>
          <w:rFonts w:ascii="Times New Roman" w:hAnsi="Times New Roman" w:cs="Times New Roman"/>
          <w:sz w:val="21"/>
          <w:szCs w:val="21"/>
        </w:rPr>
        <w:t>9</w:t>
      </w:r>
      <w:r>
        <w:rPr>
          <w:rFonts w:ascii="Times New Roman" w:hAnsi="Times New Roman" w:hint="eastAsia"/>
          <w:sz w:val="21"/>
          <w:szCs w:val="21"/>
        </w:rPr>
        <w:t>次董事会会议，审议并通过</w:t>
      </w:r>
      <w:r>
        <w:rPr>
          <w:rFonts w:ascii="Times New Roman" w:hAnsi="Times New Roman" w:cs="Times New Roman"/>
          <w:sz w:val="21"/>
          <w:szCs w:val="21"/>
        </w:rPr>
        <w:t>41</w:t>
      </w:r>
      <w:r>
        <w:rPr>
          <w:rFonts w:ascii="Times New Roman" w:hAnsi="Times New Roman" w:hint="eastAsia"/>
          <w:sz w:val="21"/>
          <w:szCs w:val="21"/>
        </w:rPr>
        <w:t>项议案内容，历次会议的召集、召开及表决程序均符合相关法律法规的规定，决议结果合法有效。公司董事严格按照相关法律法规、规范性文件的规定和要求开展工作，按时出席公司董事会会议及董事会专门委员会会议，列席股东会会议，持续关注公司经营状况和财务数据，审慎发表意见并行使表决权，勤勉尽责地履行职责和义务，同时积极参加相关培训，切实提高自身履职能力；公司独立董事独立审慎履行职责和义务，及时召开并按时参加独立董事专门会议，对利润分配、关联交易等可能损害中小投资者利益的事项发表意见并行使表决权。公司全体董事均尽职履责，为董事会的决策提供了科学和专业的意见和参考，在提升公司决策科学性与治理有效性方面发挥重要作用，有效维护公司和全体股东的合法权益。</w:t>
      </w:r>
    </w:p>
    <w:p w14:paraId="6BAC2A71"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（四）关于取消监事会及职能转移</w:t>
      </w:r>
    </w:p>
    <w:p w14:paraId="2E677E06"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报告期内，为全面贯彻落实最新法律法规和监管规定要求，公司根据《公司法》《深圳证券交易所创业板股票上市规则》《深圳证券交易所上市公司自律监管指引第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等最新法律法规、规范性文件的相关规定，结合公司实际情况，对公司治理结构进行优化，不再设置监事会和监事，由公司董事会审计委员会行使《公司法》规定的监事会职权，废止公司《监事会议事规则》，并对《公司章程》等内部治理制度中有关监事、监事会的表述及条款进行相应修订。</w:t>
      </w:r>
    </w:p>
    <w:p w14:paraId="2FB0E2A4"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（五）关于信息披露与投资者关系</w:t>
      </w:r>
    </w:p>
    <w:p w14:paraId="2D65D7CB"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公司严格按照《上市公司信息披露管理办法》《深圳证券交易所上市公司自律监管指引第</w:t>
      </w:r>
      <w:r>
        <w:rPr>
          <w:rFonts w:ascii="Times New Roman" w:hAnsi="Times New Roman" w:cs="Times New Roman"/>
          <w:sz w:val="21"/>
          <w:szCs w:val="21"/>
        </w:rPr>
        <w:t>5</w:t>
      </w:r>
      <w:r>
        <w:rPr>
          <w:rFonts w:ascii="Times New Roman" w:hAnsi="Times New Roman" w:hint="eastAsia"/>
          <w:sz w:val="21"/>
          <w:szCs w:val="21"/>
        </w:rPr>
        <w:t>号——信息披露事务管理》等法律法规以及《公司信息披露管理办法》《公司投资者关系管理制度》《公司内幕信息知情人登记管理制度》的要求，真实、准确、完整、及时、公平地披露公司信息，建立和协调与投资者之间及时、互信的良好沟通关系。公司明确董事会秘书作为公司信息披露事务和投资者关系工作的负责人，领导投资者关系部开展公司日常信息披露工作和接待投资者、机构来访及调研，回答投资者问询，向投资者提供公司已披露的信息等维护公司与投资者关系的相关工作，做好内幕信息知情人登记入档和报送工作。公司指定《中国证券报》《证券时报》《证券日报》《上海证券报》及巨潮资讯网（</w:t>
      </w:r>
      <w:r>
        <w:rPr>
          <w:rFonts w:ascii="Times New Roman" w:hAnsi="Times New Roman" w:cs="Times New Roman"/>
          <w:color w:val="0000FF"/>
          <w:sz w:val="21"/>
          <w:szCs w:val="21"/>
          <w:u w:val="single"/>
        </w:rPr>
        <w:t>www.cninfo.com.cn</w:t>
      </w:r>
      <w:r>
        <w:rPr>
          <w:rFonts w:ascii="Times New Roman" w:hAnsi="Times New Roman" w:hint="eastAsia"/>
          <w:sz w:val="21"/>
          <w:szCs w:val="21"/>
        </w:rPr>
        <w:t>）为公司信息披露媒体和网站，以投资者需求为导向，持续提高披露信息透明度和可读性，确保所有投资者能够公平、平等、准确、全面地获取公司信息。</w:t>
      </w:r>
    </w:p>
    <w:p w14:paraId="278F4305"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报告期内，公司认真履行信息披露义务，共计发布信息披露文件</w:t>
      </w:r>
      <w:r>
        <w:rPr>
          <w:rFonts w:ascii="Times New Roman" w:hAnsi="Times New Roman" w:cs="Times New Roman"/>
          <w:sz w:val="21"/>
          <w:szCs w:val="21"/>
        </w:rPr>
        <w:t>168</w:t>
      </w:r>
      <w:r>
        <w:rPr>
          <w:rFonts w:ascii="Times New Roman" w:hAnsi="Times New Roman" w:hint="eastAsia"/>
          <w:sz w:val="21"/>
          <w:szCs w:val="21"/>
        </w:rPr>
        <w:t>份，充分反映了公司经营发展情况；积极组织、参加网上业绩说明会、投资者调研等活动，整理并及时发布投资者关系活动记录表</w:t>
      </w:r>
      <w:r>
        <w:rPr>
          <w:rFonts w:ascii="Times New Roman" w:hAnsi="Times New Roman" w:cs="Times New Roman"/>
          <w:sz w:val="21"/>
          <w:szCs w:val="21"/>
        </w:rPr>
        <w:t>5</w:t>
      </w:r>
      <w:r>
        <w:rPr>
          <w:rFonts w:ascii="Times New Roman" w:hAnsi="Times New Roman" w:hint="eastAsia"/>
          <w:sz w:val="21"/>
          <w:szCs w:val="21"/>
        </w:rPr>
        <w:t>份，投资者互动关系平台问询回复率</w:t>
      </w:r>
      <w:r>
        <w:rPr>
          <w:rFonts w:ascii="Times New Roman" w:hAnsi="Times New Roman" w:cs="Times New Roman"/>
          <w:sz w:val="21"/>
          <w:szCs w:val="21"/>
        </w:rPr>
        <w:t>100%</w:t>
      </w:r>
      <w:r>
        <w:rPr>
          <w:rFonts w:ascii="Times New Roman" w:hAnsi="Times New Roman" w:hint="eastAsia"/>
          <w:sz w:val="21"/>
          <w:szCs w:val="21"/>
        </w:rPr>
        <w:t>，与广大投资者就公司的经营状况、财务情况、未来规划等关注事项进行深入全面的交流，有效促进了投资者对公司的了解。公司及相关信息披露义务人严格遵守相关制度规定履行信息披露义务和内幕信息保密义务，有效确保了公司对外信息披露工作的公平性、完整性、真实性、准确性与及时性，不存在内幕信息泄露、内幕交易等违规行为。公司保持投资者电话、电子邮箱、投资者关系互动平台、公司网站“投资者关系”专栏等沟通渠道畅通，通过股东会、投资者调研活动积极与投资者深入交流并听取其对公司的发展战略、经营状况、可持续发展等事项的建议，有效增进投资者对公司价值的了解和认同，促进公司和投资者之间长期、稳定、互信的良好关系。公司在深交所创业板上市公司</w:t>
      </w:r>
      <w:r>
        <w:rPr>
          <w:rFonts w:ascii="Times New Roman" w:hAnsi="Times New Roman" w:cs="Times New Roman"/>
          <w:sz w:val="21"/>
          <w:szCs w:val="21"/>
        </w:rPr>
        <w:t>2024-2025</w:t>
      </w:r>
      <w:r>
        <w:rPr>
          <w:rFonts w:ascii="Times New Roman" w:hAnsi="Times New Roman" w:hint="eastAsia"/>
          <w:sz w:val="21"/>
          <w:szCs w:val="21"/>
        </w:rPr>
        <w:t>年度信息披露考核中再获最高等级</w:t>
      </w:r>
      <w:r>
        <w:rPr>
          <w:rFonts w:ascii="Times New Roman" w:hAnsi="Times New Roman" w:cs="Times New Roman"/>
          <w:sz w:val="21"/>
          <w:szCs w:val="21"/>
        </w:rPr>
        <w:t>A</w:t>
      </w:r>
      <w:r>
        <w:rPr>
          <w:rFonts w:ascii="Times New Roman" w:hAnsi="Times New Roman" w:hint="eastAsia"/>
          <w:sz w:val="21"/>
          <w:szCs w:val="21"/>
        </w:rPr>
        <w:t>，已连续</w:t>
      </w:r>
      <w:r>
        <w:rPr>
          <w:rFonts w:ascii="Times New Roman" w:hAnsi="Times New Roman" w:cs="Times New Roman"/>
          <w:sz w:val="21"/>
          <w:szCs w:val="21"/>
        </w:rPr>
        <w:t>5</w:t>
      </w:r>
      <w:r>
        <w:rPr>
          <w:rFonts w:ascii="Times New Roman" w:hAnsi="Times New Roman" w:hint="eastAsia"/>
          <w:sz w:val="21"/>
          <w:szCs w:val="21"/>
        </w:rPr>
        <w:t>年获深交所年度信息披露考核</w:t>
      </w:r>
      <w:r>
        <w:rPr>
          <w:rFonts w:ascii="Times New Roman" w:hAnsi="Times New Roman" w:cs="Times New Roman"/>
          <w:sz w:val="21"/>
          <w:szCs w:val="21"/>
        </w:rPr>
        <w:t>A</w:t>
      </w:r>
      <w:r>
        <w:rPr>
          <w:rFonts w:ascii="Times New Roman" w:hAnsi="Times New Roman" w:hint="eastAsia"/>
          <w:sz w:val="21"/>
          <w:szCs w:val="21"/>
        </w:rPr>
        <w:t>级，公司信息披露质量和投资者关系管理水平不断提升，成功搭建起了公司与投资者及社会公众之间公平、有效、相互信任的沟通桥梁。</w:t>
      </w:r>
    </w:p>
    <w:p w14:paraId="3116B8EF"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（六）关于绩效评价与激励约束机制</w:t>
      </w:r>
    </w:p>
    <w:p w14:paraId="6BDAA8D4"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建立并不断完善公正、透明的绩效考核体系和薪酬激励制度。公司董事、高级管理人员的聘任公开、透明，符合法律、法规的规定。董事会薪酬与考核委员会负责制定、审查董事、高级管理人员的薪酬政策与方案，董事薪酬方案由股东会审议批准，高级管理人员薪酬方案由董事会审议批准。报告期内，公司薪酬与考核委员会结合公司实际经营情况，并参照行业、地区薪酬水平，制定了公司</w:t>
      </w:r>
      <w:r>
        <w:rPr>
          <w:rFonts w:ascii="Times New Roman" w:hAnsi="Times New Roman" w:cs="Times New Roman"/>
          <w:sz w:val="21"/>
          <w:szCs w:val="21"/>
        </w:rPr>
        <w:t>2025</w:t>
      </w:r>
      <w:r>
        <w:rPr>
          <w:rFonts w:ascii="Times New Roman" w:hAnsi="Times New Roman" w:hint="eastAsia"/>
          <w:sz w:val="21"/>
          <w:szCs w:val="21"/>
        </w:rPr>
        <w:t>年度董事及高级管理人员津贴和薪酬方案，并经第五届董事会第十七次会议审议通过，其中董事津贴与薪酬方案经公司</w:t>
      </w:r>
      <w:r>
        <w:rPr>
          <w:rFonts w:ascii="Times New Roman" w:hAnsi="Times New Roman" w:cs="Times New Roman"/>
          <w:sz w:val="21"/>
          <w:szCs w:val="21"/>
        </w:rPr>
        <w:t>2024</w:t>
      </w:r>
      <w:r>
        <w:rPr>
          <w:rFonts w:ascii="Times New Roman" w:hAnsi="Times New Roman" w:hint="eastAsia"/>
          <w:sz w:val="21"/>
          <w:szCs w:val="21"/>
        </w:rPr>
        <w:t>年年度股东大会最终审议通过。公司现有的考核及激励约束机制符合公司的发展现状并逐步完善。</w:t>
      </w:r>
    </w:p>
    <w:p w14:paraId="534A7E1A"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（七）关于相关利益者</w:t>
      </w:r>
    </w:p>
    <w:p w14:paraId="2A53D66D" w14:textId="097A226C" w:rsidR="00113A51" w:rsidRDefault="00766EC7">
      <w:pPr>
        <w:pStyle w:val="a9"/>
        <w:spacing w:before="0" w:beforeAutospacing="0" w:after="0" w:afterAutospacing="0" w:line="360" w:lineRule="auto"/>
        <w:ind w:firstLine="420"/>
        <w:jc w:val="both"/>
        <w:rPr>
          <w:rFonts w:ascii="Times New Roman" w:hAnsi="Times New Roman"/>
          <w:sz w:val="21"/>
        </w:rPr>
      </w:pPr>
      <w:r>
        <w:rPr>
          <w:rFonts w:ascii="Times New Roman" w:hAnsi="Times New Roman" w:hint="eastAsia"/>
          <w:sz w:val="21"/>
          <w:szCs w:val="21"/>
        </w:rPr>
        <w:t>公司充分尊重和维护相关利益者的合法权益，建立健全多元化沟通渠道，加强与各方的沟通和交流，实现社会、股东、公司、员工、供应商、客户等各方利益的协调平衡，共同推动公司持续、健康发展。公司秉承可持续发展理念，重视并积极履</w:t>
      </w:r>
      <w:r w:rsidR="00B44D8F">
        <w:rPr>
          <w:rFonts w:ascii="Times New Roman" w:hAnsi="Times New Roman" w:hint="eastAsia"/>
          <w:sz w:val="21"/>
          <w:szCs w:val="21"/>
        </w:rPr>
        <w:t>行</w:t>
      </w:r>
      <w:r>
        <w:rPr>
          <w:rFonts w:ascii="Times New Roman" w:hAnsi="Times New Roman" w:hint="eastAsia"/>
          <w:sz w:val="21"/>
          <w:szCs w:val="21"/>
        </w:rPr>
        <w:t>社会责任，持续参加各类社会公益事业，致力于与利益相关方共同实现可持续发展。详细内容请详见公司于同日在巨潮资讯网（</w:t>
      </w:r>
      <w:r>
        <w:rPr>
          <w:rFonts w:ascii="Times New Roman" w:hAnsi="Times New Roman" w:cs="Times New Roman"/>
          <w:sz w:val="21"/>
          <w:szCs w:val="21"/>
        </w:rPr>
        <w:t>www.cninfo.com.cn</w:t>
      </w:r>
      <w:r>
        <w:rPr>
          <w:rFonts w:ascii="Times New Roman" w:hAnsi="Times New Roman" w:hint="eastAsia"/>
          <w:sz w:val="21"/>
          <w:szCs w:val="21"/>
        </w:rPr>
        <w:t>）上披露的《</w:t>
      </w:r>
      <w:r>
        <w:rPr>
          <w:rFonts w:ascii="Times New Roman" w:hAnsi="Times New Roman" w:cs="Times New Roman"/>
          <w:sz w:val="21"/>
          <w:szCs w:val="21"/>
        </w:rPr>
        <w:t>2025</w:t>
      </w:r>
      <w:r>
        <w:rPr>
          <w:rFonts w:ascii="Times New Roman" w:hAnsi="Times New Roman" w:hint="eastAsia"/>
          <w:sz w:val="21"/>
          <w:szCs w:val="21"/>
        </w:rPr>
        <w:t>年度环境、社会及公司治理（</w:t>
      </w:r>
      <w:r>
        <w:rPr>
          <w:rFonts w:ascii="Times New Roman" w:hAnsi="Times New Roman" w:cs="Times New Roman"/>
          <w:sz w:val="21"/>
          <w:szCs w:val="21"/>
        </w:rPr>
        <w:t>ESG</w:t>
      </w:r>
      <w:r>
        <w:rPr>
          <w:rFonts w:ascii="Times New Roman" w:hAnsi="Times New Roman" w:hint="eastAsia"/>
          <w:sz w:val="21"/>
          <w:szCs w:val="21"/>
        </w:rPr>
        <w:t>）报告》。</w:t>
      </w:r>
    </w:p>
    <w:p w14:paraId="7660F07A" w14:textId="77777777" w:rsidR="00113A51" w:rsidRDefault="00766EC7">
      <w:pPr>
        <w:pStyle w:val="a9"/>
        <w:spacing w:beforeLines="50" w:before="156" w:beforeAutospacing="0" w:afterLines="50" w:after="156" w:afterAutospacing="0" w:line="360" w:lineRule="auto"/>
        <w:ind w:firstLine="420"/>
        <w:jc w:val="both"/>
        <w:rPr>
          <w:rFonts w:ascii="Times New Roman" w:hAnsi="Times New Roman"/>
          <w:sz w:val="21"/>
          <w:szCs w:val="21"/>
        </w:rPr>
      </w:pPr>
      <w:r>
        <w:rPr>
          <w:rStyle w:val="aa"/>
          <w:rFonts w:ascii="Times New Roman" w:hAnsi="Times New Roman" w:hint="eastAsia"/>
          <w:sz w:val="21"/>
          <w:szCs w:val="21"/>
        </w:rPr>
        <w:t>（八）内部审计制度的建立及执行情况</w:t>
      </w:r>
    </w:p>
    <w:p w14:paraId="70B38398" w14:textId="2ABD0061" w:rsidR="00113A51" w:rsidRDefault="00766EC7">
      <w:pPr>
        <w:pStyle w:val="a9"/>
        <w:spacing w:before="0" w:beforeAutospacing="0" w:after="0" w:afterAutospacing="0" w:line="360" w:lineRule="auto"/>
        <w:ind w:firstLine="420"/>
        <w:jc w:val="both"/>
        <w:rPr>
          <w:rFonts w:ascii="Times New Roman" w:hAnsi="Times New Roman"/>
          <w:sz w:val="21"/>
        </w:rPr>
      </w:pPr>
      <w:r>
        <w:rPr>
          <w:rFonts w:ascii="Times New Roman" w:hAnsi="Times New Roman" w:hint="eastAsia"/>
          <w:sz w:val="21"/>
          <w:szCs w:val="21"/>
        </w:rPr>
        <w:t>为强化公司董事会决策功能，建立健全覆盖公司生产经营各层级、各环节的内部控制体系，确保对经营管理层的有效监督，持续提升公司规范化运作水平与风险防控能力，董事会下设审计委员会，负责指导和核查公司内部审计工作、监督内部审计制度实施，协调与外部审计机构的沟通，审计委员会下设独立的内部审计部门，直接对审计委员会负责及报告工作，对公司内部审计制度的建立、完善和实施进行监督，对公司财务信息的真实性和完整性等情况进行检查监督。报告期内，为进一步完善内部审计工作机制，强化内部管理与控制，提高内部审计工作质量，</w:t>
      </w:r>
      <w:r w:rsidRPr="00C707CF">
        <w:rPr>
          <w:rFonts w:ascii="Times New Roman" w:hAnsi="Times New Roman" w:hint="eastAsia"/>
          <w:color w:val="000000" w:themeColor="text1"/>
          <w:sz w:val="21"/>
          <w:szCs w:val="21"/>
        </w:rPr>
        <w:t>公司制定《内部审计制度》并对《内部控制评价制度》相关条款进行修订，明确落实内部审计机构及人员责任，</w:t>
      </w:r>
      <w:r>
        <w:rPr>
          <w:rFonts w:ascii="Times New Roman" w:hAnsi="Times New Roman" w:hint="eastAsia"/>
          <w:sz w:val="21"/>
          <w:szCs w:val="21"/>
        </w:rPr>
        <w:t>规范公司内部审计工作，促进提升公司运营效率。公司严格贯彻内部审计制度，对公司各项治理制度的建立和执行情况进行核查，及时发现问题、督促整改，有效提升公司内控有效性与运营规范性，在控制风险的同时确保了经营活动的正常开展。</w:t>
      </w:r>
    </w:p>
    <w:p w14:paraId="2EDDCA6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公司治理的实际状况与法律、行政法规和中国证监会发布的关于上市公司治理的规定是否存在重大差异</w:t>
      </w:r>
    </w:p>
    <w:p w14:paraId="4FDC9406"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4AC9F6FF"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公司治理的实际状况与法律、行政法规和中国证监会发布的关于上市公司治理的规定不存在重大差异。</w:t>
      </w:r>
    </w:p>
    <w:p w14:paraId="4F502D59" w14:textId="77777777" w:rsidR="00113A51" w:rsidRDefault="00766EC7">
      <w:pPr>
        <w:pStyle w:val="2"/>
        <w:spacing w:before="300" w:after="300" w:line="320" w:lineRule="exact"/>
        <w:rPr>
          <w:rFonts w:ascii="宋体" w:eastAsia="宋体" w:hAnsi="宋体" w:cs="宋体"/>
          <w:b/>
          <w:bCs/>
          <w:sz w:val="24"/>
          <w:szCs w:val="24"/>
        </w:rPr>
      </w:pPr>
      <w:bookmarkStart w:id="63" w:name="_Toc988942"/>
      <w:r>
        <w:rPr>
          <w:rFonts w:ascii="宋体" w:eastAsia="宋体" w:hAnsi="宋体" w:cs="宋体"/>
          <w:b/>
          <w:bCs/>
          <w:sz w:val="24"/>
          <w:szCs w:val="24"/>
        </w:rPr>
        <w:t>二、公司相对于控股股东、实际控制人在保证公司资产、人员、财务、机构、业务等方面的独立情况</w:t>
      </w:r>
      <w:bookmarkEnd w:id="63"/>
    </w:p>
    <w:p w14:paraId="5CB7A1FD"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公司严格按照《公司法》《证券法》《上市公司治理准则》《深圳证券交易所创业板股票上市规则》《深圳证券交易所上市公司自律监管指引第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等有关法律法规、部门规章、规范性文件和《公司章程》的要求规范运作，公司与控股股东、实际控制人在资产、人员、财务、机构、业务等方面均相互独立，各自独立核算，公司具备独立完整的业务体系及自主经营能力，独立承担经营责任和风险。</w:t>
      </w:r>
    </w:p>
    <w:p w14:paraId="0403AC46"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1</w:t>
      </w:r>
      <w:r>
        <w:rPr>
          <w:rStyle w:val="aa"/>
          <w:rFonts w:ascii="Times New Roman" w:hAnsi="Times New Roman" w:hint="eastAsia"/>
          <w:sz w:val="21"/>
          <w:szCs w:val="21"/>
        </w:rPr>
        <w:t>、资产独立完整</w:t>
      </w:r>
    </w:p>
    <w:p w14:paraId="30619831"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现有资产产权明晰，合法拥有与生产经营相关的主要生产系统、辅助生产系统和配套设施的控制支配权，包括但不限于土地、厂房、办公设备、机器设备、存货、车辆以及商标、软件著作权、专利和非专利技术的所有权或者使用权，具有独立的原材料采购和产品销售系统。公司产权与控股股东及其他关联方之间相互独立，不存在控股股东、实际控制人及其关联方与公司共用的情形。</w:t>
      </w:r>
    </w:p>
    <w:p w14:paraId="5C3E4F4F"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2</w:t>
      </w:r>
      <w:r>
        <w:rPr>
          <w:rStyle w:val="aa"/>
          <w:rFonts w:ascii="Times New Roman" w:hAnsi="Times New Roman" w:hint="eastAsia"/>
          <w:sz w:val="21"/>
          <w:szCs w:val="21"/>
        </w:rPr>
        <w:t>、人员独立</w:t>
      </w:r>
    </w:p>
    <w:p w14:paraId="5EFCE5CB"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在劳动人事及薪酬管理等方面完全独立，建立了独立的人事档案、人事聘用和任免制度以及考核、奖惩制度，拥有独立的工资管理、福利与社会保障体系，由公司人力资源部独立负责公司员工的聘任、考核、奖惩等人事管理工作，公司人员管理独立，不受控股股东、实际控制人干预和控制。公司董事、高级管理人员均严格遵照《公司法》《深圳证券交易所创业板股票上市规则》以及《公司章程》等法定程序产生，不存在控股股东、实际控制人超越公司董事会和股东会作出人事任免决定的情形。公司高级管理人员均在本公司及子公司任职并领取报酬，未在控股股东、实际控制人及其控制的其他企业中担任除董事之外的其他职务，也未在控股股东、实际控制人及其控制的其他企业中领取薪酬；公司的财务人员未在控股股东、实际控制人及其控制的其他企业中兼职。</w:t>
      </w:r>
    </w:p>
    <w:p w14:paraId="16B77EBD"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3</w:t>
      </w:r>
      <w:r>
        <w:rPr>
          <w:rStyle w:val="aa"/>
          <w:rFonts w:ascii="Times New Roman" w:hAnsi="Times New Roman" w:hint="eastAsia"/>
          <w:sz w:val="21"/>
          <w:szCs w:val="21"/>
        </w:rPr>
        <w:t>、财务独立</w:t>
      </w:r>
    </w:p>
    <w:p w14:paraId="2A27BFEC"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设有独立的财务会计部门，并建立了独立、完整的财务核算体系和财务管理制度，能够独立作出财务决策，不受控股股东、实际控制人干预和控制。公司拥有独立的银行账户，不存在与控股股东、实际控制人及其控制的其他企业共用银行账户或向其借用公司银行账户的情形。公司作为独立纳税人，依法独立开立基本结算账户并履行纳税申报及税款缴纳义务，不存在与控股股东、实际控制人及其控制的其他企业混合纳税的情形。</w:t>
      </w:r>
    </w:p>
    <w:p w14:paraId="440FF8EA"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4</w:t>
      </w:r>
      <w:r>
        <w:rPr>
          <w:rStyle w:val="aa"/>
          <w:rFonts w:ascii="Times New Roman" w:hAnsi="Times New Roman" w:hint="eastAsia"/>
          <w:sz w:val="21"/>
          <w:szCs w:val="21"/>
        </w:rPr>
        <w:t>、机构独立</w:t>
      </w:r>
    </w:p>
    <w:p w14:paraId="66468A8F"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拥有独立、自主设置机构的权利，已建立健全股东会、董事会及各专门委员会等法人治理结构，形成长期有效制衡机制，公司股东会、董事会和其他内部机构独立运作，能够独立行使经营决策及管理监督职权，形成了有效的法人治理结构和规范运作体系。在内部治理运作方面，公司建立了符合自身经营特点、权责清晰、独立完善的组织结构，公司采购、研发、生产、销售及配套职能部门分工明确、独立运作，不受控股股东、实际控制人及其控制的其他企业干预和控制，不存在与控股股东、实际控制人及其控制的其他企业之间机构混同、混合经营、合署办公的情形。</w:t>
      </w:r>
    </w:p>
    <w:p w14:paraId="722912BE" w14:textId="77777777" w:rsidR="00113A51" w:rsidRDefault="00766EC7">
      <w:pPr>
        <w:pStyle w:val="a9"/>
        <w:spacing w:before="0" w:beforeAutospacing="0" w:after="0" w:afterAutospacing="0" w:line="360" w:lineRule="auto"/>
        <w:ind w:firstLine="422"/>
        <w:jc w:val="both"/>
        <w:rPr>
          <w:rFonts w:ascii="Times New Roman" w:hAnsi="Times New Roman"/>
          <w:sz w:val="21"/>
          <w:szCs w:val="21"/>
        </w:rPr>
      </w:pPr>
      <w:r>
        <w:rPr>
          <w:rStyle w:val="aa"/>
          <w:rFonts w:ascii="Times New Roman" w:hAnsi="Times New Roman" w:cs="Times New Roman"/>
          <w:sz w:val="21"/>
          <w:szCs w:val="21"/>
        </w:rPr>
        <w:t>5</w:t>
      </w:r>
      <w:r>
        <w:rPr>
          <w:rStyle w:val="aa"/>
          <w:rFonts w:ascii="Times New Roman" w:hAnsi="Times New Roman" w:hint="eastAsia"/>
          <w:sz w:val="21"/>
          <w:szCs w:val="21"/>
        </w:rPr>
        <w:t>、业务独立</w:t>
      </w:r>
    </w:p>
    <w:p w14:paraId="6B55322D" w14:textId="77777777" w:rsidR="00113A51" w:rsidRDefault="00766EC7">
      <w:pPr>
        <w:pStyle w:val="a9"/>
        <w:spacing w:before="0" w:beforeAutospacing="0" w:after="0" w:afterAutospacing="0" w:line="360" w:lineRule="auto"/>
        <w:ind w:firstLine="420"/>
        <w:jc w:val="both"/>
        <w:rPr>
          <w:rFonts w:ascii="Times New Roman" w:hAnsi="Times New Roman"/>
          <w:sz w:val="21"/>
          <w:szCs w:val="21"/>
        </w:rPr>
      </w:pPr>
      <w:r>
        <w:rPr>
          <w:rFonts w:ascii="Times New Roman" w:hAnsi="Times New Roman" w:hint="eastAsia"/>
          <w:sz w:val="21"/>
          <w:szCs w:val="21"/>
        </w:rPr>
        <w:t>公司拥有独立完整的研发、采购、生产和销售业务体系以及从事业务所需独立的生产经营场所，并建立起完备的业务流程，具备独立面向市场的自主经营能力和业务开拓能力，不存在依赖控股股东、实际控制人及其他关联方的情况。公司业务独立于控股股东、实际控制人及其控制的其他企业，与控股股东、实际控制人及其控制的其他企业不存在同业竞争，也不存在严重影响独立性或者显失公平的关联交易。</w:t>
      </w:r>
    </w:p>
    <w:p w14:paraId="46D1743E" w14:textId="77777777" w:rsidR="00113A51" w:rsidRDefault="00766EC7">
      <w:pPr>
        <w:pStyle w:val="2"/>
        <w:spacing w:before="300" w:after="300" w:line="320" w:lineRule="exact"/>
        <w:rPr>
          <w:rFonts w:ascii="宋体" w:eastAsia="宋体" w:hAnsi="宋体" w:cs="宋体"/>
          <w:b/>
          <w:bCs/>
          <w:sz w:val="24"/>
          <w:szCs w:val="24"/>
        </w:rPr>
      </w:pPr>
      <w:bookmarkStart w:id="64" w:name="_Toc988943"/>
      <w:r>
        <w:rPr>
          <w:rFonts w:ascii="宋体" w:eastAsia="宋体" w:hAnsi="宋体" w:cs="宋体"/>
          <w:b/>
          <w:bCs/>
          <w:sz w:val="24"/>
          <w:szCs w:val="24"/>
        </w:rPr>
        <w:t>三、同业竞争情况</w:t>
      </w:r>
      <w:bookmarkEnd w:id="64"/>
    </w:p>
    <w:p w14:paraId="56FEF72A"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F1A6D08" w14:textId="77777777" w:rsidR="00113A51" w:rsidRDefault="00766EC7">
      <w:pPr>
        <w:pStyle w:val="2"/>
        <w:spacing w:before="300" w:after="300" w:line="320" w:lineRule="exact"/>
        <w:rPr>
          <w:rFonts w:ascii="宋体" w:eastAsia="宋体" w:hAnsi="宋体" w:cs="宋体"/>
          <w:b/>
          <w:bCs/>
          <w:sz w:val="24"/>
          <w:szCs w:val="24"/>
        </w:rPr>
      </w:pPr>
      <w:bookmarkStart w:id="65" w:name="_Toc988944"/>
      <w:r>
        <w:rPr>
          <w:rFonts w:ascii="宋体" w:eastAsia="宋体" w:hAnsi="宋体" w:cs="宋体"/>
          <w:b/>
          <w:bCs/>
          <w:sz w:val="24"/>
          <w:szCs w:val="24"/>
        </w:rPr>
        <w:t>四、公司具有表决权差异安排</w:t>
      </w:r>
      <w:bookmarkEnd w:id="65"/>
    </w:p>
    <w:p w14:paraId="1EBD295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2BEE7DA" w14:textId="77777777" w:rsidR="00113A51" w:rsidRDefault="00766EC7">
      <w:pPr>
        <w:pStyle w:val="2"/>
        <w:spacing w:before="300" w:after="300" w:line="320" w:lineRule="exact"/>
        <w:rPr>
          <w:rFonts w:ascii="宋体" w:eastAsia="宋体" w:hAnsi="宋体" w:cs="宋体"/>
          <w:b/>
          <w:bCs/>
          <w:sz w:val="24"/>
          <w:szCs w:val="24"/>
        </w:rPr>
      </w:pPr>
      <w:bookmarkStart w:id="66" w:name="_Toc988945"/>
      <w:r>
        <w:rPr>
          <w:rFonts w:ascii="宋体" w:eastAsia="宋体" w:hAnsi="宋体" w:cs="宋体"/>
          <w:b/>
          <w:bCs/>
          <w:sz w:val="24"/>
          <w:szCs w:val="24"/>
        </w:rPr>
        <w:t>五、红筹架构公司治理情况</w:t>
      </w:r>
      <w:bookmarkEnd w:id="66"/>
    </w:p>
    <w:p w14:paraId="2441C09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DD934E" w14:textId="77777777" w:rsidR="00113A51" w:rsidRDefault="00766EC7">
      <w:pPr>
        <w:pStyle w:val="2"/>
        <w:spacing w:before="300" w:after="300" w:line="320" w:lineRule="exact"/>
        <w:rPr>
          <w:rFonts w:ascii="宋体" w:eastAsia="宋体" w:hAnsi="宋体" w:cs="宋体"/>
          <w:b/>
          <w:bCs/>
          <w:sz w:val="24"/>
          <w:szCs w:val="24"/>
        </w:rPr>
      </w:pPr>
      <w:bookmarkStart w:id="67" w:name="_Toc988946"/>
      <w:r>
        <w:rPr>
          <w:rFonts w:ascii="宋体" w:eastAsia="宋体" w:hAnsi="宋体" w:cs="宋体"/>
          <w:b/>
          <w:bCs/>
          <w:sz w:val="24"/>
          <w:szCs w:val="24"/>
        </w:rPr>
        <w:t>六、董事和高级管理人员情况</w:t>
      </w:r>
      <w:bookmarkEnd w:id="67"/>
    </w:p>
    <w:p w14:paraId="041A82B3" w14:textId="77777777" w:rsidR="00113A51" w:rsidRDefault="00766EC7">
      <w:pPr>
        <w:pStyle w:val="3"/>
        <w:spacing w:line="280" w:lineRule="exact"/>
        <w:jc w:val="left"/>
        <w:rPr>
          <w:rFonts w:ascii="宋体" w:hAnsi="宋体" w:cs="宋体"/>
          <w:b/>
          <w:bCs/>
        </w:rPr>
      </w:pPr>
      <w:bookmarkStart w:id="68" w:name="_Toc988947"/>
      <w:r>
        <w:rPr>
          <w:rFonts w:ascii="宋体" w:hAnsi="宋体" w:cs="宋体"/>
          <w:b/>
          <w:bCs/>
        </w:rPr>
        <w:t>1、基本情况</w:t>
      </w:r>
      <w:bookmarkEnd w:id="68"/>
    </w:p>
    <w:tbl>
      <w:tblPr>
        <w:tblW w:w="9956" w:type="dxa"/>
        <w:tblLayout w:type="fixed"/>
        <w:tblLook w:val="04A0" w:firstRow="1" w:lastRow="0" w:firstColumn="1" w:lastColumn="0" w:noHBand="0" w:noVBand="1"/>
      </w:tblPr>
      <w:tblGrid>
        <w:gridCol w:w="765"/>
        <w:gridCol w:w="397"/>
        <w:gridCol w:w="397"/>
        <w:gridCol w:w="822"/>
        <w:gridCol w:w="539"/>
        <w:gridCol w:w="907"/>
        <w:gridCol w:w="907"/>
        <w:gridCol w:w="981"/>
        <w:gridCol w:w="822"/>
        <w:gridCol w:w="822"/>
        <w:gridCol w:w="822"/>
        <w:gridCol w:w="981"/>
        <w:gridCol w:w="794"/>
      </w:tblGrid>
      <w:tr w:rsidR="00C57E60" w14:paraId="1FA8CF7A" w14:textId="77777777">
        <w:trPr>
          <w:trHeight w:val="238"/>
        </w:trPr>
        <w:tc>
          <w:tcPr>
            <w:tcW w:w="765" w:type="dxa"/>
            <w:tcBorders>
              <w:top w:val="single" w:sz="2" w:space="0" w:color="auto"/>
              <w:left w:val="single" w:sz="2" w:space="0" w:color="auto"/>
              <w:bottom w:val="single" w:sz="2" w:space="0" w:color="auto"/>
              <w:right w:val="single" w:sz="2" w:space="0" w:color="auto"/>
            </w:tcBorders>
            <w:shd w:val="clear" w:color="auto" w:fill="D3D3D3"/>
            <w:vAlign w:val="center"/>
          </w:tcPr>
          <w:p w14:paraId="48379BA0"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姓名</w:t>
            </w:r>
          </w:p>
        </w:tc>
        <w:tc>
          <w:tcPr>
            <w:tcW w:w="397" w:type="dxa"/>
            <w:tcBorders>
              <w:top w:val="single" w:sz="2" w:space="0" w:color="auto"/>
              <w:left w:val="single" w:sz="2" w:space="0" w:color="auto"/>
              <w:bottom w:val="single" w:sz="2" w:space="0" w:color="auto"/>
              <w:right w:val="single" w:sz="2" w:space="0" w:color="auto"/>
            </w:tcBorders>
            <w:shd w:val="clear" w:color="auto" w:fill="D3D3D3"/>
            <w:vAlign w:val="center"/>
          </w:tcPr>
          <w:p w14:paraId="64028365"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性别</w:t>
            </w:r>
          </w:p>
        </w:tc>
        <w:tc>
          <w:tcPr>
            <w:tcW w:w="397" w:type="dxa"/>
            <w:tcBorders>
              <w:top w:val="single" w:sz="2" w:space="0" w:color="auto"/>
              <w:left w:val="single" w:sz="2" w:space="0" w:color="auto"/>
              <w:bottom w:val="single" w:sz="2" w:space="0" w:color="auto"/>
              <w:right w:val="single" w:sz="2" w:space="0" w:color="auto"/>
            </w:tcBorders>
            <w:shd w:val="clear" w:color="auto" w:fill="D3D3D3"/>
            <w:vAlign w:val="center"/>
          </w:tcPr>
          <w:p w14:paraId="4A2044B2"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年龄</w:t>
            </w:r>
          </w:p>
        </w:tc>
        <w:tc>
          <w:tcPr>
            <w:tcW w:w="822" w:type="dxa"/>
            <w:tcBorders>
              <w:top w:val="single" w:sz="2" w:space="0" w:color="auto"/>
              <w:left w:val="single" w:sz="2" w:space="0" w:color="auto"/>
              <w:bottom w:val="single" w:sz="2" w:space="0" w:color="auto"/>
              <w:right w:val="single" w:sz="2" w:space="0" w:color="auto"/>
            </w:tcBorders>
            <w:shd w:val="clear" w:color="auto" w:fill="D3D3D3"/>
            <w:vAlign w:val="center"/>
          </w:tcPr>
          <w:p w14:paraId="22B5C00F"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职务</w:t>
            </w:r>
          </w:p>
        </w:tc>
        <w:tc>
          <w:tcPr>
            <w:tcW w:w="539" w:type="dxa"/>
            <w:tcBorders>
              <w:top w:val="single" w:sz="2" w:space="0" w:color="auto"/>
              <w:left w:val="single" w:sz="2" w:space="0" w:color="auto"/>
              <w:bottom w:val="single" w:sz="2" w:space="0" w:color="auto"/>
              <w:right w:val="single" w:sz="2" w:space="0" w:color="auto"/>
            </w:tcBorders>
            <w:shd w:val="clear" w:color="auto" w:fill="D3D3D3"/>
            <w:vAlign w:val="center"/>
          </w:tcPr>
          <w:p w14:paraId="4C3B7F44"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任职状态</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07B9BC37"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任期起始日期</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23E15B59"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任期终止日期</w:t>
            </w:r>
          </w:p>
        </w:tc>
        <w:tc>
          <w:tcPr>
            <w:tcW w:w="981" w:type="dxa"/>
            <w:tcBorders>
              <w:top w:val="single" w:sz="2" w:space="0" w:color="auto"/>
              <w:left w:val="single" w:sz="2" w:space="0" w:color="auto"/>
              <w:bottom w:val="single" w:sz="2" w:space="0" w:color="auto"/>
              <w:right w:val="single" w:sz="2" w:space="0" w:color="auto"/>
            </w:tcBorders>
            <w:shd w:val="clear" w:color="auto" w:fill="D3D3D3"/>
            <w:vAlign w:val="center"/>
          </w:tcPr>
          <w:p w14:paraId="38174294"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期初持股数（股）</w:t>
            </w:r>
          </w:p>
        </w:tc>
        <w:tc>
          <w:tcPr>
            <w:tcW w:w="822" w:type="dxa"/>
            <w:tcBorders>
              <w:top w:val="single" w:sz="2" w:space="0" w:color="auto"/>
              <w:left w:val="single" w:sz="2" w:space="0" w:color="auto"/>
              <w:bottom w:val="single" w:sz="2" w:space="0" w:color="auto"/>
              <w:right w:val="single" w:sz="2" w:space="0" w:color="auto"/>
            </w:tcBorders>
            <w:shd w:val="clear" w:color="auto" w:fill="D3D3D3"/>
            <w:vAlign w:val="center"/>
          </w:tcPr>
          <w:p w14:paraId="31E644CE"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本期增持股份数量（股）</w:t>
            </w:r>
          </w:p>
        </w:tc>
        <w:tc>
          <w:tcPr>
            <w:tcW w:w="822" w:type="dxa"/>
            <w:tcBorders>
              <w:top w:val="single" w:sz="2" w:space="0" w:color="auto"/>
              <w:left w:val="single" w:sz="2" w:space="0" w:color="auto"/>
              <w:bottom w:val="single" w:sz="2" w:space="0" w:color="auto"/>
              <w:right w:val="single" w:sz="2" w:space="0" w:color="auto"/>
            </w:tcBorders>
            <w:shd w:val="clear" w:color="auto" w:fill="D3D3D3"/>
            <w:vAlign w:val="center"/>
          </w:tcPr>
          <w:p w14:paraId="3F6D4223"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本期减持股份数量（股）</w:t>
            </w:r>
          </w:p>
        </w:tc>
        <w:tc>
          <w:tcPr>
            <w:tcW w:w="822" w:type="dxa"/>
            <w:tcBorders>
              <w:top w:val="single" w:sz="2" w:space="0" w:color="auto"/>
              <w:left w:val="single" w:sz="2" w:space="0" w:color="auto"/>
              <w:bottom w:val="single" w:sz="2" w:space="0" w:color="auto"/>
              <w:right w:val="single" w:sz="2" w:space="0" w:color="auto"/>
            </w:tcBorders>
            <w:shd w:val="clear" w:color="auto" w:fill="D3D3D3"/>
            <w:vAlign w:val="center"/>
          </w:tcPr>
          <w:p w14:paraId="5E41B75B"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其他增减变动（股）</w:t>
            </w:r>
          </w:p>
        </w:tc>
        <w:tc>
          <w:tcPr>
            <w:tcW w:w="981" w:type="dxa"/>
            <w:tcBorders>
              <w:top w:val="single" w:sz="2" w:space="0" w:color="auto"/>
              <w:left w:val="single" w:sz="2" w:space="0" w:color="auto"/>
              <w:bottom w:val="single" w:sz="2" w:space="0" w:color="auto"/>
              <w:right w:val="single" w:sz="2" w:space="0" w:color="auto"/>
            </w:tcBorders>
            <w:shd w:val="clear" w:color="auto" w:fill="D3D3D3"/>
            <w:vAlign w:val="center"/>
          </w:tcPr>
          <w:p w14:paraId="002E4747"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期末持股数（股）</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52882AD2"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股份增减变动的原因</w:t>
            </w:r>
          </w:p>
        </w:tc>
      </w:tr>
      <w:tr w:rsidR="00C57E60" w14:paraId="7D76497C"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6FF471FD"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李少波</w:t>
            </w:r>
          </w:p>
        </w:tc>
        <w:tc>
          <w:tcPr>
            <w:tcW w:w="397" w:type="dxa"/>
            <w:tcBorders>
              <w:top w:val="single" w:sz="2" w:space="0" w:color="auto"/>
              <w:left w:val="single" w:sz="2" w:space="0" w:color="auto"/>
              <w:bottom w:val="single" w:sz="2" w:space="0" w:color="auto"/>
              <w:right w:val="single" w:sz="2" w:space="0" w:color="auto"/>
            </w:tcBorders>
            <w:vAlign w:val="center"/>
          </w:tcPr>
          <w:p w14:paraId="4C333B4C"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2DF6A512"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61</w:t>
            </w:r>
          </w:p>
        </w:tc>
        <w:tc>
          <w:tcPr>
            <w:tcW w:w="822" w:type="dxa"/>
            <w:tcBorders>
              <w:top w:val="single" w:sz="2" w:space="0" w:color="auto"/>
              <w:left w:val="single" w:sz="2" w:space="0" w:color="auto"/>
              <w:bottom w:val="single" w:sz="2" w:space="0" w:color="auto"/>
              <w:right w:val="single" w:sz="2" w:space="0" w:color="auto"/>
            </w:tcBorders>
            <w:vAlign w:val="center"/>
          </w:tcPr>
          <w:p w14:paraId="492E1E0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董事长</w:t>
            </w:r>
          </w:p>
        </w:tc>
        <w:tc>
          <w:tcPr>
            <w:tcW w:w="539" w:type="dxa"/>
            <w:tcBorders>
              <w:top w:val="single" w:sz="2" w:space="0" w:color="auto"/>
              <w:left w:val="single" w:sz="2" w:space="0" w:color="auto"/>
              <w:bottom w:val="single" w:sz="2" w:space="0" w:color="auto"/>
              <w:right w:val="single" w:sz="2" w:space="0" w:color="auto"/>
            </w:tcBorders>
            <w:vAlign w:val="center"/>
          </w:tcPr>
          <w:p w14:paraId="164BA3E5"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03A4BBA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2002</w:t>
            </w:r>
            <w:r>
              <w:rPr>
                <w:rFonts w:ascii="Times New Roman" w:eastAsia="宋体" w:hAnsi="Times New Roman" w:cs="宋体"/>
                <w:sz w:val="15"/>
                <w:szCs w:val="15"/>
              </w:rPr>
              <w:t>年</w:t>
            </w:r>
            <w:r>
              <w:rPr>
                <w:rFonts w:ascii="Times New Roman" w:eastAsia="宋体" w:hAnsi="Times New Roman" w:cs="宋体"/>
                <w:sz w:val="15"/>
                <w:szCs w:val="15"/>
              </w:rPr>
              <w:t>08</w:t>
            </w:r>
            <w:r>
              <w:rPr>
                <w:rFonts w:ascii="Times New Roman" w:eastAsia="宋体" w:hAnsi="Times New Roman" w:cs="宋体"/>
                <w:sz w:val="15"/>
                <w:szCs w:val="15"/>
              </w:rPr>
              <w:t>月</w:t>
            </w:r>
            <w:r>
              <w:rPr>
                <w:rFonts w:ascii="Times New Roman" w:eastAsia="宋体" w:hAnsi="Times New Roman" w:cs="宋体"/>
                <w:sz w:val="15"/>
                <w:szCs w:val="15"/>
              </w:rPr>
              <w:t>07</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03E17858"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0A6B3479"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142,685,648</w:t>
            </w: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0A3CB2C3" w14:textId="77777777" w:rsidR="00113A51" w:rsidRDefault="00113A51">
            <w:pPr>
              <w:spacing w:line="360" w:lineRule="auto"/>
              <w:jc w:val="right"/>
              <w:rPr>
                <w:rFonts w:ascii="Times New Roman" w:eastAsia="宋体" w:hAnsi="Times New Roman" w:cs="宋体"/>
                <w:sz w:val="15"/>
                <w:szCs w:val="15"/>
              </w:rPr>
            </w:pP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03AF1C06" w14:textId="77777777" w:rsidR="00113A51" w:rsidRDefault="00113A51">
            <w:pPr>
              <w:spacing w:line="360" w:lineRule="auto"/>
              <w:jc w:val="right"/>
              <w:rPr>
                <w:rFonts w:ascii="Times New Roman" w:eastAsia="宋体" w:hAnsi="Times New Roman" w:cs="宋体"/>
                <w:sz w:val="15"/>
                <w:szCs w:val="15"/>
              </w:rPr>
            </w:pP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4A25E79D"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5C17343D"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142,685,648</w:t>
            </w:r>
          </w:p>
        </w:tc>
        <w:tc>
          <w:tcPr>
            <w:tcW w:w="794" w:type="dxa"/>
            <w:vMerge w:val="restart"/>
            <w:tcBorders>
              <w:top w:val="single" w:sz="2" w:space="0" w:color="auto"/>
              <w:left w:val="single" w:sz="2" w:space="0" w:color="auto"/>
              <w:bottom w:val="single" w:sz="2" w:space="0" w:color="auto"/>
              <w:right w:val="single" w:sz="2" w:space="0" w:color="auto"/>
            </w:tcBorders>
            <w:vAlign w:val="center"/>
          </w:tcPr>
          <w:p w14:paraId="0FCD3A64" w14:textId="77777777" w:rsidR="00113A51" w:rsidRDefault="00113A51">
            <w:pPr>
              <w:spacing w:line="360" w:lineRule="auto"/>
              <w:rPr>
                <w:rFonts w:ascii="Times New Roman" w:eastAsia="宋体" w:hAnsi="Times New Roman" w:cs="宋体"/>
                <w:sz w:val="15"/>
                <w:szCs w:val="15"/>
              </w:rPr>
            </w:pPr>
          </w:p>
        </w:tc>
      </w:tr>
      <w:tr w:rsidR="00C57E60" w14:paraId="6F4CFF35"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2CD3414A"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李少波</w:t>
            </w:r>
          </w:p>
        </w:tc>
        <w:tc>
          <w:tcPr>
            <w:tcW w:w="397" w:type="dxa"/>
            <w:tcBorders>
              <w:top w:val="single" w:sz="2" w:space="0" w:color="auto"/>
              <w:left w:val="single" w:sz="2" w:space="0" w:color="auto"/>
              <w:bottom w:val="single" w:sz="2" w:space="0" w:color="auto"/>
              <w:right w:val="single" w:sz="2" w:space="0" w:color="auto"/>
            </w:tcBorders>
            <w:vAlign w:val="center"/>
          </w:tcPr>
          <w:p w14:paraId="778CC7D0"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17D4E9AD"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61</w:t>
            </w:r>
          </w:p>
        </w:tc>
        <w:tc>
          <w:tcPr>
            <w:tcW w:w="822" w:type="dxa"/>
            <w:tcBorders>
              <w:top w:val="single" w:sz="2" w:space="0" w:color="auto"/>
              <w:left w:val="single" w:sz="2" w:space="0" w:color="auto"/>
              <w:bottom w:val="single" w:sz="2" w:space="0" w:color="auto"/>
              <w:right w:val="single" w:sz="2" w:space="0" w:color="auto"/>
            </w:tcBorders>
            <w:vAlign w:val="center"/>
          </w:tcPr>
          <w:p w14:paraId="0BA2BA0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总经理</w:t>
            </w:r>
          </w:p>
        </w:tc>
        <w:tc>
          <w:tcPr>
            <w:tcW w:w="539" w:type="dxa"/>
            <w:tcBorders>
              <w:top w:val="single" w:sz="2" w:space="0" w:color="auto"/>
              <w:left w:val="single" w:sz="2" w:space="0" w:color="auto"/>
              <w:bottom w:val="single" w:sz="2" w:space="0" w:color="auto"/>
              <w:right w:val="single" w:sz="2" w:space="0" w:color="auto"/>
            </w:tcBorders>
            <w:vAlign w:val="center"/>
          </w:tcPr>
          <w:p w14:paraId="75898D3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离任</w:t>
            </w:r>
          </w:p>
        </w:tc>
        <w:tc>
          <w:tcPr>
            <w:tcW w:w="907" w:type="dxa"/>
            <w:tcBorders>
              <w:top w:val="single" w:sz="2" w:space="0" w:color="auto"/>
              <w:left w:val="single" w:sz="2" w:space="0" w:color="auto"/>
              <w:bottom w:val="single" w:sz="2" w:space="0" w:color="auto"/>
              <w:right w:val="single" w:sz="2" w:space="0" w:color="auto"/>
            </w:tcBorders>
            <w:vAlign w:val="center"/>
          </w:tcPr>
          <w:p w14:paraId="11BC94DB"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2002</w:t>
            </w:r>
            <w:r>
              <w:rPr>
                <w:rFonts w:ascii="Times New Roman" w:eastAsia="宋体" w:hAnsi="Times New Roman" w:cs="宋体"/>
                <w:sz w:val="15"/>
                <w:szCs w:val="15"/>
              </w:rPr>
              <w:t>年</w:t>
            </w:r>
            <w:r>
              <w:rPr>
                <w:rFonts w:ascii="Times New Roman" w:eastAsia="宋体" w:hAnsi="Times New Roman" w:cs="宋体"/>
                <w:sz w:val="15"/>
                <w:szCs w:val="15"/>
              </w:rPr>
              <w:t>08</w:t>
            </w:r>
            <w:r>
              <w:rPr>
                <w:rFonts w:ascii="Times New Roman" w:eastAsia="宋体" w:hAnsi="Times New Roman" w:cs="宋体"/>
                <w:sz w:val="15"/>
                <w:szCs w:val="15"/>
              </w:rPr>
              <w:t>月</w:t>
            </w:r>
            <w:r>
              <w:rPr>
                <w:rFonts w:ascii="Times New Roman" w:eastAsia="宋体" w:hAnsi="Times New Roman" w:cs="宋体"/>
                <w:sz w:val="15"/>
                <w:szCs w:val="15"/>
              </w:rPr>
              <w:t>07</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5337C72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81" w:type="dxa"/>
            <w:tcBorders>
              <w:top w:val="single" w:sz="2" w:space="0" w:color="auto"/>
              <w:left w:val="single" w:sz="2" w:space="0" w:color="auto"/>
              <w:bottom w:val="single" w:sz="2" w:space="0" w:color="auto"/>
              <w:right w:val="single" w:sz="2" w:space="0" w:color="auto"/>
            </w:tcBorders>
            <w:vAlign w:val="center"/>
          </w:tcPr>
          <w:p w14:paraId="6A6F8787"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142,685,648</w:t>
            </w:r>
          </w:p>
        </w:tc>
        <w:tc>
          <w:tcPr>
            <w:tcW w:w="822" w:type="dxa"/>
            <w:vMerge/>
            <w:tcBorders>
              <w:top w:val="single" w:sz="2" w:space="0" w:color="auto"/>
              <w:left w:val="single" w:sz="2" w:space="0" w:color="auto"/>
              <w:bottom w:val="single" w:sz="2" w:space="0" w:color="auto"/>
              <w:right w:val="single" w:sz="2" w:space="0" w:color="auto"/>
            </w:tcBorders>
            <w:vAlign w:val="center"/>
          </w:tcPr>
          <w:p w14:paraId="28EA01C3" w14:textId="77777777" w:rsidR="00113A51" w:rsidRDefault="00113A51">
            <w:pPr>
              <w:spacing w:line="360" w:lineRule="auto"/>
              <w:jc w:val="right"/>
              <w:rPr>
                <w:rFonts w:ascii="Times New Roman" w:eastAsia="宋体" w:hAnsi="Times New Roman" w:cs="宋体"/>
                <w:sz w:val="15"/>
                <w:szCs w:val="15"/>
              </w:rPr>
            </w:pPr>
          </w:p>
        </w:tc>
        <w:tc>
          <w:tcPr>
            <w:tcW w:w="822" w:type="dxa"/>
            <w:vMerge/>
            <w:tcBorders>
              <w:top w:val="single" w:sz="2" w:space="0" w:color="auto"/>
              <w:left w:val="single" w:sz="2" w:space="0" w:color="auto"/>
              <w:bottom w:val="single" w:sz="2" w:space="0" w:color="auto"/>
              <w:right w:val="single" w:sz="2" w:space="0" w:color="auto"/>
            </w:tcBorders>
            <w:vAlign w:val="center"/>
          </w:tcPr>
          <w:p w14:paraId="2209F07E" w14:textId="77777777" w:rsidR="00113A51" w:rsidRDefault="00113A51">
            <w:pPr>
              <w:spacing w:line="360" w:lineRule="auto"/>
              <w:jc w:val="right"/>
              <w:rPr>
                <w:rFonts w:ascii="Times New Roman" w:eastAsia="宋体" w:hAnsi="Times New Roman" w:cs="宋体"/>
                <w:sz w:val="15"/>
                <w:szCs w:val="15"/>
              </w:rPr>
            </w:pPr>
          </w:p>
        </w:tc>
        <w:tc>
          <w:tcPr>
            <w:tcW w:w="822" w:type="dxa"/>
            <w:vMerge/>
            <w:tcBorders>
              <w:top w:val="single" w:sz="2" w:space="0" w:color="auto"/>
              <w:left w:val="single" w:sz="2" w:space="0" w:color="auto"/>
              <w:bottom w:val="single" w:sz="2" w:space="0" w:color="auto"/>
              <w:right w:val="single" w:sz="2" w:space="0" w:color="auto"/>
            </w:tcBorders>
            <w:vAlign w:val="center"/>
          </w:tcPr>
          <w:p w14:paraId="3714F460"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652C97AE"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142,685,648</w:t>
            </w:r>
          </w:p>
        </w:tc>
        <w:tc>
          <w:tcPr>
            <w:tcW w:w="794" w:type="dxa"/>
            <w:vMerge/>
            <w:tcBorders>
              <w:top w:val="single" w:sz="2" w:space="0" w:color="auto"/>
              <w:left w:val="single" w:sz="2" w:space="0" w:color="auto"/>
              <w:bottom w:val="single" w:sz="2" w:space="0" w:color="auto"/>
              <w:right w:val="single" w:sz="2" w:space="0" w:color="auto"/>
            </w:tcBorders>
            <w:vAlign w:val="center"/>
          </w:tcPr>
          <w:p w14:paraId="1BC21E0F" w14:textId="77777777" w:rsidR="00113A51" w:rsidRDefault="00113A51">
            <w:pPr>
              <w:spacing w:line="360" w:lineRule="auto"/>
              <w:rPr>
                <w:rFonts w:ascii="Times New Roman" w:eastAsia="宋体" w:hAnsi="Times New Roman" w:cs="宋体"/>
                <w:sz w:val="15"/>
                <w:szCs w:val="15"/>
              </w:rPr>
            </w:pPr>
          </w:p>
        </w:tc>
      </w:tr>
      <w:tr w:rsidR="00C57E60" w14:paraId="05E4701F"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0785D2E1"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李心一</w:t>
            </w:r>
          </w:p>
        </w:tc>
        <w:tc>
          <w:tcPr>
            <w:tcW w:w="397" w:type="dxa"/>
            <w:tcBorders>
              <w:top w:val="single" w:sz="2" w:space="0" w:color="auto"/>
              <w:left w:val="single" w:sz="2" w:space="0" w:color="auto"/>
              <w:bottom w:val="single" w:sz="2" w:space="0" w:color="auto"/>
              <w:right w:val="single" w:sz="2" w:space="0" w:color="auto"/>
            </w:tcBorders>
            <w:vAlign w:val="center"/>
          </w:tcPr>
          <w:p w14:paraId="411BC4E3"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女</w:t>
            </w:r>
          </w:p>
        </w:tc>
        <w:tc>
          <w:tcPr>
            <w:tcW w:w="397" w:type="dxa"/>
            <w:tcBorders>
              <w:top w:val="single" w:sz="2" w:space="0" w:color="auto"/>
              <w:left w:val="single" w:sz="2" w:space="0" w:color="auto"/>
              <w:bottom w:val="single" w:sz="2" w:space="0" w:color="auto"/>
              <w:right w:val="single" w:sz="2" w:space="0" w:color="auto"/>
            </w:tcBorders>
            <w:vAlign w:val="center"/>
          </w:tcPr>
          <w:p w14:paraId="271BF5C9"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36</w:t>
            </w:r>
          </w:p>
        </w:tc>
        <w:tc>
          <w:tcPr>
            <w:tcW w:w="822" w:type="dxa"/>
            <w:tcBorders>
              <w:top w:val="single" w:sz="2" w:space="0" w:color="auto"/>
              <w:left w:val="single" w:sz="2" w:space="0" w:color="auto"/>
              <w:bottom w:val="single" w:sz="2" w:space="0" w:color="auto"/>
              <w:right w:val="single" w:sz="2" w:space="0" w:color="auto"/>
            </w:tcBorders>
            <w:vAlign w:val="center"/>
          </w:tcPr>
          <w:p w14:paraId="0B7361D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副董事长</w:t>
            </w:r>
          </w:p>
        </w:tc>
        <w:tc>
          <w:tcPr>
            <w:tcW w:w="539" w:type="dxa"/>
            <w:tcBorders>
              <w:top w:val="single" w:sz="2" w:space="0" w:color="auto"/>
              <w:left w:val="single" w:sz="2" w:space="0" w:color="auto"/>
              <w:bottom w:val="single" w:sz="2" w:space="0" w:color="auto"/>
              <w:right w:val="single" w:sz="2" w:space="0" w:color="auto"/>
            </w:tcBorders>
            <w:vAlign w:val="center"/>
          </w:tcPr>
          <w:p w14:paraId="766E1EB9"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72B99E5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2022</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23</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7AF527DF"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7B781C1F"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753,200</w:t>
            </w:r>
          </w:p>
        </w:tc>
        <w:tc>
          <w:tcPr>
            <w:tcW w:w="822" w:type="dxa"/>
            <w:tcBorders>
              <w:top w:val="single" w:sz="2" w:space="0" w:color="auto"/>
              <w:left w:val="single" w:sz="2" w:space="0" w:color="auto"/>
              <w:bottom w:val="single" w:sz="2" w:space="0" w:color="auto"/>
              <w:right w:val="single" w:sz="2" w:space="0" w:color="auto"/>
            </w:tcBorders>
            <w:vAlign w:val="center"/>
          </w:tcPr>
          <w:p w14:paraId="62A71A15"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62,600</w:t>
            </w: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543DA2D5" w14:textId="77777777" w:rsidR="00113A51" w:rsidRDefault="00113A51">
            <w:pPr>
              <w:spacing w:line="360" w:lineRule="auto"/>
              <w:jc w:val="right"/>
              <w:rPr>
                <w:rFonts w:ascii="Times New Roman" w:eastAsia="宋体" w:hAnsi="Times New Roman" w:cs="宋体"/>
                <w:sz w:val="15"/>
                <w:szCs w:val="15"/>
              </w:rPr>
            </w:pP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354D7034"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00015A97"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815,800</w:t>
            </w:r>
          </w:p>
        </w:tc>
        <w:tc>
          <w:tcPr>
            <w:tcW w:w="794" w:type="dxa"/>
            <w:tcBorders>
              <w:top w:val="single" w:sz="2" w:space="0" w:color="auto"/>
              <w:left w:val="single" w:sz="2" w:space="0" w:color="auto"/>
              <w:bottom w:val="single" w:sz="2" w:space="0" w:color="auto"/>
              <w:right w:val="single" w:sz="2" w:space="0" w:color="auto"/>
            </w:tcBorders>
            <w:vAlign w:val="center"/>
          </w:tcPr>
          <w:p w14:paraId="14115B44"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增持</w:t>
            </w:r>
          </w:p>
        </w:tc>
      </w:tr>
      <w:tr w:rsidR="00C57E60" w14:paraId="58E89F79"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53053B0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李心一</w:t>
            </w:r>
          </w:p>
        </w:tc>
        <w:tc>
          <w:tcPr>
            <w:tcW w:w="397" w:type="dxa"/>
            <w:tcBorders>
              <w:top w:val="single" w:sz="2" w:space="0" w:color="auto"/>
              <w:left w:val="single" w:sz="2" w:space="0" w:color="auto"/>
              <w:bottom w:val="single" w:sz="2" w:space="0" w:color="auto"/>
              <w:right w:val="single" w:sz="2" w:space="0" w:color="auto"/>
            </w:tcBorders>
            <w:vAlign w:val="center"/>
          </w:tcPr>
          <w:p w14:paraId="0B3BEE87"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女</w:t>
            </w:r>
          </w:p>
        </w:tc>
        <w:tc>
          <w:tcPr>
            <w:tcW w:w="397" w:type="dxa"/>
            <w:tcBorders>
              <w:top w:val="single" w:sz="2" w:space="0" w:color="auto"/>
              <w:left w:val="single" w:sz="2" w:space="0" w:color="auto"/>
              <w:bottom w:val="single" w:sz="2" w:space="0" w:color="auto"/>
              <w:right w:val="single" w:sz="2" w:space="0" w:color="auto"/>
            </w:tcBorders>
            <w:vAlign w:val="center"/>
          </w:tcPr>
          <w:p w14:paraId="1586857D"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36</w:t>
            </w:r>
          </w:p>
        </w:tc>
        <w:tc>
          <w:tcPr>
            <w:tcW w:w="822" w:type="dxa"/>
            <w:tcBorders>
              <w:top w:val="single" w:sz="2" w:space="0" w:color="auto"/>
              <w:left w:val="single" w:sz="2" w:space="0" w:color="auto"/>
              <w:bottom w:val="single" w:sz="2" w:space="0" w:color="auto"/>
              <w:right w:val="single" w:sz="2" w:space="0" w:color="auto"/>
            </w:tcBorders>
            <w:vAlign w:val="center"/>
          </w:tcPr>
          <w:p w14:paraId="56FA1D47"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总经理</w:t>
            </w:r>
          </w:p>
        </w:tc>
        <w:tc>
          <w:tcPr>
            <w:tcW w:w="539" w:type="dxa"/>
            <w:tcBorders>
              <w:top w:val="single" w:sz="2" w:space="0" w:color="auto"/>
              <w:left w:val="single" w:sz="2" w:space="0" w:color="auto"/>
              <w:bottom w:val="single" w:sz="2" w:space="0" w:color="auto"/>
              <w:right w:val="single" w:sz="2" w:space="0" w:color="auto"/>
            </w:tcBorders>
            <w:vAlign w:val="center"/>
          </w:tcPr>
          <w:p w14:paraId="327A2E04"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7014831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6A1A69EC"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6E05A618"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753,200</w:t>
            </w:r>
          </w:p>
        </w:tc>
        <w:tc>
          <w:tcPr>
            <w:tcW w:w="822" w:type="dxa"/>
            <w:tcBorders>
              <w:top w:val="single" w:sz="2" w:space="0" w:color="auto"/>
              <w:left w:val="single" w:sz="2" w:space="0" w:color="auto"/>
              <w:bottom w:val="single" w:sz="2" w:space="0" w:color="auto"/>
              <w:right w:val="single" w:sz="2" w:space="0" w:color="auto"/>
            </w:tcBorders>
            <w:vAlign w:val="center"/>
          </w:tcPr>
          <w:p w14:paraId="3CA7B8DE"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62,600</w:t>
            </w:r>
          </w:p>
        </w:tc>
        <w:tc>
          <w:tcPr>
            <w:tcW w:w="822" w:type="dxa"/>
            <w:vMerge/>
            <w:tcBorders>
              <w:top w:val="single" w:sz="2" w:space="0" w:color="auto"/>
              <w:left w:val="single" w:sz="2" w:space="0" w:color="auto"/>
              <w:bottom w:val="single" w:sz="2" w:space="0" w:color="auto"/>
              <w:right w:val="single" w:sz="2" w:space="0" w:color="auto"/>
            </w:tcBorders>
            <w:vAlign w:val="center"/>
          </w:tcPr>
          <w:p w14:paraId="434B8569" w14:textId="77777777" w:rsidR="00113A51" w:rsidRDefault="00113A51">
            <w:pPr>
              <w:spacing w:line="360" w:lineRule="auto"/>
              <w:jc w:val="right"/>
              <w:rPr>
                <w:rFonts w:ascii="Times New Roman" w:eastAsia="宋体" w:hAnsi="Times New Roman" w:cs="宋体"/>
                <w:sz w:val="15"/>
                <w:szCs w:val="15"/>
              </w:rPr>
            </w:pPr>
          </w:p>
        </w:tc>
        <w:tc>
          <w:tcPr>
            <w:tcW w:w="822" w:type="dxa"/>
            <w:vMerge/>
            <w:tcBorders>
              <w:top w:val="single" w:sz="2" w:space="0" w:color="auto"/>
              <w:left w:val="single" w:sz="2" w:space="0" w:color="auto"/>
              <w:bottom w:val="single" w:sz="2" w:space="0" w:color="auto"/>
              <w:right w:val="single" w:sz="2" w:space="0" w:color="auto"/>
            </w:tcBorders>
            <w:vAlign w:val="center"/>
          </w:tcPr>
          <w:p w14:paraId="4D7C8C00"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11F8E02A"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815,800</w:t>
            </w:r>
          </w:p>
        </w:tc>
        <w:tc>
          <w:tcPr>
            <w:tcW w:w="794" w:type="dxa"/>
            <w:tcBorders>
              <w:top w:val="single" w:sz="2" w:space="0" w:color="auto"/>
              <w:left w:val="single" w:sz="2" w:space="0" w:color="auto"/>
              <w:bottom w:val="single" w:sz="2" w:space="0" w:color="auto"/>
              <w:right w:val="single" w:sz="2" w:space="0" w:color="auto"/>
            </w:tcBorders>
            <w:vAlign w:val="center"/>
          </w:tcPr>
          <w:p w14:paraId="5893015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增持</w:t>
            </w:r>
          </w:p>
        </w:tc>
      </w:tr>
      <w:tr w:rsidR="00C57E60" w14:paraId="3B0FB148"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1BC26C29"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车宏菁</w:t>
            </w:r>
          </w:p>
        </w:tc>
        <w:tc>
          <w:tcPr>
            <w:tcW w:w="397" w:type="dxa"/>
            <w:tcBorders>
              <w:top w:val="single" w:sz="2" w:space="0" w:color="auto"/>
              <w:left w:val="single" w:sz="2" w:space="0" w:color="auto"/>
              <w:bottom w:val="single" w:sz="2" w:space="0" w:color="auto"/>
              <w:right w:val="single" w:sz="2" w:space="0" w:color="auto"/>
            </w:tcBorders>
            <w:vAlign w:val="center"/>
          </w:tcPr>
          <w:p w14:paraId="3BC2B69E"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女</w:t>
            </w:r>
          </w:p>
        </w:tc>
        <w:tc>
          <w:tcPr>
            <w:tcW w:w="397" w:type="dxa"/>
            <w:tcBorders>
              <w:top w:val="single" w:sz="2" w:space="0" w:color="auto"/>
              <w:left w:val="single" w:sz="2" w:space="0" w:color="auto"/>
              <w:bottom w:val="single" w:sz="2" w:space="0" w:color="auto"/>
              <w:right w:val="single" w:sz="2" w:space="0" w:color="auto"/>
            </w:tcBorders>
            <w:vAlign w:val="center"/>
          </w:tcPr>
          <w:p w14:paraId="7B844010"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53</w:t>
            </w:r>
          </w:p>
        </w:tc>
        <w:tc>
          <w:tcPr>
            <w:tcW w:w="822" w:type="dxa"/>
            <w:tcBorders>
              <w:top w:val="single" w:sz="2" w:space="0" w:color="auto"/>
              <w:left w:val="single" w:sz="2" w:space="0" w:color="auto"/>
              <w:bottom w:val="single" w:sz="2" w:space="0" w:color="auto"/>
              <w:right w:val="single" w:sz="2" w:space="0" w:color="auto"/>
            </w:tcBorders>
            <w:vAlign w:val="center"/>
          </w:tcPr>
          <w:p w14:paraId="00D77CFF"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董事</w:t>
            </w:r>
          </w:p>
        </w:tc>
        <w:tc>
          <w:tcPr>
            <w:tcW w:w="539" w:type="dxa"/>
            <w:tcBorders>
              <w:top w:val="single" w:sz="2" w:space="0" w:color="auto"/>
              <w:left w:val="single" w:sz="2" w:space="0" w:color="auto"/>
              <w:bottom w:val="single" w:sz="2" w:space="0" w:color="auto"/>
              <w:right w:val="single" w:sz="2" w:space="0" w:color="auto"/>
            </w:tcBorders>
            <w:vAlign w:val="center"/>
          </w:tcPr>
          <w:p w14:paraId="00AC15C4"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2FE4B2A4"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2015</w:t>
            </w:r>
            <w:r>
              <w:rPr>
                <w:rFonts w:ascii="Times New Roman" w:eastAsia="宋体" w:hAnsi="Times New Roman" w:cs="宋体"/>
                <w:sz w:val="15"/>
                <w:szCs w:val="15"/>
              </w:rPr>
              <w:t>年</w:t>
            </w:r>
            <w:r>
              <w:rPr>
                <w:rFonts w:ascii="Times New Roman" w:eastAsia="宋体" w:hAnsi="Times New Roman" w:cs="宋体"/>
                <w:sz w:val="15"/>
                <w:szCs w:val="15"/>
              </w:rPr>
              <w:t>09</w:t>
            </w:r>
            <w:r>
              <w:rPr>
                <w:rFonts w:ascii="Times New Roman" w:eastAsia="宋体" w:hAnsi="Times New Roman" w:cs="宋体"/>
                <w:sz w:val="15"/>
                <w:szCs w:val="15"/>
              </w:rPr>
              <w:t>月</w:t>
            </w:r>
            <w:r>
              <w:rPr>
                <w:rFonts w:ascii="Times New Roman" w:eastAsia="宋体" w:hAnsi="Times New Roman" w:cs="宋体"/>
                <w:sz w:val="15"/>
                <w:szCs w:val="15"/>
              </w:rPr>
              <w:t>25</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29E6BBE3"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5AABA8B8"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283,792</w:t>
            </w:r>
          </w:p>
        </w:tc>
        <w:tc>
          <w:tcPr>
            <w:tcW w:w="822" w:type="dxa"/>
            <w:tcBorders>
              <w:top w:val="single" w:sz="2" w:space="0" w:color="auto"/>
              <w:left w:val="single" w:sz="2" w:space="0" w:color="auto"/>
              <w:bottom w:val="single" w:sz="2" w:space="0" w:color="auto"/>
              <w:right w:val="single" w:sz="2" w:space="0" w:color="auto"/>
            </w:tcBorders>
            <w:vAlign w:val="center"/>
          </w:tcPr>
          <w:p w14:paraId="43AF9F29"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74DCF6F7"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26F8B74A"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231A543F"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283,792</w:t>
            </w:r>
          </w:p>
        </w:tc>
        <w:tc>
          <w:tcPr>
            <w:tcW w:w="794" w:type="dxa"/>
            <w:tcBorders>
              <w:top w:val="single" w:sz="2" w:space="0" w:color="auto"/>
              <w:left w:val="single" w:sz="2" w:space="0" w:color="auto"/>
              <w:bottom w:val="single" w:sz="2" w:space="0" w:color="auto"/>
              <w:right w:val="single" w:sz="2" w:space="0" w:color="auto"/>
            </w:tcBorders>
            <w:vAlign w:val="center"/>
          </w:tcPr>
          <w:p w14:paraId="40EE457D" w14:textId="77777777" w:rsidR="00113A51" w:rsidRDefault="00113A51">
            <w:pPr>
              <w:spacing w:line="360" w:lineRule="auto"/>
              <w:rPr>
                <w:rFonts w:ascii="Times New Roman" w:eastAsia="宋体" w:hAnsi="Times New Roman" w:cs="宋体"/>
                <w:sz w:val="15"/>
                <w:szCs w:val="15"/>
              </w:rPr>
            </w:pPr>
          </w:p>
        </w:tc>
      </w:tr>
      <w:tr w:rsidR="00C57E60" w14:paraId="7A3C29D2"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3B1AD95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陈纪正</w:t>
            </w:r>
          </w:p>
        </w:tc>
        <w:tc>
          <w:tcPr>
            <w:tcW w:w="397" w:type="dxa"/>
            <w:tcBorders>
              <w:top w:val="single" w:sz="2" w:space="0" w:color="auto"/>
              <w:left w:val="single" w:sz="2" w:space="0" w:color="auto"/>
              <w:bottom w:val="single" w:sz="2" w:space="0" w:color="auto"/>
              <w:right w:val="single" w:sz="2" w:space="0" w:color="auto"/>
            </w:tcBorders>
            <w:vAlign w:val="center"/>
          </w:tcPr>
          <w:p w14:paraId="0B05BD2C"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女</w:t>
            </w:r>
          </w:p>
        </w:tc>
        <w:tc>
          <w:tcPr>
            <w:tcW w:w="397" w:type="dxa"/>
            <w:tcBorders>
              <w:top w:val="single" w:sz="2" w:space="0" w:color="auto"/>
              <w:left w:val="single" w:sz="2" w:space="0" w:color="auto"/>
              <w:bottom w:val="single" w:sz="2" w:space="0" w:color="auto"/>
              <w:right w:val="single" w:sz="2" w:space="0" w:color="auto"/>
            </w:tcBorders>
            <w:vAlign w:val="center"/>
          </w:tcPr>
          <w:p w14:paraId="5B97A5D5"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50</w:t>
            </w:r>
          </w:p>
        </w:tc>
        <w:tc>
          <w:tcPr>
            <w:tcW w:w="822" w:type="dxa"/>
            <w:tcBorders>
              <w:top w:val="single" w:sz="2" w:space="0" w:color="auto"/>
              <w:left w:val="single" w:sz="2" w:space="0" w:color="auto"/>
              <w:bottom w:val="single" w:sz="2" w:space="0" w:color="auto"/>
              <w:right w:val="single" w:sz="2" w:space="0" w:color="auto"/>
            </w:tcBorders>
            <w:vAlign w:val="center"/>
          </w:tcPr>
          <w:p w14:paraId="2FC1C8E7"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独立董事</w:t>
            </w:r>
          </w:p>
        </w:tc>
        <w:tc>
          <w:tcPr>
            <w:tcW w:w="539" w:type="dxa"/>
            <w:tcBorders>
              <w:top w:val="single" w:sz="2" w:space="0" w:color="auto"/>
              <w:left w:val="single" w:sz="2" w:space="0" w:color="auto"/>
              <w:bottom w:val="single" w:sz="2" w:space="0" w:color="auto"/>
              <w:right w:val="single" w:sz="2" w:space="0" w:color="auto"/>
            </w:tcBorders>
            <w:vAlign w:val="center"/>
          </w:tcPr>
          <w:p w14:paraId="4B1668A7"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1961A09E"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2022</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23</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702A02A8"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3001E8B9"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C9953C4"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21E5FFB4"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87063EB"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53F7EBF7"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6206E8F5" w14:textId="77777777" w:rsidR="00113A51" w:rsidRDefault="00113A51">
            <w:pPr>
              <w:spacing w:line="360" w:lineRule="auto"/>
              <w:rPr>
                <w:rFonts w:ascii="Times New Roman" w:eastAsia="宋体" w:hAnsi="Times New Roman" w:cs="宋体"/>
                <w:sz w:val="15"/>
                <w:szCs w:val="15"/>
              </w:rPr>
            </w:pPr>
          </w:p>
        </w:tc>
      </w:tr>
      <w:tr w:rsidR="00C57E60" w14:paraId="0E593F5E"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2D8A76A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Jianyou Tan</w:t>
            </w:r>
            <w:r>
              <w:rPr>
                <w:rFonts w:ascii="Times New Roman" w:eastAsia="宋体" w:hAnsi="Times New Roman" w:cs="宋体"/>
                <w:sz w:val="15"/>
                <w:szCs w:val="15"/>
              </w:rPr>
              <w:t>（谭建友）</w:t>
            </w:r>
          </w:p>
        </w:tc>
        <w:tc>
          <w:tcPr>
            <w:tcW w:w="397" w:type="dxa"/>
            <w:tcBorders>
              <w:top w:val="single" w:sz="2" w:space="0" w:color="auto"/>
              <w:left w:val="single" w:sz="2" w:space="0" w:color="auto"/>
              <w:bottom w:val="single" w:sz="2" w:space="0" w:color="auto"/>
              <w:right w:val="single" w:sz="2" w:space="0" w:color="auto"/>
            </w:tcBorders>
            <w:vAlign w:val="center"/>
          </w:tcPr>
          <w:p w14:paraId="6B798CE8"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19112430"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63</w:t>
            </w:r>
          </w:p>
        </w:tc>
        <w:tc>
          <w:tcPr>
            <w:tcW w:w="822" w:type="dxa"/>
            <w:tcBorders>
              <w:top w:val="single" w:sz="2" w:space="0" w:color="auto"/>
              <w:left w:val="single" w:sz="2" w:space="0" w:color="auto"/>
              <w:bottom w:val="single" w:sz="2" w:space="0" w:color="auto"/>
              <w:right w:val="single" w:sz="2" w:space="0" w:color="auto"/>
            </w:tcBorders>
            <w:vAlign w:val="center"/>
          </w:tcPr>
          <w:p w14:paraId="337FFF6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独立董事</w:t>
            </w:r>
          </w:p>
        </w:tc>
        <w:tc>
          <w:tcPr>
            <w:tcW w:w="539" w:type="dxa"/>
            <w:tcBorders>
              <w:top w:val="single" w:sz="2" w:space="0" w:color="auto"/>
              <w:left w:val="single" w:sz="2" w:space="0" w:color="auto"/>
              <w:bottom w:val="single" w:sz="2" w:space="0" w:color="auto"/>
              <w:right w:val="single" w:sz="2" w:space="0" w:color="auto"/>
            </w:tcBorders>
            <w:vAlign w:val="center"/>
          </w:tcPr>
          <w:p w14:paraId="64AD67E7"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497A4CEF"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2786311B"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2812A1D6"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EBC37E5"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67F03D95"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FE46E4E"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6B3BAE10"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5DBE8807" w14:textId="77777777" w:rsidR="00113A51" w:rsidRDefault="00113A51">
            <w:pPr>
              <w:spacing w:line="360" w:lineRule="auto"/>
              <w:rPr>
                <w:rFonts w:ascii="Times New Roman" w:eastAsia="宋体" w:hAnsi="Times New Roman" w:cs="宋体"/>
                <w:sz w:val="15"/>
                <w:szCs w:val="15"/>
              </w:rPr>
            </w:pPr>
          </w:p>
        </w:tc>
      </w:tr>
      <w:tr w:rsidR="00C57E60" w14:paraId="195EE45D"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434AC46E"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Zhenqi Liu</w:t>
            </w:r>
            <w:r>
              <w:rPr>
                <w:rFonts w:ascii="Times New Roman" w:eastAsia="宋体" w:hAnsi="Times New Roman" w:cs="宋体"/>
                <w:sz w:val="15"/>
                <w:szCs w:val="15"/>
              </w:rPr>
              <w:t>（刘振启）</w:t>
            </w:r>
          </w:p>
        </w:tc>
        <w:tc>
          <w:tcPr>
            <w:tcW w:w="397" w:type="dxa"/>
            <w:tcBorders>
              <w:top w:val="single" w:sz="2" w:space="0" w:color="auto"/>
              <w:left w:val="single" w:sz="2" w:space="0" w:color="auto"/>
              <w:bottom w:val="single" w:sz="2" w:space="0" w:color="auto"/>
              <w:right w:val="single" w:sz="2" w:space="0" w:color="auto"/>
            </w:tcBorders>
            <w:vAlign w:val="center"/>
          </w:tcPr>
          <w:p w14:paraId="57B359B7"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117E2884"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63</w:t>
            </w:r>
          </w:p>
        </w:tc>
        <w:tc>
          <w:tcPr>
            <w:tcW w:w="822" w:type="dxa"/>
            <w:tcBorders>
              <w:top w:val="single" w:sz="2" w:space="0" w:color="auto"/>
              <w:left w:val="single" w:sz="2" w:space="0" w:color="auto"/>
              <w:bottom w:val="single" w:sz="2" w:space="0" w:color="auto"/>
              <w:right w:val="single" w:sz="2" w:space="0" w:color="auto"/>
            </w:tcBorders>
            <w:vAlign w:val="center"/>
          </w:tcPr>
          <w:p w14:paraId="70D8406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独立董事</w:t>
            </w:r>
          </w:p>
        </w:tc>
        <w:tc>
          <w:tcPr>
            <w:tcW w:w="539" w:type="dxa"/>
            <w:tcBorders>
              <w:top w:val="single" w:sz="2" w:space="0" w:color="auto"/>
              <w:left w:val="single" w:sz="2" w:space="0" w:color="auto"/>
              <w:bottom w:val="single" w:sz="2" w:space="0" w:color="auto"/>
              <w:right w:val="single" w:sz="2" w:space="0" w:color="auto"/>
            </w:tcBorders>
            <w:vAlign w:val="center"/>
          </w:tcPr>
          <w:p w14:paraId="622EC72E"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0CF40A37"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6B59ECEB"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1BCD23D9"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1B46F09"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D444DE8"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6CEECD3C"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6AC3B832"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56D13223" w14:textId="77777777" w:rsidR="00113A51" w:rsidRDefault="00113A51">
            <w:pPr>
              <w:spacing w:line="360" w:lineRule="auto"/>
              <w:rPr>
                <w:rFonts w:ascii="Times New Roman" w:eastAsia="宋体" w:hAnsi="Times New Roman" w:cs="宋体"/>
                <w:sz w:val="15"/>
                <w:szCs w:val="15"/>
              </w:rPr>
            </w:pPr>
          </w:p>
        </w:tc>
      </w:tr>
      <w:tr w:rsidR="00C57E60" w14:paraId="00FB724A"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31C77CBA"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黄绍波</w:t>
            </w:r>
          </w:p>
        </w:tc>
        <w:tc>
          <w:tcPr>
            <w:tcW w:w="397" w:type="dxa"/>
            <w:tcBorders>
              <w:top w:val="single" w:sz="2" w:space="0" w:color="auto"/>
              <w:left w:val="single" w:sz="2" w:space="0" w:color="auto"/>
              <w:bottom w:val="single" w:sz="2" w:space="0" w:color="auto"/>
              <w:right w:val="single" w:sz="2" w:space="0" w:color="auto"/>
            </w:tcBorders>
            <w:vAlign w:val="center"/>
          </w:tcPr>
          <w:p w14:paraId="6C0DD571"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590E9563"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42</w:t>
            </w:r>
          </w:p>
        </w:tc>
        <w:tc>
          <w:tcPr>
            <w:tcW w:w="822" w:type="dxa"/>
            <w:tcBorders>
              <w:top w:val="single" w:sz="2" w:space="0" w:color="auto"/>
              <w:left w:val="single" w:sz="2" w:space="0" w:color="auto"/>
              <w:bottom w:val="single" w:sz="2" w:space="0" w:color="auto"/>
              <w:right w:val="single" w:sz="2" w:space="0" w:color="auto"/>
            </w:tcBorders>
            <w:vAlign w:val="center"/>
          </w:tcPr>
          <w:p w14:paraId="465C99A1"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职工代表董事</w:t>
            </w:r>
          </w:p>
        </w:tc>
        <w:tc>
          <w:tcPr>
            <w:tcW w:w="539" w:type="dxa"/>
            <w:tcBorders>
              <w:top w:val="single" w:sz="2" w:space="0" w:color="auto"/>
              <w:left w:val="single" w:sz="2" w:space="0" w:color="auto"/>
              <w:bottom w:val="single" w:sz="2" w:space="0" w:color="auto"/>
              <w:right w:val="single" w:sz="2" w:space="0" w:color="auto"/>
            </w:tcBorders>
            <w:vAlign w:val="center"/>
          </w:tcPr>
          <w:p w14:paraId="402E023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1152C34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235C47B8"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4B2708CF"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762373D8"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2FE00368"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D16BDD0"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7F0E0183"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23D3AC4A" w14:textId="77777777" w:rsidR="00113A51" w:rsidRDefault="00113A51">
            <w:pPr>
              <w:spacing w:line="360" w:lineRule="auto"/>
              <w:rPr>
                <w:rFonts w:ascii="Times New Roman" w:eastAsia="宋体" w:hAnsi="Times New Roman" w:cs="宋体"/>
                <w:sz w:val="15"/>
                <w:szCs w:val="15"/>
              </w:rPr>
            </w:pPr>
          </w:p>
        </w:tc>
      </w:tr>
      <w:tr w:rsidR="00C57E60" w14:paraId="6E54E17E"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1D47DD3A"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王世敏</w:t>
            </w:r>
          </w:p>
        </w:tc>
        <w:tc>
          <w:tcPr>
            <w:tcW w:w="397" w:type="dxa"/>
            <w:tcBorders>
              <w:top w:val="single" w:sz="2" w:space="0" w:color="auto"/>
              <w:left w:val="single" w:sz="2" w:space="0" w:color="auto"/>
              <w:bottom w:val="single" w:sz="2" w:space="0" w:color="auto"/>
              <w:right w:val="single" w:sz="2" w:space="0" w:color="auto"/>
            </w:tcBorders>
            <w:vAlign w:val="center"/>
          </w:tcPr>
          <w:p w14:paraId="78A6995F"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42ADCA7C"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59</w:t>
            </w:r>
          </w:p>
        </w:tc>
        <w:tc>
          <w:tcPr>
            <w:tcW w:w="822" w:type="dxa"/>
            <w:tcBorders>
              <w:top w:val="single" w:sz="2" w:space="0" w:color="auto"/>
              <w:left w:val="single" w:sz="2" w:space="0" w:color="auto"/>
              <w:bottom w:val="single" w:sz="2" w:space="0" w:color="auto"/>
              <w:right w:val="single" w:sz="2" w:space="0" w:color="auto"/>
            </w:tcBorders>
            <w:vAlign w:val="center"/>
          </w:tcPr>
          <w:p w14:paraId="1408803A"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副总经理</w:t>
            </w:r>
          </w:p>
        </w:tc>
        <w:tc>
          <w:tcPr>
            <w:tcW w:w="539" w:type="dxa"/>
            <w:tcBorders>
              <w:top w:val="single" w:sz="2" w:space="0" w:color="auto"/>
              <w:left w:val="single" w:sz="2" w:space="0" w:color="auto"/>
              <w:bottom w:val="single" w:sz="2" w:space="0" w:color="auto"/>
              <w:right w:val="single" w:sz="2" w:space="0" w:color="auto"/>
            </w:tcBorders>
            <w:vAlign w:val="center"/>
          </w:tcPr>
          <w:p w14:paraId="3B4509DA"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21CE3E25"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2008</w:t>
            </w:r>
            <w:r>
              <w:rPr>
                <w:rFonts w:ascii="Times New Roman" w:eastAsia="宋体" w:hAnsi="Times New Roman" w:cs="宋体"/>
                <w:sz w:val="15"/>
                <w:szCs w:val="15"/>
              </w:rPr>
              <w:t>年</w:t>
            </w:r>
            <w:r>
              <w:rPr>
                <w:rFonts w:ascii="Times New Roman" w:eastAsia="宋体" w:hAnsi="Times New Roman" w:cs="宋体"/>
                <w:sz w:val="15"/>
                <w:szCs w:val="15"/>
              </w:rPr>
              <w:t>08</w:t>
            </w:r>
            <w:r>
              <w:rPr>
                <w:rFonts w:ascii="Times New Roman" w:eastAsia="宋体" w:hAnsi="Times New Roman" w:cs="宋体"/>
                <w:sz w:val="15"/>
                <w:szCs w:val="15"/>
              </w:rPr>
              <w:t>月</w:t>
            </w:r>
            <w:r>
              <w:rPr>
                <w:rFonts w:ascii="Times New Roman" w:eastAsia="宋体" w:hAnsi="Times New Roman" w:cs="宋体"/>
                <w:sz w:val="15"/>
                <w:szCs w:val="15"/>
              </w:rPr>
              <w:t>01</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146A592B"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0997B282"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769,406</w:t>
            </w:r>
          </w:p>
        </w:tc>
        <w:tc>
          <w:tcPr>
            <w:tcW w:w="822" w:type="dxa"/>
            <w:tcBorders>
              <w:top w:val="single" w:sz="2" w:space="0" w:color="auto"/>
              <w:left w:val="single" w:sz="2" w:space="0" w:color="auto"/>
              <w:bottom w:val="single" w:sz="2" w:space="0" w:color="auto"/>
              <w:right w:val="single" w:sz="2" w:space="0" w:color="auto"/>
            </w:tcBorders>
            <w:vAlign w:val="center"/>
          </w:tcPr>
          <w:p w14:paraId="2B7D7E76"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7CA2E005"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A89DD6C"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14BA22AC"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769,406</w:t>
            </w:r>
          </w:p>
        </w:tc>
        <w:tc>
          <w:tcPr>
            <w:tcW w:w="794" w:type="dxa"/>
            <w:tcBorders>
              <w:top w:val="single" w:sz="2" w:space="0" w:color="auto"/>
              <w:left w:val="single" w:sz="2" w:space="0" w:color="auto"/>
              <w:bottom w:val="single" w:sz="2" w:space="0" w:color="auto"/>
              <w:right w:val="single" w:sz="2" w:space="0" w:color="auto"/>
            </w:tcBorders>
            <w:vAlign w:val="center"/>
          </w:tcPr>
          <w:p w14:paraId="04886447" w14:textId="77777777" w:rsidR="00113A51" w:rsidRDefault="00113A51">
            <w:pPr>
              <w:spacing w:line="360" w:lineRule="auto"/>
              <w:rPr>
                <w:rFonts w:ascii="Times New Roman" w:eastAsia="宋体" w:hAnsi="Times New Roman" w:cs="宋体"/>
                <w:sz w:val="15"/>
                <w:szCs w:val="15"/>
              </w:rPr>
            </w:pPr>
          </w:p>
        </w:tc>
      </w:tr>
      <w:tr w:rsidR="00C57E60" w14:paraId="5A2297AC"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340C7D6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彭旭明</w:t>
            </w:r>
          </w:p>
        </w:tc>
        <w:tc>
          <w:tcPr>
            <w:tcW w:w="397" w:type="dxa"/>
            <w:tcBorders>
              <w:top w:val="single" w:sz="2" w:space="0" w:color="auto"/>
              <w:left w:val="single" w:sz="2" w:space="0" w:color="auto"/>
              <w:bottom w:val="single" w:sz="2" w:space="0" w:color="auto"/>
              <w:right w:val="single" w:sz="2" w:space="0" w:color="auto"/>
            </w:tcBorders>
            <w:vAlign w:val="center"/>
          </w:tcPr>
          <w:p w14:paraId="460C8A4E"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770F2856"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39</w:t>
            </w:r>
          </w:p>
        </w:tc>
        <w:tc>
          <w:tcPr>
            <w:tcW w:w="822" w:type="dxa"/>
            <w:tcBorders>
              <w:top w:val="single" w:sz="2" w:space="0" w:color="auto"/>
              <w:left w:val="single" w:sz="2" w:space="0" w:color="auto"/>
              <w:bottom w:val="single" w:sz="2" w:space="0" w:color="auto"/>
              <w:right w:val="single" w:sz="2" w:space="0" w:color="auto"/>
            </w:tcBorders>
            <w:vAlign w:val="center"/>
          </w:tcPr>
          <w:p w14:paraId="0203B33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副总经理</w:t>
            </w:r>
          </w:p>
        </w:tc>
        <w:tc>
          <w:tcPr>
            <w:tcW w:w="539" w:type="dxa"/>
            <w:tcBorders>
              <w:top w:val="single" w:sz="2" w:space="0" w:color="auto"/>
              <w:left w:val="single" w:sz="2" w:space="0" w:color="auto"/>
              <w:bottom w:val="single" w:sz="2" w:space="0" w:color="auto"/>
              <w:right w:val="single" w:sz="2" w:space="0" w:color="auto"/>
            </w:tcBorders>
            <w:vAlign w:val="center"/>
          </w:tcPr>
          <w:p w14:paraId="3708929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522479EE"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41BAB743"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4451CA91"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019E894C"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2951D942"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4B67A82"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3C1C5FDE"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0E207DC4" w14:textId="77777777" w:rsidR="00113A51" w:rsidRDefault="00113A51">
            <w:pPr>
              <w:spacing w:line="360" w:lineRule="auto"/>
              <w:rPr>
                <w:rFonts w:ascii="Times New Roman" w:eastAsia="宋体" w:hAnsi="Times New Roman" w:cs="宋体"/>
                <w:sz w:val="15"/>
                <w:szCs w:val="15"/>
              </w:rPr>
            </w:pPr>
          </w:p>
        </w:tc>
      </w:tr>
      <w:tr w:rsidR="00C57E60" w14:paraId="2F0E6817"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6FFFD92D"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郑霁耘</w:t>
            </w:r>
          </w:p>
        </w:tc>
        <w:tc>
          <w:tcPr>
            <w:tcW w:w="397" w:type="dxa"/>
            <w:tcBorders>
              <w:top w:val="single" w:sz="2" w:space="0" w:color="auto"/>
              <w:left w:val="single" w:sz="2" w:space="0" w:color="auto"/>
              <w:bottom w:val="single" w:sz="2" w:space="0" w:color="auto"/>
              <w:right w:val="single" w:sz="2" w:space="0" w:color="auto"/>
            </w:tcBorders>
            <w:vAlign w:val="center"/>
          </w:tcPr>
          <w:p w14:paraId="1C985B1E"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女</w:t>
            </w:r>
          </w:p>
        </w:tc>
        <w:tc>
          <w:tcPr>
            <w:tcW w:w="397" w:type="dxa"/>
            <w:tcBorders>
              <w:top w:val="single" w:sz="2" w:space="0" w:color="auto"/>
              <w:left w:val="single" w:sz="2" w:space="0" w:color="auto"/>
              <w:bottom w:val="single" w:sz="2" w:space="0" w:color="auto"/>
              <w:right w:val="single" w:sz="2" w:space="0" w:color="auto"/>
            </w:tcBorders>
            <w:vAlign w:val="center"/>
          </w:tcPr>
          <w:p w14:paraId="4F50A60B"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39</w:t>
            </w:r>
          </w:p>
        </w:tc>
        <w:tc>
          <w:tcPr>
            <w:tcW w:w="822" w:type="dxa"/>
            <w:tcBorders>
              <w:top w:val="single" w:sz="2" w:space="0" w:color="auto"/>
              <w:left w:val="single" w:sz="2" w:space="0" w:color="auto"/>
              <w:bottom w:val="single" w:sz="2" w:space="0" w:color="auto"/>
              <w:right w:val="single" w:sz="2" w:space="0" w:color="auto"/>
            </w:tcBorders>
            <w:vAlign w:val="center"/>
          </w:tcPr>
          <w:p w14:paraId="2E91212B"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副总经理</w:t>
            </w:r>
          </w:p>
        </w:tc>
        <w:tc>
          <w:tcPr>
            <w:tcW w:w="539" w:type="dxa"/>
            <w:tcBorders>
              <w:top w:val="single" w:sz="2" w:space="0" w:color="auto"/>
              <w:left w:val="single" w:sz="2" w:space="0" w:color="auto"/>
              <w:bottom w:val="single" w:sz="2" w:space="0" w:color="auto"/>
              <w:right w:val="single" w:sz="2" w:space="0" w:color="auto"/>
            </w:tcBorders>
            <w:vAlign w:val="center"/>
          </w:tcPr>
          <w:p w14:paraId="3E9E9D3F"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57A36B1B"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2023</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29</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195C33F5" w14:textId="77777777" w:rsidR="00113A51" w:rsidRDefault="00113A51">
            <w:pPr>
              <w:spacing w:line="360" w:lineRule="auto"/>
              <w:rPr>
                <w:rFonts w:ascii="Times New Roman" w:eastAsia="宋体" w:hAnsi="Times New Roman" w:cs="宋体"/>
                <w:sz w:val="15"/>
                <w:szCs w:val="15"/>
              </w:rPr>
            </w:pPr>
          </w:p>
        </w:tc>
        <w:tc>
          <w:tcPr>
            <w:tcW w:w="981" w:type="dxa"/>
            <w:vMerge w:val="restart"/>
            <w:tcBorders>
              <w:top w:val="single" w:sz="2" w:space="0" w:color="auto"/>
              <w:left w:val="single" w:sz="2" w:space="0" w:color="auto"/>
              <w:bottom w:val="single" w:sz="2" w:space="0" w:color="auto"/>
              <w:right w:val="single" w:sz="2" w:space="0" w:color="auto"/>
            </w:tcBorders>
            <w:vAlign w:val="center"/>
          </w:tcPr>
          <w:p w14:paraId="0B3389F3" w14:textId="77777777" w:rsidR="00113A51" w:rsidRDefault="00113A51">
            <w:pPr>
              <w:spacing w:line="360" w:lineRule="auto"/>
              <w:jc w:val="right"/>
              <w:rPr>
                <w:rFonts w:ascii="Times New Roman" w:eastAsia="宋体" w:hAnsi="Times New Roman" w:cs="宋体"/>
                <w:sz w:val="15"/>
                <w:szCs w:val="15"/>
              </w:rPr>
            </w:pP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4C813025" w14:textId="77777777" w:rsidR="00113A51" w:rsidRDefault="00113A51">
            <w:pPr>
              <w:spacing w:line="360" w:lineRule="auto"/>
              <w:jc w:val="right"/>
              <w:rPr>
                <w:rFonts w:ascii="Times New Roman" w:eastAsia="宋体" w:hAnsi="Times New Roman" w:cs="宋体"/>
                <w:sz w:val="15"/>
                <w:szCs w:val="15"/>
              </w:rPr>
            </w:pP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1A50D0E1" w14:textId="77777777" w:rsidR="00113A51" w:rsidRDefault="00113A51">
            <w:pPr>
              <w:spacing w:line="360" w:lineRule="auto"/>
              <w:jc w:val="right"/>
              <w:rPr>
                <w:rFonts w:ascii="Times New Roman" w:eastAsia="宋体" w:hAnsi="Times New Roman" w:cs="宋体"/>
                <w:sz w:val="15"/>
                <w:szCs w:val="15"/>
              </w:rPr>
            </w:pPr>
          </w:p>
        </w:tc>
        <w:tc>
          <w:tcPr>
            <w:tcW w:w="822" w:type="dxa"/>
            <w:vMerge w:val="restart"/>
            <w:tcBorders>
              <w:top w:val="single" w:sz="2" w:space="0" w:color="auto"/>
              <w:left w:val="single" w:sz="2" w:space="0" w:color="auto"/>
              <w:bottom w:val="single" w:sz="2" w:space="0" w:color="auto"/>
              <w:right w:val="single" w:sz="2" w:space="0" w:color="auto"/>
            </w:tcBorders>
            <w:vAlign w:val="center"/>
          </w:tcPr>
          <w:p w14:paraId="21054124" w14:textId="77777777" w:rsidR="00113A51" w:rsidRDefault="00113A51">
            <w:pPr>
              <w:spacing w:line="360" w:lineRule="auto"/>
              <w:jc w:val="right"/>
              <w:rPr>
                <w:rFonts w:ascii="Times New Roman" w:eastAsia="宋体" w:hAnsi="Times New Roman" w:cs="宋体"/>
                <w:sz w:val="15"/>
                <w:szCs w:val="15"/>
              </w:rPr>
            </w:pPr>
          </w:p>
        </w:tc>
        <w:tc>
          <w:tcPr>
            <w:tcW w:w="981" w:type="dxa"/>
            <w:vMerge w:val="restart"/>
            <w:tcBorders>
              <w:top w:val="single" w:sz="2" w:space="0" w:color="auto"/>
              <w:left w:val="single" w:sz="2" w:space="0" w:color="auto"/>
              <w:bottom w:val="single" w:sz="2" w:space="0" w:color="auto"/>
              <w:right w:val="single" w:sz="2" w:space="0" w:color="auto"/>
            </w:tcBorders>
            <w:vAlign w:val="center"/>
          </w:tcPr>
          <w:p w14:paraId="5501E7F3" w14:textId="77777777" w:rsidR="00113A51" w:rsidRDefault="00113A51">
            <w:pPr>
              <w:spacing w:line="360" w:lineRule="auto"/>
              <w:jc w:val="right"/>
              <w:rPr>
                <w:rFonts w:ascii="Times New Roman" w:eastAsia="宋体" w:hAnsi="Times New Roman" w:cs="宋体"/>
                <w:sz w:val="15"/>
                <w:szCs w:val="15"/>
              </w:rPr>
            </w:pPr>
          </w:p>
        </w:tc>
        <w:tc>
          <w:tcPr>
            <w:tcW w:w="794" w:type="dxa"/>
            <w:vMerge w:val="restart"/>
            <w:tcBorders>
              <w:top w:val="single" w:sz="2" w:space="0" w:color="auto"/>
              <w:left w:val="single" w:sz="2" w:space="0" w:color="auto"/>
              <w:bottom w:val="single" w:sz="2" w:space="0" w:color="auto"/>
              <w:right w:val="single" w:sz="2" w:space="0" w:color="auto"/>
            </w:tcBorders>
            <w:vAlign w:val="center"/>
          </w:tcPr>
          <w:p w14:paraId="3E4AF6C6" w14:textId="77777777" w:rsidR="00113A51" w:rsidRDefault="00113A51">
            <w:pPr>
              <w:spacing w:line="360" w:lineRule="auto"/>
              <w:rPr>
                <w:rFonts w:ascii="Times New Roman" w:eastAsia="宋体" w:hAnsi="Times New Roman" w:cs="宋体"/>
                <w:sz w:val="15"/>
                <w:szCs w:val="15"/>
              </w:rPr>
            </w:pPr>
          </w:p>
        </w:tc>
      </w:tr>
      <w:tr w:rsidR="00C57E60" w14:paraId="03800BF8"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56B8C506"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郑霁耘</w:t>
            </w:r>
          </w:p>
        </w:tc>
        <w:tc>
          <w:tcPr>
            <w:tcW w:w="397" w:type="dxa"/>
            <w:tcBorders>
              <w:top w:val="single" w:sz="2" w:space="0" w:color="auto"/>
              <w:left w:val="single" w:sz="2" w:space="0" w:color="auto"/>
              <w:bottom w:val="single" w:sz="2" w:space="0" w:color="auto"/>
              <w:right w:val="single" w:sz="2" w:space="0" w:color="auto"/>
            </w:tcBorders>
            <w:vAlign w:val="center"/>
          </w:tcPr>
          <w:p w14:paraId="20C5D78A"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女</w:t>
            </w:r>
          </w:p>
        </w:tc>
        <w:tc>
          <w:tcPr>
            <w:tcW w:w="397" w:type="dxa"/>
            <w:tcBorders>
              <w:top w:val="single" w:sz="2" w:space="0" w:color="auto"/>
              <w:left w:val="single" w:sz="2" w:space="0" w:color="auto"/>
              <w:bottom w:val="single" w:sz="2" w:space="0" w:color="auto"/>
              <w:right w:val="single" w:sz="2" w:space="0" w:color="auto"/>
            </w:tcBorders>
            <w:vAlign w:val="center"/>
          </w:tcPr>
          <w:p w14:paraId="767B1319"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39</w:t>
            </w:r>
          </w:p>
        </w:tc>
        <w:tc>
          <w:tcPr>
            <w:tcW w:w="822" w:type="dxa"/>
            <w:tcBorders>
              <w:top w:val="single" w:sz="2" w:space="0" w:color="auto"/>
              <w:left w:val="single" w:sz="2" w:space="0" w:color="auto"/>
              <w:bottom w:val="single" w:sz="2" w:space="0" w:color="auto"/>
              <w:right w:val="single" w:sz="2" w:space="0" w:color="auto"/>
            </w:tcBorders>
            <w:vAlign w:val="center"/>
          </w:tcPr>
          <w:p w14:paraId="50F010E4"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董事会秘书</w:t>
            </w:r>
          </w:p>
        </w:tc>
        <w:tc>
          <w:tcPr>
            <w:tcW w:w="539" w:type="dxa"/>
            <w:tcBorders>
              <w:top w:val="single" w:sz="2" w:space="0" w:color="auto"/>
              <w:left w:val="single" w:sz="2" w:space="0" w:color="auto"/>
              <w:bottom w:val="single" w:sz="2" w:space="0" w:color="auto"/>
              <w:right w:val="single" w:sz="2" w:space="0" w:color="auto"/>
            </w:tcBorders>
            <w:vAlign w:val="center"/>
          </w:tcPr>
          <w:p w14:paraId="30D08F66"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2A916184"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2023</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29</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3E2BE6A4" w14:textId="77777777" w:rsidR="00113A51" w:rsidRDefault="00113A51">
            <w:pPr>
              <w:spacing w:line="360" w:lineRule="auto"/>
              <w:rPr>
                <w:rFonts w:ascii="Times New Roman" w:eastAsia="宋体" w:hAnsi="Times New Roman" w:cs="宋体"/>
                <w:sz w:val="15"/>
                <w:szCs w:val="15"/>
              </w:rPr>
            </w:pPr>
          </w:p>
        </w:tc>
        <w:tc>
          <w:tcPr>
            <w:tcW w:w="981" w:type="dxa"/>
            <w:vMerge/>
            <w:tcBorders>
              <w:top w:val="single" w:sz="2" w:space="0" w:color="auto"/>
              <w:left w:val="single" w:sz="2" w:space="0" w:color="auto"/>
              <w:bottom w:val="single" w:sz="2" w:space="0" w:color="auto"/>
              <w:right w:val="single" w:sz="2" w:space="0" w:color="auto"/>
            </w:tcBorders>
            <w:vAlign w:val="center"/>
          </w:tcPr>
          <w:p w14:paraId="23FAF5AE" w14:textId="77777777" w:rsidR="00113A51" w:rsidRDefault="00113A51">
            <w:pPr>
              <w:spacing w:line="360" w:lineRule="auto"/>
              <w:jc w:val="right"/>
              <w:rPr>
                <w:rFonts w:ascii="Times New Roman" w:eastAsia="宋体" w:hAnsi="Times New Roman" w:cs="宋体"/>
                <w:sz w:val="15"/>
                <w:szCs w:val="15"/>
              </w:rPr>
            </w:pPr>
          </w:p>
        </w:tc>
        <w:tc>
          <w:tcPr>
            <w:tcW w:w="822" w:type="dxa"/>
            <w:vMerge/>
            <w:tcBorders>
              <w:top w:val="single" w:sz="2" w:space="0" w:color="auto"/>
              <w:left w:val="single" w:sz="2" w:space="0" w:color="auto"/>
              <w:bottom w:val="single" w:sz="2" w:space="0" w:color="auto"/>
              <w:right w:val="single" w:sz="2" w:space="0" w:color="auto"/>
            </w:tcBorders>
            <w:vAlign w:val="center"/>
          </w:tcPr>
          <w:p w14:paraId="1BB29388" w14:textId="77777777" w:rsidR="00113A51" w:rsidRDefault="00113A51">
            <w:pPr>
              <w:spacing w:line="360" w:lineRule="auto"/>
              <w:jc w:val="right"/>
              <w:rPr>
                <w:rFonts w:ascii="Times New Roman" w:eastAsia="宋体" w:hAnsi="Times New Roman" w:cs="宋体"/>
                <w:sz w:val="15"/>
                <w:szCs w:val="15"/>
              </w:rPr>
            </w:pPr>
          </w:p>
        </w:tc>
        <w:tc>
          <w:tcPr>
            <w:tcW w:w="822" w:type="dxa"/>
            <w:vMerge/>
            <w:tcBorders>
              <w:top w:val="single" w:sz="2" w:space="0" w:color="auto"/>
              <w:left w:val="single" w:sz="2" w:space="0" w:color="auto"/>
              <w:bottom w:val="single" w:sz="2" w:space="0" w:color="auto"/>
              <w:right w:val="single" w:sz="2" w:space="0" w:color="auto"/>
            </w:tcBorders>
            <w:vAlign w:val="center"/>
          </w:tcPr>
          <w:p w14:paraId="60921B15" w14:textId="77777777" w:rsidR="00113A51" w:rsidRDefault="00113A51">
            <w:pPr>
              <w:spacing w:line="360" w:lineRule="auto"/>
              <w:jc w:val="right"/>
              <w:rPr>
                <w:rFonts w:ascii="Times New Roman" w:eastAsia="宋体" w:hAnsi="Times New Roman" w:cs="宋体"/>
                <w:sz w:val="15"/>
                <w:szCs w:val="15"/>
              </w:rPr>
            </w:pPr>
          </w:p>
        </w:tc>
        <w:tc>
          <w:tcPr>
            <w:tcW w:w="822" w:type="dxa"/>
            <w:vMerge/>
            <w:tcBorders>
              <w:top w:val="single" w:sz="2" w:space="0" w:color="auto"/>
              <w:left w:val="single" w:sz="2" w:space="0" w:color="auto"/>
              <w:bottom w:val="single" w:sz="2" w:space="0" w:color="auto"/>
              <w:right w:val="single" w:sz="2" w:space="0" w:color="auto"/>
            </w:tcBorders>
            <w:vAlign w:val="center"/>
          </w:tcPr>
          <w:p w14:paraId="431D6F00" w14:textId="77777777" w:rsidR="00113A51" w:rsidRDefault="00113A51">
            <w:pPr>
              <w:spacing w:line="360" w:lineRule="auto"/>
              <w:jc w:val="right"/>
              <w:rPr>
                <w:rFonts w:ascii="Times New Roman" w:eastAsia="宋体" w:hAnsi="Times New Roman" w:cs="宋体"/>
                <w:sz w:val="15"/>
                <w:szCs w:val="15"/>
              </w:rPr>
            </w:pPr>
          </w:p>
        </w:tc>
        <w:tc>
          <w:tcPr>
            <w:tcW w:w="981" w:type="dxa"/>
            <w:vMerge/>
            <w:tcBorders>
              <w:top w:val="single" w:sz="2" w:space="0" w:color="auto"/>
              <w:left w:val="single" w:sz="2" w:space="0" w:color="auto"/>
              <w:bottom w:val="single" w:sz="2" w:space="0" w:color="auto"/>
              <w:right w:val="single" w:sz="2" w:space="0" w:color="auto"/>
            </w:tcBorders>
            <w:vAlign w:val="center"/>
          </w:tcPr>
          <w:p w14:paraId="46D53375" w14:textId="77777777" w:rsidR="00113A51" w:rsidRDefault="00113A51">
            <w:pPr>
              <w:spacing w:line="360" w:lineRule="auto"/>
              <w:jc w:val="right"/>
              <w:rPr>
                <w:rFonts w:ascii="Times New Roman" w:eastAsia="宋体" w:hAnsi="Times New Roman" w:cs="宋体"/>
                <w:sz w:val="15"/>
                <w:szCs w:val="15"/>
              </w:rPr>
            </w:pPr>
          </w:p>
        </w:tc>
        <w:tc>
          <w:tcPr>
            <w:tcW w:w="794" w:type="dxa"/>
            <w:vMerge/>
            <w:tcBorders>
              <w:top w:val="single" w:sz="2" w:space="0" w:color="auto"/>
              <w:left w:val="single" w:sz="2" w:space="0" w:color="auto"/>
              <w:bottom w:val="single" w:sz="2" w:space="0" w:color="auto"/>
              <w:right w:val="single" w:sz="2" w:space="0" w:color="auto"/>
            </w:tcBorders>
            <w:vAlign w:val="center"/>
          </w:tcPr>
          <w:p w14:paraId="24D5CE4C" w14:textId="77777777" w:rsidR="00113A51" w:rsidRDefault="00113A51">
            <w:pPr>
              <w:spacing w:line="360" w:lineRule="auto"/>
              <w:rPr>
                <w:rFonts w:ascii="Times New Roman" w:eastAsia="宋体" w:hAnsi="Times New Roman" w:cs="宋体"/>
                <w:sz w:val="15"/>
                <w:szCs w:val="15"/>
              </w:rPr>
            </w:pPr>
          </w:p>
        </w:tc>
      </w:tr>
      <w:tr w:rsidR="00C57E60" w14:paraId="5D76B893"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65C24765"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何竹子</w:t>
            </w:r>
          </w:p>
        </w:tc>
        <w:tc>
          <w:tcPr>
            <w:tcW w:w="397" w:type="dxa"/>
            <w:tcBorders>
              <w:top w:val="single" w:sz="2" w:space="0" w:color="auto"/>
              <w:left w:val="single" w:sz="2" w:space="0" w:color="auto"/>
              <w:bottom w:val="single" w:sz="2" w:space="0" w:color="auto"/>
              <w:right w:val="single" w:sz="2" w:space="0" w:color="auto"/>
            </w:tcBorders>
            <w:vAlign w:val="center"/>
          </w:tcPr>
          <w:p w14:paraId="78CBAE69"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09399460"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52</w:t>
            </w:r>
          </w:p>
        </w:tc>
        <w:tc>
          <w:tcPr>
            <w:tcW w:w="822" w:type="dxa"/>
            <w:tcBorders>
              <w:top w:val="single" w:sz="2" w:space="0" w:color="auto"/>
              <w:left w:val="single" w:sz="2" w:space="0" w:color="auto"/>
              <w:bottom w:val="single" w:sz="2" w:space="0" w:color="auto"/>
              <w:right w:val="single" w:sz="2" w:space="0" w:color="auto"/>
            </w:tcBorders>
            <w:vAlign w:val="center"/>
          </w:tcPr>
          <w:p w14:paraId="74D0DD6A"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财务总监</w:t>
            </w:r>
          </w:p>
        </w:tc>
        <w:tc>
          <w:tcPr>
            <w:tcW w:w="539" w:type="dxa"/>
            <w:tcBorders>
              <w:top w:val="single" w:sz="2" w:space="0" w:color="auto"/>
              <w:left w:val="single" w:sz="2" w:space="0" w:color="auto"/>
              <w:bottom w:val="single" w:sz="2" w:space="0" w:color="auto"/>
              <w:right w:val="single" w:sz="2" w:space="0" w:color="auto"/>
            </w:tcBorders>
            <w:vAlign w:val="center"/>
          </w:tcPr>
          <w:p w14:paraId="2CB886FB"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现任</w:t>
            </w:r>
          </w:p>
        </w:tc>
        <w:tc>
          <w:tcPr>
            <w:tcW w:w="907" w:type="dxa"/>
            <w:tcBorders>
              <w:top w:val="single" w:sz="2" w:space="0" w:color="auto"/>
              <w:left w:val="single" w:sz="2" w:space="0" w:color="auto"/>
              <w:bottom w:val="single" w:sz="2" w:space="0" w:color="auto"/>
              <w:right w:val="single" w:sz="2" w:space="0" w:color="auto"/>
            </w:tcBorders>
            <w:vAlign w:val="center"/>
          </w:tcPr>
          <w:p w14:paraId="22CE995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2023</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29</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6AAC9967" w14:textId="77777777" w:rsidR="00113A51" w:rsidRDefault="00113A51">
            <w:pPr>
              <w:spacing w:line="360" w:lineRule="auto"/>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58A127D6"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2E3A1768"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15700D57"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5E57DAF"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0689B7AF"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3771769C" w14:textId="77777777" w:rsidR="00113A51" w:rsidRDefault="00113A51">
            <w:pPr>
              <w:spacing w:line="360" w:lineRule="auto"/>
              <w:rPr>
                <w:rFonts w:ascii="Times New Roman" w:eastAsia="宋体" w:hAnsi="Times New Roman" w:cs="宋体"/>
                <w:sz w:val="15"/>
                <w:szCs w:val="15"/>
              </w:rPr>
            </w:pPr>
          </w:p>
        </w:tc>
      </w:tr>
      <w:tr w:rsidR="00C57E60" w14:paraId="76EDF1E5"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422656E6"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李晖（</w:t>
            </w:r>
            <w:r>
              <w:rPr>
                <w:rFonts w:ascii="Times New Roman" w:eastAsia="宋体" w:hAnsi="Times New Roman" w:cs="宋体"/>
                <w:sz w:val="15"/>
                <w:szCs w:val="15"/>
              </w:rPr>
              <w:t>LI HUI</w:t>
            </w:r>
            <w:r>
              <w:rPr>
                <w:rFonts w:ascii="Times New Roman" w:eastAsia="宋体" w:hAnsi="Times New Roman" w:cs="宋体"/>
                <w:sz w:val="15"/>
                <w:szCs w:val="15"/>
              </w:rPr>
              <w:t>）</w:t>
            </w:r>
          </w:p>
        </w:tc>
        <w:tc>
          <w:tcPr>
            <w:tcW w:w="397" w:type="dxa"/>
            <w:tcBorders>
              <w:top w:val="single" w:sz="2" w:space="0" w:color="auto"/>
              <w:left w:val="single" w:sz="2" w:space="0" w:color="auto"/>
              <w:bottom w:val="single" w:sz="2" w:space="0" w:color="auto"/>
              <w:right w:val="single" w:sz="2" w:space="0" w:color="auto"/>
            </w:tcBorders>
            <w:vAlign w:val="center"/>
          </w:tcPr>
          <w:p w14:paraId="14B3782C"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14DE6F4C"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43</w:t>
            </w:r>
          </w:p>
        </w:tc>
        <w:tc>
          <w:tcPr>
            <w:tcW w:w="822" w:type="dxa"/>
            <w:tcBorders>
              <w:top w:val="single" w:sz="2" w:space="0" w:color="auto"/>
              <w:left w:val="single" w:sz="2" w:space="0" w:color="auto"/>
              <w:bottom w:val="single" w:sz="2" w:space="0" w:color="auto"/>
              <w:right w:val="single" w:sz="2" w:space="0" w:color="auto"/>
            </w:tcBorders>
            <w:vAlign w:val="center"/>
          </w:tcPr>
          <w:p w14:paraId="0E5AEB2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董事</w:t>
            </w:r>
          </w:p>
        </w:tc>
        <w:tc>
          <w:tcPr>
            <w:tcW w:w="539" w:type="dxa"/>
            <w:tcBorders>
              <w:top w:val="single" w:sz="2" w:space="0" w:color="auto"/>
              <w:left w:val="single" w:sz="2" w:space="0" w:color="auto"/>
              <w:bottom w:val="single" w:sz="2" w:space="0" w:color="auto"/>
              <w:right w:val="single" w:sz="2" w:space="0" w:color="auto"/>
            </w:tcBorders>
            <w:vAlign w:val="center"/>
          </w:tcPr>
          <w:p w14:paraId="5CA6272F"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离任</w:t>
            </w:r>
          </w:p>
        </w:tc>
        <w:tc>
          <w:tcPr>
            <w:tcW w:w="907" w:type="dxa"/>
            <w:tcBorders>
              <w:top w:val="single" w:sz="2" w:space="0" w:color="auto"/>
              <w:left w:val="single" w:sz="2" w:space="0" w:color="auto"/>
              <w:bottom w:val="single" w:sz="2" w:space="0" w:color="auto"/>
              <w:right w:val="single" w:sz="2" w:space="0" w:color="auto"/>
            </w:tcBorders>
            <w:vAlign w:val="center"/>
          </w:tcPr>
          <w:p w14:paraId="6C268DE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2019</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23</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2B25E3F8"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81" w:type="dxa"/>
            <w:tcBorders>
              <w:top w:val="single" w:sz="2" w:space="0" w:color="auto"/>
              <w:left w:val="single" w:sz="2" w:space="0" w:color="auto"/>
              <w:bottom w:val="single" w:sz="2" w:space="0" w:color="auto"/>
              <w:right w:val="single" w:sz="2" w:space="0" w:color="auto"/>
            </w:tcBorders>
            <w:vAlign w:val="center"/>
          </w:tcPr>
          <w:p w14:paraId="2BC21F5C"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17B7D207"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67A1FFF3"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1B313C9F"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76F692AF"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09420823" w14:textId="77777777" w:rsidR="00113A51" w:rsidRDefault="00113A51">
            <w:pPr>
              <w:spacing w:line="360" w:lineRule="auto"/>
              <w:rPr>
                <w:rFonts w:ascii="Times New Roman" w:eastAsia="宋体" w:hAnsi="Times New Roman" w:cs="宋体"/>
                <w:sz w:val="15"/>
                <w:szCs w:val="15"/>
              </w:rPr>
            </w:pPr>
          </w:p>
        </w:tc>
      </w:tr>
      <w:tr w:rsidR="00C57E60" w14:paraId="5C061AF4"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1627946E"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袁洪</w:t>
            </w:r>
          </w:p>
        </w:tc>
        <w:tc>
          <w:tcPr>
            <w:tcW w:w="397" w:type="dxa"/>
            <w:tcBorders>
              <w:top w:val="single" w:sz="2" w:space="0" w:color="auto"/>
              <w:left w:val="single" w:sz="2" w:space="0" w:color="auto"/>
              <w:bottom w:val="single" w:sz="2" w:space="0" w:color="auto"/>
              <w:right w:val="single" w:sz="2" w:space="0" w:color="auto"/>
            </w:tcBorders>
            <w:vAlign w:val="center"/>
          </w:tcPr>
          <w:p w14:paraId="55BE41A2"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1A062FA7"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68</w:t>
            </w:r>
          </w:p>
        </w:tc>
        <w:tc>
          <w:tcPr>
            <w:tcW w:w="822" w:type="dxa"/>
            <w:tcBorders>
              <w:top w:val="single" w:sz="2" w:space="0" w:color="auto"/>
              <w:left w:val="single" w:sz="2" w:space="0" w:color="auto"/>
              <w:bottom w:val="single" w:sz="2" w:space="0" w:color="auto"/>
              <w:right w:val="single" w:sz="2" w:space="0" w:color="auto"/>
            </w:tcBorders>
            <w:vAlign w:val="center"/>
          </w:tcPr>
          <w:p w14:paraId="1D062A77"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独立董事</w:t>
            </w:r>
          </w:p>
        </w:tc>
        <w:tc>
          <w:tcPr>
            <w:tcW w:w="539" w:type="dxa"/>
            <w:tcBorders>
              <w:top w:val="single" w:sz="2" w:space="0" w:color="auto"/>
              <w:left w:val="single" w:sz="2" w:space="0" w:color="auto"/>
              <w:bottom w:val="single" w:sz="2" w:space="0" w:color="auto"/>
              <w:right w:val="single" w:sz="2" w:space="0" w:color="auto"/>
            </w:tcBorders>
            <w:vAlign w:val="center"/>
          </w:tcPr>
          <w:p w14:paraId="525DF27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离任</w:t>
            </w:r>
          </w:p>
        </w:tc>
        <w:tc>
          <w:tcPr>
            <w:tcW w:w="907" w:type="dxa"/>
            <w:tcBorders>
              <w:top w:val="single" w:sz="2" w:space="0" w:color="auto"/>
              <w:left w:val="single" w:sz="2" w:space="0" w:color="auto"/>
              <w:bottom w:val="single" w:sz="2" w:space="0" w:color="auto"/>
              <w:right w:val="single" w:sz="2" w:space="0" w:color="auto"/>
            </w:tcBorders>
            <w:vAlign w:val="center"/>
          </w:tcPr>
          <w:p w14:paraId="6989EDAC"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2019</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23</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64578F2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81" w:type="dxa"/>
            <w:tcBorders>
              <w:top w:val="single" w:sz="2" w:space="0" w:color="auto"/>
              <w:left w:val="single" w:sz="2" w:space="0" w:color="auto"/>
              <w:bottom w:val="single" w:sz="2" w:space="0" w:color="auto"/>
              <w:right w:val="single" w:sz="2" w:space="0" w:color="auto"/>
            </w:tcBorders>
            <w:vAlign w:val="center"/>
          </w:tcPr>
          <w:p w14:paraId="33A47B9D"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1B050DCE"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E50085D"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4F04721B"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140A027C"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1AEA1A87" w14:textId="77777777" w:rsidR="00113A51" w:rsidRDefault="00113A51">
            <w:pPr>
              <w:spacing w:line="360" w:lineRule="auto"/>
              <w:rPr>
                <w:rFonts w:ascii="Times New Roman" w:eastAsia="宋体" w:hAnsi="Times New Roman" w:cs="宋体"/>
                <w:sz w:val="15"/>
                <w:szCs w:val="15"/>
              </w:rPr>
            </w:pPr>
          </w:p>
        </w:tc>
      </w:tr>
      <w:tr w:rsidR="00C57E60" w14:paraId="7D3DA4A6"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365E229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康熙雄</w:t>
            </w:r>
          </w:p>
        </w:tc>
        <w:tc>
          <w:tcPr>
            <w:tcW w:w="397" w:type="dxa"/>
            <w:tcBorders>
              <w:top w:val="single" w:sz="2" w:space="0" w:color="auto"/>
              <w:left w:val="single" w:sz="2" w:space="0" w:color="auto"/>
              <w:bottom w:val="single" w:sz="2" w:space="0" w:color="auto"/>
              <w:right w:val="single" w:sz="2" w:space="0" w:color="auto"/>
            </w:tcBorders>
            <w:vAlign w:val="center"/>
          </w:tcPr>
          <w:p w14:paraId="03FFCF12"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35E9677E"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74</w:t>
            </w:r>
          </w:p>
        </w:tc>
        <w:tc>
          <w:tcPr>
            <w:tcW w:w="822" w:type="dxa"/>
            <w:tcBorders>
              <w:top w:val="single" w:sz="2" w:space="0" w:color="auto"/>
              <w:left w:val="single" w:sz="2" w:space="0" w:color="auto"/>
              <w:bottom w:val="single" w:sz="2" w:space="0" w:color="auto"/>
              <w:right w:val="single" w:sz="2" w:space="0" w:color="auto"/>
            </w:tcBorders>
            <w:vAlign w:val="center"/>
          </w:tcPr>
          <w:p w14:paraId="550FF446"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独立董事</w:t>
            </w:r>
          </w:p>
        </w:tc>
        <w:tc>
          <w:tcPr>
            <w:tcW w:w="539" w:type="dxa"/>
            <w:tcBorders>
              <w:top w:val="single" w:sz="2" w:space="0" w:color="auto"/>
              <w:left w:val="single" w:sz="2" w:space="0" w:color="auto"/>
              <w:bottom w:val="single" w:sz="2" w:space="0" w:color="auto"/>
              <w:right w:val="single" w:sz="2" w:space="0" w:color="auto"/>
            </w:tcBorders>
            <w:vAlign w:val="center"/>
          </w:tcPr>
          <w:p w14:paraId="187125B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离任</w:t>
            </w:r>
          </w:p>
        </w:tc>
        <w:tc>
          <w:tcPr>
            <w:tcW w:w="907" w:type="dxa"/>
            <w:tcBorders>
              <w:top w:val="single" w:sz="2" w:space="0" w:color="auto"/>
              <w:left w:val="single" w:sz="2" w:space="0" w:color="auto"/>
              <w:bottom w:val="single" w:sz="2" w:space="0" w:color="auto"/>
              <w:right w:val="single" w:sz="2" w:space="0" w:color="auto"/>
            </w:tcBorders>
            <w:vAlign w:val="center"/>
          </w:tcPr>
          <w:p w14:paraId="33D8FA41"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2019</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23</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34322AF2"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81" w:type="dxa"/>
            <w:tcBorders>
              <w:top w:val="single" w:sz="2" w:space="0" w:color="auto"/>
              <w:left w:val="single" w:sz="2" w:space="0" w:color="auto"/>
              <w:bottom w:val="single" w:sz="2" w:space="0" w:color="auto"/>
              <w:right w:val="single" w:sz="2" w:space="0" w:color="auto"/>
            </w:tcBorders>
            <w:vAlign w:val="center"/>
          </w:tcPr>
          <w:p w14:paraId="70201CA0"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6B31C889"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60322868"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9FDA110"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1B5B2ACF"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08E4795B" w14:textId="77777777" w:rsidR="00113A51" w:rsidRDefault="00113A51">
            <w:pPr>
              <w:spacing w:line="360" w:lineRule="auto"/>
              <w:rPr>
                <w:rFonts w:ascii="Times New Roman" w:eastAsia="宋体" w:hAnsi="Times New Roman" w:cs="宋体"/>
                <w:sz w:val="15"/>
                <w:szCs w:val="15"/>
              </w:rPr>
            </w:pPr>
          </w:p>
        </w:tc>
      </w:tr>
      <w:tr w:rsidR="00C57E60" w14:paraId="4AADB032" w14:textId="77777777">
        <w:trPr>
          <w:trHeight w:val="238"/>
        </w:trPr>
        <w:tc>
          <w:tcPr>
            <w:tcW w:w="765" w:type="dxa"/>
            <w:tcBorders>
              <w:top w:val="single" w:sz="2" w:space="0" w:color="auto"/>
              <w:left w:val="single" w:sz="2" w:space="0" w:color="auto"/>
              <w:bottom w:val="single" w:sz="2" w:space="0" w:color="auto"/>
              <w:right w:val="single" w:sz="2" w:space="0" w:color="auto"/>
            </w:tcBorders>
            <w:vAlign w:val="center"/>
          </w:tcPr>
          <w:p w14:paraId="3B937D66"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蔡建文</w:t>
            </w:r>
          </w:p>
        </w:tc>
        <w:tc>
          <w:tcPr>
            <w:tcW w:w="397" w:type="dxa"/>
            <w:tcBorders>
              <w:top w:val="single" w:sz="2" w:space="0" w:color="auto"/>
              <w:left w:val="single" w:sz="2" w:space="0" w:color="auto"/>
              <w:bottom w:val="single" w:sz="2" w:space="0" w:color="auto"/>
              <w:right w:val="single" w:sz="2" w:space="0" w:color="auto"/>
            </w:tcBorders>
            <w:vAlign w:val="center"/>
          </w:tcPr>
          <w:p w14:paraId="61035707"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男</w:t>
            </w:r>
          </w:p>
        </w:tc>
        <w:tc>
          <w:tcPr>
            <w:tcW w:w="397" w:type="dxa"/>
            <w:tcBorders>
              <w:top w:val="single" w:sz="2" w:space="0" w:color="auto"/>
              <w:left w:val="single" w:sz="2" w:space="0" w:color="auto"/>
              <w:bottom w:val="single" w:sz="2" w:space="0" w:color="auto"/>
              <w:right w:val="single" w:sz="2" w:space="0" w:color="auto"/>
            </w:tcBorders>
            <w:vAlign w:val="center"/>
          </w:tcPr>
          <w:p w14:paraId="22C0E953" w14:textId="77777777" w:rsidR="00113A51" w:rsidRDefault="00766EC7">
            <w:pPr>
              <w:spacing w:line="360" w:lineRule="auto"/>
              <w:jc w:val="center"/>
              <w:rPr>
                <w:rFonts w:ascii="Times New Roman" w:eastAsia="宋体" w:hAnsi="Times New Roman" w:cs="宋体"/>
                <w:sz w:val="15"/>
                <w:szCs w:val="15"/>
              </w:rPr>
            </w:pPr>
            <w:r>
              <w:rPr>
                <w:rFonts w:ascii="Times New Roman" w:eastAsia="宋体" w:hAnsi="Times New Roman" w:cs="宋体"/>
                <w:sz w:val="15"/>
                <w:szCs w:val="15"/>
              </w:rPr>
              <w:t>52</w:t>
            </w:r>
          </w:p>
        </w:tc>
        <w:tc>
          <w:tcPr>
            <w:tcW w:w="822" w:type="dxa"/>
            <w:tcBorders>
              <w:top w:val="single" w:sz="2" w:space="0" w:color="auto"/>
              <w:left w:val="single" w:sz="2" w:space="0" w:color="auto"/>
              <w:bottom w:val="single" w:sz="2" w:space="0" w:color="auto"/>
              <w:right w:val="single" w:sz="2" w:space="0" w:color="auto"/>
            </w:tcBorders>
            <w:vAlign w:val="center"/>
          </w:tcPr>
          <w:p w14:paraId="27D50920"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副总经理</w:t>
            </w:r>
          </w:p>
        </w:tc>
        <w:tc>
          <w:tcPr>
            <w:tcW w:w="539" w:type="dxa"/>
            <w:tcBorders>
              <w:top w:val="single" w:sz="2" w:space="0" w:color="auto"/>
              <w:left w:val="single" w:sz="2" w:space="0" w:color="auto"/>
              <w:bottom w:val="single" w:sz="2" w:space="0" w:color="auto"/>
              <w:right w:val="single" w:sz="2" w:space="0" w:color="auto"/>
            </w:tcBorders>
            <w:vAlign w:val="center"/>
          </w:tcPr>
          <w:p w14:paraId="6CE1A2E1"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离任</w:t>
            </w:r>
          </w:p>
        </w:tc>
        <w:tc>
          <w:tcPr>
            <w:tcW w:w="907" w:type="dxa"/>
            <w:tcBorders>
              <w:top w:val="single" w:sz="2" w:space="0" w:color="auto"/>
              <w:left w:val="single" w:sz="2" w:space="0" w:color="auto"/>
              <w:bottom w:val="single" w:sz="2" w:space="0" w:color="auto"/>
              <w:right w:val="single" w:sz="2" w:space="0" w:color="auto"/>
            </w:tcBorders>
            <w:vAlign w:val="center"/>
          </w:tcPr>
          <w:p w14:paraId="781B83AD"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2020</w:t>
            </w:r>
            <w:r>
              <w:rPr>
                <w:rFonts w:ascii="Times New Roman" w:eastAsia="宋体" w:hAnsi="Times New Roman" w:cs="宋体"/>
                <w:sz w:val="15"/>
                <w:szCs w:val="15"/>
              </w:rPr>
              <w:t>年</w:t>
            </w:r>
            <w:r>
              <w:rPr>
                <w:rFonts w:ascii="Times New Roman" w:eastAsia="宋体" w:hAnsi="Times New Roman" w:cs="宋体"/>
                <w:sz w:val="15"/>
                <w:szCs w:val="15"/>
              </w:rPr>
              <w:t>10</w:t>
            </w:r>
            <w:r>
              <w:rPr>
                <w:rFonts w:ascii="Times New Roman" w:eastAsia="宋体" w:hAnsi="Times New Roman" w:cs="宋体"/>
                <w:sz w:val="15"/>
                <w:szCs w:val="15"/>
              </w:rPr>
              <w:t>月</w:t>
            </w:r>
            <w:r>
              <w:rPr>
                <w:rFonts w:ascii="Times New Roman" w:eastAsia="宋体" w:hAnsi="Times New Roman" w:cs="宋体"/>
                <w:sz w:val="15"/>
                <w:szCs w:val="15"/>
              </w:rPr>
              <w:t>16</w:t>
            </w:r>
            <w:r>
              <w:rPr>
                <w:rFonts w:ascii="Times New Roman" w:eastAsia="宋体" w:hAnsi="Times New Roman" w:cs="宋体"/>
                <w:sz w:val="15"/>
                <w:szCs w:val="15"/>
              </w:rPr>
              <w:t>日</w:t>
            </w:r>
          </w:p>
        </w:tc>
        <w:tc>
          <w:tcPr>
            <w:tcW w:w="907" w:type="dxa"/>
            <w:tcBorders>
              <w:top w:val="single" w:sz="2" w:space="0" w:color="auto"/>
              <w:left w:val="single" w:sz="2" w:space="0" w:color="auto"/>
              <w:bottom w:val="single" w:sz="2" w:space="0" w:color="auto"/>
              <w:right w:val="single" w:sz="2" w:space="0" w:color="auto"/>
            </w:tcBorders>
            <w:vAlign w:val="center"/>
          </w:tcPr>
          <w:p w14:paraId="71A80A43" w14:textId="77777777" w:rsidR="00113A51" w:rsidRDefault="00766EC7">
            <w:pPr>
              <w:spacing w:line="360" w:lineRule="auto"/>
              <w:rPr>
                <w:rFonts w:ascii="Times New Roman" w:eastAsia="宋体" w:hAnsi="Times New Roman" w:cs="宋体"/>
                <w:sz w:val="15"/>
                <w:szCs w:val="15"/>
              </w:rPr>
            </w:pPr>
            <w:r>
              <w:rPr>
                <w:rFonts w:ascii="Times New Roman" w:eastAsia="宋体" w:hAnsi="Times New Roman" w:cs="宋体"/>
                <w:sz w:val="15"/>
                <w:szCs w:val="15"/>
              </w:rPr>
              <w:t>2025</w:t>
            </w:r>
            <w:r>
              <w:rPr>
                <w:rFonts w:ascii="Times New Roman" w:eastAsia="宋体" w:hAnsi="Times New Roman" w:cs="宋体"/>
                <w:sz w:val="15"/>
                <w:szCs w:val="15"/>
              </w:rPr>
              <w:t>年</w:t>
            </w:r>
            <w:r>
              <w:rPr>
                <w:rFonts w:ascii="Times New Roman" w:eastAsia="宋体" w:hAnsi="Times New Roman" w:cs="宋体"/>
                <w:sz w:val="15"/>
                <w:szCs w:val="15"/>
              </w:rPr>
              <w:t>12</w:t>
            </w:r>
            <w:r>
              <w:rPr>
                <w:rFonts w:ascii="Times New Roman" w:eastAsia="宋体" w:hAnsi="Times New Roman" w:cs="宋体"/>
                <w:sz w:val="15"/>
                <w:szCs w:val="15"/>
              </w:rPr>
              <w:t>月</w:t>
            </w:r>
            <w:r>
              <w:rPr>
                <w:rFonts w:ascii="Times New Roman" w:eastAsia="宋体" w:hAnsi="Times New Roman" w:cs="宋体"/>
                <w:sz w:val="15"/>
                <w:szCs w:val="15"/>
              </w:rPr>
              <w:t>31</w:t>
            </w:r>
            <w:r>
              <w:rPr>
                <w:rFonts w:ascii="Times New Roman" w:eastAsia="宋体" w:hAnsi="Times New Roman" w:cs="宋体"/>
                <w:sz w:val="15"/>
                <w:szCs w:val="15"/>
              </w:rPr>
              <w:t>日</w:t>
            </w:r>
          </w:p>
        </w:tc>
        <w:tc>
          <w:tcPr>
            <w:tcW w:w="981" w:type="dxa"/>
            <w:tcBorders>
              <w:top w:val="single" w:sz="2" w:space="0" w:color="auto"/>
              <w:left w:val="single" w:sz="2" w:space="0" w:color="auto"/>
              <w:bottom w:val="single" w:sz="2" w:space="0" w:color="auto"/>
              <w:right w:val="single" w:sz="2" w:space="0" w:color="auto"/>
            </w:tcBorders>
            <w:vAlign w:val="center"/>
          </w:tcPr>
          <w:p w14:paraId="58224225"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1D60378D"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1F5FD915"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5425F621"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66712FFC" w14:textId="77777777" w:rsidR="00113A51" w:rsidRDefault="00113A51">
            <w:pPr>
              <w:spacing w:line="360" w:lineRule="auto"/>
              <w:jc w:val="right"/>
              <w:rPr>
                <w:rFonts w:ascii="Times New Roman" w:eastAsia="宋体" w:hAnsi="Times New Roman" w:cs="宋体"/>
                <w:sz w:val="15"/>
                <w:szCs w:val="15"/>
              </w:rPr>
            </w:pPr>
          </w:p>
        </w:tc>
        <w:tc>
          <w:tcPr>
            <w:tcW w:w="794" w:type="dxa"/>
            <w:tcBorders>
              <w:top w:val="single" w:sz="2" w:space="0" w:color="auto"/>
              <w:left w:val="single" w:sz="2" w:space="0" w:color="auto"/>
              <w:bottom w:val="single" w:sz="2" w:space="0" w:color="auto"/>
              <w:right w:val="single" w:sz="2" w:space="0" w:color="auto"/>
            </w:tcBorders>
            <w:vAlign w:val="center"/>
          </w:tcPr>
          <w:p w14:paraId="50E685A9" w14:textId="77777777" w:rsidR="00113A51" w:rsidRDefault="00113A51">
            <w:pPr>
              <w:spacing w:line="360" w:lineRule="auto"/>
              <w:rPr>
                <w:rFonts w:ascii="Times New Roman" w:eastAsia="宋体" w:hAnsi="Times New Roman" w:cs="宋体"/>
                <w:sz w:val="15"/>
                <w:szCs w:val="15"/>
              </w:rPr>
            </w:pPr>
          </w:p>
        </w:tc>
      </w:tr>
      <w:tr w:rsidR="00C57E60" w14:paraId="26D55D40" w14:textId="77777777">
        <w:trPr>
          <w:trHeight w:val="238"/>
        </w:trPr>
        <w:tc>
          <w:tcPr>
            <w:tcW w:w="765" w:type="dxa"/>
            <w:tcBorders>
              <w:top w:val="single" w:sz="2" w:space="0" w:color="auto"/>
              <w:left w:val="single" w:sz="2" w:space="0" w:color="auto"/>
              <w:bottom w:val="single" w:sz="2" w:space="0" w:color="auto"/>
              <w:right w:val="single" w:sz="2" w:space="0" w:color="auto"/>
            </w:tcBorders>
            <w:shd w:val="clear" w:color="auto" w:fill="D3D3D3"/>
            <w:vAlign w:val="center"/>
          </w:tcPr>
          <w:p w14:paraId="7D87DDB1" w14:textId="77777777" w:rsidR="00113A51" w:rsidRDefault="00766EC7">
            <w:pPr>
              <w:spacing w:before="40" w:after="40" w:line="360" w:lineRule="auto"/>
              <w:rPr>
                <w:rFonts w:ascii="Times New Roman" w:eastAsia="宋体" w:hAnsi="Times New Roman" w:cs="宋体"/>
                <w:sz w:val="15"/>
                <w:szCs w:val="15"/>
              </w:rPr>
            </w:pPr>
            <w:r>
              <w:rPr>
                <w:rFonts w:ascii="Times New Roman" w:eastAsia="宋体" w:hAnsi="Times New Roman" w:cs="宋体"/>
                <w:sz w:val="15"/>
                <w:szCs w:val="15"/>
              </w:rPr>
              <w:t>合计</w:t>
            </w:r>
          </w:p>
        </w:tc>
        <w:tc>
          <w:tcPr>
            <w:tcW w:w="397" w:type="dxa"/>
            <w:tcBorders>
              <w:top w:val="single" w:sz="2" w:space="0" w:color="auto"/>
              <w:left w:val="single" w:sz="2" w:space="0" w:color="auto"/>
              <w:bottom w:val="single" w:sz="2" w:space="0" w:color="auto"/>
              <w:right w:val="single" w:sz="2" w:space="0" w:color="auto"/>
            </w:tcBorders>
            <w:shd w:val="clear" w:color="auto" w:fill="D3D3D3"/>
            <w:vAlign w:val="center"/>
          </w:tcPr>
          <w:p w14:paraId="218F4767"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c>
          <w:tcPr>
            <w:tcW w:w="397" w:type="dxa"/>
            <w:tcBorders>
              <w:top w:val="single" w:sz="2" w:space="0" w:color="auto"/>
              <w:left w:val="single" w:sz="2" w:space="0" w:color="auto"/>
              <w:bottom w:val="single" w:sz="2" w:space="0" w:color="auto"/>
              <w:right w:val="single" w:sz="2" w:space="0" w:color="auto"/>
            </w:tcBorders>
            <w:shd w:val="clear" w:color="auto" w:fill="D3D3D3"/>
            <w:vAlign w:val="center"/>
          </w:tcPr>
          <w:p w14:paraId="34A4BAA1"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c>
          <w:tcPr>
            <w:tcW w:w="822" w:type="dxa"/>
            <w:tcBorders>
              <w:top w:val="single" w:sz="2" w:space="0" w:color="auto"/>
              <w:left w:val="single" w:sz="2" w:space="0" w:color="auto"/>
              <w:bottom w:val="single" w:sz="2" w:space="0" w:color="auto"/>
              <w:right w:val="single" w:sz="2" w:space="0" w:color="auto"/>
            </w:tcBorders>
            <w:shd w:val="clear" w:color="auto" w:fill="D3D3D3"/>
            <w:vAlign w:val="center"/>
          </w:tcPr>
          <w:p w14:paraId="75D92E1E"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c>
          <w:tcPr>
            <w:tcW w:w="539" w:type="dxa"/>
            <w:tcBorders>
              <w:top w:val="single" w:sz="2" w:space="0" w:color="auto"/>
              <w:left w:val="single" w:sz="2" w:space="0" w:color="auto"/>
              <w:bottom w:val="single" w:sz="2" w:space="0" w:color="auto"/>
              <w:right w:val="single" w:sz="2" w:space="0" w:color="auto"/>
            </w:tcBorders>
            <w:shd w:val="clear" w:color="auto" w:fill="D3D3D3"/>
            <w:vAlign w:val="center"/>
          </w:tcPr>
          <w:p w14:paraId="24B71355"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0E756164"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35F7FDBC"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c>
          <w:tcPr>
            <w:tcW w:w="981" w:type="dxa"/>
            <w:tcBorders>
              <w:top w:val="single" w:sz="2" w:space="0" w:color="auto"/>
              <w:left w:val="single" w:sz="2" w:space="0" w:color="auto"/>
              <w:bottom w:val="single" w:sz="2" w:space="0" w:color="auto"/>
              <w:right w:val="single" w:sz="2" w:space="0" w:color="auto"/>
            </w:tcBorders>
            <w:vAlign w:val="center"/>
          </w:tcPr>
          <w:p w14:paraId="6BF0F560"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144,492,046</w:t>
            </w:r>
          </w:p>
        </w:tc>
        <w:tc>
          <w:tcPr>
            <w:tcW w:w="822" w:type="dxa"/>
            <w:tcBorders>
              <w:top w:val="single" w:sz="2" w:space="0" w:color="auto"/>
              <w:left w:val="single" w:sz="2" w:space="0" w:color="auto"/>
              <w:bottom w:val="single" w:sz="2" w:space="0" w:color="auto"/>
              <w:right w:val="single" w:sz="2" w:space="0" w:color="auto"/>
            </w:tcBorders>
            <w:vAlign w:val="center"/>
          </w:tcPr>
          <w:p w14:paraId="289CFAF4"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62,600</w:t>
            </w:r>
          </w:p>
        </w:tc>
        <w:tc>
          <w:tcPr>
            <w:tcW w:w="822" w:type="dxa"/>
            <w:tcBorders>
              <w:top w:val="single" w:sz="2" w:space="0" w:color="auto"/>
              <w:left w:val="single" w:sz="2" w:space="0" w:color="auto"/>
              <w:bottom w:val="single" w:sz="2" w:space="0" w:color="auto"/>
              <w:right w:val="single" w:sz="2" w:space="0" w:color="auto"/>
            </w:tcBorders>
            <w:vAlign w:val="center"/>
          </w:tcPr>
          <w:p w14:paraId="59B30F3C" w14:textId="77777777" w:rsidR="00113A51" w:rsidRDefault="00113A51">
            <w:pPr>
              <w:spacing w:line="360" w:lineRule="auto"/>
              <w:jc w:val="right"/>
              <w:rPr>
                <w:rFonts w:ascii="Times New Roman" w:eastAsia="宋体" w:hAnsi="Times New Roman" w:cs="宋体"/>
                <w:sz w:val="15"/>
                <w:szCs w:val="15"/>
              </w:rPr>
            </w:pPr>
          </w:p>
        </w:tc>
        <w:tc>
          <w:tcPr>
            <w:tcW w:w="822" w:type="dxa"/>
            <w:tcBorders>
              <w:top w:val="single" w:sz="2" w:space="0" w:color="auto"/>
              <w:left w:val="single" w:sz="2" w:space="0" w:color="auto"/>
              <w:bottom w:val="single" w:sz="2" w:space="0" w:color="auto"/>
              <w:right w:val="single" w:sz="2" w:space="0" w:color="auto"/>
            </w:tcBorders>
            <w:vAlign w:val="center"/>
          </w:tcPr>
          <w:p w14:paraId="344D20DB" w14:textId="77777777" w:rsidR="00113A51" w:rsidRDefault="00113A51">
            <w:pPr>
              <w:spacing w:line="360" w:lineRule="auto"/>
              <w:jc w:val="right"/>
              <w:rPr>
                <w:rFonts w:ascii="Times New Roman" w:eastAsia="宋体" w:hAnsi="Times New Roman" w:cs="宋体"/>
                <w:sz w:val="15"/>
                <w:szCs w:val="15"/>
              </w:rPr>
            </w:pPr>
          </w:p>
        </w:tc>
        <w:tc>
          <w:tcPr>
            <w:tcW w:w="981" w:type="dxa"/>
            <w:tcBorders>
              <w:top w:val="single" w:sz="2" w:space="0" w:color="auto"/>
              <w:left w:val="single" w:sz="2" w:space="0" w:color="auto"/>
              <w:bottom w:val="single" w:sz="2" w:space="0" w:color="auto"/>
              <w:right w:val="single" w:sz="2" w:space="0" w:color="auto"/>
            </w:tcBorders>
            <w:vAlign w:val="center"/>
          </w:tcPr>
          <w:p w14:paraId="5A3EDE7D" w14:textId="77777777" w:rsidR="00113A51" w:rsidRDefault="00766EC7">
            <w:pPr>
              <w:spacing w:line="360" w:lineRule="auto"/>
              <w:jc w:val="right"/>
              <w:rPr>
                <w:rFonts w:ascii="Times New Roman" w:eastAsia="宋体" w:hAnsi="Times New Roman" w:cs="宋体"/>
                <w:sz w:val="15"/>
                <w:szCs w:val="15"/>
              </w:rPr>
            </w:pPr>
            <w:r>
              <w:rPr>
                <w:rFonts w:ascii="Times New Roman" w:eastAsia="宋体" w:hAnsi="Times New Roman" w:cs="宋体"/>
                <w:sz w:val="15"/>
                <w:szCs w:val="15"/>
              </w:rPr>
              <w:t>144,554,646</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103CEE37" w14:textId="77777777" w:rsidR="00113A51" w:rsidRDefault="00766EC7">
            <w:pPr>
              <w:spacing w:before="40" w:after="40" w:line="360" w:lineRule="auto"/>
              <w:jc w:val="center"/>
              <w:rPr>
                <w:rFonts w:ascii="Times New Roman" w:eastAsia="宋体" w:hAnsi="Times New Roman" w:cs="宋体"/>
                <w:sz w:val="15"/>
                <w:szCs w:val="15"/>
              </w:rPr>
            </w:pPr>
            <w:r>
              <w:rPr>
                <w:rFonts w:ascii="Times New Roman" w:eastAsia="宋体" w:hAnsi="Times New Roman" w:cs="宋体"/>
                <w:sz w:val="15"/>
                <w:szCs w:val="15"/>
              </w:rPr>
              <w:t>--</w:t>
            </w:r>
          </w:p>
        </w:tc>
      </w:tr>
    </w:tbl>
    <w:p w14:paraId="22499787"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报告期是否存在任期内董事和高级管理人员离任的情况</w:t>
      </w:r>
    </w:p>
    <w:p w14:paraId="271B34D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35A9FCC8" w14:textId="77777777" w:rsidR="00113A51" w:rsidRDefault="00766EC7">
      <w:pPr>
        <w:pStyle w:val="a9"/>
        <w:spacing w:line="360" w:lineRule="auto"/>
        <w:ind w:firstLineChars="200" w:firstLine="420"/>
        <w:rPr>
          <w:sz w:val="21"/>
          <w:szCs w:val="21"/>
        </w:rPr>
      </w:pPr>
      <w:r>
        <w:rPr>
          <w:rFonts w:ascii="Times New Roman" w:hAnsi="Times New Roman" w:hint="eastAsia"/>
          <w:sz w:val="21"/>
          <w:szCs w:val="21"/>
        </w:rPr>
        <w:t>公司</w:t>
      </w:r>
      <w:r>
        <w:rPr>
          <w:rFonts w:ascii="Times New Roman" w:hAnsi="Times New Roman" w:hint="eastAsia"/>
          <w:color w:val="000000"/>
          <w:sz w:val="21"/>
          <w:szCs w:val="21"/>
        </w:rPr>
        <w:t>董事李晖（</w:t>
      </w:r>
      <w:r>
        <w:rPr>
          <w:rFonts w:ascii="Times New Roman" w:hAnsi="Times New Roman" w:cs="Times New Roman"/>
          <w:color w:val="000000"/>
          <w:sz w:val="21"/>
          <w:szCs w:val="21"/>
        </w:rPr>
        <w:t>LI HUI</w:t>
      </w:r>
      <w:r>
        <w:rPr>
          <w:rFonts w:ascii="Times New Roman" w:hAnsi="Times New Roman" w:hint="eastAsia"/>
          <w:color w:val="000000"/>
          <w:sz w:val="21"/>
          <w:szCs w:val="21"/>
        </w:rPr>
        <w:t>）先生、独立董事袁洪先生、独立董事康熙雄先生、总经理李少波先生、副总经理蔡建文先生</w:t>
      </w:r>
      <w:r>
        <w:rPr>
          <w:rFonts w:ascii="Times New Roman" w:hAnsi="Times New Roman" w:hint="eastAsia"/>
          <w:sz w:val="21"/>
          <w:szCs w:val="21"/>
        </w:rPr>
        <w:t>因任期届满，于</w:t>
      </w:r>
      <w:r>
        <w:rPr>
          <w:rFonts w:ascii="Times New Roman" w:hAnsi="Times New Roman" w:hint="eastAsia"/>
          <w:sz w:val="21"/>
          <w:szCs w:val="21"/>
        </w:rPr>
        <w:t>2025</w:t>
      </w:r>
      <w:r>
        <w:rPr>
          <w:rFonts w:ascii="Times New Roman" w:hAnsi="Times New Roman" w:hint="eastAsia"/>
          <w:sz w:val="21"/>
          <w:szCs w:val="21"/>
        </w:rPr>
        <w:t>年</w:t>
      </w:r>
      <w:r>
        <w:rPr>
          <w:rFonts w:ascii="Times New Roman" w:hAnsi="Times New Roman" w:hint="eastAsia"/>
          <w:sz w:val="21"/>
          <w:szCs w:val="21"/>
        </w:rPr>
        <w:t>12</w:t>
      </w:r>
      <w:r>
        <w:rPr>
          <w:rFonts w:ascii="Times New Roman" w:hAnsi="Times New Roman" w:hint="eastAsia"/>
          <w:sz w:val="21"/>
          <w:szCs w:val="21"/>
        </w:rPr>
        <w:t>月</w:t>
      </w:r>
      <w:r>
        <w:rPr>
          <w:rFonts w:ascii="Times New Roman" w:hAnsi="Times New Roman" w:hint="eastAsia"/>
          <w:sz w:val="21"/>
          <w:szCs w:val="21"/>
        </w:rPr>
        <w:t>31</w:t>
      </w:r>
      <w:r>
        <w:rPr>
          <w:rFonts w:ascii="Times New Roman" w:hAnsi="Times New Roman" w:hint="eastAsia"/>
          <w:sz w:val="21"/>
          <w:szCs w:val="21"/>
        </w:rPr>
        <w:t>日离任。离任后，</w:t>
      </w:r>
      <w:r>
        <w:rPr>
          <w:rFonts w:ascii="Times New Roman" w:hAnsi="Times New Roman" w:hint="eastAsia"/>
          <w:color w:val="000000"/>
          <w:sz w:val="21"/>
          <w:szCs w:val="21"/>
        </w:rPr>
        <w:t>李晖（</w:t>
      </w:r>
      <w:r>
        <w:rPr>
          <w:rFonts w:ascii="Times New Roman" w:hAnsi="Times New Roman" w:cs="Times New Roman"/>
          <w:color w:val="000000"/>
          <w:sz w:val="21"/>
          <w:szCs w:val="21"/>
        </w:rPr>
        <w:t>LI HUI</w:t>
      </w:r>
      <w:r>
        <w:rPr>
          <w:rFonts w:ascii="Times New Roman" w:hAnsi="Times New Roman" w:hint="eastAsia"/>
          <w:color w:val="000000"/>
          <w:sz w:val="21"/>
          <w:szCs w:val="21"/>
        </w:rPr>
        <w:t>）先生、袁洪先生、康熙雄先生</w:t>
      </w:r>
      <w:r>
        <w:rPr>
          <w:rFonts w:ascii="Times New Roman" w:hAnsi="Times New Roman" w:hint="eastAsia"/>
          <w:sz w:val="21"/>
          <w:szCs w:val="21"/>
        </w:rPr>
        <w:t>不再担任公司董事及董事会专门委员会相关职务，且不再担任公司及子公司任何职务；李少波先生不再担任公司总经理职务，其离任后仍担任公司董事长职务以及在公司及子公司担任其他职务；蔡建文先生不再担任公司副总经理职务。</w:t>
      </w:r>
    </w:p>
    <w:p w14:paraId="22B8371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公司董事、高级管理人员变动情况</w:t>
      </w:r>
    </w:p>
    <w:p w14:paraId="6EF6A12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8" w:type="dxa"/>
        <w:tblInd w:w="108" w:type="dxa"/>
        <w:tblLayout w:type="fixed"/>
        <w:tblLook w:val="04A0" w:firstRow="1" w:lastRow="0" w:firstColumn="1" w:lastColumn="0" w:noHBand="0" w:noVBand="1"/>
      </w:tblPr>
      <w:tblGrid>
        <w:gridCol w:w="2098"/>
        <w:gridCol w:w="1814"/>
        <w:gridCol w:w="1814"/>
        <w:gridCol w:w="2098"/>
        <w:gridCol w:w="1814"/>
      </w:tblGrid>
      <w:tr w:rsidR="00C57E60" w14:paraId="27F3B22A" w14:textId="77777777">
        <w:trPr>
          <w:trHeight w:val="240"/>
        </w:trPr>
        <w:tc>
          <w:tcPr>
            <w:tcW w:w="2098" w:type="dxa"/>
            <w:tcBorders>
              <w:top w:val="single" w:sz="2" w:space="0" w:color="auto"/>
              <w:left w:val="single" w:sz="2" w:space="0" w:color="auto"/>
              <w:bottom w:val="single" w:sz="2" w:space="0" w:color="auto"/>
              <w:right w:val="single" w:sz="2" w:space="0" w:color="auto"/>
            </w:tcBorders>
            <w:shd w:val="clear" w:color="auto" w:fill="D3D3D3"/>
            <w:vAlign w:val="center"/>
          </w:tcPr>
          <w:p w14:paraId="72BBFB5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姓名</w:t>
            </w:r>
          </w:p>
        </w:tc>
        <w:tc>
          <w:tcPr>
            <w:tcW w:w="1814" w:type="dxa"/>
            <w:tcBorders>
              <w:top w:val="single" w:sz="2" w:space="0" w:color="auto"/>
              <w:left w:val="single" w:sz="2" w:space="0" w:color="auto"/>
              <w:bottom w:val="single" w:sz="2" w:space="0" w:color="auto"/>
              <w:right w:val="single" w:sz="2" w:space="0" w:color="auto"/>
            </w:tcBorders>
            <w:shd w:val="clear" w:color="auto" w:fill="D3D3D3"/>
            <w:vAlign w:val="center"/>
          </w:tcPr>
          <w:p w14:paraId="65A3C76B"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担任的职务</w:t>
            </w:r>
          </w:p>
        </w:tc>
        <w:tc>
          <w:tcPr>
            <w:tcW w:w="1814" w:type="dxa"/>
            <w:tcBorders>
              <w:top w:val="single" w:sz="2" w:space="0" w:color="auto"/>
              <w:left w:val="single" w:sz="2" w:space="0" w:color="auto"/>
              <w:bottom w:val="single" w:sz="2" w:space="0" w:color="auto"/>
              <w:right w:val="single" w:sz="2" w:space="0" w:color="auto"/>
            </w:tcBorders>
            <w:shd w:val="clear" w:color="auto" w:fill="D3D3D3"/>
            <w:vAlign w:val="center"/>
          </w:tcPr>
          <w:p w14:paraId="1371CB8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类型</w:t>
            </w:r>
          </w:p>
        </w:tc>
        <w:tc>
          <w:tcPr>
            <w:tcW w:w="2098" w:type="dxa"/>
            <w:tcBorders>
              <w:top w:val="single" w:sz="2" w:space="0" w:color="auto"/>
              <w:left w:val="single" w:sz="2" w:space="0" w:color="auto"/>
              <w:bottom w:val="single" w:sz="2" w:space="0" w:color="auto"/>
              <w:right w:val="single" w:sz="2" w:space="0" w:color="auto"/>
            </w:tcBorders>
            <w:shd w:val="clear" w:color="auto" w:fill="D3D3D3"/>
            <w:vAlign w:val="center"/>
          </w:tcPr>
          <w:p w14:paraId="5120D71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日期</w:t>
            </w:r>
          </w:p>
        </w:tc>
        <w:tc>
          <w:tcPr>
            <w:tcW w:w="1814" w:type="dxa"/>
            <w:tcBorders>
              <w:top w:val="single" w:sz="2" w:space="0" w:color="auto"/>
              <w:left w:val="single" w:sz="2" w:space="0" w:color="auto"/>
              <w:bottom w:val="single" w:sz="2" w:space="0" w:color="auto"/>
              <w:right w:val="single" w:sz="2" w:space="0" w:color="auto"/>
            </w:tcBorders>
            <w:shd w:val="clear" w:color="auto" w:fill="D3D3D3"/>
            <w:vAlign w:val="center"/>
          </w:tcPr>
          <w:p w14:paraId="636F3E1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原因</w:t>
            </w:r>
          </w:p>
        </w:tc>
      </w:tr>
      <w:tr w:rsidR="00C57E60" w14:paraId="5EEAA7C3"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7FA934D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Jianyou Tan</w:t>
            </w:r>
            <w:r>
              <w:rPr>
                <w:rFonts w:ascii="Times New Roman" w:eastAsia="宋体" w:hAnsi="Times New Roman" w:cs="宋体"/>
                <w:sz w:val="18"/>
                <w:szCs w:val="18"/>
              </w:rPr>
              <w:t>（谭建友）</w:t>
            </w:r>
          </w:p>
        </w:tc>
        <w:tc>
          <w:tcPr>
            <w:tcW w:w="1814" w:type="dxa"/>
            <w:tcBorders>
              <w:top w:val="single" w:sz="2" w:space="0" w:color="auto"/>
              <w:left w:val="single" w:sz="2" w:space="0" w:color="auto"/>
              <w:bottom w:val="single" w:sz="2" w:space="0" w:color="auto"/>
              <w:right w:val="single" w:sz="2" w:space="0" w:color="auto"/>
            </w:tcBorders>
            <w:vAlign w:val="center"/>
          </w:tcPr>
          <w:p w14:paraId="5567243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814" w:type="dxa"/>
            <w:tcBorders>
              <w:top w:val="single" w:sz="2" w:space="0" w:color="auto"/>
              <w:left w:val="single" w:sz="2" w:space="0" w:color="auto"/>
              <w:bottom w:val="single" w:sz="2" w:space="0" w:color="auto"/>
              <w:right w:val="single" w:sz="2" w:space="0" w:color="auto"/>
            </w:tcBorders>
            <w:vAlign w:val="center"/>
          </w:tcPr>
          <w:p w14:paraId="5FE7AB0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被选举</w:t>
            </w:r>
          </w:p>
        </w:tc>
        <w:tc>
          <w:tcPr>
            <w:tcW w:w="2098" w:type="dxa"/>
            <w:tcBorders>
              <w:top w:val="single" w:sz="2" w:space="0" w:color="auto"/>
              <w:left w:val="single" w:sz="2" w:space="0" w:color="auto"/>
              <w:bottom w:val="single" w:sz="2" w:space="0" w:color="auto"/>
              <w:right w:val="single" w:sz="2" w:space="0" w:color="auto"/>
            </w:tcBorders>
            <w:vAlign w:val="center"/>
          </w:tcPr>
          <w:p w14:paraId="0EB970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2BCDCB8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167818CE"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7D0B46B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Zhenqi Liu</w:t>
            </w:r>
            <w:r>
              <w:rPr>
                <w:rFonts w:ascii="Times New Roman" w:eastAsia="宋体" w:hAnsi="Times New Roman" w:cs="宋体"/>
                <w:sz w:val="18"/>
                <w:szCs w:val="18"/>
              </w:rPr>
              <w:t>（刘振启）</w:t>
            </w:r>
          </w:p>
        </w:tc>
        <w:tc>
          <w:tcPr>
            <w:tcW w:w="1814" w:type="dxa"/>
            <w:tcBorders>
              <w:top w:val="single" w:sz="2" w:space="0" w:color="auto"/>
              <w:left w:val="single" w:sz="2" w:space="0" w:color="auto"/>
              <w:bottom w:val="single" w:sz="2" w:space="0" w:color="auto"/>
              <w:right w:val="single" w:sz="2" w:space="0" w:color="auto"/>
            </w:tcBorders>
            <w:vAlign w:val="center"/>
          </w:tcPr>
          <w:p w14:paraId="5353826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814" w:type="dxa"/>
            <w:tcBorders>
              <w:top w:val="single" w:sz="2" w:space="0" w:color="auto"/>
              <w:left w:val="single" w:sz="2" w:space="0" w:color="auto"/>
              <w:bottom w:val="single" w:sz="2" w:space="0" w:color="auto"/>
              <w:right w:val="single" w:sz="2" w:space="0" w:color="auto"/>
            </w:tcBorders>
            <w:vAlign w:val="center"/>
          </w:tcPr>
          <w:p w14:paraId="3652306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被选举</w:t>
            </w:r>
          </w:p>
        </w:tc>
        <w:tc>
          <w:tcPr>
            <w:tcW w:w="2098" w:type="dxa"/>
            <w:tcBorders>
              <w:top w:val="single" w:sz="2" w:space="0" w:color="auto"/>
              <w:left w:val="single" w:sz="2" w:space="0" w:color="auto"/>
              <w:bottom w:val="single" w:sz="2" w:space="0" w:color="auto"/>
              <w:right w:val="single" w:sz="2" w:space="0" w:color="auto"/>
            </w:tcBorders>
            <w:vAlign w:val="center"/>
          </w:tcPr>
          <w:p w14:paraId="71E1241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5DF8463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2A5ED0EC"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49112F6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黄绍波</w:t>
            </w:r>
          </w:p>
        </w:tc>
        <w:tc>
          <w:tcPr>
            <w:tcW w:w="1814" w:type="dxa"/>
            <w:tcBorders>
              <w:top w:val="single" w:sz="2" w:space="0" w:color="auto"/>
              <w:left w:val="single" w:sz="2" w:space="0" w:color="auto"/>
              <w:bottom w:val="single" w:sz="2" w:space="0" w:color="auto"/>
              <w:right w:val="single" w:sz="2" w:space="0" w:color="auto"/>
            </w:tcBorders>
            <w:vAlign w:val="center"/>
          </w:tcPr>
          <w:p w14:paraId="601D3CF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职工代表董事</w:t>
            </w:r>
          </w:p>
        </w:tc>
        <w:tc>
          <w:tcPr>
            <w:tcW w:w="1814" w:type="dxa"/>
            <w:tcBorders>
              <w:top w:val="single" w:sz="2" w:space="0" w:color="auto"/>
              <w:left w:val="single" w:sz="2" w:space="0" w:color="auto"/>
              <w:bottom w:val="single" w:sz="2" w:space="0" w:color="auto"/>
              <w:right w:val="single" w:sz="2" w:space="0" w:color="auto"/>
            </w:tcBorders>
            <w:vAlign w:val="center"/>
          </w:tcPr>
          <w:p w14:paraId="7B369DC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任免</w:t>
            </w:r>
          </w:p>
        </w:tc>
        <w:tc>
          <w:tcPr>
            <w:tcW w:w="2098" w:type="dxa"/>
            <w:tcBorders>
              <w:top w:val="single" w:sz="2" w:space="0" w:color="auto"/>
              <w:left w:val="single" w:sz="2" w:space="0" w:color="auto"/>
              <w:bottom w:val="single" w:sz="2" w:space="0" w:color="auto"/>
              <w:right w:val="single" w:sz="2" w:space="0" w:color="auto"/>
            </w:tcBorders>
            <w:vAlign w:val="center"/>
          </w:tcPr>
          <w:p w14:paraId="428EA52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033BD06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154E410C"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4FEE30F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李心一</w:t>
            </w:r>
          </w:p>
        </w:tc>
        <w:tc>
          <w:tcPr>
            <w:tcW w:w="1814" w:type="dxa"/>
            <w:tcBorders>
              <w:top w:val="single" w:sz="2" w:space="0" w:color="auto"/>
              <w:left w:val="single" w:sz="2" w:space="0" w:color="auto"/>
              <w:bottom w:val="single" w:sz="2" w:space="0" w:color="auto"/>
              <w:right w:val="single" w:sz="2" w:space="0" w:color="auto"/>
            </w:tcBorders>
            <w:vAlign w:val="center"/>
          </w:tcPr>
          <w:p w14:paraId="3387BF6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总经理</w:t>
            </w:r>
          </w:p>
        </w:tc>
        <w:tc>
          <w:tcPr>
            <w:tcW w:w="1814" w:type="dxa"/>
            <w:tcBorders>
              <w:top w:val="single" w:sz="2" w:space="0" w:color="auto"/>
              <w:left w:val="single" w:sz="2" w:space="0" w:color="auto"/>
              <w:bottom w:val="single" w:sz="2" w:space="0" w:color="auto"/>
              <w:right w:val="single" w:sz="2" w:space="0" w:color="auto"/>
            </w:tcBorders>
            <w:vAlign w:val="center"/>
          </w:tcPr>
          <w:p w14:paraId="411BC92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聘任</w:t>
            </w:r>
          </w:p>
        </w:tc>
        <w:tc>
          <w:tcPr>
            <w:tcW w:w="2098" w:type="dxa"/>
            <w:tcBorders>
              <w:top w:val="single" w:sz="2" w:space="0" w:color="auto"/>
              <w:left w:val="single" w:sz="2" w:space="0" w:color="auto"/>
              <w:bottom w:val="single" w:sz="2" w:space="0" w:color="auto"/>
              <w:right w:val="single" w:sz="2" w:space="0" w:color="auto"/>
            </w:tcBorders>
            <w:vAlign w:val="center"/>
          </w:tcPr>
          <w:p w14:paraId="5212F67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1209AAD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1603CC0E"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607F8D7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彭旭明</w:t>
            </w:r>
          </w:p>
        </w:tc>
        <w:tc>
          <w:tcPr>
            <w:tcW w:w="1814" w:type="dxa"/>
            <w:tcBorders>
              <w:top w:val="single" w:sz="2" w:space="0" w:color="auto"/>
              <w:left w:val="single" w:sz="2" w:space="0" w:color="auto"/>
              <w:bottom w:val="single" w:sz="2" w:space="0" w:color="auto"/>
              <w:right w:val="single" w:sz="2" w:space="0" w:color="auto"/>
            </w:tcBorders>
            <w:vAlign w:val="center"/>
          </w:tcPr>
          <w:p w14:paraId="27425CB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副总经理</w:t>
            </w:r>
          </w:p>
        </w:tc>
        <w:tc>
          <w:tcPr>
            <w:tcW w:w="1814" w:type="dxa"/>
            <w:tcBorders>
              <w:top w:val="single" w:sz="2" w:space="0" w:color="auto"/>
              <w:left w:val="single" w:sz="2" w:space="0" w:color="auto"/>
              <w:bottom w:val="single" w:sz="2" w:space="0" w:color="auto"/>
              <w:right w:val="single" w:sz="2" w:space="0" w:color="auto"/>
            </w:tcBorders>
            <w:vAlign w:val="center"/>
          </w:tcPr>
          <w:p w14:paraId="566EC65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聘任</w:t>
            </w:r>
          </w:p>
        </w:tc>
        <w:tc>
          <w:tcPr>
            <w:tcW w:w="2098" w:type="dxa"/>
            <w:tcBorders>
              <w:top w:val="single" w:sz="2" w:space="0" w:color="auto"/>
              <w:left w:val="single" w:sz="2" w:space="0" w:color="auto"/>
              <w:bottom w:val="single" w:sz="2" w:space="0" w:color="auto"/>
              <w:right w:val="single" w:sz="2" w:space="0" w:color="auto"/>
            </w:tcBorders>
            <w:vAlign w:val="center"/>
          </w:tcPr>
          <w:p w14:paraId="295F3E3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79091A0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6D81210D"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51560D2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李晖（</w:t>
            </w:r>
            <w:r>
              <w:rPr>
                <w:rFonts w:ascii="Times New Roman" w:eastAsia="宋体" w:hAnsi="Times New Roman" w:cs="宋体"/>
                <w:sz w:val="18"/>
                <w:szCs w:val="18"/>
              </w:rPr>
              <w:t>LI HUI</w:t>
            </w:r>
            <w:r>
              <w:rPr>
                <w:rFonts w:ascii="Times New Roman" w:eastAsia="宋体" w:hAnsi="Times New Roman" w:cs="宋体"/>
                <w:sz w:val="18"/>
                <w:szCs w:val="18"/>
              </w:rPr>
              <w:t>）</w:t>
            </w:r>
          </w:p>
        </w:tc>
        <w:tc>
          <w:tcPr>
            <w:tcW w:w="1814" w:type="dxa"/>
            <w:tcBorders>
              <w:top w:val="single" w:sz="2" w:space="0" w:color="auto"/>
              <w:left w:val="single" w:sz="2" w:space="0" w:color="auto"/>
              <w:bottom w:val="single" w:sz="2" w:space="0" w:color="auto"/>
              <w:right w:val="single" w:sz="2" w:space="0" w:color="auto"/>
            </w:tcBorders>
            <w:vAlign w:val="center"/>
          </w:tcPr>
          <w:p w14:paraId="23763D7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w:t>
            </w:r>
          </w:p>
        </w:tc>
        <w:tc>
          <w:tcPr>
            <w:tcW w:w="1814" w:type="dxa"/>
            <w:tcBorders>
              <w:top w:val="single" w:sz="2" w:space="0" w:color="auto"/>
              <w:left w:val="single" w:sz="2" w:space="0" w:color="auto"/>
              <w:bottom w:val="single" w:sz="2" w:space="0" w:color="auto"/>
              <w:right w:val="single" w:sz="2" w:space="0" w:color="auto"/>
            </w:tcBorders>
            <w:vAlign w:val="center"/>
          </w:tcPr>
          <w:p w14:paraId="241F575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任期满离任</w:t>
            </w:r>
          </w:p>
        </w:tc>
        <w:tc>
          <w:tcPr>
            <w:tcW w:w="2098" w:type="dxa"/>
            <w:tcBorders>
              <w:top w:val="single" w:sz="2" w:space="0" w:color="auto"/>
              <w:left w:val="single" w:sz="2" w:space="0" w:color="auto"/>
              <w:bottom w:val="single" w:sz="2" w:space="0" w:color="auto"/>
              <w:right w:val="single" w:sz="2" w:space="0" w:color="auto"/>
            </w:tcBorders>
            <w:vAlign w:val="center"/>
          </w:tcPr>
          <w:p w14:paraId="6AD5177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67F88D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11F49AC4"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04DEEC5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袁洪</w:t>
            </w:r>
          </w:p>
        </w:tc>
        <w:tc>
          <w:tcPr>
            <w:tcW w:w="1814" w:type="dxa"/>
            <w:tcBorders>
              <w:top w:val="single" w:sz="2" w:space="0" w:color="auto"/>
              <w:left w:val="single" w:sz="2" w:space="0" w:color="auto"/>
              <w:bottom w:val="single" w:sz="2" w:space="0" w:color="auto"/>
              <w:right w:val="single" w:sz="2" w:space="0" w:color="auto"/>
            </w:tcBorders>
            <w:vAlign w:val="center"/>
          </w:tcPr>
          <w:p w14:paraId="7B01B58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814" w:type="dxa"/>
            <w:tcBorders>
              <w:top w:val="single" w:sz="2" w:space="0" w:color="auto"/>
              <w:left w:val="single" w:sz="2" w:space="0" w:color="auto"/>
              <w:bottom w:val="single" w:sz="2" w:space="0" w:color="auto"/>
              <w:right w:val="single" w:sz="2" w:space="0" w:color="auto"/>
            </w:tcBorders>
            <w:vAlign w:val="center"/>
          </w:tcPr>
          <w:p w14:paraId="7CBF709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任期满离任</w:t>
            </w:r>
          </w:p>
        </w:tc>
        <w:tc>
          <w:tcPr>
            <w:tcW w:w="2098" w:type="dxa"/>
            <w:tcBorders>
              <w:top w:val="single" w:sz="2" w:space="0" w:color="auto"/>
              <w:left w:val="single" w:sz="2" w:space="0" w:color="auto"/>
              <w:bottom w:val="single" w:sz="2" w:space="0" w:color="auto"/>
              <w:right w:val="single" w:sz="2" w:space="0" w:color="auto"/>
            </w:tcBorders>
            <w:vAlign w:val="center"/>
          </w:tcPr>
          <w:p w14:paraId="64415D1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1DE867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50808EDA"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0853A9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康熙雄</w:t>
            </w:r>
          </w:p>
        </w:tc>
        <w:tc>
          <w:tcPr>
            <w:tcW w:w="1814" w:type="dxa"/>
            <w:tcBorders>
              <w:top w:val="single" w:sz="2" w:space="0" w:color="auto"/>
              <w:left w:val="single" w:sz="2" w:space="0" w:color="auto"/>
              <w:bottom w:val="single" w:sz="2" w:space="0" w:color="auto"/>
              <w:right w:val="single" w:sz="2" w:space="0" w:color="auto"/>
            </w:tcBorders>
            <w:vAlign w:val="center"/>
          </w:tcPr>
          <w:p w14:paraId="7590331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814" w:type="dxa"/>
            <w:tcBorders>
              <w:top w:val="single" w:sz="2" w:space="0" w:color="auto"/>
              <w:left w:val="single" w:sz="2" w:space="0" w:color="auto"/>
              <w:bottom w:val="single" w:sz="2" w:space="0" w:color="auto"/>
              <w:right w:val="single" w:sz="2" w:space="0" w:color="auto"/>
            </w:tcBorders>
            <w:vAlign w:val="center"/>
          </w:tcPr>
          <w:p w14:paraId="579A24D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任期满离任</w:t>
            </w:r>
          </w:p>
        </w:tc>
        <w:tc>
          <w:tcPr>
            <w:tcW w:w="2098" w:type="dxa"/>
            <w:tcBorders>
              <w:top w:val="single" w:sz="2" w:space="0" w:color="auto"/>
              <w:left w:val="single" w:sz="2" w:space="0" w:color="auto"/>
              <w:bottom w:val="single" w:sz="2" w:space="0" w:color="auto"/>
              <w:right w:val="single" w:sz="2" w:space="0" w:color="auto"/>
            </w:tcBorders>
            <w:vAlign w:val="center"/>
          </w:tcPr>
          <w:p w14:paraId="0FB93D9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452AA04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4C8DF4C5"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2C17C3E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李少波</w:t>
            </w:r>
          </w:p>
        </w:tc>
        <w:tc>
          <w:tcPr>
            <w:tcW w:w="1814" w:type="dxa"/>
            <w:tcBorders>
              <w:top w:val="single" w:sz="2" w:space="0" w:color="auto"/>
              <w:left w:val="single" w:sz="2" w:space="0" w:color="auto"/>
              <w:bottom w:val="single" w:sz="2" w:space="0" w:color="auto"/>
              <w:right w:val="single" w:sz="2" w:space="0" w:color="auto"/>
            </w:tcBorders>
            <w:vAlign w:val="center"/>
          </w:tcPr>
          <w:p w14:paraId="1F197A5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总经理</w:t>
            </w:r>
          </w:p>
        </w:tc>
        <w:tc>
          <w:tcPr>
            <w:tcW w:w="1814" w:type="dxa"/>
            <w:tcBorders>
              <w:top w:val="single" w:sz="2" w:space="0" w:color="auto"/>
              <w:left w:val="single" w:sz="2" w:space="0" w:color="auto"/>
              <w:bottom w:val="single" w:sz="2" w:space="0" w:color="auto"/>
              <w:right w:val="single" w:sz="2" w:space="0" w:color="auto"/>
            </w:tcBorders>
            <w:vAlign w:val="center"/>
          </w:tcPr>
          <w:p w14:paraId="1D0D130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任期满离任</w:t>
            </w:r>
          </w:p>
        </w:tc>
        <w:tc>
          <w:tcPr>
            <w:tcW w:w="2098" w:type="dxa"/>
            <w:tcBorders>
              <w:top w:val="single" w:sz="2" w:space="0" w:color="auto"/>
              <w:left w:val="single" w:sz="2" w:space="0" w:color="auto"/>
              <w:bottom w:val="single" w:sz="2" w:space="0" w:color="auto"/>
              <w:right w:val="single" w:sz="2" w:space="0" w:color="auto"/>
            </w:tcBorders>
            <w:vAlign w:val="center"/>
          </w:tcPr>
          <w:p w14:paraId="3790DF5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3DAC9AB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r w:rsidR="00C57E60" w14:paraId="367312A1" w14:textId="77777777">
        <w:trPr>
          <w:trHeight w:val="240"/>
        </w:trPr>
        <w:tc>
          <w:tcPr>
            <w:tcW w:w="2098" w:type="dxa"/>
            <w:tcBorders>
              <w:top w:val="single" w:sz="2" w:space="0" w:color="auto"/>
              <w:left w:val="single" w:sz="2" w:space="0" w:color="auto"/>
              <w:bottom w:val="single" w:sz="2" w:space="0" w:color="auto"/>
              <w:right w:val="single" w:sz="2" w:space="0" w:color="auto"/>
            </w:tcBorders>
            <w:vAlign w:val="center"/>
          </w:tcPr>
          <w:p w14:paraId="4559706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蔡建文</w:t>
            </w:r>
          </w:p>
        </w:tc>
        <w:tc>
          <w:tcPr>
            <w:tcW w:w="1814" w:type="dxa"/>
            <w:tcBorders>
              <w:top w:val="single" w:sz="2" w:space="0" w:color="auto"/>
              <w:left w:val="single" w:sz="2" w:space="0" w:color="auto"/>
              <w:bottom w:val="single" w:sz="2" w:space="0" w:color="auto"/>
              <w:right w:val="single" w:sz="2" w:space="0" w:color="auto"/>
            </w:tcBorders>
            <w:vAlign w:val="center"/>
          </w:tcPr>
          <w:p w14:paraId="79FF40B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副总经理</w:t>
            </w:r>
          </w:p>
        </w:tc>
        <w:tc>
          <w:tcPr>
            <w:tcW w:w="1814" w:type="dxa"/>
            <w:tcBorders>
              <w:top w:val="single" w:sz="2" w:space="0" w:color="auto"/>
              <w:left w:val="single" w:sz="2" w:space="0" w:color="auto"/>
              <w:bottom w:val="single" w:sz="2" w:space="0" w:color="auto"/>
              <w:right w:val="single" w:sz="2" w:space="0" w:color="auto"/>
            </w:tcBorders>
            <w:vAlign w:val="center"/>
          </w:tcPr>
          <w:p w14:paraId="679FD3D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任期满离任</w:t>
            </w:r>
          </w:p>
        </w:tc>
        <w:tc>
          <w:tcPr>
            <w:tcW w:w="2098" w:type="dxa"/>
            <w:tcBorders>
              <w:top w:val="single" w:sz="2" w:space="0" w:color="auto"/>
              <w:left w:val="single" w:sz="2" w:space="0" w:color="auto"/>
              <w:bottom w:val="single" w:sz="2" w:space="0" w:color="auto"/>
              <w:right w:val="single" w:sz="2" w:space="0" w:color="auto"/>
            </w:tcBorders>
            <w:vAlign w:val="center"/>
          </w:tcPr>
          <w:p w14:paraId="168FAE8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1814" w:type="dxa"/>
            <w:tcBorders>
              <w:top w:val="single" w:sz="2" w:space="0" w:color="auto"/>
              <w:left w:val="single" w:sz="2" w:space="0" w:color="auto"/>
              <w:bottom w:val="single" w:sz="2" w:space="0" w:color="auto"/>
              <w:right w:val="single" w:sz="2" w:space="0" w:color="auto"/>
            </w:tcBorders>
            <w:vAlign w:val="center"/>
          </w:tcPr>
          <w:p w14:paraId="2CB5F06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换届</w:t>
            </w:r>
          </w:p>
        </w:tc>
      </w:tr>
    </w:tbl>
    <w:p w14:paraId="7F2FE536" w14:textId="77777777" w:rsidR="00113A51" w:rsidRDefault="00766EC7">
      <w:pPr>
        <w:pStyle w:val="3"/>
        <w:spacing w:line="280" w:lineRule="exact"/>
        <w:jc w:val="left"/>
        <w:rPr>
          <w:rFonts w:ascii="宋体" w:hAnsi="宋体" w:cs="宋体"/>
          <w:b/>
          <w:bCs/>
        </w:rPr>
      </w:pPr>
      <w:bookmarkStart w:id="69" w:name="_Toc988948"/>
      <w:r>
        <w:rPr>
          <w:rFonts w:ascii="宋体" w:hAnsi="宋体" w:cs="宋体"/>
          <w:b/>
          <w:bCs/>
        </w:rPr>
        <w:t>2、任职情况</w:t>
      </w:r>
      <w:bookmarkEnd w:id="69"/>
    </w:p>
    <w:p w14:paraId="078CA21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公司现任董事、高级管理人员专业背景、主要工作经历以及目前在公司的主要职责</w:t>
      </w:r>
    </w:p>
    <w:p w14:paraId="11C86C88" w14:textId="77777777" w:rsidR="00113A51" w:rsidRDefault="00766EC7">
      <w:pPr>
        <w:pStyle w:val="a9"/>
        <w:spacing w:before="120" w:beforeAutospacing="0" w:after="120" w:afterAutospacing="0" w:line="360" w:lineRule="auto"/>
        <w:ind w:firstLine="482"/>
        <w:jc w:val="both"/>
        <w:rPr>
          <w:rFonts w:ascii="Times New Roman" w:hAnsi="Times New Roman" w:cs="Times New Roman"/>
          <w:sz w:val="21"/>
          <w:szCs w:val="21"/>
        </w:rPr>
      </w:pPr>
      <w:r>
        <w:rPr>
          <w:rStyle w:val="aa"/>
          <w:rFonts w:ascii="Times New Roman" w:hAnsi="Times New Roman" w:cs="Times New Roman" w:hint="eastAsia"/>
          <w:sz w:val="21"/>
        </w:rPr>
        <w:t>（</w:t>
      </w:r>
      <w:r>
        <w:rPr>
          <w:rStyle w:val="aa"/>
          <w:rFonts w:ascii="Times New Roman" w:hAnsi="Times New Roman" w:cs="Times New Roman" w:hint="eastAsia"/>
          <w:sz w:val="21"/>
        </w:rPr>
        <w:t>1</w:t>
      </w:r>
      <w:r>
        <w:rPr>
          <w:rStyle w:val="aa"/>
          <w:rFonts w:ascii="Times New Roman" w:hAnsi="Times New Roman" w:cs="Times New Roman" w:hint="eastAsia"/>
          <w:sz w:val="21"/>
        </w:rPr>
        <w:t>）公司现任董事任职情况：</w:t>
      </w:r>
    </w:p>
    <w:p w14:paraId="0BDD1A44"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李少波先生，中国国籍，</w:t>
      </w:r>
      <w:r>
        <w:rPr>
          <w:rFonts w:ascii="Times New Roman" w:hAnsi="Times New Roman" w:cs="Times New Roman"/>
          <w:sz w:val="21"/>
        </w:rPr>
        <w:t>1965</w:t>
      </w:r>
      <w:r>
        <w:rPr>
          <w:rFonts w:ascii="Times New Roman" w:hAnsi="Times New Roman" w:cs="Times New Roman" w:hint="eastAsia"/>
          <w:sz w:val="21"/>
        </w:rPr>
        <w:t>年出生，无境外永久居留权，毕业于中南大学湘雅医学院，获预防医学硕士学位，中欧国际工商学院</w:t>
      </w:r>
      <w:r>
        <w:rPr>
          <w:rFonts w:ascii="Times New Roman" w:hAnsi="Times New Roman" w:cs="Times New Roman"/>
          <w:sz w:val="21"/>
        </w:rPr>
        <w:t>EMBA</w:t>
      </w:r>
      <w:r>
        <w:rPr>
          <w:rFonts w:ascii="Times New Roman" w:hAnsi="Times New Roman" w:cs="Times New Roman" w:hint="eastAsia"/>
          <w:sz w:val="21"/>
        </w:rPr>
        <w:t>，清华大学五道口金融学院</w:t>
      </w:r>
      <w:r>
        <w:rPr>
          <w:rFonts w:ascii="Times New Roman" w:hAnsi="Times New Roman" w:cs="Times New Roman"/>
          <w:sz w:val="21"/>
        </w:rPr>
        <w:t>EMBA</w:t>
      </w:r>
      <w:r>
        <w:rPr>
          <w:rFonts w:ascii="Times New Roman" w:hAnsi="Times New Roman" w:cs="Times New Roman" w:hint="eastAsia"/>
          <w:sz w:val="21"/>
        </w:rPr>
        <w:t>，</w:t>
      </w:r>
      <w:r>
        <w:rPr>
          <w:rFonts w:ascii="Times New Roman" w:hAnsi="Times New Roman" w:cs="Times New Roman"/>
          <w:sz w:val="21"/>
        </w:rPr>
        <w:t>2021</w:t>
      </w:r>
      <w:r>
        <w:rPr>
          <w:rFonts w:ascii="Times New Roman" w:hAnsi="Times New Roman" w:cs="Times New Roman" w:hint="eastAsia"/>
          <w:sz w:val="21"/>
        </w:rPr>
        <w:t>年荣获国家科学技术进步二等奖。李少波先生自</w:t>
      </w:r>
      <w:r>
        <w:rPr>
          <w:rFonts w:ascii="Times New Roman" w:hAnsi="Times New Roman" w:cs="Times New Roman"/>
          <w:sz w:val="21"/>
        </w:rPr>
        <w:t>2002</w:t>
      </w:r>
      <w:r>
        <w:rPr>
          <w:rFonts w:ascii="Times New Roman" w:hAnsi="Times New Roman" w:cs="Times New Roman" w:hint="eastAsia"/>
          <w:sz w:val="21"/>
        </w:rPr>
        <w:t>年</w:t>
      </w:r>
      <w:r>
        <w:rPr>
          <w:rFonts w:ascii="Times New Roman" w:hAnsi="Times New Roman" w:cs="Times New Roman"/>
          <w:sz w:val="21"/>
        </w:rPr>
        <w:t>8</w:t>
      </w:r>
      <w:r>
        <w:rPr>
          <w:rFonts w:ascii="Times New Roman" w:hAnsi="Times New Roman" w:cs="Times New Roman" w:hint="eastAsia"/>
          <w:sz w:val="21"/>
        </w:rPr>
        <w:t>月至</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先后任长沙三诺生物传感技术有限公司（公司前身）执行董事及三诺生物董事长、总经理。现任公司董事长，深圳市三诺健康产业发展有限公司执行董事、总经理，三诺生物（香港）有限公司执行董事，长沙心诺健康产业投资有限公司董事长、总经理，</w:t>
      </w:r>
      <w:r>
        <w:rPr>
          <w:rFonts w:ascii="Times New Roman" w:hAnsi="Times New Roman" w:cs="Times New Roman"/>
          <w:sz w:val="21"/>
        </w:rPr>
        <w:t>Polymer Technology Systems, Inc.</w:t>
      </w:r>
      <w:r>
        <w:rPr>
          <w:rFonts w:ascii="Times New Roman" w:hAnsi="Times New Roman" w:cs="Times New Roman" w:hint="eastAsia"/>
          <w:sz w:val="21"/>
        </w:rPr>
        <w:t>董事长，</w:t>
      </w:r>
      <w:r>
        <w:rPr>
          <w:rFonts w:ascii="Times New Roman" w:hAnsi="Times New Roman" w:cs="Times New Roman"/>
          <w:sz w:val="21"/>
        </w:rPr>
        <w:t>Trividia Health, Inc.</w:t>
      </w:r>
      <w:r>
        <w:rPr>
          <w:rFonts w:ascii="Times New Roman" w:hAnsi="Times New Roman" w:cs="Times New Roman" w:hint="eastAsia"/>
          <w:sz w:val="21"/>
        </w:rPr>
        <w:t>董事长。</w:t>
      </w:r>
    </w:p>
    <w:p w14:paraId="5DCE4F60" w14:textId="77777777" w:rsidR="00113A51" w:rsidRDefault="00766EC7">
      <w:pPr>
        <w:pStyle w:val="a9"/>
        <w:spacing w:before="5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李心一女士，中国国籍，</w:t>
      </w:r>
      <w:r>
        <w:rPr>
          <w:rFonts w:ascii="Times New Roman" w:hAnsi="Times New Roman" w:cs="Times New Roman"/>
          <w:sz w:val="21"/>
        </w:rPr>
        <w:t>1990</w:t>
      </w:r>
      <w:r>
        <w:rPr>
          <w:rFonts w:ascii="Times New Roman" w:hAnsi="Times New Roman" w:cs="Times New Roman" w:hint="eastAsia"/>
          <w:sz w:val="21"/>
        </w:rPr>
        <w:t>年出生，无境外永久居留权，麦吉尔大学管理学硕士，湖南省三诺糖尿病公益基金会主要发起人、理事长。</w:t>
      </w:r>
      <w:r>
        <w:rPr>
          <w:rFonts w:ascii="Times New Roman" w:hAnsi="Times New Roman" w:cs="Times New Roman"/>
          <w:sz w:val="21"/>
        </w:rPr>
        <w:t>2020</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月至</w:t>
      </w:r>
      <w:r>
        <w:rPr>
          <w:rFonts w:ascii="Times New Roman" w:hAnsi="Times New Roman" w:cs="Times New Roman"/>
          <w:sz w:val="21"/>
        </w:rPr>
        <w:t>2024</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月，任浙江诺特健康科技股份有限公司董事。</w:t>
      </w:r>
      <w:r>
        <w:rPr>
          <w:rFonts w:ascii="Times New Roman" w:hAnsi="Times New Roman" w:cs="Times New Roman"/>
          <w:sz w:val="21"/>
        </w:rPr>
        <w:t>2019</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月至今担任北京糖护科技有限公司董事，</w:t>
      </w:r>
      <w:r>
        <w:rPr>
          <w:rFonts w:ascii="Times New Roman" w:hAnsi="Times New Roman" w:cs="Times New Roman"/>
          <w:sz w:val="21"/>
        </w:rPr>
        <w:t>2019</w:t>
      </w:r>
      <w:r>
        <w:rPr>
          <w:rFonts w:ascii="Times New Roman" w:hAnsi="Times New Roman" w:cs="Times New Roman" w:hint="eastAsia"/>
          <w:sz w:val="21"/>
        </w:rPr>
        <w:t>年</w:t>
      </w:r>
      <w:r>
        <w:rPr>
          <w:rFonts w:ascii="Times New Roman" w:hAnsi="Times New Roman" w:cs="Times New Roman"/>
          <w:sz w:val="21"/>
        </w:rPr>
        <w:t>11</w:t>
      </w:r>
      <w:r>
        <w:rPr>
          <w:rFonts w:ascii="Times New Roman" w:hAnsi="Times New Roman" w:cs="Times New Roman" w:hint="eastAsia"/>
          <w:sz w:val="21"/>
        </w:rPr>
        <w:t>月至今担任三诺健康管理有限公司执行董事，</w:t>
      </w:r>
      <w:r>
        <w:rPr>
          <w:rFonts w:ascii="Times New Roman" w:hAnsi="Times New Roman" w:cs="Times New Roman"/>
          <w:sz w:val="21"/>
        </w:rPr>
        <w:t>2021</w:t>
      </w:r>
      <w:r>
        <w:rPr>
          <w:rFonts w:ascii="Times New Roman" w:hAnsi="Times New Roman" w:cs="Times New Roman" w:hint="eastAsia"/>
          <w:sz w:val="21"/>
        </w:rPr>
        <w:t>年</w:t>
      </w:r>
      <w:r>
        <w:rPr>
          <w:rFonts w:ascii="Times New Roman" w:hAnsi="Times New Roman" w:cs="Times New Roman"/>
          <w:sz w:val="21"/>
        </w:rPr>
        <w:t>2</w:t>
      </w:r>
      <w:r>
        <w:rPr>
          <w:rFonts w:ascii="Times New Roman" w:hAnsi="Times New Roman" w:cs="Times New Roman" w:hint="eastAsia"/>
          <w:sz w:val="21"/>
        </w:rPr>
        <w:t>月至今担任上海医药大健康云商股份有限公司监事，</w:t>
      </w:r>
      <w:r>
        <w:rPr>
          <w:rFonts w:ascii="Times New Roman" w:hAnsi="Times New Roman" w:cs="Times New Roman"/>
          <w:sz w:val="21"/>
        </w:rPr>
        <w:t>2022</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月至今担任公司副董事长，</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月起担任公司总经理。</w:t>
      </w:r>
    </w:p>
    <w:p w14:paraId="66539E6C"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车宏菁女士，中国国籍，</w:t>
      </w:r>
      <w:r>
        <w:rPr>
          <w:rFonts w:ascii="Times New Roman" w:hAnsi="Times New Roman" w:cs="Times New Roman"/>
          <w:sz w:val="21"/>
        </w:rPr>
        <w:t>1973</w:t>
      </w:r>
      <w:r>
        <w:rPr>
          <w:rFonts w:ascii="Times New Roman" w:hAnsi="Times New Roman" w:cs="Times New Roman" w:hint="eastAsia"/>
          <w:sz w:val="21"/>
        </w:rPr>
        <w:t>年出生，无境外永久居留权，毕业于北京商学院，会计师。</w:t>
      </w:r>
      <w:r>
        <w:rPr>
          <w:rFonts w:ascii="Times New Roman" w:hAnsi="Times New Roman" w:cs="Times New Roman"/>
          <w:sz w:val="21"/>
        </w:rPr>
        <w:t>1995</w:t>
      </w:r>
      <w:r>
        <w:rPr>
          <w:rFonts w:ascii="Times New Roman" w:hAnsi="Times New Roman" w:cs="Times New Roman" w:hint="eastAsia"/>
          <w:sz w:val="21"/>
        </w:rPr>
        <w:t>年</w:t>
      </w:r>
      <w:r>
        <w:rPr>
          <w:rFonts w:ascii="Times New Roman" w:hAnsi="Times New Roman" w:cs="Times New Roman"/>
          <w:sz w:val="21"/>
        </w:rPr>
        <w:t>7</w:t>
      </w:r>
      <w:r>
        <w:rPr>
          <w:rFonts w:ascii="Times New Roman" w:hAnsi="Times New Roman" w:cs="Times New Roman" w:hint="eastAsia"/>
          <w:sz w:val="21"/>
        </w:rPr>
        <w:t>月至</w:t>
      </w:r>
      <w:r>
        <w:rPr>
          <w:rFonts w:ascii="Times New Roman" w:hAnsi="Times New Roman" w:cs="Times New Roman"/>
          <w:sz w:val="21"/>
        </w:rPr>
        <w:t>2005</w:t>
      </w:r>
      <w:r>
        <w:rPr>
          <w:rFonts w:ascii="Times New Roman" w:hAnsi="Times New Roman" w:cs="Times New Roman" w:hint="eastAsia"/>
          <w:sz w:val="21"/>
        </w:rPr>
        <w:t>年</w:t>
      </w:r>
      <w:r>
        <w:rPr>
          <w:rFonts w:ascii="Times New Roman" w:hAnsi="Times New Roman" w:cs="Times New Roman"/>
          <w:sz w:val="21"/>
        </w:rPr>
        <w:t>5</w:t>
      </w:r>
      <w:r>
        <w:rPr>
          <w:rFonts w:ascii="Times New Roman" w:hAnsi="Times New Roman" w:cs="Times New Roman" w:hint="eastAsia"/>
          <w:sz w:val="21"/>
        </w:rPr>
        <w:t>月，任深圳开发科技股份有限公司会计、财务主管；</w:t>
      </w:r>
      <w:r>
        <w:rPr>
          <w:rFonts w:ascii="Times New Roman" w:hAnsi="Times New Roman" w:cs="Times New Roman"/>
          <w:sz w:val="21"/>
        </w:rPr>
        <w:t>2005</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月至</w:t>
      </w:r>
      <w:r>
        <w:rPr>
          <w:rFonts w:ascii="Times New Roman" w:hAnsi="Times New Roman" w:cs="Times New Roman"/>
          <w:sz w:val="21"/>
        </w:rPr>
        <w:t>2014</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月，任长沙三诺生物传感技术有限公司（公司前身）及三诺生物财务部经理。现任公司董事。</w:t>
      </w:r>
    </w:p>
    <w:p w14:paraId="05D5736E"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陈纪正女士，中国台湾籍，</w:t>
      </w:r>
      <w:r>
        <w:rPr>
          <w:rFonts w:ascii="Times New Roman" w:hAnsi="Times New Roman" w:cs="Times New Roman"/>
          <w:sz w:val="21"/>
        </w:rPr>
        <w:t>1976</w:t>
      </w:r>
      <w:r>
        <w:rPr>
          <w:rFonts w:ascii="Times New Roman" w:hAnsi="Times New Roman" w:cs="Times New Roman" w:hint="eastAsia"/>
          <w:sz w:val="21"/>
        </w:rPr>
        <w:t>年出生，毕业于台湾政治大学会计专业，宾夕法尼亚大学沃顿商学院杠杆收购及企业战略</w:t>
      </w:r>
      <w:r>
        <w:rPr>
          <w:rFonts w:ascii="Times New Roman" w:hAnsi="Times New Roman" w:cs="Times New Roman"/>
          <w:sz w:val="21"/>
        </w:rPr>
        <w:t>MBA</w:t>
      </w:r>
      <w:r>
        <w:rPr>
          <w:rFonts w:ascii="Times New Roman" w:hAnsi="Times New Roman" w:cs="Times New Roman" w:hint="eastAsia"/>
          <w:sz w:val="21"/>
        </w:rPr>
        <w:t>硕士双主修，注册会计师，特许金融分析师。</w:t>
      </w:r>
      <w:r>
        <w:rPr>
          <w:rFonts w:ascii="Times New Roman" w:hAnsi="Times New Roman" w:cs="Times New Roman"/>
          <w:sz w:val="21"/>
        </w:rPr>
        <w:t>2000</w:t>
      </w:r>
      <w:r>
        <w:rPr>
          <w:rFonts w:ascii="Times New Roman" w:hAnsi="Times New Roman" w:cs="Times New Roman" w:hint="eastAsia"/>
          <w:sz w:val="21"/>
        </w:rPr>
        <w:t>年</w:t>
      </w:r>
      <w:r>
        <w:rPr>
          <w:rFonts w:ascii="Times New Roman" w:hAnsi="Times New Roman" w:cs="Times New Roman"/>
          <w:sz w:val="21"/>
        </w:rPr>
        <w:t>7</w:t>
      </w:r>
      <w:r>
        <w:rPr>
          <w:rFonts w:ascii="Times New Roman" w:hAnsi="Times New Roman" w:cs="Times New Roman" w:hint="eastAsia"/>
          <w:sz w:val="21"/>
        </w:rPr>
        <w:t>月至</w:t>
      </w:r>
      <w:r>
        <w:rPr>
          <w:rFonts w:ascii="Times New Roman" w:hAnsi="Times New Roman" w:cs="Times New Roman"/>
          <w:sz w:val="21"/>
        </w:rPr>
        <w:t>2006</w:t>
      </w:r>
      <w:r>
        <w:rPr>
          <w:rFonts w:ascii="Times New Roman" w:hAnsi="Times New Roman" w:cs="Times New Roman" w:hint="eastAsia"/>
          <w:sz w:val="21"/>
        </w:rPr>
        <w:t>年</w:t>
      </w:r>
      <w:r>
        <w:rPr>
          <w:rFonts w:ascii="Times New Roman" w:hAnsi="Times New Roman" w:cs="Times New Roman"/>
          <w:sz w:val="21"/>
        </w:rPr>
        <w:t>5</w:t>
      </w:r>
      <w:r>
        <w:rPr>
          <w:rFonts w:ascii="Times New Roman" w:hAnsi="Times New Roman" w:cs="Times New Roman" w:hint="eastAsia"/>
          <w:sz w:val="21"/>
        </w:rPr>
        <w:t>月，任勤业众信会计师事务所（德勤中国台湾）审计师；</w:t>
      </w:r>
      <w:r>
        <w:rPr>
          <w:rFonts w:ascii="Times New Roman" w:hAnsi="Times New Roman" w:cs="Times New Roman"/>
          <w:sz w:val="21"/>
        </w:rPr>
        <w:t>2008</w:t>
      </w:r>
      <w:r>
        <w:rPr>
          <w:rFonts w:ascii="Times New Roman" w:hAnsi="Times New Roman" w:cs="Times New Roman" w:hint="eastAsia"/>
          <w:sz w:val="21"/>
        </w:rPr>
        <w:t>年</w:t>
      </w:r>
      <w:r>
        <w:rPr>
          <w:rFonts w:ascii="Times New Roman" w:hAnsi="Times New Roman" w:cs="Times New Roman"/>
          <w:sz w:val="21"/>
        </w:rPr>
        <w:t>10</w:t>
      </w:r>
      <w:r>
        <w:rPr>
          <w:rFonts w:ascii="Times New Roman" w:hAnsi="Times New Roman" w:cs="Times New Roman" w:hint="eastAsia"/>
          <w:sz w:val="21"/>
        </w:rPr>
        <w:t>月至</w:t>
      </w:r>
      <w:r>
        <w:rPr>
          <w:rFonts w:ascii="Times New Roman" w:hAnsi="Times New Roman" w:cs="Times New Roman"/>
          <w:sz w:val="21"/>
        </w:rPr>
        <w:t>2010</w:t>
      </w:r>
      <w:r>
        <w:rPr>
          <w:rFonts w:ascii="Times New Roman" w:hAnsi="Times New Roman" w:cs="Times New Roman" w:hint="eastAsia"/>
          <w:sz w:val="21"/>
        </w:rPr>
        <w:t>年</w:t>
      </w:r>
      <w:r>
        <w:rPr>
          <w:rFonts w:ascii="Times New Roman" w:hAnsi="Times New Roman" w:cs="Times New Roman"/>
          <w:sz w:val="21"/>
        </w:rPr>
        <w:t>10</w:t>
      </w:r>
      <w:r>
        <w:rPr>
          <w:rFonts w:ascii="Times New Roman" w:hAnsi="Times New Roman" w:cs="Times New Roman" w:hint="eastAsia"/>
          <w:sz w:val="21"/>
        </w:rPr>
        <w:t>月，任德勤美国经理；</w:t>
      </w:r>
      <w:r>
        <w:rPr>
          <w:rFonts w:ascii="Times New Roman" w:hAnsi="Times New Roman" w:cs="Times New Roman"/>
          <w:sz w:val="21"/>
        </w:rPr>
        <w:t>2011</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月至</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月，任中信证券股份有限公司投资银行联席董事、资深副总裁；</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月至</w:t>
      </w:r>
      <w:r>
        <w:rPr>
          <w:rFonts w:ascii="Times New Roman" w:hAnsi="Times New Roman" w:cs="Times New Roman"/>
          <w:sz w:val="21"/>
        </w:rPr>
        <w:t>2019</w:t>
      </w:r>
      <w:r>
        <w:rPr>
          <w:rFonts w:ascii="Times New Roman" w:hAnsi="Times New Roman" w:cs="Times New Roman" w:hint="eastAsia"/>
          <w:sz w:val="21"/>
        </w:rPr>
        <w:t>年</w:t>
      </w:r>
      <w:r>
        <w:rPr>
          <w:rFonts w:ascii="Times New Roman" w:hAnsi="Times New Roman" w:cs="Times New Roman"/>
          <w:sz w:val="21"/>
        </w:rPr>
        <w:t>9</w:t>
      </w:r>
      <w:r>
        <w:rPr>
          <w:rFonts w:ascii="Times New Roman" w:hAnsi="Times New Roman" w:cs="Times New Roman" w:hint="eastAsia"/>
          <w:sz w:val="21"/>
        </w:rPr>
        <w:t>月，任德勤咨询（北京）有限公司亚太区生物医药及健康医疗行业领导合伙人；</w:t>
      </w:r>
      <w:r>
        <w:rPr>
          <w:rFonts w:ascii="Times New Roman" w:hAnsi="Times New Roman" w:cs="Times New Roman"/>
          <w:sz w:val="21"/>
        </w:rPr>
        <w:t>2020</w:t>
      </w:r>
      <w:r>
        <w:rPr>
          <w:rFonts w:ascii="Times New Roman" w:hAnsi="Times New Roman" w:cs="Times New Roman" w:hint="eastAsia"/>
          <w:sz w:val="21"/>
        </w:rPr>
        <w:t>年</w:t>
      </w:r>
      <w:r>
        <w:rPr>
          <w:rFonts w:ascii="Times New Roman" w:hAnsi="Times New Roman" w:cs="Times New Roman"/>
          <w:sz w:val="21"/>
        </w:rPr>
        <w:t>9</w:t>
      </w:r>
      <w:r>
        <w:rPr>
          <w:rFonts w:ascii="Times New Roman" w:hAnsi="Times New Roman" w:cs="Times New Roman" w:hint="eastAsia"/>
          <w:sz w:val="21"/>
        </w:rPr>
        <w:t>月至</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7</w:t>
      </w:r>
      <w:r>
        <w:rPr>
          <w:rFonts w:ascii="Times New Roman" w:hAnsi="Times New Roman" w:cs="Times New Roman" w:hint="eastAsia"/>
          <w:sz w:val="21"/>
        </w:rPr>
        <w:t>月，历任杭州索元生物医药股份有限公司董事、首席财务官、董事会秘书。现任公司独立董事。</w:t>
      </w:r>
    </w:p>
    <w:p w14:paraId="195AB8D4"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sz w:val="21"/>
        </w:rPr>
        <w:t>Jianyou Tan</w:t>
      </w:r>
      <w:r>
        <w:rPr>
          <w:rFonts w:ascii="Times New Roman" w:hAnsi="Times New Roman" w:cs="Times New Roman" w:hint="eastAsia"/>
          <w:sz w:val="21"/>
        </w:rPr>
        <w:t>（谭建友）先生，美国国籍，</w:t>
      </w:r>
      <w:r>
        <w:rPr>
          <w:rFonts w:ascii="Times New Roman" w:hAnsi="Times New Roman" w:cs="Times New Roman"/>
          <w:sz w:val="21"/>
        </w:rPr>
        <w:t>1963</w:t>
      </w:r>
      <w:r>
        <w:rPr>
          <w:rFonts w:ascii="Times New Roman" w:hAnsi="Times New Roman" w:cs="Times New Roman" w:hint="eastAsia"/>
          <w:sz w:val="21"/>
        </w:rPr>
        <w:t>年出生，博士学位，持美国医师执照、外籍医师来华行医执照，曾获第十七届全美杰出亚裔商界精英大奖。</w:t>
      </w:r>
      <w:r>
        <w:rPr>
          <w:rFonts w:ascii="Times New Roman" w:hAnsi="Times New Roman" w:cs="Times New Roman"/>
          <w:sz w:val="21"/>
        </w:rPr>
        <w:t>2007</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月至</w:t>
      </w:r>
      <w:r>
        <w:rPr>
          <w:rFonts w:ascii="Times New Roman" w:hAnsi="Times New Roman" w:cs="Times New Roman"/>
          <w:sz w:val="21"/>
        </w:rPr>
        <w:t>2009</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月，担任美国</w:t>
      </w:r>
      <w:r>
        <w:rPr>
          <w:rFonts w:ascii="Times New Roman" w:hAnsi="Times New Roman" w:cs="Times New Roman"/>
          <w:sz w:val="21"/>
        </w:rPr>
        <w:t>GenePath</w:t>
      </w:r>
      <w:r>
        <w:rPr>
          <w:rFonts w:ascii="Times New Roman" w:hAnsi="Times New Roman" w:cs="Times New Roman" w:hint="eastAsia"/>
          <w:sz w:val="21"/>
        </w:rPr>
        <w:t>公司医务主管及外科病理主任。</w:t>
      </w:r>
      <w:r>
        <w:rPr>
          <w:rFonts w:ascii="Times New Roman" w:hAnsi="Times New Roman" w:cs="Times New Roman"/>
          <w:sz w:val="21"/>
        </w:rPr>
        <w:t>2009</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月至今担任美国</w:t>
      </w:r>
      <w:r>
        <w:rPr>
          <w:rFonts w:ascii="Times New Roman" w:hAnsi="Times New Roman" w:cs="Times New Roman"/>
          <w:sz w:val="21"/>
        </w:rPr>
        <w:t>NewPath Diagnostics</w:t>
      </w:r>
      <w:r>
        <w:rPr>
          <w:rFonts w:ascii="Times New Roman" w:hAnsi="Times New Roman" w:cs="Times New Roman" w:hint="eastAsia"/>
          <w:sz w:val="21"/>
        </w:rPr>
        <w:t>公司总裁和合伙人，</w:t>
      </w:r>
      <w:r>
        <w:rPr>
          <w:rFonts w:ascii="Times New Roman" w:hAnsi="Times New Roman" w:cs="Times New Roman"/>
          <w:sz w:val="21"/>
        </w:rPr>
        <w:t>2018</w:t>
      </w:r>
      <w:r>
        <w:rPr>
          <w:rFonts w:ascii="Times New Roman" w:hAnsi="Times New Roman" w:cs="Times New Roman" w:hint="eastAsia"/>
          <w:sz w:val="21"/>
        </w:rPr>
        <w:t>年</w:t>
      </w:r>
      <w:r>
        <w:rPr>
          <w:rFonts w:ascii="Times New Roman" w:hAnsi="Times New Roman" w:cs="Times New Roman"/>
          <w:sz w:val="21"/>
        </w:rPr>
        <w:t>10</w:t>
      </w:r>
      <w:r>
        <w:rPr>
          <w:rFonts w:ascii="Times New Roman" w:hAnsi="Times New Roman" w:cs="Times New Roman" w:hint="eastAsia"/>
          <w:sz w:val="21"/>
        </w:rPr>
        <w:t>月至今担任湖南新途医学诊断技术有限责任公司首席执行官及合伙人。现任公司独立董事。</w:t>
      </w:r>
    </w:p>
    <w:p w14:paraId="40EA5961"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sz w:val="21"/>
        </w:rPr>
        <w:t>Zhenqi Liu</w:t>
      </w:r>
      <w:r>
        <w:rPr>
          <w:rFonts w:ascii="Times New Roman" w:hAnsi="Times New Roman" w:cs="Times New Roman" w:hint="eastAsia"/>
          <w:sz w:val="21"/>
        </w:rPr>
        <w:t>（刘振启）先生，美国国籍，</w:t>
      </w:r>
      <w:r>
        <w:rPr>
          <w:rFonts w:ascii="Times New Roman" w:hAnsi="Times New Roman" w:cs="Times New Roman"/>
          <w:sz w:val="21"/>
        </w:rPr>
        <w:t>1963</w:t>
      </w:r>
      <w:r>
        <w:rPr>
          <w:rFonts w:ascii="Times New Roman" w:hAnsi="Times New Roman" w:cs="Times New Roman" w:hint="eastAsia"/>
          <w:sz w:val="21"/>
        </w:rPr>
        <w:t>年出生，毕业于中南大学湘雅医学院，获医学学士学位、内分泌学硕士学位。后赴美国留学，获得美国医学博士评定证书，曾在美国耶鲁大学、弗吉尼亚大学和华盛顿医院中心等大学和医院接受博士后和临床培训。美国内分泌专业执照医生、教授。《内分泌学会杂志》（</w:t>
      </w:r>
      <w:r>
        <w:rPr>
          <w:rFonts w:ascii="Times New Roman" w:hAnsi="Times New Roman" w:cs="Times New Roman"/>
          <w:sz w:val="21"/>
        </w:rPr>
        <w:t>JES</w:t>
      </w:r>
      <w:r>
        <w:rPr>
          <w:rFonts w:ascii="Times New Roman" w:hAnsi="Times New Roman" w:cs="Times New Roman" w:hint="eastAsia"/>
          <w:sz w:val="21"/>
        </w:rPr>
        <w:t>）副主编，美国糖尿病学会（</w:t>
      </w:r>
      <w:r>
        <w:rPr>
          <w:rFonts w:ascii="Times New Roman" w:hAnsi="Times New Roman" w:cs="Times New Roman"/>
          <w:sz w:val="21"/>
        </w:rPr>
        <w:t>ADA</w:t>
      </w:r>
      <w:r>
        <w:rPr>
          <w:rFonts w:ascii="Times New Roman" w:hAnsi="Times New Roman" w:cs="Times New Roman" w:hint="eastAsia"/>
          <w:sz w:val="21"/>
        </w:rPr>
        <w:t>）营养科学和代谢兴趣小组组长。</w:t>
      </w:r>
      <w:r>
        <w:rPr>
          <w:rFonts w:ascii="Times New Roman" w:hAnsi="Times New Roman" w:cs="Times New Roman"/>
          <w:sz w:val="21"/>
        </w:rPr>
        <w:t>2000</w:t>
      </w:r>
      <w:r>
        <w:rPr>
          <w:rFonts w:ascii="Times New Roman" w:hAnsi="Times New Roman" w:cs="Times New Roman" w:hint="eastAsia"/>
          <w:sz w:val="21"/>
        </w:rPr>
        <w:t>年</w:t>
      </w:r>
      <w:r>
        <w:rPr>
          <w:rFonts w:ascii="Times New Roman" w:hAnsi="Times New Roman" w:cs="Times New Roman"/>
          <w:sz w:val="21"/>
        </w:rPr>
        <w:t>7</w:t>
      </w:r>
      <w:r>
        <w:rPr>
          <w:rFonts w:ascii="Times New Roman" w:hAnsi="Times New Roman" w:cs="Times New Roman" w:hint="eastAsia"/>
          <w:sz w:val="21"/>
        </w:rPr>
        <w:t>月至</w:t>
      </w:r>
      <w:r>
        <w:rPr>
          <w:rFonts w:ascii="Times New Roman" w:hAnsi="Times New Roman" w:cs="Times New Roman"/>
          <w:sz w:val="21"/>
        </w:rPr>
        <w:t>2012</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月，历任美国弗吉尼亚大学助理教授、副教授；</w:t>
      </w:r>
      <w:r>
        <w:rPr>
          <w:rFonts w:ascii="Times New Roman" w:hAnsi="Times New Roman" w:cs="Times New Roman"/>
          <w:sz w:val="21"/>
        </w:rPr>
        <w:t>2012</w:t>
      </w:r>
      <w:r>
        <w:rPr>
          <w:rFonts w:ascii="Times New Roman" w:hAnsi="Times New Roman" w:cs="Times New Roman" w:hint="eastAsia"/>
          <w:sz w:val="21"/>
        </w:rPr>
        <w:t>年</w:t>
      </w:r>
      <w:r>
        <w:rPr>
          <w:rFonts w:ascii="Times New Roman" w:hAnsi="Times New Roman" w:cs="Times New Roman"/>
          <w:sz w:val="21"/>
        </w:rPr>
        <w:t>7</w:t>
      </w:r>
      <w:r>
        <w:rPr>
          <w:rFonts w:ascii="Times New Roman" w:hAnsi="Times New Roman" w:cs="Times New Roman" w:hint="eastAsia"/>
          <w:sz w:val="21"/>
        </w:rPr>
        <w:t>月至今担任美国弗吉尼亚大学教授。现任公司独立董事。</w:t>
      </w:r>
    </w:p>
    <w:p w14:paraId="4585F6A6"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黄绍波先生，中国国籍，</w:t>
      </w:r>
      <w:r>
        <w:rPr>
          <w:rFonts w:ascii="Times New Roman" w:hAnsi="Times New Roman" w:cs="Times New Roman"/>
          <w:sz w:val="21"/>
        </w:rPr>
        <w:t>1984</w:t>
      </w:r>
      <w:r>
        <w:rPr>
          <w:rFonts w:ascii="Times New Roman" w:hAnsi="Times New Roman" w:cs="Times New Roman" w:hint="eastAsia"/>
          <w:sz w:val="21"/>
        </w:rPr>
        <w:t>年出生，无境外永久居留权，研究生学历，毕业于湖南大学工业工程专业，湖南大学工商管理硕士（</w:t>
      </w:r>
      <w:r>
        <w:rPr>
          <w:rFonts w:ascii="Times New Roman" w:hAnsi="Times New Roman" w:cs="Times New Roman"/>
          <w:sz w:val="21"/>
        </w:rPr>
        <w:t>MBA</w:t>
      </w:r>
      <w:r>
        <w:rPr>
          <w:rFonts w:ascii="Times New Roman" w:hAnsi="Times New Roman" w:cs="Times New Roman" w:hint="eastAsia"/>
          <w:sz w:val="21"/>
        </w:rPr>
        <w:t>），中国注册会计师（非执业会员）。曾任深超光电（深圳）有限公司</w:t>
      </w:r>
      <w:r>
        <w:rPr>
          <w:rFonts w:ascii="Times New Roman" w:hAnsi="Times New Roman" w:cs="Times New Roman"/>
          <w:sz w:val="21"/>
        </w:rPr>
        <w:t>CELL</w:t>
      </w:r>
      <w:r>
        <w:rPr>
          <w:rFonts w:ascii="Times New Roman" w:hAnsi="Times New Roman" w:cs="Times New Roman" w:hint="eastAsia"/>
          <w:sz w:val="21"/>
        </w:rPr>
        <w:t>厂制造工程师，湖南三一路面机械有限公司总经办督办经理、上海三一科技有限公司总经办督办经理，楚天科技股份有限公司审计部审计师；</w:t>
      </w:r>
      <w:r>
        <w:rPr>
          <w:rFonts w:ascii="Times New Roman" w:hAnsi="Times New Roman" w:cs="Times New Roman"/>
          <w:sz w:val="21"/>
        </w:rPr>
        <w:t>2016</w:t>
      </w:r>
      <w:r>
        <w:rPr>
          <w:rFonts w:ascii="Times New Roman" w:hAnsi="Times New Roman" w:cs="Times New Roman" w:hint="eastAsia"/>
          <w:sz w:val="21"/>
        </w:rPr>
        <w:t>年</w:t>
      </w:r>
      <w:r>
        <w:rPr>
          <w:rFonts w:ascii="Times New Roman" w:hAnsi="Times New Roman" w:cs="Times New Roman"/>
          <w:sz w:val="21"/>
        </w:rPr>
        <w:t>2</w:t>
      </w:r>
      <w:r>
        <w:rPr>
          <w:rFonts w:ascii="Times New Roman" w:hAnsi="Times New Roman" w:cs="Times New Roman" w:hint="eastAsia"/>
          <w:sz w:val="21"/>
        </w:rPr>
        <w:t>月至</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月，任公司审计主管；</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月至</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月，任公司职工代表监事。</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月至今担任公司风险合规与审计部高级经理。现任公司职工代表董事。</w:t>
      </w:r>
    </w:p>
    <w:p w14:paraId="54CBEAE7" w14:textId="77777777" w:rsidR="00113A51" w:rsidRDefault="00766EC7">
      <w:pPr>
        <w:pStyle w:val="a9"/>
        <w:spacing w:before="120" w:beforeAutospacing="0" w:after="120" w:afterAutospacing="0" w:line="360" w:lineRule="auto"/>
        <w:ind w:firstLine="482"/>
        <w:jc w:val="both"/>
        <w:rPr>
          <w:rFonts w:ascii="Times New Roman" w:hAnsi="Times New Roman" w:cs="Times New Roman"/>
          <w:sz w:val="21"/>
          <w:szCs w:val="21"/>
        </w:rPr>
      </w:pPr>
      <w:r>
        <w:rPr>
          <w:rStyle w:val="aa"/>
          <w:rFonts w:ascii="Times New Roman" w:hAnsi="Times New Roman" w:cs="Times New Roman" w:hint="eastAsia"/>
          <w:sz w:val="21"/>
        </w:rPr>
        <w:t>（</w:t>
      </w:r>
      <w:r>
        <w:rPr>
          <w:rStyle w:val="aa"/>
          <w:rFonts w:ascii="Times New Roman" w:hAnsi="Times New Roman" w:cs="Times New Roman" w:hint="eastAsia"/>
          <w:sz w:val="21"/>
        </w:rPr>
        <w:t>2</w:t>
      </w:r>
      <w:r>
        <w:rPr>
          <w:rStyle w:val="aa"/>
          <w:rFonts w:ascii="Times New Roman" w:hAnsi="Times New Roman" w:cs="Times New Roman" w:hint="eastAsia"/>
          <w:sz w:val="21"/>
        </w:rPr>
        <w:t>）公司现任高级管理人员任职情况：</w:t>
      </w:r>
    </w:p>
    <w:p w14:paraId="7EDBEF6D"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李心一女士，现任公司副董事长、总经理，请参见本节“（</w:t>
      </w:r>
      <w:r>
        <w:rPr>
          <w:rFonts w:ascii="Times New Roman" w:hAnsi="Times New Roman" w:cs="Times New Roman" w:hint="eastAsia"/>
          <w:sz w:val="21"/>
        </w:rPr>
        <w:t>1</w:t>
      </w:r>
      <w:r>
        <w:rPr>
          <w:rFonts w:ascii="Times New Roman" w:hAnsi="Times New Roman" w:cs="Times New Roman" w:hint="eastAsia"/>
          <w:sz w:val="21"/>
        </w:rPr>
        <w:t>）公司现任董事任职情况”。</w:t>
      </w:r>
    </w:p>
    <w:p w14:paraId="12BA62A4"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王世敏先生，中国国籍，</w:t>
      </w:r>
      <w:r>
        <w:rPr>
          <w:rFonts w:ascii="Times New Roman" w:hAnsi="Times New Roman" w:cs="Times New Roman"/>
          <w:sz w:val="21"/>
        </w:rPr>
        <w:t>1967</w:t>
      </w:r>
      <w:r>
        <w:rPr>
          <w:rFonts w:ascii="Times New Roman" w:hAnsi="Times New Roman" w:cs="Times New Roman" w:hint="eastAsia"/>
          <w:sz w:val="21"/>
        </w:rPr>
        <w:t>年出生，无境外永久居留权，湖南大学工商管理学院</w:t>
      </w:r>
      <w:r>
        <w:rPr>
          <w:rFonts w:ascii="Times New Roman" w:hAnsi="Times New Roman" w:cs="Times New Roman"/>
          <w:sz w:val="21"/>
        </w:rPr>
        <w:t>EMBA</w:t>
      </w:r>
      <w:r>
        <w:rPr>
          <w:rFonts w:ascii="Times New Roman" w:hAnsi="Times New Roman" w:cs="Times New Roman" w:hint="eastAsia"/>
          <w:sz w:val="21"/>
        </w:rPr>
        <w:t>研究生。</w:t>
      </w:r>
      <w:r>
        <w:rPr>
          <w:rFonts w:ascii="Times New Roman" w:hAnsi="Times New Roman" w:cs="Times New Roman"/>
          <w:sz w:val="21"/>
        </w:rPr>
        <w:t>1990</w:t>
      </w:r>
      <w:r>
        <w:rPr>
          <w:rFonts w:ascii="Times New Roman" w:hAnsi="Times New Roman" w:cs="Times New Roman" w:hint="eastAsia"/>
          <w:sz w:val="21"/>
        </w:rPr>
        <w:t>年</w:t>
      </w:r>
      <w:r>
        <w:rPr>
          <w:rFonts w:ascii="Times New Roman" w:hAnsi="Times New Roman" w:cs="Times New Roman"/>
          <w:sz w:val="21"/>
        </w:rPr>
        <w:t>9</w:t>
      </w:r>
      <w:r>
        <w:rPr>
          <w:rFonts w:ascii="Times New Roman" w:hAnsi="Times New Roman" w:cs="Times New Roman" w:hint="eastAsia"/>
          <w:sz w:val="21"/>
        </w:rPr>
        <w:t>月至</w:t>
      </w:r>
      <w:r>
        <w:rPr>
          <w:rFonts w:ascii="Times New Roman" w:hAnsi="Times New Roman" w:cs="Times New Roman"/>
          <w:sz w:val="21"/>
        </w:rPr>
        <w:t>1996</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月在上海石油化工股份有限公司，任技术员；</w:t>
      </w:r>
      <w:r>
        <w:rPr>
          <w:rFonts w:ascii="Times New Roman" w:hAnsi="Times New Roman" w:cs="Times New Roman"/>
          <w:sz w:val="21"/>
        </w:rPr>
        <w:t>1997</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月至</w:t>
      </w:r>
      <w:r>
        <w:rPr>
          <w:rFonts w:ascii="Times New Roman" w:hAnsi="Times New Roman" w:cs="Times New Roman"/>
          <w:sz w:val="21"/>
        </w:rPr>
        <w:t>2002</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月在英荷皇家壳牌石油化工（新加坡）分公司，任化学工艺技术员；</w:t>
      </w:r>
      <w:r>
        <w:rPr>
          <w:rFonts w:ascii="Times New Roman" w:hAnsi="Times New Roman" w:cs="Times New Roman"/>
          <w:sz w:val="21"/>
        </w:rPr>
        <w:t>2003</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月至</w:t>
      </w:r>
      <w:r>
        <w:rPr>
          <w:rFonts w:ascii="Times New Roman" w:hAnsi="Times New Roman" w:cs="Times New Roman"/>
          <w:sz w:val="21"/>
        </w:rPr>
        <w:t>2007</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月在中海壳牌石油化工有限公司，任工艺讲师；</w:t>
      </w:r>
      <w:r>
        <w:rPr>
          <w:rFonts w:ascii="Times New Roman" w:hAnsi="Times New Roman" w:cs="Times New Roman"/>
          <w:sz w:val="21"/>
        </w:rPr>
        <w:t>2007</w:t>
      </w:r>
      <w:r>
        <w:rPr>
          <w:rFonts w:ascii="Times New Roman" w:hAnsi="Times New Roman" w:cs="Times New Roman" w:hint="eastAsia"/>
          <w:sz w:val="21"/>
        </w:rPr>
        <w:t>年</w:t>
      </w:r>
      <w:r>
        <w:rPr>
          <w:rFonts w:ascii="Times New Roman" w:hAnsi="Times New Roman" w:cs="Times New Roman"/>
          <w:sz w:val="21"/>
        </w:rPr>
        <w:t>2</w:t>
      </w:r>
      <w:r>
        <w:rPr>
          <w:rFonts w:ascii="Times New Roman" w:hAnsi="Times New Roman" w:cs="Times New Roman" w:hint="eastAsia"/>
          <w:sz w:val="21"/>
        </w:rPr>
        <w:t>月至</w:t>
      </w:r>
      <w:r>
        <w:rPr>
          <w:rFonts w:ascii="Times New Roman" w:hAnsi="Times New Roman" w:cs="Times New Roman"/>
          <w:sz w:val="21"/>
        </w:rPr>
        <w:t>2007</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月在法国阿科玛化学有限公司上海工程部，任工艺工程师，负责新型氟化工常熟项目的筹建工作。</w:t>
      </w:r>
      <w:r>
        <w:rPr>
          <w:rFonts w:ascii="Times New Roman" w:hAnsi="Times New Roman" w:cs="Times New Roman"/>
          <w:sz w:val="21"/>
        </w:rPr>
        <w:t>2008</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月至</w:t>
      </w:r>
      <w:r>
        <w:rPr>
          <w:rFonts w:ascii="Times New Roman" w:hAnsi="Times New Roman" w:cs="Times New Roman"/>
          <w:sz w:val="21"/>
        </w:rPr>
        <w:t>2013</w:t>
      </w:r>
      <w:r>
        <w:rPr>
          <w:rFonts w:ascii="Times New Roman" w:hAnsi="Times New Roman" w:cs="Times New Roman" w:hint="eastAsia"/>
          <w:sz w:val="21"/>
        </w:rPr>
        <w:t>年</w:t>
      </w:r>
      <w:r>
        <w:rPr>
          <w:rFonts w:ascii="Times New Roman" w:hAnsi="Times New Roman" w:cs="Times New Roman"/>
          <w:sz w:val="21"/>
        </w:rPr>
        <w:t>9</w:t>
      </w:r>
      <w:r>
        <w:rPr>
          <w:rFonts w:ascii="Times New Roman" w:hAnsi="Times New Roman" w:cs="Times New Roman" w:hint="eastAsia"/>
          <w:sz w:val="21"/>
        </w:rPr>
        <w:t>月，任长沙三诺生物传感技术有限公司（公司前身）董事。</w:t>
      </w:r>
      <w:r>
        <w:rPr>
          <w:rFonts w:ascii="Times New Roman" w:hAnsi="Times New Roman" w:cs="Times New Roman"/>
          <w:sz w:val="21"/>
        </w:rPr>
        <w:t>2008</w:t>
      </w:r>
      <w:r>
        <w:rPr>
          <w:rFonts w:ascii="Times New Roman" w:hAnsi="Times New Roman" w:cs="Times New Roman" w:hint="eastAsia"/>
          <w:sz w:val="21"/>
        </w:rPr>
        <w:t>年</w:t>
      </w:r>
      <w:r>
        <w:rPr>
          <w:rFonts w:ascii="Times New Roman" w:hAnsi="Times New Roman" w:cs="Times New Roman"/>
          <w:sz w:val="21"/>
        </w:rPr>
        <w:t>1</w:t>
      </w:r>
      <w:r>
        <w:rPr>
          <w:rFonts w:ascii="Times New Roman" w:hAnsi="Times New Roman" w:cs="Times New Roman" w:hint="eastAsia"/>
          <w:sz w:val="21"/>
        </w:rPr>
        <w:t>月至今担任公司副总经理。</w:t>
      </w:r>
    </w:p>
    <w:p w14:paraId="6AFB535E"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彭旭明先生，中国国籍，</w:t>
      </w:r>
      <w:r>
        <w:rPr>
          <w:rFonts w:ascii="Times New Roman" w:hAnsi="Times New Roman" w:cs="Times New Roman"/>
          <w:sz w:val="21"/>
        </w:rPr>
        <w:t>1987</w:t>
      </w:r>
      <w:r>
        <w:rPr>
          <w:rFonts w:ascii="Times New Roman" w:hAnsi="Times New Roman" w:cs="Times New Roman" w:hint="eastAsia"/>
          <w:sz w:val="21"/>
        </w:rPr>
        <w:t>年出生，无境外永久居留权，本科学历，毕业于南昌大学生物技术专业。</w:t>
      </w:r>
      <w:r>
        <w:rPr>
          <w:rFonts w:ascii="Times New Roman" w:hAnsi="Times New Roman" w:cs="Times New Roman"/>
          <w:sz w:val="21"/>
        </w:rPr>
        <w:t>2009</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月加入公司，历任公司省区经理、新渠道部经理、中国消费者业务中心总经理。</w:t>
      </w:r>
      <w:r>
        <w:rPr>
          <w:rFonts w:ascii="Times New Roman" w:hAnsi="Times New Roman" w:cs="Times New Roman"/>
          <w:sz w:val="21"/>
        </w:rPr>
        <w:t>2019</w:t>
      </w:r>
      <w:r>
        <w:rPr>
          <w:rFonts w:ascii="Times New Roman" w:hAnsi="Times New Roman" w:cs="Times New Roman" w:hint="eastAsia"/>
          <w:sz w:val="21"/>
        </w:rPr>
        <w:t>年</w:t>
      </w:r>
      <w:r>
        <w:rPr>
          <w:rFonts w:ascii="Times New Roman" w:hAnsi="Times New Roman" w:cs="Times New Roman"/>
          <w:sz w:val="21"/>
        </w:rPr>
        <w:t>11</w:t>
      </w:r>
      <w:r>
        <w:rPr>
          <w:rFonts w:ascii="Times New Roman" w:hAnsi="Times New Roman" w:cs="Times New Roman" w:hint="eastAsia"/>
          <w:sz w:val="21"/>
        </w:rPr>
        <w:t>月至今担任三诺健康管理有限公司总经理，</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月至今担任东莞一测科技有限公司董事长，</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10</w:t>
      </w:r>
      <w:r>
        <w:rPr>
          <w:rFonts w:ascii="Times New Roman" w:hAnsi="Times New Roman" w:cs="Times New Roman" w:hint="eastAsia"/>
          <w:sz w:val="21"/>
        </w:rPr>
        <w:t>月至今担任公司营销中心负责人。现任公司副总经理。</w:t>
      </w:r>
    </w:p>
    <w:p w14:paraId="1A3B64C8"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郑霁耘女士，中国国籍，</w:t>
      </w:r>
      <w:r>
        <w:rPr>
          <w:rFonts w:ascii="Times New Roman" w:hAnsi="Times New Roman" w:cs="Times New Roman"/>
          <w:sz w:val="21"/>
        </w:rPr>
        <w:t>1987</w:t>
      </w:r>
      <w:r>
        <w:rPr>
          <w:rFonts w:ascii="Times New Roman" w:hAnsi="Times New Roman" w:cs="Times New Roman" w:hint="eastAsia"/>
          <w:sz w:val="21"/>
        </w:rPr>
        <w:t>年出生，拥有新加坡永久居留权，</w:t>
      </w:r>
      <w:r>
        <w:rPr>
          <w:rFonts w:ascii="Times New Roman" w:hAnsi="Times New Roman" w:cs="Times New Roman"/>
          <w:sz w:val="21"/>
        </w:rPr>
        <w:t>2011</w:t>
      </w:r>
      <w:r>
        <w:rPr>
          <w:rFonts w:ascii="Times New Roman" w:hAnsi="Times New Roman" w:cs="Times New Roman" w:hint="eastAsia"/>
          <w:sz w:val="21"/>
        </w:rPr>
        <w:t>年毕业于新加坡国立大学生物医学工程学院，获一级荣誉学士学位；</w:t>
      </w:r>
      <w:r>
        <w:rPr>
          <w:rFonts w:ascii="Times New Roman" w:hAnsi="Times New Roman" w:cs="Times New Roman"/>
          <w:sz w:val="21"/>
        </w:rPr>
        <w:t>2015</w:t>
      </w:r>
      <w:r>
        <w:rPr>
          <w:rFonts w:ascii="Times New Roman" w:hAnsi="Times New Roman" w:cs="Times New Roman" w:hint="eastAsia"/>
          <w:sz w:val="21"/>
        </w:rPr>
        <w:t>年获新加坡国立大学综合科学与工程研究生学院博士学位；生物化学高级工程师。</w:t>
      </w:r>
      <w:r>
        <w:rPr>
          <w:rFonts w:ascii="Times New Roman" w:hAnsi="Times New Roman" w:cs="Times New Roman"/>
          <w:sz w:val="21"/>
        </w:rPr>
        <w:t>2015</w:t>
      </w:r>
      <w:r>
        <w:rPr>
          <w:rFonts w:ascii="Times New Roman" w:hAnsi="Times New Roman" w:cs="Times New Roman" w:hint="eastAsia"/>
          <w:sz w:val="21"/>
        </w:rPr>
        <w:t>年</w:t>
      </w:r>
      <w:r>
        <w:rPr>
          <w:rFonts w:ascii="Times New Roman" w:hAnsi="Times New Roman" w:cs="Times New Roman"/>
          <w:sz w:val="21"/>
        </w:rPr>
        <w:t>8</w:t>
      </w:r>
      <w:r>
        <w:rPr>
          <w:rFonts w:ascii="Times New Roman" w:hAnsi="Times New Roman" w:cs="Times New Roman" w:hint="eastAsia"/>
          <w:sz w:val="21"/>
        </w:rPr>
        <w:t>月至</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10</w:t>
      </w:r>
      <w:r>
        <w:rPr>
          <w:rFonts w:ascii="Times New Roman" w:hAnsi="Times New Roman" w:cs="Times New Roman" w:hint="eastAsia"/>
          <w:sz w:val="21"/>
        </w:rPr>
        <w:t>月，任新加坡国立大学机械生物学研究院博士后研究员；</w:t>
      </w:r>
      <w:r>
        <w:rPr>
          <w:rFonts w:ascii="Times New Roman" w:hAnsi="Times New Roman" w:cs="Times New Roman"/>
          <w:sz w:val="21"/>
        </w:rPr>
        <w:t>2017</w:t>
      </w:r>
      <w:r>
        <w:rPr>
          <w:rFonts w:ascii="Times New Roman" w:hAnsi="Times New Roman" w:cs="Times New Roman" w:hint="eastAsia"/>
          <w:sz w:val="21"/>
        </w:rPr>
        <w:t>年</w:t>
      </w:r>
      <w:r>
        <w:rPr>
          <w:rFonts w:ascii="Times New Roman" w:hAnsi="Times New Roman" w:cs="Times New Roman"/>
          <w:sz w:val="21"/>
        </w:rPr>
        <w:t>11</w:t>
      </w:r>
      <w:r>
        <w:rPr>
          <w:rFonts w:ascii="Times New Roman" w:hAnsi="Times New Roman" w:cs="Times New Roman" w:hint="eastAsia"/>
          <w:sz w:val="21"/>
        </w:rPr>
        <w:t>月至</w:t>
      </w:r>
      <w:r>
        <w:rPr>
          <w:rFonts w:ascii="Times New Roman" w:hAnsi="Times New Roman" w:cs="Times New Roman"/>
          <w:sz w:val="21"/>
        </w:rPr>
        <w:t>2020</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月，任豪雅集团</w:t>
      </w:r>
      <w:r>
        <w:rPr>
          <w:rFonts w:ascii="Times New Roman" w:hAnsi="Times New Roman" w:cs="Times New Roman"/>
          <w:sz w:val="21"/>
        </w:rPr>
        <w:t>––</w:t>
      </w:r>
      <w:r>
        <w:rPr>
          <w:rFonts w:ascii="Times New Roman" w:hAnsi="Times New Roman" w:cs="Times New Roman" w:hint="eastAsia"/>
          <w:sz w:val="21"/>
        </w:rPr>
        <w:t>新加坡豪雅手术光学公司资深研发科学家；</w:t>
      </w:r>
      <w:r>
        <w:rPr>
          <w:rFonts w:ascii="Times New Roman" w:hAnsi="Times New Roman" w:cs="Times New Roman"/>
          <w:sz w:val="21"/>
        </w:rPr>
        <w:t>2020</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月至</w:t>
      </w:r>
      <w:r>
        <w:rPr>
          <w:rFonts w:ascii="Times New Roman" w:hAnsi="Times New Roman" w:cs="Times New Roman"/>
          <w:sz w:val="21"/>
        </w:rPr>
        <w:t>2022</w:t>
      </w:r>
      <w:r>
        <w:rPr>
          <w:rFonts w:ascii="Times New Roman" w:hAnsi="Times New Roman" w:cs="Times New Roman" w:hint="eastAsia"/>
          <w:sz w:val="21"/>
        </w:rPr>
        <w:t>年</w:t>
      </w:r>
      <w:r>
        <w:rPr>
          <w:rFonts w:ascii="Times New Roman" w:hAnsi="Times New Roman" w:cs="Times New Roman"/>
          <w:sz w:val="21"/>
        </w:rPr>
        <w:t>6</w:t>
      </w:r>
      <w:r>
        <w:rPr>
          <w:rFonts w:ascii="Times New Roman" w:hAnsi="Times New Roman" w:cs="Times New Roman" w:hint="eastAsia"/>
          <w:sz w:val="21"/>
        </w:rPr>
        <w:t>月，任必妥普服务（新加坡）有限公司生物相容性和微生物首席专家；</w:t>
      </w:r>
      <w:r>
        <w:rPr>
          <w:rFonts w:ascii="Times New Roman" w:hAnsi="Times New Roman" w:cs="Times New Roman"/>
          <w:sz w:val="21"/>
        </w:rPr>
        <w:t>2022</w:t>
      </w:r>
      <w:r>
        <w:rPr>
          <w:rFonts w:ascii="Times New Roman" w:hAnsi="Times New Roman" w:cs="Times New Roman" w:hint="eastAsia"/>
          <w:sz w:val="21"/>
        </w:rPr>
        <w:t>年</w:t>
      </w:r>
      <w:r>
        <w:rPr>
          <w:rFonts w:ascii="Times New Roman" w:hAnsi="Times New Roman" w:cs="Times New Roman"/>
          <w:sz w:val="21"/>
        </w:rPr>
        <w:t>7</w:t>
      </w:r>
      <w:r>
        <w:rPr>
          <w:rFonts w:ascii="Times New Roman" w:hAnsi="Times New Roman" w:cs="Times New Roman" w:hint="eastAsia"/>
          <w:sz w:val="21"/>
        </w:rPr>
        <w:t>月起至</w:t>
      </w:r>
      <w:r>
        <w:rPr>
          <w:rFonts w:ascii="Times New Roman" w:hAnsi="Times New Roman" w:cs="Times New Roman"/>
          <w:sz w:val="21"/>
        </w:rPr>
        <w:t>2023</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月，历任公司生物相容性和微生物首席专家、投关</w:t>
      </w:r>
      <w:r>
        <w:rPr>
          <w:rFonts w:ascii="Times New Roman" w:hAnsi="Times New Roman" w:cs="Times New Roman"/>
          <w:sz w:val="21"/>
        </w:rPr>
        <w:t>/</w:t>
      </w:r>
      <w:r>
        <w:rPr>
          <w:rFonts w:ascii="Times New Roman" w:hAnsi="Times New Roman" w:cs="Times New Roman" w:hint="eastAsia"/>
          <w:sz w:val="21"/>
        </w:rPr>
        <w:t>业务拓展总监。</w:t>
      </w:r>
      <w:r>
        <w:rPr>
          <w:rFonts w:ascii="Times New Roman" w:hAnsi="Times New Roman" w:cs="Times New Roman"/>
          <w:sz w:val="21"/>
        </w:rPr>
        <w:t>2023</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月至今担任公司副总经理、董事会秘书；</w:t>
      </w:r>
      <w:r>
        <w:rPr>
          <w:rFonts w:ascii="Times New Roman" w:hAnsi="Times New Roman" w:cs="Times New Roman"/>
          <w:sz w:val="21"/>
        </w:rPr>
        <w:t>2023</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月至今担任长沙心诺健康产业投资有限公司董事；</w:t>
      </w:r>
      <w:r>
        <w:rPr>
          <w:rFonts w:ascii="Times New Roman" w:hAnsi="Times New Roman" w:cs="Times New Roman"/>
          <w:sz w:val="21"/>
        </w:rPr>
        <w:t>2024</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月至今担任长沙福诺医疗科技有限公司董事长；</w:t>
      </w:r>
      <w:r>
        <w:rPr>
          <w:rFonts w:ascii="Times New Roman" w:hAnsi="Times New Roman" w:cs="Times New Roman"/>
          <w:sz w:val="21"/>
        </w:rPr>
        <w:t>2025</w:t>
      </w:r>
      <w:r>
        <w:rPr>
          <w:rFonts w:ascii="Times New Roman" w:hAnsi="Times New Roman" w:cs="Times New Roman" w:hint="eastAsia"/>
          <w:sz w:val="21"/>
        </w:rPr>
        <w:t>年</w:t>
      </w:r>
      <w:r>
        <w:rPr>
          <w:rFonts w:ascii="Times New Roman" w:hAnsi="Times New Roman" w:cs="Times New Roman"/>
          <w:sz w:val="21"/>
        </w:rPr>
        <w:t>3</w:t>
      </w:r>
      <w:r>
        <w:rPr>
          <w:rFonts w:ascii="Times New Roman" w:hAnsi="Times New Roman" w:cs="Times New Roman" w:hint="eastAsia"/>
          <w:sz w:val="21"/>
        </w:rPr>
        <w:t>月至今担任湖南乐准生物科技有限公司董事。</w:t>
      </w:r>
    </w:p>
    <w:p w14:paraId="266BBCE7" w14:textId="77777777" w:rsidR="00113A51" w:rsidRDefault="00766EC7">
      <w:pPr>
        <w:pStyle w:val="a9"/>
        <w:spacing w:before="120" w:beforeAutospacing="0" w:after="0" w:afterAutospacing="0" w:line="360" w:lineRule="auto"/>
        <w:ind w:firstLine="482"/>
        <w:jc w:val="both"/>
        <w:rPr>
          <w:rFonts w:ascii="Times New Roman" w:hAnsi="Times New Roman" w:cs="Times New Roman"/>
          <w:sz w:val="21"/>
          <w:szCs w:val="21"/>
        </w:rPr>
      </w:pPr>
      <w:r>
        <w:rPr>
          <w:rFonts w:ascii="Times New Roman" w:hAnsi="Times New Roman" w:cs="Times New Roman" w:hint="eastAsia"/>
          <w:sz w:val="21"/>
        </w:rPr>
        <w:t>何竹子先生，中国国籍，</w:t>
      </w:r>
      <w:r>
        <w:rPr>
          <w:rFonts w:ascii="Times New Roman" w:hAnsi="Times New Roman" w:cs="Times New Roman"/>
          <w:sz w:val="21"/>
        </w:rPr>
        <w:t>1974</w:t>
      </w:r>
      <w:r>
        <w:rPr>
          <w:rFonts w:ascii="Times New Roman" w:hAnsi="Times New Roman" w:cs="Times New Roman" w:hint="eastAsia"/>
          <w:sz w:val="21"/>
        </w:rPr>
        <w:t>年出生，无境外永久居留权，毕业于湖南大学会计系，获经济学学士学位；</w:t>
      </w:r>
      <w:r>
        <w:rPr>
          <w:rFonts w:ascii="Times New Roman" w:hAnsi="Times New Roman" w:cs="Times New Roman"/>
          <w:sz w:val="21"/>
        </w:rPr>
        <w:t>CMA</w:t>
      </w:r>
      <w:r>
        <w:rPr>
          <w:rFonts w:ascii="Times New Roman" w:hAnsi="Times New Roman" w:cs="Times New Roman" w:hint="eastAsia"/>
          <w:sz w:val="21"/>
        </w:rPr>
        <w:t>管理会计师。</w:t>
      </w:r>
      <w:r>
        <w:rPr>
          <w:rFonts w:ascii="Times New Roman" w:hAnsi="Times New Roman" w:cs="Times New Roman"/>
          <w:sz w:val="21"/>
        </w:rPr>
        <w:t>2000</w:t>
      </w:r>
      <w:r>
        <w:rPr>
          <w:rFonts w:ascii="Times New Roman" w:hAnsi="Times New Roman" w:cs="Times New Roman" w:hint="eastAsia"/>
          <w:sz w:val="21"/>
        </w:rPr>
        <w:t>年</w:t>
      </w:r>
      <w:r>
        <w:rPr>
          <w:rFonts w:ascii="Times New Roman" w:hAnsi="Times New Roman" w:cs="Times New Roman"/>
          <w:sz w:val="21"/>
        </w:rPr>
        <w:t>4</w:t>
      </w:r>
      <w:r>
        <w:rPr>
          <w:rFonts w:ascii="Times New Roman" w:hAnsi="Times New Roman" w:cs="Times New Roman" w:hint="eastAsia"/>
          <w:sz w:val="21"/>
        </w:rPr>
        <w:t>月至</w:t>
      </w:r>
      <w:r>
        <w:rPr>
          <w:rFonts w:ascii="Times New Roman" w:hAnsi="Times New Roman" w:cs="Times New Roman"/>
          <w:sz w:val="21"/>
        </w:rPr>
        <w:t>2013</w:t>
      </w:r>
      <w:r>
        <w:rPr>
          <w:rFonts w:ascii="Times New Roman" w:hAnsi="Times New Roman" w:cs="Times New Roman" w:hint="eastAsia"/>
          <w:sz w:val="21"/>
        </w:rPr>
        <w:t>年</w:t>
      </w:r>
      <w:r>
        <w:rPr>
          <w:rFonts w:ascii="Times New Roman" w:hAnsi="Times New Roman" w:cs="Times New Roman"/>
          <w:sz w:val="21"/>
        </w:rPr>
        <w:t>8</w:t>
      </w:r>
      <w:r>
        <w:rPr>
          <w:rFonts w:ascii="Times New Roman" w:hAnsi="Times New Roman" w:cs="Times New Roman" w:hint="eastAsia"/>
          <w:sz w:val="21"/>
        </w:rPr>
        <w:t>月在百事可乐中国区工作，历任粤东</w:t>
      </w:r>
      <w:r>
        <w:rPr>
          <w:rFonts w:ascii="Times New Roman" w:hAnsi="Times New Roman" w:cs="Times New Roman"/>
          <w:sz w:val="21"/>
        </w:rPr>
        <w:t>B</w:t>
      </w:r>
      <w:r>
        <w:rPr>
          <w:rFonts w:ascii="Times New Roman" w:hAnsi="Times New Roman" w:cs="Times New Roman" w:hint="eastAsia"/>
          <w:sz w:val="21"/>
        </w:rPr>
        <w:t>区销售财务会计、深圳灌瓶厂高级财务运作主任、会计核算经理、财务分析和计划经理、百事南区财务分析和计划经理、中国区财务计划和分析经理；</w:t>
      </w:r>
      <w:r>
        <w:rPr>
          <w:rFonts w:ascii="Times New Roman" w:hAnsi="Times New Roman" w:cs="Times New Roman"/>
          <w:sz w:val="21"/>
        </w:rPr>
        <w:t>2013</w:t>
      </w:r>
      <w:r>
        <w:rPr>
          <w:rFonts w:ascii="Times New Roman" w:hAnsi="Times New Roman" w:cs="Times New Roman" w:hint="eastAsia"/>
          <w:sz w:val="21"/>
        </w:rPr>
        <w:t>年</w:t>
      </w:r>
      <w:r>
        <w:rPr>
          <w:rFonts w:ascii="Times New Roman" w:hAnsi="Times New Roman" w:cs="Times New Roman"/>
          <w:sz w:val="21"/>
        </w:rPr>
        <w:t>9</w:t>
      </w:r>
      <w:r>
        <w:rPr>
          <w:rFonts w:ascii="Times New Roman" w:hAnsi="Times New Roman" w:cs="Times New Roman" w:hint="eastAsia"/>
          <w:sz w:val="21"/>
        </w:rPr>
        <w:t>月至</w:t>
      </w:r>
      <w:r>
        <w:rPr>
          <w:rFonts w:ascii="Times New Roman" w:hAnsi="Times New Roman" w:cs="Times New Roman"/>
          <w:sz w:val="21"/>
        </w:rPr>
        <w:t>2015</w:t>
      </w:r>
      <w:r>
        <w:rPr>
          <w:rFonts w:ascii="Times New Roman" w:hAnsi="Times New Roman" w:cs="Times New Roman" w:hint="eastAsia"/>
          <w:sz w:val="21"/>
        </w:rPr>
        <w:t>年</w:t>
      </w:r>
      <w:r>
        <w:rPr>
          <w:rFonts w:ascii="Times New Roman" w:hAnsi="Times New Roman" w:cs="Times New Roman"/>
          <w:sz w:val="21"/>
        </w:rPr>
        <w:t>8</w:t>
      </w:r>
      <w:r>
        <w:rPr>
          <w:rFonts w:ascii="Times New Roman" w:hAnsi="Times New Roman" w:cs="Times New Roman" w:hint="eastAsia"/>
          <w:sz w:val="21"/>
        </w:rPr>
        <w:t>月，曾先后担任重庆金夫人集团财务总监，江西正邦集团财务副总监；</w:t>
      </w:r>
      <w:r>
        <w:rPr>
          <w:rFonts w:ascii="Times New Roman" w:hAnsi="Times New Roman" w:cs="Times New Roman"/>
          <w:sz w:val="21"/>
        </w:rPr>
        <w:t>2015</w:t>
      </w:r>
      <w:r>
        <w:rPr>
          <w:rFonts w:ascii="Times New Roman" w:hAnsi="Times New Roman" w:cs="Times New Roman" w:hint="eastAsia"/>
          <w:sz w:val="21"/>
        </w:rPr>
        <w:t>年</w:t>
      </w:r>
      <w:r>
        <w:rPr>
          <w:rFonts w:ascii="Times New Roman" w:hAnsi="Times New Roman" w:cs="Times New Roman"/>
          <w:sz w:val="21"/>
        </w:rPr>
        <w:t>9</w:t>
      </w:r>
      <w:r>
        <w:rPr>
          <w:rFonts w:ascii="Times New Roman" w:hAnsi="Times New Roman" w:cs="Times New Roman" w:hint="eastAsia"/>
          <w:sz w:val="21"/>
        </w:rPr>
        <w:t>月至</w:t>
      </w:r>
      <w:r>
        <w:rPr>
          <w:rFonts w:ascii="Times New Roman" w:hAnsi="Times New Roman" w:cs="Times New Roman"/>
          <w:sz w:val="21"/>
        </w:rPr>
        <w:t>2023</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月，任公司财务长职务。</w:t>
      </w:r>
      <w:r>
        <w:rPr>
          <w:rFonts w:ascii="Times New Roman" w:hAnsi="Times New Roman" w:cs="Times New Roman"/>
          <w:sz w:val="21"/>
        </w:rPr>
        <w:t>2023</w:t>
      </w:r>
      <w:r>
        <w:rPr>
          <w:rFonts w:ascii="Times New Roman" w:hAnsi="Times New Roman" w:cs="Times New Roman" w:hint="eastAsia"/>
          <w:sz w:val="21"/>
        </w:rPr>
        <w:t>年</w:t>
      </w:r>
      <w:r>
        <w:rPr>
          <w:rFonts w:ascii="Times New Roman" w:hAnsi="Times New Roman" w:cs="Times New Roman"/>
          <w:sz w:val="21"/>
        </w:rPr>
        <w:t>12</w:t>
      </w:r>
      <w:r>
        <w:rPr>
          <w:rFonts w:ascii="Times New Roman" w:hAnsi="Times New Roman" w:cs="Times New Roman" w:hint="eastAsia"/>
          <w:sz w:val="21"/>
        </w:rPr>
        <w:t>月至今担任公司财务总监。</w:t>
      </w:r>
    </w:p>
    <w:p w14:paraId="76261C4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控股股东、实际控制人同时担任上市公司董事长和总经理的情况</w:t>
      </w:r>
    </w:p>
    <w:p w14:paraId="230287F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1CE543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在股东单位任职情况</w:t>
      </w:r>
    </w:p>
    <w:p w14:paraId="279CF1E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FACAB7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在其他单位任职情况</w:t>
      </w:r>
    </w:p>
    <w:p w14:paraId="384787FB"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10057" w:type="dxa"/>
        <w:tblInd w:w="108" w:type="dxa"/>
        <w:tblLayout w:type="fixed"/>
        <w:tblLook w:val="04A0" w:firstRow="1" w:lastRow="0" w:firstColumn="1" w:lastColumn="0" w:noHBand="0" w:noVBand="1"/>
      </w:tblPr>
      <w:tblGrid>
        <w:gridCol w:w="907"/>
        <w:gridCol w:w="3107"/>
        <w:gridCol w:w="1134"/>
        <w:gridCol w:w="1689"/>
        <w:gridCol w:w="1689"/>
        <w:gridCol w:w="1531"/>
      </w:tblGrid>
      <w:tr w:rsidR="00C57E60" w14:paraId="15D76CBE" w14:textId="77777777">
        <w:trPr>
          <w:trHeight w:val="240"/>
        </w:trPr>
        <w:tc>
          <w:tcPr>
            <w:tcW w:w="907" w:type="dxa"/>
            <w:tcBorders>
              <w:top w:val="single" w:sz="2" w:space="0" w:color="auto"/>
              <w:left w:val="single" w:sz="2" w:space="0" w:color="auto"/>
              <w:bottom w:val="single" w:sz="2" w:space="0" w:color="auto"/>
              <w:right w:val="single" w:sz="2" w:space="0" w:color="auto"/>
            </w:tcBorders>
            <w:shd w:val="clear" w:color="auto" w:fill="D3D3D3"/>
            <w:vAlign w:val="center"/>
          </w:tcPr>
          <w:p w14:paraId="716A3FD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任职人员姓名</w:t>
            </w:r>
          </w:p>
        </w:tc>
        <w:tc>
          <w:tcPr>
            <w:tcW w:w="3107" w:type="dxa"/>
            <w:tcBorders>
              <w:top w:val="single" w:sz="2" w:space="0" w:color="auto"/>
              <w:left w:val="single" w:sz="2" w:space="0" w:color="auto"/>
              <w:bottom w:val="single" w:sz="2" w:space="0" w:color="auto"/>
              <w:right w:val="single" w:sz="2" w:space="0" w:color="auto"/>
            </w:tcBorders>
            <w:shd w:val="clear" w:color="auto" w:fill="D3D3D3"/>
            <w:vAlign w:val="center"/>
          </w:tcPr>
          <w:p w14:paraId="698E9F3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其他单位名称</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4BAC98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在其他单位担任的职务</w:t>
            </w:r>
          </w:p>
        </w:tc>
        <w:tc>
          <w:tcPr>
            <w:tcW w:w="1689" w:type="dxa"/>
            <w:tcBorders>
              <w:top w:val="single" w:sz="2" w:space="0" w:color="auto"/>
              <w:left w:val="single" w:sz="2" w:space="0" w:color="auto"/>
              <w:bottom w:val="single" w:sz="2" w:space="0" w:color="auto"/>
              <w:right w:val="single" w:sz="2" w:space="0" w:color="auto"/>
            </w:tcBorders>
            <w:shd w:val="clear" w:color="auto" w:fill="D3D3D3"/>
            <w:vAlign w:val="center"/>
          </w:tcPr>
          <w:p w14:paraId="0A51E49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任期起始日期</w:t>
            </w:r>
          </w:p>
        </w:tc>
        <w:tc>
          <w:tcPr>
            <w:tcW w:w="1689" w:type="dxa"/>
            <w:tcBorders>
              <w:top w:val="single" w:sz="2" w:space="0" w:color="auto"/>
              <w:left w:val="single" w:sz="2" w:space="0" w:color="auto"/>
              <w:bottom w:val="single" w:sz="2" w:space="0" w:color="auto"/>
              <w:right w:val="single" w:sz="2" w:space="0" w:color="auto"/>
            </w:tcBorders>
            <w:shd w:val="clear" w:color="auto" w:fill="D3D3D3"/>
            <w:vAlign w:val="center"/>
          </w:tcPr>
          <w:p w14:paraId="24AFB4A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任期终止日期</w:t>
            </w:r>
          </w:p>
        </w:tc>
        <w:tc>
          <w:tcPr>
            <w:tcW w:w="1531" w:type="dxa"/>
            <w:tcBorders>
              <w:top w:val="single" w:sz="2" w:space="0" w:color="auto"/>
              <w:left w:val="single" w:sz="2" w:space="0" w:color="auto"/>
              <w:bottom w:val="single" w:sz="2" w:space="0" w:color="auto"/>
              <w:right w:val="single" w:sz="2" w:space="0" w:color="auto"/>
            </w:tcBorders>
            <w:shd w:val="clear" w:color="auto" w:fill="D3D3D3"/>
            <w:vAlign w:val="center"/>
          </w:tcPr>
          <w:p w14:paraId="5B501D7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在其他单位是否领取报酬津贴</w:t>
            </w:r>
          </w:p>
        </w:tc>
      </w:tr>
      <w:tr w:rsidR="00C57E60" w14:paraId="5EC11707"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6FB347E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李心一</w:t>
            </w:r>
          </w:p>
        </w:tc>
        <w:tc>
          <w:tcPr>
            <w:tcW w:w="3107" w:type="dxa"/>
            <w:tcBorders>
              <w:top w:val="single" w:sz="2" w:space="0" w:color="auto"/>
              <w:left w:val="single" w:sz="2" w:space="0" w:color="auto"/>
              <w:bottom w:val="single" w:sz="2" w:space="0" w:color="auto"/>
              <w:right w:val="single" w:sz="2" w:space="0" w:color="auto"/>
            </w:tcBorders>
            <w:vAlign w:val="center"/>
          </w:tcPr>
          <w:p w14:paraId="65922E1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北京糖护科技有限公司</w:t>
            </w:r>
          </w:p>
        </w:tc>
        <w:tc>
          <w:tcPr>
            <w:tcW w:w="1134" w:type="dxa"/>
            <w:tcBorders>
              <w:top w:val="single" w:sz="2" w:space="0" w:color="auto"/>
              <w:left w:val="single" w:sz="2" w:space="0" w:color="auto"/>
              <w:bottom w:val="single" w:sz="2" w:space="0" w:color="auto"/>
              <w:right w:val="single" w:sz="2" w:space="0" w:color="auto"/>
            </w:tcBorders>
            <w:vAlign w:val="center"/>
          </w:tcPr>
          <w:p w14:paraId="0CE9020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w:t>
            </w:r>
          </w:p>
        </w:tc>
        <w:tc>
          <w:tcPr>
            <w:tcW w:w="1689" w:type="dxa"/>
            <w:tcBorders>
              <w:top w:val="single" w:sz="2" w:space="0" w:color="auto"/>
              <w:left w:val="single" w:sz="2" w:space="0" w:color="auto"/>
              <w:bottom w:val="single" w:sz="2" w:space="0" w:color="auto"/>
              <w:right w:val="single" w:sz="2" w:space="0" w:color="auto"/>
            </w:tcBorders>
            <w:vAlign w:val="center"/>
          </w:tcPr>
          <w:p w14:paraId="3B60A27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2019</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01</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324A4434"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047B4C0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1CD95327"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21F0333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李心一</w:t>
            </w:r>
          </w:p>
        </w:tc>
        <w:tc>
          <w:tcPr>
            <w:tcW w:w="3107" w:type="dxa"/>
            <w:tcBorders>
              <w:top w:val="single" w:sz="2" w:space="0" w:color="auto"/>
              <w:left w:val="single" w:sz="2" w:space="0" w:color="auto"/>
              <w:bottom w:val="single" w:sz="2" w:space="0" w:color="auto"/>
              <w:right w:val="single" w:sz="2" w:space="0" w:color="auto"/>
            </w:tcBorders>
            <w:vAlign w:val="center"/>
          </w:tcPr>
          <w:p w14:paraId="71C0487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上海医药大健康云商股份有限公司</w:t>
            </w:r>
          </w:p>
        </w:tc>
        <w:tc>
          <w:tcPr>
            <w:tcW w:w="1134" w:type="dxa"/>
            <w:tcBorders>
              <w:top w:val="single" w:sz="2" w:space="0" w:color="auto"/>
              <w:left w:val="single" w:sz="2" w:space="0" w:color="auto"/>
              <w:bottom w:val="single" w:sz="2" w:space="0" w:color="auto"/>
              <w:right w:val="single" w:sz="2" w:space="0" w:color="auto"/>
            </w:tcBorders>
            <w:vAlign w:val="center"/>
          </w:tcPr>
          <w:p w14:paraId="236CC2E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监事</w:t>
            </w:r>
          </w:p>
        </w:tc>
        <w:tc>
          <w:tcPr>
            <w:tcW w:w="1689" w:type="dxa"/>
            <w:tcBorders>
              <w:top w:val="single" w:sz="2" w:space="0" w:color="auto"/>
              <w:left w:val="single" w:sz="2" w:space="0" w:color="auto"/>
              <w:bottom w:val="single" w:sz="2" w:space="0" w:color="auto"/>
              <w:right w:val="single" w:sz="2" w:space="0" w:color="auto"/>
            </w:tcBorders>
            <w:vAlign w:val="center"/>
          </w:tcPr>
          <w:p w14:paraId="119C29C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2021</w:t>
            </w:r>
            <w:r>
              <w:rPr>
                <w:rFonts w:ascii="Times New Roman" w:eastAsia="宋体" w:hAnsi="Times New Roman" w:cs="宋体"/>
                <w:sz w:val="18"/>
                <w:szCs w:val="18"/>
              </w:rPr>
              <w:t>年</w:t>
            </w:r>
            <w:r>
              <w:rPr>
                <w:rFonts w:ascii="Times New Roman" w:eastAsia="宋体" w:hAnsi="Times New Roman" w:cs="宋体"/>
                <w:sz w:val="18"/>
                <w:szCs w:val="18"/>
              </w:rPr>
              <w:t>02</w:t>
            </w:r>
            <w:r>
              <w:rPr>
                <w:rFonts w:ascii="Times New Roman" w:eastAsia="宋体" w:hAnsi="Times New Roman" w:cs="宋体"/>
                <w:sz w:val="18"/>
                <w:szCs w:val="18"/>
              </w:rPr>
              <w:t>月</w:t>
            </w:r>
            <w:r>
              <w:rPr>
                <w:rFonts w:ascii="Times New Roman" w:eastAsia="宋体" w:hAnsi="Times New Roman" w:cs="宋体"/>
                <w:sz w:val="18"/>
                <w:szCs w:val="18"/>
              </w:rPr>
              <w:t>05</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34D161F5"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6404807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3BBD03F4"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4B65AA5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李心一</w:t>
            </w:r>
          </w:p>
        </w:tc>
        <w:tc>
          <w:tcPr>
            <w:tcW w:w="3107" w:type="dxa"/>
            <w:tcBorders>
              <w:top w:val="single" w:sz="2" w:space="0" w:color="auto"/>
              <w:left w:val="single" w:sz="2" w:space="0" w:color="auto"/>
              <w:bottom w:val="single" w:sz="2" w:space="0" w:color="auto"/>
              <w:right w:val="single" w:sz="2" w:space="0" w:color="auto"/>
            </w:tcBorders>
            <w:vAlign w:val="center"/>
          </w:tcPr>
          <w:p w14:paraId="4A5DEA4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湖南省三诺糖尿病公益基金会</w:t>
            </w:r>
          </w:p>
        </w:tc>
        <w:tc>
          <w:tcPr>
            <w:tcW w:w="1134" w:type="dxa"/>
            <w:tcBorders>
              <w:top w:val="single" w:sz="2" w:space="0" w:color="auto"/>
              <w:left w:val="single" w:sz="2" w:space="0" w:color="auto"/>
              <w:bottom w:val="single" w:sz="2" w:space="0" w:color="auto"/>
              <w:right w:val="single" w:sz="2" w:space="0" w:color="auto"/>
            </w:tcBorders>
            <w:vAlign w:val="center"/>
          </w:tcPr>
          <w:p w14:paraId="5BC237C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理事长</w:t>
            </w:r>
          </w:p>
        </w:tc>
        <w:tc>
          <w:tcPr>
            <w:tcW w:w="1689" w:type="dxa"/>
            <w:tcBorders>
              <w:top w:val="single" w:sz="2" w:space="0" w:color="auto"/>
              <w:left w:val="single" w:sz="2" w:space="0" w:color="auto"/>
              <w:bottom w:val="single" w:sz="2" w:space="0" w:color="auto"/>
              <w:right w:val="single" w:sz="2" w:space="0" w:color="auto"/>
            </w:tcBorders>
            <w:vAlign w:val="center"/>
          </w:tcPr>
          <w:p w14:paraId="7E2BCC7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2019</w:t>
            </w:r>
            <w:r>
              <w:rPr>
                <w:rFonts w:ascii="Times New Roman" w:eastAsia="宋体" w:hAnsi="Times New Roman" w:cs="宋体"/>
                <w:sz w:val="18"/>
                <w:szCs w:val="18"/>
              </w:rPr>
              <w:t>年</w:t>
            </w:r>
            <w:r>
              <w:rPr>
                <w:rFonts w:ascii="Times New Roman" w:eastAsia="宋体" w:hAnsi="Times New Roman" w:cs="宋体"/>
                <w:sz w:val="18"/>
                <w:szCs w:val="18"/>
              </w:rPr>
              <w:t>01</w:t>
            </w:r>
            <w:r>
              <w:rPr>
                <w:rFonts w:ascii="Times New Roman" w:eastAsia="宋体" w:hAnsi="Times New Roman" w:cs="宋体"/>
                <w:sz w:val="18"/>
                <w:szCs w:val="18"/>
              </w:rPr>
              <w:t>月</w:t>
            </w:r>
            <w:r>
              <w:rPr>
                <w:rFonts w:ascii="Times New Roman" w:eastAsia="宋体" w:hAnsi="Times New Roman" w:cs="宋体"/>
                <w:sz w:val="18"/>
                <w:szCs w:val="18"/>
              </w:rPr>
              <w:t>11</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25CBBDC3"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4DC143F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7FEBEEAE"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52AA345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w:t>
            </w:r>
          </w:p>
        </w:tc>
        <w:tc>
          <w:tcPr>
            <w:tcW w:w="3107" w:type="dxa"/>
            <w:tcBorders>
              <w:top w:val="single" w:sz="2" w:space="0" w:color="auto"/>
              <w:left w:val="single" w:sz="2" w:space="0" w:color="auto"/>
              <w:bottom w:val="single" w:sz="2" w:space="0" w:color="auto"/>
              <w:right w:val="single" w:sz="2" w:space="0" w:color="auto"/>
            </w:tcBorders>
            <w:vAlign w:val="center"/>
          </w:tcPr>
          <w:p w14:paraId="37D6911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杭州索元生物医药股份有限公司</w:t>
            </w:r>
          </w:p>
        </w:tc>
        <w:tc>
          <w:tcPr>
            <w:tcW w:w="1134" w:type="dxa"/>
            <w:tcBorders>
              <w:top w:val="single" w:sz="2" w:space="0" w:color="auto"/>
              <w:left w:val="single" w:sz="2" w:space="0" w:color="auto"/>
              <w:bottom w:val="single" w:sz="2" w:space="0" w:color="auto"/>
              <w:right w:val="single" w:sz="2" w:space="0" w:color="auto"/>
            </w:tcBorders>
            <w:vAlign w:val="center"/>
          </w:tcPr>
          <w:p w14:paraId="62623D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董事会秘书、财务负责人</w:t>
            </w:r>
          </w:p>
        </w:tc>
        <w:tc>
          <w:tcPr>
            <w:tcW w:w="1689" w:type="dxa"/>
            <w:tcBorders>
              <w:top w:val="single" w:sz="2" w:space="0" w:color="auto"/>
              <w:left w:val="single" w:sz="2" w:space="0" w:color="auto"/>
              <w:bottom w:val="single" w:sz="2" w:space="0" w:color="auto"/>
              <w:right w:val="single" w:sz="2" w:space="0" w:color="auto"/>
            </w:tcBorders>
            <w:vAlign w:val="center"/>
          </w:tcPr>
          <w:p w14:paraId="7AB4D07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2019</w:t>
            </w:r>
            <w:r>
              <w:rPr>
                <w:rFonts w:ascii="Times New Roman" w:eastAsia="宋体" w:hAnsi="Times New Roman" w:cs="宋体"/>
                <w:sz w:val="18"/>
                <w:szCs w:val="18"/>
              </w:rPr>
              <w:t>年</w:t>
            </w:r>
            <w:r>
              <w:rPr>
                <w:rFonts w:ascii="Times New Roman" w:eastAsia="宋体" w:hAnsi="Times New Roman" w:cs="宋体"/>
                <w:sz w:val="18"/>
                <w:szCs w:val="18"/>
              </w:rPr>
              <w:t>09</w:t>
            </w:r>
            <w:r>
              <w:rPr>
                <w:rFonts w:ascii="Times New Roman" w:eastAsia="宋体" w:hAnsi="Times New Roman" w:cs="宋体"/>
                <w:sz w:val="18"/>
                <w:szCs w:val="18"/>
              </w:rPr>
              <w:t>月</w:t>
            </w:r>
            <w:r>
              <w:rPr>
                <w:rFonts w:ascii="Times New Roman" w:eastAsia="宋体" w:hAnsi="Times New Roman" w:cs="宋体"/>
                <w:sz w:val="18"/>
                <w:szCs w:val="18"/>
              </w:rPr>
              <w:t>01</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6218FDB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01</w:t>
            </w:r>
            <w:r>
              <w:rPr>
                <w:rFonts w:ascii="Times New Roman" w:eastAsia="宋体" w:hAnsi="Times New Roman" w:cs="宋体"/>
                <w:sz w:val="18"/>
                <w:szCs w:val="18"/>
              </w:rPr>
              <w:t>日</w:t>
            </w:r>
          </w:p>
        </w:tc>
        <w:tc>
          <w:tcPr>
            <w:tcW w:w="1531" w:type="dxa"/>
            <w:tcBorders>
              <w:top w:val="single" w:sz="2" w:space="0" w:color="auto"/>
              <w:left w:val="single" w:sz="2" w:space="0" w:color="auto"/>
              <w:bottom w:val="single" w:sz="2" w:space="0" w:color="auto"/>
              <w:right w:val="single" w:sz="2" w:space="0" w:color="auto"/>
            </w:tcBorders>
            <w:vAlign w:val="center"/>
          </w:tcPr>
          <w:p w14:paraId="52CA0E5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是</w:t>
            </w:r>
          </w:p>
        </w:tc>
      </w:tr>
      <w:tr w:rsidR="00C57E60" w14:paraId="7847DFE7"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05112A6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w:t>
            </w:r>
          </w:p>
        </w:tc>
        <w:tc>
          <w:tcPr>
            <w:tcW w:w="3107" w:type="dxa"/>
            <w:tcBorders>
              <w:top w:val="single" w:sz="2" w:space="0" w:color="auto"/>
              <w:left w:val="single" w:sz="2" w:space="0" w:color="auto"/>
              <w:bottom w:val="single" w:sz="2" w:space="0" w:color="auto"/>
              <w:right w:val="single" w:sz="2" w:space="0" w:color="auto"/>
            </w:tcBorders>
            <w:vAlign w:val="center"/>
          </w:tcPr>
          <w:p w14:paraId="068D8F5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杭州索元生物医药股份有限公司</w:t>
            </w:r>
          </w:p>
        </w:tc>
        <w:tc>
          <w:tcPr>
            <w:tcW w:w="1134" w:type="dxa"/>
            <w:tcBorders>
              <w:top w:val="single" w:sz="2" w:space="0" w:color="auto"/>
              <w:left w:val="single" w:sz="2" w:space="0" w:color="auto"/>
              <w:bottom w:val="single" w:sz="2" w:space="0" w:color="auto"/>
              <w:right w:val="single" w:sz="2" w:space="0" w:color="auto"/>
            </w:tcBorders>
            <w:vAlign w:val="center"/>
          </w:tcPr>
          <w:p w14:paraId="052A8E5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w:t>
            </w:r>
          </w:p>
        </w:tc>
        <w:tc>
          <w:tcPr>
            <w:tcW w:w="1689" w:type="dxa"/>
            <w:tcBorders>
              <w:top w:val="single" w:sz="2" w:space="0" w:color="auto"/>
              <w:left w:val="single" w:sz="2" w:space="0" w:color="auto"/>
              <w:bottom w:val="single" w:sz="2" w:space="0" w:color="auto"/>
              <w:right w:val="single" w:sz="2" w:space="0" w:color="auto"/>
            </w:tcBorders>
            <w:vAlign w:val="center"/>
          </w:tcPr>
          <w:p w14:paraId="2F7AF61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2021</w:t>
            </w:r>
            <w:r>
              <w:rPr>
                <w:rFonts w:ascii="Times New Roman" w:eastAsia="宋体" w:hAnsi="Times New Roman" w:cs="宋体"/>
                <w:sz w:val="18"/>
                <w:szCs w:val="18"/>
              </w:rPr>
              <w:t>年</w:t>
            </w:r>
            <w:r>
              <w:rPr>
                <w:rFonts w:ascii="Times New Roman" w:eastAsia="宋体" w:hAnsi="Times New Roman" w:cs="宋体"/>
                <w:sz w:val="18"/>
                <w:szCs w:val="18"/>
              </w:rPr>
              <w:t>06</w:t>
            </w:r>
            <w:r>
              <w:rPr>
                <w:rFonts w:ascii="Times New Roman" w:eastAsia="宋体" w:hAnsi="Times New Roman" w:cs="宋体"/>
                <w:sz w:val="18"/>
                <w:szCs w:val="18"/>
              </w:rPr>
              <w:t>月</w:t>
            </w:r>
            <w:r>
              <w:rPr>
                <w:rFonts w:ascii="Times New Roman" w:eastAsia="宋体" w:hAnsi="Times New Roman" w:cs="宋体"/>
                <w:sz w:val="18"/>
                <w:szCs w:val="18"/>
              </w:rPr>
              <w:t>17</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5F1E041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07</w:t>
            </w:r>
            <w:r>
              <w:rPr>
                <w:rFonts w:ascii="Times New Roman" w:eastAsia="宋体" w:hAnsi="Times New Roman" w:cs="宋体"/>
                <w:sz w:val="18"/>
                <w:szCs w:val="18"/>
              </w:rPr>
              <w:t>月</w:t>
            </w:r>
            <w:r>
              <w:rPr>
                <w:rFonts w:ascii="Times New Roman" w:eastAsia="宋体" w:hAnsi="Times New Roman" w:cs="宋体"/>
                <w:sz w:val="18"/>
                <w:szCs w:val="18"/>
              </w:rPr>
              <w:t>08</w:t>
            </w:r>
            <w:r>
              <w:rPr>
                <w:rFonts w:ascii="Times New Roman" w:eastAsia="宋体" w:hAnsi="Times New Roman" w:cs="宋体"/>
                <w:sz w:val="18"/>
                <w:szCs w:val="18"/>
              </w:rPr>
              <w:t>日</w:t>
            </w:r>
          </w:p>
        </w:tc>
        <w:tc>
          <w:tcPr>
            <w:tcW w:w="1531" w:type="dxa"/>
            <w:tcBorders>
              <w:top w:val="single" w:sz="2" w:space="0" w:color="auto"/>
              <w:left w:val="single" w:sz="2" w:space="0" w:color="auto"/>
              <w:bottom w:val="single" w:sz="2" w:space="0" w:color="auto"/>
              <w:right w:val="single" w:sz="2" w:space="0" w:color="auto"/>
            </w:tcBorders>
            <w:vAlign w:val="center"/>
          </w:tcPr>
          <w:p w14:paraId="0C4076E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是</w:t>
            </w:r>
          </w:p>
        </w:tc>
      </w:tr>
      <w:tr w:rsidR="00C57E60" w14:paraId="6E8C8C73"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1F4D651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Jianyou Tan</w:t>
            </w:r>
            <w:r>
              <w:rPr>
                <w:rFonts w:ascii="Times New Roman" w:eastAsia="宋体" w:hAnsi="Times New Roman" w:cs="宋体"/>
                <w:sz w:val="18"/>
                <w:szCs w:val="18"/>
              </w:rPr>
              <w:t>（谭建友）</w:t>
            </w:r>
          </w:p>
        </w:tc>
        <w:tc>
          <w:tcPr>
            <w:tcW w:w="3107" w:type="dxa"/>
            <w:tcBorders>
              <w:top w:val="single" w:sz="2" w:space="0" w:color="auto"/>
              <w:left w:val="single" w:sz="2" w:space="0" w:color="auto"/>
              <w:bottom w:val="single" w:sz="2" w:space="0" w:color="auto"/>
              <w:right w:val="single" w:sz="2" w:space="0" w:color="auto"/>
            </w:tcBorders>
            <w:vAlign w:val="center"/>
          </w:tcPr>
          <w:p w14:paraId="2E25F04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NewPath Diagnostics</w:t>
            </w:r>
          </w:p>
        </w:tc>
        <w:tc>
          <w:tcPr>
            <w:tcW w:w="1134" w:type="dxa"/>
            <w:tcBorders>
              <w:top w:val="single" w:sz="2" w:space="0" w:color="auto"/>
              <w:left w:val="single" w:sz="2" w:space="0" w:color="auto"/>
              <w:bottom w:val="single" w:sz="2" w:space="0" w:color="auto"/>
              <w:right w:val="single" w:sz="2" w:space="0" w:color="auto"/>
            </w:tcBorders>
            <w:vAlign w:val="center"/>
          </w:tcPr>
          <w:p w14:paraId="372E221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总裁</w:t>
            </w:r>
          </w:p>
        </w:tc>
        <w:tc>
          <w:tcPr>
            <w:tcW w:w="1689" w:type="dxa"/>
            <w:tcBorders>
              <w:top w:val="single" w:sz="2" w:space="0" w:color="auto"/>
              <w:left w:val="single" w:sz="2" w:space="0" w:color="auto"/>
              <w:bottom w:val="single" w:sz="2" w:space="0" w:color="auto"/>
              <w:right w:val="single" w:sz="2" w:space="0" w:color="auto"/>
            </w:tcBorders>
            <w:vAlign w:val="center"/>
          </w:tcPr>
          <w:p w14:paraId="7C189E7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2009</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01</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05929F7C"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517B3B6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是</w:t>
            </w:r>
          </w:p>
        </w:tc>
      </w:tr>
      <w:tr w:rsidR="00C57E60" w14:paraId="75BCC8E5"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07A71CC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Jianyou Tan</w:t>
            </w:r>
            <w:r>
              <w:rPr>
                <w:rFonts w:ascii="Times New Roman" w:eastAsia="宋体" w:hAnsi="Times New Roman" w:cs="宋体"/>
                <w:sz w:val="18"/>
                <w:szCs w:val="18"/>
              </w:rPr>
              <w:t>（谭建友）</w:t>
            </w:r>
          </w:p>
        </w:tc>
        <w:tc>
          <w:tcPr>
            <w:tcW w:w="3107" w:type="dxa"/>
            <w:tcBorders>
              <w:top w:val="single" w:sz="2" w:space="0" w:color="auto"/>
              <w:left w:val="single" w:sz="2" w:space="0" w:color="auto"/>
              <w:bottom w:val="single" w:sz="2" w:space="0" w:color="auto"/>
              <w:right w:val="single" w:sz="2" w:space="0" w:color="auto"/>
            </w:tcBorders>
            <w:vAlign w:val="center"/>
          </w:tcPr>
          <w:p w14:paraId="03FCB0F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湖南新途医学诊断技术有限责任公司</w:t>
            </w:r>
          </w:p>
        </w:tc>
        <w:tc>
          <w:tcPr>
            <w:tcW w:w="1134" w:type="dxa"/>
            <w:tcBorders>
              <w:top w:val="single" w:sz="2" w:space="0" w:color="auto"/>
              <w:left w:val="single" w:sz="2" w:space="0" w:color="auto"/>
              <w:bottom w:val="single" w:sz="2" w:space="0" w:color="auto"/>
              <w:right w:val="single" w:sz="2" w:space="0" w:color="auto"/>
            </w:tcBorders>
            <w:vAlign w:val="center"/>
          </w:tcPr>
          <w:p w14:paraId="35FBFE8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首席执行官</w:t>
            </w:r>
          </w:p>
        </w:tc>
        <w:tc>
          <w:tcPr>
            <w:tcW w:w="1689" w:type="dxa"/>
            <w:tcBorders>
              <w:top w:val="single" w:sz="2" w:space="0" w:color="auto"/>
              <w:left w:val="single" w:sz="2" w:space="0" w:color="auto"/>
              <w:bottom w:val="single" w:sz="2" w:space="0" w:color="auto"/>
              <w:right w:val="single" w:sz="2" w:space="0" w:color="auto"/>
            </w:tcBorders>
            <w:vAlign w:val="center"/>
          </w:tcPr>
          <w:p w14:paraId="7207209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2018</w:t>
            </w:r>
            <w:r>
              <w:rPr>
                <w:rFonts w:ascii="Times New Roman" w:eastAsia="宋体" w:hAnsi="Times New Roman" w:cs="宋体"/>
                <w:sz w:val="18"/>
                <w:szCs w:val="18"/>
              </w:rPr>
              <w:t>年</w:t>
            </w:r>
            <w:r>
              <w:rPr>
                <w:rFonts w:ascii="Times New Roman" w:eastAsia="宋体" w:hAnsi="Times New Roman" w:cs="宋体"/>
                <w:sz w:val="18"/>
                <w:szCs w:val="18"/>
              </w:rPr>
              <w:t>10</w:t>
            </w:r>
            <w:r>
              <w:rPr>
                <w:rFonts w:ascii="Times New Roman" w:eastAsia="宋体" w:hAnsi="Times New Roman" w:cs="宋体"/>
                <w:sz w:val="18"/>
                <w:szCs w:val="18"/>
              </w:rPr>
              <w:t>月</w:t>
            </w:r>
            <w:r>
              <w:rPr>
                <w:rFonts w:ascii="Times New Roman" w:eastAsia="宋体" w:hAnsi="Times New Roman" w:cs="宋体"/>
                <w:sz w:val="18"/>
                <w:szCs w:val="18"/>
              </w:rPr>
              <w:t>01</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20264C3C"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42B274C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是</w:t>
            </w:r>
          </w:p>
        </w:tc>
      </w:tr>
      <w:tr w:rsidR="00C57E60" w14:paraId="063CB72B"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0AEABD3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Zhenqi Liu</w:t>
            </w:r>
            <w:r>
              <w:rPr>
                <w:rFonts w:ascii="Times New Roman" w:eastAsia="宋体" w:hAnsi="Times New Roman" w:cs="宋体"/>
                <w:sz w:val="18"/>
                <w:szCs w:val="18"/>
              </w:rPr>
              <w:t>（刘振启）</w:t>
            </w:r>
          </w:p>
        </w:tc>
        <w:tc>
          <w:tcPr>
            <w:tcW w:w="3107" w:type="dxa"/>
            <w:tcBorders>
              <w:top w:val="single" w:sz="2" w:space="0" w:color="auto"/>
              <w:left w:val="single" w:sz="2" w:space="0" w:color="auto"/>
              <w:bottom w:val="single" w:sz="2" w:space="0" w:color="auto"/>
              <w:right w:val="single" w:sz="2" w:space="0" w:color="auto"/>
            </w:tcBorders>
            <w:vAlign w:val="center"/>
          </w:tcPr>
          <w:p w14:paraId="0BF2C55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美国弗吉尼亚大学</w:t>
            </w:r>
          </w:p>
        </w:tc>
        <w:tc>
          <w:tcPr>
            <w:tcW w:w="1134" w:type="dxa"/>
            <w:tcBorders>
              <w:top w:val="single" w:sz="2" w:space="0" w:color="auto"/>
              <w:left w:val="single" w:sz="2" w:space="0" w:color="auto"/>
              <w:bottom w:val="single" w:sz="2" w:space="0" w:color="auto"/>
              <w:right w:val="single" w:sz="2" w:space="0" w:color="auto"/>
            </w:tcBorders>
            <w:vAlign w:val="center"/>
          </w:tcPr>
          <w:p w14:paraId="109F263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教授</w:t>
            </w:r>
          </w:p>
        </w:tc>
        <w:tc>
          <w:tcPr>
            <w:tcW w:w="1689" w:type="dxa"/>
            <w:tcBorders>
              <w:top w:val="single" w:sz="2" w:space="0" w:color="auto"/>
              <w:left w:val="single" w:sz="2" w:space="0" w:color="auto"/>
              <w:bottom w:val="single" w:sz="2" w:space="0" w:color="auto"/>
              <w:right w:val="single" w:sz="2" w:space="0" w:color="auto"/>
            </w:tcBorders>
            <w:vAlign w:val="center"/>
          </w:tcPr>
          <w:p w14:paraId="1E2A015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2012</w:t>
            </w:r>
            <w:r>
              <w:rPr>
                <w:rFonts w:ascii="Times New Roman" w:eastAsia="宋体" w:hAnsi="Times New Roman" w:cs="宋体"/>
                <w:sz w:val="18"/>
                <w:szCs w:val="18"/>
              </w:rPr>
              <w:t>年</w:t>
            </w:r>
            <w:r>
              <w:rPr>
                <w:rFonts w:ascii="Times New Roman" w:eastAsia="宋体" w:hAnsi="Times New Roman" w:cs="宋体"/>
                <w:sz w:val="18"/>
                <w:szCs w:val="18"/>
              </w:rPr>
              <w:t>07</w:t>
            </w:r>
            <w:r>
              <w:rPr>
                <w:rFonts w:ascii="Times New Roman" w:eastAsia="宋体" w:hAnsi="Times New Roman" w:cs="宋体"/>
                <w:sz w:val="18"/>
                <w:szCs w:val="18"/>
              </w:rPr>
              <w:t>月</w:t>
            </w:r>
            <w:r>
              <w:rPr>
                <w:rFonts w:ascii="Times New Roman" w:eastAsia="宋体" w:hAnsi="Times New Roman" w:cs="宋体"/>
                <w:sz w:val="18"/>
                <w:szCs w:val="18"/>
              </w:rPr>
              <w:t>01</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2071D260"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45A9E98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是</w:t>
            </w:r>
          </w:p>
        </w:tc>
      </w:tr>
      <w:tr w:rsidR="00C57E60" w14:paraId="0BD93EC8" w14:textId="77777777">
        <w:trPr>
          <w:trHeight w:val="240"/>
        </w:trPr>
        <w:tc>
          <w:tcPr>
            <w:tcW w:w="907" w:type="dxa"/>
            <w:tcBorders>
              <w:top w:val="single" w:sz="2" w:space="0" w:color="auto"/>
              <w:left w:val="single" w:sz="2" w:space="0" w:color="auto"/>
              <w:bottom w:val="single" w:sz="2" w:space="0" w:color="auto"/>
              <w:right w:val="single" w:sz="2" w:space="0" w:color="auto"/>
            </w:tcBorders>
            <w:vAlign w:val="center"/>
          </w:tcPr>
          <w:p w14:paraId="67FA673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郑霁耘</w:t>
            </w:r>
          </w:p>
        </w:tc>
        <w:tc>
          <w:tcPr>
            <w:tcW w:w="3107" w:type="dxa"/>
            <w:tcBorders>
              <w:top w:val="single" w:sz="2" w:space="0" w:color="auto"/>
              <w:left w:val="single" w:sz="2" w:space="0" w:color="auto"/>
              <w:bottom w:val="single" w:sz="2" w:space="0" w:color="auto"/>
              <w:right w:val="single" w:sz="2" w:space="0" w:color="auto"/>
            </w:tcBorders>
            <w:vAlign w:val="center"/>
          </w:tcPr>
          <w:p w14:paraId="371155C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湖南乐准生物科技有限公司</w:t>
            </w:r>
          </w:p>
        </w:tc>
        <w:tc>
          <w:tcPr>
            <w:tcW w:w="1134" w:type="dxa"/>
            <w:tcBorders>
              <w:top w:val="single" w:sz="2" w:space="0" w:color="auto"/>
              <w:left w:val="single" w:sz="2" w:space="0" w:color="auto"/>
              <w:bottom w:val="single" w:sz="2" w:space="0" w:color="auto"/>
              <w:right w:val="single" w:sz="2" w:space="0" w:color="auto"/>
            </w:tcBorders>
            <w:vAlign w:val="center"/>
          </w:tcPr>
          <w:p w14:paraId="48659A1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w:t>
            </w:r>
          </w:p>
        </w:tc>
        <w:tc>
          <w:tcPr>
            <w:tcW w:w="1689" w:type="dxa"/>
            <w:tcBorders>
              <w:top w:val="single" w:sz="2" w:space="0" w:color="auto"/>
              <w:left w:val="single" w:sz="2" w:space="0" w:color="auto"/>
              <w:bottom w:val="single" w:sz="2" w:space="0" w:color="auto"/>
              <w:right w:val="single" w:sz="2" w:space="0" w:color="auto"/>
            </w:tcBorders>
            <w:vAlign w:val="center"/>
          </w:tcPr>
          <w:p w14:paraId="62AA91F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03</w:t>
            </w:r>
            <w:r>
              <w:rPr>
                <w:rFonts w:ascii="Times New Roman" w:eastAsia="宋体" w:hAnsi="Times New Roman" w:cs="宋体"/>
                <w:sz w:val="18"/>
                <w:szCs w:val="18"/>
              </w:rPr>
              <w:t>月</w:t>
            </w:r>
            <w:r>
              <w:rPr>
                <w:rFonts w:ascii="Times New Roman" w:eastAsia="宋体" w:hAnsi="Times New Roman" w:cs="宋体"/>
                <w:sz w:val="18"/>
                <w:szCs w:val="18"/>
              </w:rPr>
              <w:t>13</w:t>
            </w:r>
            <w:r>
              <w:rPr>
                <w:rFonts w:ascii="Times New Roman" w:eastAsia="宋体" w:hAnsi="Times New Roman" w:cs="宋体"/>
                <w:sz w:val="18"/>
                <w:szCs w:val="18"/>
              </w:rPr>
              <w:t>日</w:t>
            </w:r>
          </w:p>
        </w:tc>
        <w:tc>
          <w:tcPr>
            <w:tcW w:w="1689" w:type="dxa"/>
            <w:tcBorders>
              <w:top w:val="single" w:sz="2" w:space="0" w:color="auto"/>
              <w:left w:val="single" w:sz="2" w:space="0" w:color="auto"/>
              <w:bottom w:val="single" w:sz="2" w:space="0" w:color="auto"/>
              <w:right w:val="single" w:sz="2" w:space="0" w:color="auto"/>
            </w:tcBorders>
            <w:vAlign w:val="center"/>
          </w:tcPr>
          <w:p w14:paraId="1DA46004" w14:textId="77777777" w:rsidR="00113A51" w:rsidRDefault="00113A51">
            <w:pPr>
              <w:spacing w:line="360" w:lineRule="auto"/>
              <w:rPr>
                <w:rFonts w:ascii="Times New Roman" w:eastAsia="宋体" w:hAnsi="Times New Roman" w:cs="宋体"/>
                <w:sz w:val="18"/>
                <w:szCs w:val="18"/>
              </w:rPr>
            </w:pPr>
          </w:p>
        </w:tc>
        <w:tc>
          <w:tcPr>
            <w:tcW w:w="1531" w:type="dxa"/>
            <w:tcBorders>
              <w:top w:val="single" w:sz="2" w:space="0" w:color="auto"/>
              <w:left w:val="single" w:sz="2" w:space="0" w:color="auto"/>
              <w:bottom w:val="single" w:sz="2" w:space="0" w:color="auto"/>
              <w:right w:val="single" w:sz="2" w:space="0" w:color="auto"/>
            </w:tcBorders>
            <w:vAlign w:val="center"/>
          </w:tcPr>
          <w:p w14:paraId="65B11DA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41C57046" w14:textId="77777777">
        <w:trPr>
          <w:trHeight w:val="240"/>
        </w:trPr>
        <w:tc>
          <w:tcPr>
            <w:tcW w:w="401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258D9E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在其他单位任职情况的说明</w:t>
            </w:r>
          </w:p>
        </w:tc>
        <w:tc>
          <w:tcPr>
            <w:tcW w:w="6043" w:type="dxa"/>
            <w:gridSpan w:val="4"/>
            <w:tcBorders>
              <w:top w:val="single" w:sz="2" w:space="0" w:color="auto"/>
              <w:left w:val="single" w:sz="2" w:space="0" w:color="auto"/>
              <w:bottom w:val="single" w:sz="2" w:space="0" w:color="auto"/>
              <w:right w:val="single" w:sz="2" w:space="0" w:color="auto"/>
            </w:tcBorders>
            <w:vAlign w:val="center"/>
          </w:tcPr>
          <w:p w14:paraId="6603A26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bl>
    <w:p w14:paraId="18413C1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公司现任及报告期内离任董事和高级管理人员近三年证券监管机构处罚的情况</w:t>
      </w:r>
    </w:p>
    <w:p w14:paraId="2C3D1A3B"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B33E365" w14:textId="77777777" w:rsidR="00113A51" w:rsidRDefault="00766EC7">
      <w:pPr>
        <w:pStyle w:val="3"/>
        <w:spacing w:line="280" w:lineRule="exact"/>
        <w:jc w:val="left"/>
        <w:rPr>
          <w:rFonts w:ascii="宋体" w:hAnsi="宋体" w:cs="宋体"/>
          <w:b/>
          <w:bCs/>
        </w:rPr>
      </w:pPr>
      <w:bookmarkStart w:id="70" w:name="_Toc988949"/>
      <w:r>
        <w:rPr>
          <w:rFonts w:ascii="宋体" w:hAnsi="宋体" w:cs="宋体"/>
          <w:b/>
          <w:bCs/>
        </w:rPr>
        <w:t>3、董事、高级管理人员薪酬情况</w:t>
      </w:r>
      <w:bookmarkEnd w:id="70"/>
    </w:p>
    <w:p w14:paraId="327D656C"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董事、高级管理人员薪酬的决策程序、确定依据、实际支付情况</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7"/>
        <w:gridCol w:w="7498"/>
      </w:tblGrid>
      <w:tr w:rsidR="00113A51" w14:paraId="45C52395" w14:textId="77777777" w:rsidTr="0086498D">
        <w:tc>
          <w:tcPr>
            <w:tcW w:w="2117" w:type="dxa"/>
            <w:shd w:val="clear" w:color="auto" w:fill="D3D3D3"/>
            <w:tcMar>
              <w:top w:w="10" w:type="dxa"/>
              <w:left w:w="10" w:type="dxa"/>
              <w:bottom w:w="10" w:type="dxa"/>
              <w:right w:w="10" w:type="dxa"/>
            </w:tcMar>
            <w:vAlign w:val="center"/>
          </w:tcPr>
          <w:p w14:paraId="107FFCB9" w14:textId="77777777" w:rsidR="00113A51" w:rsidRDefault="00766EC7">
            <w:pPr>
              <w:pStyle w:val="a9"/>
              <w:spacing w:before="40" w:beforeAutospacing="0" w:after="40" w:afterAutospacing="0" w:line="360" w:lineRule="auto"/>
              <w:jc w:val="both"/>
              <w:rPr>
                <w:rFonts w:ascii="Times New Roman" w:hAnsi="Times New Roman"/>
                <w:sz w:val="18"/>
              </w:rPr>
            </w:pPr>
            <w:r>
              <w:rPr>
                <w:rFonts w:ascii="Times New Roman" w:hAnsi="Times New Roman" w:hint="eastAsia"/>
                <w:sz w:val="18"/>
                <w:szCs w:val="18"/>
              </w:rPr>
              <w:t>董事、高级管理人员薪酬的决策程序</w:t>
            </w:r>
          </w:p>
        </w:tc>
        <w:tc>
          <w:tcPr>
            <w:tcW w:w="7498" w:type="dxa"/>
            <w:tcMar>
              <w:top w:w="10" w:type="dxa"/>
              <w:left w:w="10" w:type="dxa"/>
              <w:bottom w:w="10" w:type="dxa"/>
              <w:right w:w="10" w:type="dxa"/>
            </w:tcMar>
          </w:tcPr>
          <w:p w14:paraId="592F846E" w14:textId="77777777" w:rsidR="00113A51" w:rsidRDefault="00766EC7">
            <w:pPr>
              <w:pStyle w:val="a9"/>
              <w:spacing w:before="0" w:beforeAutospacing="0" w:after="0" w:afterAutospacing="0" w:line="360" w:lineRule="auto"/>
              <w:jc w:val="both"/>
              <w:rPr>
                <w:rFonts w:ascii="Times New Roman" w:hAnsi="Times New Roman"/>
                <w:sz w:val="18"/>
              </w:rPr>
            </w:pPr>
            <w:r>
              <w:rPr>
                <w:rFonts w:ascii="Times New Roman" w:hAnsi="Times New Roman" w:hint="eastAsia"/>
                <w:sz w:val="18"/>
                <w:szCs w:val="18"/>
              </w:rPr>
              <w:t>公司董事薪酬由股东会决定，高级管理人员薪酬由董事会决定；在公司承担职务的董事、高级管理人员根据其在公司的具体任职岗位领取相应的薪酬，不另外支付津贴。未在公司担任具体职务的董事（含独立董事）薪酬领取固定董事津贴，独立董事会务费据实报销。</w:t>
            </w:r>
          </w:p>
        </w:tc>
      </w:tr>
      <w:tr w:rsidR="00113A51" w14:paraId="75968EA3" w14:textId="77777777" w:rsidTr="0086498D">
        <w:tc>
          <w:tcPr>
            <w:tcW w:w="2117" w:type="dxa"/>
            <w:shd w:val="clear" w:color="auto" w:fill="D3D3D3"/>
            <w:tcMar>
              <w:top w:w="10" w:type="dxa"/>
              <w:left w:w="10" w:type="dxa"/>
              <w:bottom w:w="10" w:type="dxa"/>
              <w:right w:w="10" w:type="dxa"/>
            </w:tcMar>
            <w:vAlign w:val="center"/>
          </w:tcPr>
          <w:p w14:paraId="2D5BAC05" w14:textId="77777777" w:rsidR="00113A51" w:rsidRDefault="00766EC7">
            <w:pPr>
              <w:pStyle w:val="a9"/>
              <w:spacing w:before="0" w:beforeAutospacing="0" w:after="0" w:afterAutospacing="0" w:line="360" w:lineRule="auto"/>
              <w:jc w:val="both"/>
              <w:rPr>
                <w:rFonts w:ascii="Times New Roman" w:hAnsi="Times New Roman"/>
                <w:sz w:val="18"/>
              </w:rPr>
            </w:pPr>
            <w:r>
              <w:rPr>
                <w:rFonts w:ascii="Times New Roman" w:hAnsi="Times New Roman" w:hint="eastAsia"/>
                <w:sz w:val="18"/>
                <w:szCs w:val="18"/>
              </w:rPr>
              <w:t>董事、高级管理人员薪酬确定依据</w:t>
            </w:r>
          </w:p>
        </w:tc>
        <w:tc>
          <w:tcPr>
            <w:tcW w:w="7498" w:type="dxa"/>
            <w:tcMar>
              <w:top w:w="10" w:type="dxa"/>
              <w:left w:w="10" w:type="dxa"/>
              <w:bottom w:w="10" w:type="dxa"/>
              <w:right w:w="10" w:type="dxa"/>
            </w:tcMar>
          </w:tcPr>
          <w:p w14:paraId="4DEACA8C" w14:textId="77777777" w:rsidR="00113A51" w:rsidRDefault="00766EC7">
            <w:pPr>
              <w:pStyle w:val="a9"/>
              <w:spacing w:before="0" w:beforeAutospacing="0" w:after="0" w:afterAutospacing="0" w:line="360" w:lineRule="auto"/>
              <w:jc w:val="both"/>
              <w:rPr>
                <w:rFonts w:ascii="Times New Roman" w:hAnsi="Times New Roman"/>
                <w:sz w:val="18"/>
              </w:rPr>
            </w:pPr>
            <w:r>
              <w:rPr>
                <w:rFonts w:ascii="Times New Roman" w:hAnsi="Times New Roman" w:hint="eastAsia"/>
                <w:sz w:val="18"/>
                <w:szCs w:val="18"/>
              </w:rPr>
              <w:t>在公司承担职务的董事、高级管理人员薪酬依据公司盈利水平及各董事、高级管理人员的具体岗位以及在实际工作中的履职情况确定。未在公司担任具体职务的董事（含独立董事）的固定董事津贴金额由公司股东会确定。</w:t>
            </w:r>
          </w:p>
        </w:tc>
      </w:tr>
      <w:tr w:rsidR="00113A51" w14:paraId="752AB971" w14:textId="77777777" w:rsidTr="0086498D">
        <w:tc>
          <w:tcPr>
            <w:tcW w:w="2117" w:type="dxa"/>
            <w:shd w:val="clear" w:color="auto" w:fill="D3D3D3"/>
            <w:tcMar>
              <w:top w:w="10" w:type="dxa"/>
              <w:left w:w="10" w:type="dxa"/>
              <w:bottom w:w="10" w:type="dxa"/>
              <w:right w:w="10" w:type="dxa"/>
            </w:tcMar>
            <w:vAlign w:val="center"/>
          </w:tcPr>
          <w:p w14:paraId="06F92BE5" w14:textId="77777777" w:rsidR="00113A51" w:rsidRDefault="00766EC7">
            <w:pPr>
              <w:pStyle w:val="a9"/>
              <w:spacing w:before="0" w:beforeAutospacing="0" w:after="0" w:afterAutospacing="0" w:line="360" w:lineRule="auto"/>
              <w:jc w:val="both"/>
              <w:rPr>
                <w:rFonts w:ascii="Times New Roman" w:hAnsi="Times New Roman"/>
                <w:sz w:val="18"/>
              </w:rPr>
            </w:pPr>
            <w:r>
              <w:rPr>
                <w:rFonts w:ascii="Times New Roman" w:hAnsi="Times New Roman" w:hint="eastAsia"/>
                <w:sz w:val="18"/>
                <w:szCs w:val="18"/>
              </w:rPr>
              <w:t>董事、高级管理人员薪酬的实际支付情况</w:t>
            </w:r>
          </w:p>
        </w:tc>
        <w:tc>
          <w:tcPr>
            <w:tcW w:w="7498" w:type="dxa"/>
            <w:tcMar>
              <w:top w:w="10" w:type="dxa"/>
              <w:left w:w="10" w:type="dxa"/>
              <w:bottom w:w="10" w:type="dxa"/>
              <w:right w:w="10" w:type="dxa"/>
            </w:tcMar>
          </w:tcPr>
          <w:p w14:paraId="52D6DEB5" w14:textId="77777777" w:rsidR="00113A51" w:rsidRDefault="00766EC7">
            <w:pPr>
              <w:pStyle w:val="a9"/>
              <w:spacing w:before="0" w:beforeAutospacing="0" w:after="0" w:afterAutospacing="0" w:line="360" w:lineRule="auto"/>
              <w:jc w:val="both"/>
              <w:rPr>
                <w:rFonts w:ascii="Times New Roman" w:hAnsi="Times New Roman"/>
                <w:sz w:val="18"/>
              </w:rPr>
            </w:pPr>
            <w:r>
              <w:rPr>
                <w:rFonts w:ascii="Times New Roman" w:hAnsi="Times New Roman" w:cs="Times New Roman"/>
                <w:sz w:val="18"/>
                <w:szCs w:val="18"/>
              </w:rPr>
              <w:t>截至本报告期末，公司现任董事、高级管理人员共</w:t>
            </w:r>
            <w:r>
              <w:rPr>
                <w:rFonts w:ascii="Times New Roman" w:hAnsi="Times New Roman" w:cs="Times New Roman"/>
                <w:sz w:val="18"/>
                <w:szCs w:val="18"/>
              </w:rPr>
              <w:t>11</w:t>
            </w:r>
            <w:r>
              <w:rPr>
                <w:rFonts w:ascii="Times New Roman" w:hAnsi="Times New Roman" w:cs="Times New Roman"/>
                <w:sz w:val="18"/>
                <w:szCs w:val="18"/>
              </w:rPr>
              <w:t>人，</w:t>
            </w:r>
            <w:r>
              <w:rPr>
                <w:rFonts w:ascii="Times New Roman" w:hAnsi="Times New Roman" w:cs="Times New Roman"/>
                <w:sz w:val="18"/>
                <w:szCs w:val="18"/>
              </w:rPr>
              <w:t>2025</w:t>
            </w:r>
            <w:r>
              <w:rPr>
                <w:rFonts w:ascii="Times New Roman" w:hAnsi="Times New Roman" w:hint="eastAsia"/>
                <w:sz w:val="18"/>
                <w:szCs w:val="18"/>
              </w:rPr>
              <w:t>年度公司向现任及已离任董事、高级管理人员实际支付税前薪酬共</w:t>
            </w:r>
            <w:r>
              <w:rPr>
                <w:rFonts w:ascii="Times New Roman" w:hAnsi="Times New Roman" w:cs="Times New Roman"/>
                <w:sz w:val="18"/>
                <w:szCs w:val="18"/>
              </w:rPr>
              <w:t>558.49</w:t>
            </w:r>
            <w:r>
              <w:rPr>
                <w:rFonts w:ascii="Times New Roman" w:hAnsi="Times New Roman" w:hint="eastAsia"/>
                <w:sz w:val="18"/>
                <w:szCs w:val="18"/>
              </w:rPr>
              <w:t>万元。内部董事、高级管理人员的基本薪酬按月支付，独立董事和外部董事津贴每两个月支付一次。</w:t>
            </w:r>
          </w:p>
        </w:tc>
      </w:tr>
    </w:tbl>
    <w:p w14:paraId="4ECF3C7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公司报告期内董事和高级管理人员薪酬情况</w:t>
      </w:r>
    </w:p>
    <w:p w14:paraId="08C4DBF2" w14:textId="77777777" w:rsidR="00113A51" w:rsidRDefault="00766EC7">
      <w:pPr>
        <w:spacing w:before="120" w:after="12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14" w:type="dxa"/>
        <w:tblInd w:w="108" w:type="dxa"/>
        <w:tblLayout w:type="fixed"/>
        <w:tblLook w:val="04A0" w:firstRow="1" w:lastRow="0" w:firstColumn="1" w:lastColumn="0" w:noHBand="0" w:noVBand="1"/>
      </w:tblPr>
      <w:tblGrid>
        <w:gridCol w:w="2041"/>
        <w:gridCol w:w="794"/>
        <w:gridCol w:w="794"/>
        <w:gridCol w:w="2154"/>
        <w:gridCol w:w="1077"/>
        <w:gridCol w:w="1377"/>
        <w:gridCol w:w="1377"/>
      </w:tblGrid>
      <w:tr w:rsidR="00C57E60" w14:paraId="6075DC25" w14:textId="77777777">
        <w:trPr>
          <w:trHeight w:val="240"/>
        </w:trPr>
        <w:tc>
          <w:tcPr>
            <w:tcW w:w="2041" w:type="dxa"/>
            <w:tcBorders>
              <w:top w:val="single" w:sz="2" w:space="0" w:color="auto"/>
              <w:left w:val="single" w:sz="2" w:space="0" w:color="auto"/>
              <w:bottom w:val="single" w:sz="2" w:space="0" w:color="auto"/>
              <w:right w:val="single" w:sz="2" w:space="0" w:color="auto"/>
            </w:tcBorders>
            <w:shd w:val="clear" w:color="auto" w:fill="D3D3D3"/>
            <w:vAlign w:val="center"/>
          </w:tcPr>
          <w:p w14:paraId="763B969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姓名</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18B8700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性别</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4851F0B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年龄</w:t>
            </w:r>
          </w:p>
        </w:tc>
        <w:tc>
          <w:tcPr>
            <w:tcW w:w="2154" w:type="dxa"/>
            <w:tcBorders>
              <w:top w:val="single" w:sz="2" w:space="0" w:color="auto"/>
              <w:left w:val="single" w:sz="2" w:space="0" w:color="auto"/>
              <w:bottom w:val="single" w:sz="2" w:space="0" w:color="auto"/>
              <w:right w:val="single" w:sz="2" w:space="0" w:color="auto"/>
            </w:tcBorders>
            <w:shd w:val="clear" w:color="auto" w:fill="D3D3D3"/>
            <w:vAlign w:val="center"/>
          </w:tcPr>
          <w:p w14:paraId="53BEFB8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职务</w:t>
            </w:r>
          </w:p>
        </w:tc>
        <w:tc>
          <w:tcPr>
            <w:tcW w:w="1077" w:type="dxa"/>
            <w:tcBorders>
              <w:top w:val="single" w:sz="2" w:space="0" w:color="auto"/>
              <w:left w:val="single" w:sz="2" w:space="0" w:color="auto"/>
              <w:bottom w:val="single" w:sz="2" w:space="0" w:color="auto"/>
              <w:right w:val="single" w:sz="2" w:space="0" w:color="auto"/>
            </w:tcBorders>
            <w:shd w:val="clear" w:color="auto" w:fill="D3D3D3"/>
            <w:vAlign w:val="center"/>
          </w:tcPr>
          <w:p w14:paraId="688876D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任职状态</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CCC735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从公司获得的税前报酬总额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BD244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是否在公司关联方获取报酬</w:t>
            </w:r>
          </w:p>
        </w:tc>
      </w:tr>
      <w:tr w:rsidR="00C57E60" w14:paraId="0F8EEAC5"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409890D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李少波</w:t>
            </w:r>
          </w:p>
        </w:tc>
        <w:tc>
          <w:tcPr>
            <w:tcW w:w="794" w:type="dxa"/>
            <w:tcBorders>
              <w:top w:val="single" w:sz="2" w:space="0" w:color="auto"/>
              <w:left w:val="single" w:sz="2" w:space="0" w:color="auto"/>
              <w:bottom w:val="single" w:sz="2" w:space="0" w:color="auto"/>
              <w:right w:val="single" w:sz="2" w:space="0" w:color="auto"/>
            </w:tcBorders>
            <w:vAlign w:val="center"/>
          </w:tcPr>
          <w:p w14:paraId="492C0FF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3A44150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61</w:t>
            </w:r>
          </w:p>
        </w:tc>
        <w:tc>
          <w:tcPr>
            <w:tcW w:w="2154" w:type="dxa"/>
            <w:tcBorders>
              <w:top w:val="single" w:sz="2" w:space="0" w:color="auto"/>
              <w:left w:val="single" w:sz="2" w:space="0" w:color="auto"/>
              <w:bottom w:val="single" w:sz="2" w:space="0" w:color="auto"/>
              <w:right w:val="single" w:sz="2" w:space="0" w:color="auto"/>
            </w:tcBorders>
            <w:vAlign w:val="center"/>
          </w:tcPr>
          <w:p w14:paraId="647DF72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董事长</w:t>
            </w:r>
          </w:p>
        </w:tc>
        <w:tc>
          <w:tcPr>
            <w:tcW w:w="1077" w:type="dxa"/>
            <w:tcBorders>
              <w:top w:val="single" w:sz="2" w:space="0" w:color="auto"/>
              <w:left w:val="single" w:sz="2" w:space="0" w:color="auto"/>
              <w:bottom w:val="single" w:sz="2" w:space="0" w:color="auto"/>
              <w:right w:val="single" w:sz="2" w:space="0" w:color="auto"/>
            </w:tcBorders>
            <w:vAlign w:val="center"/>
          </w:tcPr>
          <w:p w14:paraId="39D8CA1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0A0CCB5"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31.31</w:t>
            </w:r>
          </w:p>
        </w:tc>
        <w:tc>
          <w:tcPr>
            <w:tcW w:w="1377" w:type="dxa"/>
            <w:tcBorders>
              <w:top w:val="single" w:sz="2" w:space="0" w:color="auto"/>
              <w:left w:val="single" w:sz="2" w:space="0" w:color="auto"/>
              <w:bottom w:val="single" w:sz="2" w:space="0" w:color="auto"/>
              <w:right w:val="single" w:sz="2" w:space="0" w:color="auto"/>
            </w:tcBorders>
            <w:vAlign w:val="center"/>
          </w:tcPr>
          <w:p w14:paraId="2E99C80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11455EF8"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75816E3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李心一</w:t>
            </w:r>
          </w:p>
        </w:tc>
        <w:tc>
          <w:tcPr>
            <w:tcW w:w="794" w:type="dxa"/>
            <w:tcBorders>
              <w:top w:val="single" w:sz="2" w:space="0" w:color="auto"/>
              <w:left w:val="single" w:sz="2" w:space="0" w:color="auto"/>
              <w:bottom w:val="single" w:sz="2" w:space="0" w:color="auto"/>
              <w:right w:val="single" w:sz="2" w:space="0" w:color="auto"/>
            </w:tcBorders>
            <w:vAlign w:val="center"/>
          </w:tcPr>
          <w:p w14:paraId="15C44CC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女</w:t>
            </w:r>
          </w:p>
        </w:tc>
        <w:tc>
          <w:tcPr>
            <w:tcW w:w="794" w:type="dxa"/>
            <w:tcBorders>
              <w:top w:val="single" w:sz="2" w:space="0" w:color="auto"/>
              <w:left w:val="single" w:sz="2" w:space="0" w:color="auto"/>
              <w:bottom w:val="single" w:sz="2" w:space="0" w:color="auto"/>
              <w:right w:val="single" w:sz="2" w:space="0" w:color="auto"/>
            </w:tcBorders>
            <w:vAlign w:val="center"/>
          </w:tcPr>
          <w:p w14:paraId="79C7461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36</w:t>
            </w:r>
          </w:p>
        </w:tc>
        <w:tc>
          <w:tcPr>
            <w:tcW w:w="2154" w:type="dxa"/>
            <w:tcBorders>
              <w:top w:val="single" w:sz="2" w:space="0" w:color="auto"/>
              <w:left w:val="single" w:sz="2" w:space="0" w:color="auto"/>
              <w:bottom w:val="single" w:sz="2" w:space="0" w:color="auto"/>
              <w:right w:val="single" w:sz="2" w:space="0" w:color="auto"/>
            </w:tcBorders>
            <w:vAlign w:val="center"/>
          </w:tcPr>
          <w:p w14:paraId="328028B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副董事长、总经理</w:t>
            </w:r>
          </w:p>
        </w:tc>
        <w:tc>
          <w:tcPr>
            <w:tcW w:w="1077" w:type="dxa"/>
            <w:tcBorders>
              <w:top w:val="single" w:sz="2" w:space="0" w:color="auto"/>
              <w:left w:val="single" w:sz="2" w:space="0" w:color="auto"/>
              <w:bottom w:val="single" w:sz="2" w:space="0" w:color="auto"/>
              <w:right w:val="single" w:sz="2" w:space="0" w:color="auto"/>
            </w:tcBorders>
            <w:vAlign w:val="center"/>
          </w:tcPr>
          <w:p w14:paraId="2775BFE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D49DE61"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59.76</w:t>
            </w:r>
          </w:p>
        </w:tc>
        <w:tc>
          <w:tcPr>
            <w:tcW w:w="1377" w:type="dxa"/>
            <w:tcBorders>
              <w:top w:val="single" w:sz="2" w:space="0" w:color="auto"/>
              <w:left w:val="single" w:sz="2" w:space="0" w:color="auto"/>
              <w:bottom w:val="single" w:sz="2" w:space="0" w:color="auto"/>
              <w:right w:val="single" w:sz="2" w:space="0" w:color="auto"/>
            </w:tcBorders>
            <w:vAlign w:val="center"/>
          </w:tcPr>
          <w:p w14:paraId="049618F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4AFC08EF"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354804F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车宏菁</w:t>
            </w:r>
          </w:p>
        </w:tc>
        <w:tc>
          <w:tcPr>
            <w:tcW w:w="794" w:type="dxa"/>
            <w:tcBorders>
              <w:top w:val="single" w:sz="2" w:space="0" w:color="auto"/>
              <w:left w:val="single" w:sz="2" w:space="0" w:color="auto"/>
              <w:bottom w:val="single" w:sz="2" w:space="0" w:color="auto"/>
              <w:right w:val="single" w:sz="2" w:space="0" w:color="auto"/>
            </w:tcBorders>
            <w:vAlign w:val="center"/>
          </w:tcPr>
          <w:p w14:paraId="226BB26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女</w:t>
            </w:r>
          </w:p>
        </w:tc>
        <w:tc>
          <w:tcPr>
            <w:tcW w:w="794" w:type="dxa"/>
            <w:tcBorders>
              <w:top w:val="single" w:sz="2" w:space="0" w:color="auto"/>
              <w:left w:val="single" w:sz="2" w:space="0" w:color="auto"/>
              <w:bottom w:val="single" w:sz="2" w:space="0" w:color="auto"/>
              <w:right w:val="single" w:sz="2" w:space="0" w:color="auto"/>
            </w:tcBorders>
            <w:vAlign w:val="center"/>
          </w:tcPr>
          <w:p w14:paraId="7285066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53</w:t>
            </w:r>
          </w:p>
        </w:tc>
        <w:tc>
          <w:tcPr>
            <w:tcW w:w="2154" w:type="dxa"/>
            <w:tcBorders>
              <w:top w:val="single" w:sz="2" w:space="0" w:color="auto"/>
              <w:left w:val="single" w:sz="2" w:space="0" w:color="auto"/>
              <w:bottom w:val="single" w:sz="2" w:space="0" w:color="auto"/>
              <w:right w:val="single" w:sz="2" w:space="0" w:color="auto"/>
            </w:tcBorders>
            <w:vAlign w:val="center"/>
          </w:tcPr>
          <w:p w14:paraId="3267B0A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w:t>
            </w:r>
          </w:p>
        </w:tc>
        <w:tc>
          <w:tcPr>
            <w:tcW w:w="1077" w:type="dxa"/>
            <w:tcBorders>
              <w:top w:val="single" w:sz="2" w:space="0" w:color="auto"/>
              <w:left w:val="single" w:sz="2" w:space="0" w:color="auto"/>
              <w:bottom w:val="single" w:sz="2" w:space="0" w:color="auto"/>
              <w:right w:val="single" w:sz="2" w:space="0" w:color="auto"/>
            </w:tcBorders>
            <w:vAlign w:val="center"/>
          </w:tcPr>
          <w:p w14:paraId="7B1CD6B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E8E6A18" w14:textId="031B33E5"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0AF8660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20D43EAC"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3A23CC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w:t>
            </w:r>
          </w:p>
        </w:tc>
        <w:tc>
          <w:tcPr>
            <w:tcW w:w="794" w:type="dxa"/>
            <w:tcBorders>
              <w:top w:val="single" w:sz="2" w:space="0" w:color="auto"/>
              <w:left w:val="single" w:sz="2" w:space="0" w:color="auto"/>
              <w:bottom w:val="single" w:sz="2" w:space="0" w:color="auto"/>
              <w:right w:val="single" w:sz="2" w:space="0" w:color="auto"/>
            </w:tcBorders>
            <w:vAlign w:val="center"/>
          </w:tcPr>
          <w:p w14:paraId="5E4A0F4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女</w:t>
            </w:r>
          </w:p>
        </w:tc>
        <w:tc>
          <w:tcPr>
            <w:tcW w:w="794" w:type="dxa"/>
            <w:tcBorders>
              <w:top w:val="single" w:sz="2" w:space="0" w:color="auto"/>
              <w:left w:val="single" w:sz="2" w:space="0" w:color="auto"/>
              <w:bottom w:val="single" w:sz="2" w:space="0" w:color="auto"/>
              <w:right w:val="single" w:sz="2" w:space="0" w:color="auto"/>
            </w:tcBorders>
            <w:vAlign w:val="center"/>
          </w:tcPr>
          <w:p w14:paraId="6694A06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50</w:t>
            </w:r>
          </w:p>
        </w:tc>
        <w:tc>
          <w:tcPr>
            <w:tcW w:w="2154" w:type="dxa"/>
            <w:tcBorders>
              <w:top w:val="single" w:sz="2" w:space="0" w:color="auto"/>
              <w:left w:val="single" w:sz="2" w:space="0" w:color="auto"/>
              <w:bottom w:val="single" w:sz="2" w:space="0" w:color="auto"/>
              <w:right w:val="single" w:sz="2" w:space="0" w:color="auto"/>
            </w:tcBorders>
            <w:vAlign w:val="center"/>
          </w:tcPr>
          <w:p w14:paraId="6BCFF83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077" w:type="dxa"/>
            <w:tcBorders>
              <w:top w:val="single" w:sz="2" w:space="0" w:color="auto"/>
              <w:left w:val="single" w:sz="2" w:space="0" w:color="auto"/>
              <w:bottom w:val="single" w:sz="2" w:space="0" w:color="auto"/>
              <w:right w:val="single" w:sz="2" w:space="0" w:color="auto"/>
            </w:tcBorders>
            <w:vAlign w:val="center"/>
          </w:tcPr>
          <w:p w14:paraId="34668BA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022FDE6" w14:textId="3B432B39"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386EAAF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69050C9B"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6CBE5F1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Jianyou Tan</w:t>
            </w:r>
            <w:r>
              <w:rPr>
                <w:rFonts w:ascii="Times New Roman" w:eastAsia="宋体" w:hAnsi="Times New Roman" w:cs="宋体"/>
                <w:sz w:val="18"/>
                <w:szCs w:val="18"/>
              </w:rPr>
              <w:t>（谭建友）</w:t>
            </w:r>
          </w:p>
        </w:tc>
        <w:tc>
          <w:tcPr>
            <w:tcW w:w="794" w:type="dxa"/>
            <w:tcBorders>
              <w:top w:val="single" w:sz="2" w:space="0" w:color="auto"/>
              <w:left w:val="single" w:sz="2" w:space="0" w:color="auto"/>
              <w:bottom w:val="single" w:sz="2" w:space="0" w:color="auto"/>
              <w:right w:val="single" w:sz="2" w:space="0" w:color="auto"/>
            </w:tcBorders>
            <w:vAlign w:val="center"/>
          </w:tcPr>
          <w:p w14:paraId="6CFBE3C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39531B3C"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63</w:t>
            </w:r>
          </w:p>
        </w:tc>
        <w:tc>
          <w:tcPr>
            <w:tcW w:w="2154" w:type="dxa"/>
            <w:tcBorders>
              <w:top w:val="single" w:sz="2" w:space="0" w:color="auto"/>
              <w:left w:val="single" w:sz="2" w:space="0" w:color="auto"/>
              <w:bottom w:val="single" w:sz="2" w:space="0" w:color="auto"/>
              <w:right w:val="single" w:sz="2" w:space="0" w:color="auto"/>
            </w:tcBorders>
            <w:vAlign w:val="center"/>
          </w:tcPr>
          <w:p w14:paraId="3668ACE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077" w:type="dxa"/>
            <w:tcBorders>
              <w:top w:val="single" w:sz="2" w:space="0" w:color="auto"/>
              <w:left w:val="single" w:sz="2" w:space="0" w:color="auto"/>
              <w:bottom w:val="single" w:sz="2" w:space="0" w:color="auto"/>
              <w:right w:val="single" w:sz="2" w:space="0" w:color="auto"/>
            </w:tcBorders>
            <w:vAlign w:val="center"/>
          </w:tcPr>
          <w:p w14:paraId="10AA66B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D26BCCB" w14:textId="09306258"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74A897F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77B593EB"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292FE09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Zhenqi Liu</w:t>
            </w:r>
            <w:r>
              <w:rPr>
                <w:rFonts w:ascii="Times New Roman" w:eastAsia="宋体" w:hAnsi="Times New Roman" w:cs="宋体"/>
                <w:sz w:val="18"/>
                <w:szCs w:val="18"/>
              </w:rPr>
              <w:t>（刘振启）</w:t>
            </w:r>
          </w:p>
        </w:tc>
        <w:tc>
          <w:tcPr>
            <w:tcW w:w="794" w:type="dxa"/>
            <w:tcBorders>
              <w:top w:val="single" w:sz="2" w:space="0" w:color="auto"/>
              <w:left w:val="single" w:sz="2" w:space="0" w:color="auto"/>
              <w:bottom w:val="single" w:sz="2" w:space="0" w:color="auto"/>
              <w:right w:val="single" w:sz="2" w:space="0" w:color="auto"/>
            </w:tcBorders>
            <w:vAlign w:val="center"/>
          </w:tcPr>
          <w:p w14:paraId="70C6355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55B116B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63</w:t>
            </w:r>
          </w:p>
        </w:tc>
        <w:tc>
          <w:tcPr>
            <w:tcW w:w="2154" w:type="dxa"/>
            <w:tcBorders>
              <w:top w:val="single" w:sz="2" w:space="0" w:color="auto"/>
              <w:left w:val="single" w:sz="2" w:space="0" w:color="auto"/>
              <w:bottom w:val="single" w:sz="2" w:space="0" w:color="auto"/>
              <w:right w:val="single" w:sz="2" w:space="0" w:color="auto"/>
            </w:tcBorders>
            <w:vAlign w:val="center"/>
          </w:tcPr>
          <w:p w14:paraId="7D01B2E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077" w:type="dxa"/>
            <w:tcBorders>
              <w:top w:val="single" w:sz="2" w:space="0" w:color="auto"/>
              <w:left w:val="single" w:sz="2" w:space="0" w:color="auto"/>
              <w:bottom w:val="single" w:sz="2" w:space="0" w:color="auto"/>
              <w:right w:val="single" w:sz="2" w:space="0" w:color="auto"/>
            </w:tcBorders>
            <w:vAlign w:val="center"/>
          </w:tcPr>
          <w:p w14:paraId="6CBD85B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55665A73" w14:textId="32BC3A6B"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4E3D649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5AA0A4D2"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5D40032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黄绍波</w:t>
            </w:r>
          </w:p>
        </w:tc>
        <w:tc>
          <w:tcPr>
            <w:tcW w:w="794" w:type="dxa"/>
            <w:tcBorders>
              <w:top w:val="single" w:sz="2" w:space="0" w:color="auto"/>
              <w:left w:val="single" w:sz="2" w:space="0" w:color="auto"/>
              <w:bottom w:val="single" w:sz="2" w:space="0" w:color="auto"/>
              <w:right w:val="single" w:sz="2" w:space="0" w:color="auto"/>
            </w:tcBorders>
            <w:vAlign w:val="center"/>
          </w:tcPr>
          <w:p w14:paraId="348D269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45D644C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42</w:t>
            </w:r>
          </w:p>
        </w:tc>
        <w:tc>
          <w:tcPr>
            <w:tcW w:w="2154" w:type="dxa"/>
            <w:tcBorders>
              <w:top w:val="single" w:sz="2" w:space="0" w:color="auto"/>
              <w:left w:val="single" w:sz="2" w:space="0" w:color="auto"/>
              <w:bottom w:val="single" w:sz="2" w:space="0" w:color="auto"/>
              <w:right w:val="single" w:sz="2" w:space="0" w:color="auto"/>
            </w:tcBorders>
            <w:vAlign w:val="center"/>
          </w:tcPr>
          <w:p w14:paraId="2AB9A1E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职工代表董事</w:t>
            </w:r>
          </w:p>
        </w:tc>
        <w:tc>
          <w:tcPr>
            <w:tcW w:w="1077" w:type="dxa"/>
            <w:tcBorders>
              <w:top w:val="single" w:sz="2" w:space="0" w:color="auto"/>
              <w:left w:val="single" w:sz="2" w:space="0" w:color="auto"/>
              <w:bottom w:val="single" w:sz="2" w:space="0" w:color="auto"/>
              <w:right w:val="single" w:sz="2" w:space="0" w:color="auto"/>
            </w:tcBorders>
            <w:vAlign w:val="center"/>
          </w:tcPr>
          <w:p w14:paraId="4BB15E4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B919641" w14:textId="614F951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63BD516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2B8971CB"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434B9B9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王世敏</w:t>
            </w:r>
          </w:p>
        </w:tc>
        <w:tc>
          <w:tcPr>
            <w:tcW w:w="794" w:type="dxa"/>
            <w:tcBorders>
              <w:top w:val="single" w:sz="2" w:space="0" w:color="auto"/>
              <w:left w:val="single" w:sz="2" w:space="0" w:color="auto"/>
              <w:bottom w:val="single" w:sz="2" w:space="0" w:color="auto"/>
              <w:right w:val="single" w:sz="2" w:space="0" w:color="auto"/>
            </w:tcBorders>
            <w:vAlign w:val="center"/>
          </w:tcPr>
          <w:p w14:paraId="73E185B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048F080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59</w:t>
            </w:r>
          </w:p>
        </w:tc>
        <w:tc>
          <w:tcPr>
            <w:tcW w:w="2154" w:type="dxa"/>
            <w:tcBorders>
              <w:top w:val="single" w:sz="2" w:space="0" w:color="auto"/>
              <w:left w:val="single" w:sz="2" w:space="0" w:color="auto"/>
              <w:bottom w:val="single" w:sz="2" w:space="0" w:color="auto"/>
              <w:right w:val="single" w:sz="2" w:space="0" w:color="auto"/>
            </w:tcBorders>
            <w:vAlign w:val="center"/>
          </w:tcPr>
          <w:p w14:paraId="42924F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副总经理</w:t>
            </w:r>
          </w:p>
        </w:tc>
        <w:tc>
          <w:tcPr>
            <w:tcW w:w="1077" w:type="dxa"/>
            <w:tcBorders>
              <w:top w:val="single" w:sz="2" w:space="0" w:color="auto"/>
              <w:left w:val="single" w:sz="2" w:space="0" w:color="auto"/>
              <w:bottom w:val="single" w:sz="2" w:space="0" w:color="auto"/>
              <w:right w:val="single" w:sz="2" w:space="0" w:color="auto"/>
            </w:tcBorders>
            <w:vAlign w:val="center"/>
          </w:tcPr>
          <w:p w14:paraId="302F6A4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0F3059E"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31.37</w:t>
            </w:r>
          </w:p>
        </w:tc>
        <w:tc>
          <w:tcPr>
            <w:tcW w:w="1377" w:type="dxa"/>
            <w:tcBorders>
              <w:top w:val="single" w:sz="2" w:space="0" w:color="auto"/>
              <w:left w:val="single" w:sz="2" w:space="0" w:color="auto"/>
              <w:bottom w:val="single" w:sz="2" w:space="0" w:color="auto"/>
              <w:right w:val="single" w:sz="2" w:space="0" w:color="auto"/>
            </w:tcBorders>
            <w:vAlign w:val="center"/>
          </w:tcPr>
          <w:p w14:paraId="5586F2F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573D320A"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53B8EE1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彭旭明</w:t>
            </w:r>
          </w:p>
        </w:tc>
        <w:tc>
          <w:tcPr>
            <w:tcW w:w="794" w:type="dxa"/>
            <w:tcBorders>
              <w:top w:val="single" w:sz="2" w:space="0" w:color="auto"/>
              <w:left w:val="single" w:sz="2" w:space="0" w:color="auto"/>
              <w:bottom w:val="single" w:sz="2" w:space="0" w:color="auto"/>
              <w:right w:val="single" w:sz="2" w:space="0" w:color="auto"/>
            </w:tcBorders>
            <w:vAlign w:val="center"/>
          </w:tcPr>
          <w:p w14:paraId="0E5CD42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15A4365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39</w:t>
            </w:r>
          </w:p>
        </w:tc>
        <w:tc>
          <w:tcPr>
            <w:tcW w:w="2154" w:type="dxa"/>
            <w:tcBorders>
              <w:top w:val="single" w:sz="2" w:space="0" w:color="auto"/>
              <w:left w:val="single" w:sz="2" w:space="0" w:color="auto"/>
              <w:bottom w:val="single" w:sz="2" w:space="0" w:color="auto"/>
              <w:right w:val="single" w:sz="2" w:space="0" w:color="auto"/>
            </w:tcBorders>
            <w:vAlign w:val="center"/>
          </w:tcPr>
          <w:p w14:paraId="419BD8B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副总经理</w:t>
            </w:r>
          </w:p>
        </w:tc>
        <w:tc>
          <w:tcPr>
            <w:tcW w:w="1077" w:type="dxa"/>
            <w:tcBorders>
              <w:top w:val="single" w:sz="2" w:space="0" w:color="auto"/>
              <w:left w:val="single" w:sz="2" w:space="0" w:color="auto"/>
              <w:bottom w:val="single" w:sz="2" w:space="0" w:color="auto"/>
              <w:right w:val="single" w:sz="2" w:space="0" w:color="auto"/>
            </w:tcBorders>
            <w:vAlign w:val="center"/>
          </w:tcPr>
          <w:p w14:paraId="3C74BE1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376ED75F" w14:textId="6C0AA14B"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0</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13F102F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0FABFAA7"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09F0CF7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郑霁耘</w:t>
            </w:r>
          </w:p>
        </w:tc>
        <w:tc>
          <w:tcPr>
            <w:tcW w:w="794" w:type="dxa"/>
            <w:tcBorders>
              <w:top w:val="single" w:sz="2" w:space="0" w:color="auto"/>
              <w:left w:val="single" w:sz="2" w:space="0" w:color="auto"/>
              <w:bottom w:val="single" w:sz="2" w:space="0" w:color="auto"/>
              <w:right w:val="single" w:sz="2" w:space="0" w:color="auto"/>
            </w:tcBorders>
            <w:vAlign w:val="center"/>
          </w:tcPr>
          <w:p w14:paraId="5487573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女</w:t>
            </w:r>
          </w:p>
        </w:tc>
        <w:tc>
          <w:tcPr>
            <w:tcW w:w="794" w:type="dxa"/>
            <w:tcBorders>
              <w:top w:val="single" w:sz="2" w:space="0" w:color="auto"/>
              <w:left w:val="single" w:sz="2" w:space="0" w:color="auto"/>
              <w:bottom w:val="single" w:sz="2" w:space="0" w:color="auto"/>
              <w:right w:val="single" w:sz="2" w:space="0" w:color="auto"/>
            </w:tcBorders>
            <w:vAlign w:val="center"/>
          </w:tcPr>
          <w:p w14:paraId="1618488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39</w:t>
            </w:r>
          </w:p>
        </w:tc>
        <w:tc>
          <w:tcPr>
            <w:tcW w:w="2154" w:type="dxa"/>
            <w:tcBorders>
              <w:top w:val="single" w:sz="2" w:space="0" w:color="auto"/>
              <w:left w:val="single" w:sz="2" w:space="0" w:color="auto"/>
              <w:bottom w:val="single" w:sz="2" w:space="0" w:color="auto"/>
              <w:right w:val="single" w:sz="2" w:space="0" w:color="auto"/>
            </w:tcBorders>
            <w:vAlign w:val="center"/>
          </w:tcPr>
          <w:p w14:paraId="37E1894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副总经理、董事会秘书</w:t>
            </w:r>
          </w:p>
        </w:tc>
        <w:tc>
          <w:tcPr>
            <w:tcW w:w="1077" w:type="dxa"/>
            <w:tcBorders>
              <w:top w:val="single" w:sz="2" w:space="0" w:color="auto"/>
              <w:left w:val="single" w:sz="2" w:space="0" w:color="auto"/>
              <w:bottom w:val="single" w:sz="2" w:space="0" w:color="auto"/>
              <w:right w:val="single" w:sz="2" w:space="0" w:color="auto"/>
            </w:tcBorders>
            <w:vAlign w:val="center"/>
          </w:tcPr>
          <w:p w14:paraId="3A69CC10"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728F5977"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104.72</w:t>
            </w:r>
          </w:p>
        </w:tc>
        <w:tc>
          <w:tcPr>
            <w:tcW w:w="1377" w:type="dxa"/>
            <w:tcBorders>
              <w:top w:val="single" w:sz="2" w:space="0" w:color="auto"/>
              <w:left w:val="single" w:sz="2" w:space="0" w:color="auto"/>
              <w:bottom w:val="single" w:sz="2" w:space="0" w:color="auto"/>
              <w:right w:val="single" w:sz="2" w:space="0" w:color="auto"/>
            </w:tcBorders>
            <w:vAlign w:val="center"/>
          </w:tcPr>
          <w:p w14:paraId="02DC3A2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5DC29030"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64836F6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何竹子</w:t>
            </w:r>
          </w:p>
        </w:tc>
        <w:tc>
          <w:tcPr>
            <w:tcW w:w="794" w:type="dxa"/>
            <w:tcBorders>
              <w:top w:val="single" w:sz="2" w:space="0" w:color="auto"/>
              <w:left w:val="single" w:sz="2" w:space="0" w:color="auto"/>
              <w:bottom w:val="single" w:sz="2" w:space="0" w:color="auto"/>
              <w:right w:val="single" w:sz="2" w:space="0" w:color="auto"/>
            </w:tcBorders>
            <w:vAlign w:val="center"/>
          </w:tcPr>
          <w:p w14:paraId="3B2185C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49F7C4A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52</w:t>
            </w:r>
          </w:p>
        </w:tc>
        <w:tc>
          <w:tcPr>
            <w:tcW w:w="2154" w:type="dxa"/>
            <w:tcBorders>
              <w:top w:val="single" w:sz="2" w:space="0" w:color="auto"/>
              <w:left w:val="single" w:sz="2" w:space="0" w:color="auto"/>
              <w:bottom w:val="single" w:sz="2" w:space="0" w:color="auto"/>
              <w:right w:val="single" w:sz="2" w:space="0" w:color="auto"/>
            </w:tcBorders>
            <w:vAlign w:val="center"/>
          </w:tcPr>
          <w:p w14:paraId="14B0E1C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财务总监</w:t>
            </w:r>
          </w:p>
        </w:tc>
        <w:tc>
          <w:tcPr>
            <w:tcW w:w="1077" w:type="dxa"/>
            <w:tcBorders>
              <w:top w:val="single" w:sz="2" w:space="0" w:color="auto"/>
              <w:left w:val="single" w:sz="2" w:space="0" w:color="auto"/>
              <w:bottom w:val="single" w:sz="2" w:space="0" w:color="auto"/>
              <w:right w:val="single" w:sz="2" w:space="0" w:color="auto"/>
            </w:tcBorders>
            <w:vAlign w:val="center"/>
          </w:tcPr>
          <w:p w14:paraId="47C7A21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现任</w:t>
            </w:r>
          </w:p>
        </w:tc>
        <w:tc>
          <w:tcPr>
            <w:tcW w:w="1377" w:type="dxa"/>
            <w:tcBorders>
              <w:top w:val="single" w:sz="2" w:space="0" w:color="auto"/>
              <w:left w:val="single" w:sz="2" w:space="0" w:color="auto"/>
              <w:bottom w:val="single" w:sz="2" w:space="0" w:color="auto"/>
              <w:right w:val="single" w:sz="2" w:space="0" w:color="auto"/>
            </w:tcBorders>
            <w:vAlign w:val="center"/>
          </w:tcPr>
          <w:p w14:paraId="1B035D3A"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83.85</w:t>
            </w:r>
          </w:p>
        </w:tc>
        <w:tc>
          <w:tcPr>
            <w:tcW w:w="1377" w:type="dxa"/>
            <w:tcBorders>
              <w:top w:val="single" w:sz="2" w:space="0" w:color="auto"/>
              <w:left w:val="single" w:sz="2" w:space="0" w:color="auto"/>
              <w:bottom w:val="single" w:sz="2" w:space="0" w:color="auto"/>
              <w:right w:val="single" w:sz="2" w:space="0" w:color="auto"/>
            </w:tcBorders>
            <w:vAlign w:val="center"/>
          </w:tcPr>
          <w:p w14:paraId="7ACF27D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20647E51"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1917FAD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李晖（</w:t>
            </w:r>
            <w:r>
              <w:rPr>
                <w:rFonts w:ascii="Times New Roman" w:eastAsia="宋体" w:hAnsi="Times New Roman" w:cs="宋体"/>
                <w:sz w:val="18"/>
                <w:szCs w:val="18"/>
              </w:rPr>
              <w:t>LI HUI</w:t>
            </w:r>
            <w:r>
              <w:rPr>
                <w:rFonts w:ascii="Times New Roman" w:eastAsia="宋体" w:hAnsi="Times New Roman" w:cs="宋体"/>
                <w:sz w:val="18"/>
                <w:szCs w:val="18"/>
              </w:rPr>
              <w:t>）</w:t>
            </w:r>
          </w:p>
        </w:tc>
        <w:tc>
          <w:tcPr>
            <w:tcW w:w="794" w:type="dxa"/>
            <w:tcBorders>
              <w:top w:val="single" w:sz="2" w:space="0" w:color="auto"/>
              <w:left w:val="single" w:sz="2" w:space="0" w:color="auto"/>
              <w:bottom w:val="single" w:sz="2" w:space="0" w:color="auto"/>
              <w:right w:val="single" w:sz="2" w:space="0" w:color="auto"/>
            </w:tcBorders>
            <w:vAlign w:val="center"/>
          </w:tcPr>
          <w:p w14:paraId="416054B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7D8617E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43</w:t>
            </w:r>
          </w:p>
        </w:tc>
        <w:tc>
          <w:tcPr>
            <w:tcW w:w="2154" w:type="dxa"/>
            <w:tcBorders>
              <w:top w:val="single" w:sz="2" w:space="0" w:color="auto"/>
              <w:left w:val="single" w:sz="2" w:space="0" w:color="auto"/>
              <w:bottom w:val="single" w:sz="2" w:space="0" w:color="auto"/>
              <w:right w:val="single" w:sz="2" w:space="0" w:color="auto"/>
            </w:tcBorders>
            <w:vAlign w:val="center"/>
          </w:tcPr>
          <w:p w14:paraId="44A050E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w:t>
            </w:r>
          </w:p>
        </w:tc>
        <w:tc>
          <w:tcPr>
            <w:tcW w:w="1077" w:type="dxa"/>
            <w:tcBorders>
              <w:top w:val="single" w:sz="2" w:space="0" w:color="auto"/>
              <w:left w:val="single" w:sz="2" w:space="0" w:color="auto"/>
              <w:bottom w:val="single" w:sz="2" w:space="0" w:color="auto"/>
              <w:right w:val="single" w:sz="2" w:space="0" w:color="auto"/>
            </w:tcBorders>
            <w:vAlign w:val="center"/>
          </w:tcPr>
          <w:p w14:paraId="6F9CC03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14:paraId="45E93FD3" w14:textId="6A069DF4"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25BB27F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469DE7CE"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234070D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袁洪</w:t>
            </w:r>
          </w:p>
        </w:tc>
        <w:tc>
          <w:tcPr>
            <w:tcW w:w="794" w:type="dxa"/>
            <w:tcBorders>
              <w:top w:val="single" w:sz="2" w:space="0" w:color="auto"/>
              <w:left w:val="single" w:sz="2" w:space="0" w:color="auto"/>
              <w:bottom w:val="single" w:sz="2" w:space="0" w:color="auto"/>
              <w:right w:val="single" w:sz="2" w:space="0" w:color="auto"/>
            </w:tcBorders>
            <w:vAlign w:val="center"/>
          </w:tcPr>
          <w:p w14:paraId="48BAD9D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79C226A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68</w:t>
            </w:r>
          </w:p>
        </w:tc>
        <w:tc>
          <w:tcPr>
            <w:tcW w:w="2154" w:type="dxa"/>
            <w:tcBorders>
              <w:top w:val="single" w:sz="2" w:space="0" w:color="auto"/>
              <w:left w:val="single" w:sz="2" w:space="0" w:color="auto"/>
              <w:bottom w:val="single" w:sz="2" w:space="0" w:color="auto"/>
              <w:right w:val="single" w:sz="2" w:space="0" w:color="auto"/>
            </w:tcBorders>
            <w:vAlign w:val="center"/>
          </w:tcPr>
          <w:p w14:paraId="2FF4F7E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077" w:type="dxa"/>
            <w:tcBorders>
              <w:top w:val="single" w:sz="2" w:space="0" w:color="auto"/>
              <w:left w:val="single" w:sz="2" w:space="0" w:color="auto"/>
              <w:bottom w:val="single" w:sz="2" w:space="0" w:color="auto"/>
              <w:right w:val="single" w:sz="2" w:space="0" w:color="auto"/>
            </w:tcBorders>
            <w:vAlign w:val="center"/>
          </w:tcPr>
          <w:p w14:paraId="6D5102D0"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14:paraId="0BA64708" w14:textId="02884D3A"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31D42C8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534BB322"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2B64BCE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康熙雄</w:t>
            </w:r>
          </w:p>
        </w:tc>
        <w:tc>
          <w:tcPr>
            <w:tcW w:w="794" w:type="dxa"/>
            <w:tcBorders>
              <w:top w:val="single" w:sz="2" w:space="0" w:color="auto"/>
              <w:left w:val="single" w:sz="2" w:space="0" w:color="auto"/>
              <w:bottom w:val="single" w:sz="2" w:space="0" w:color="auto"/>
              <w:right w:val="single" w:sz="2" w:space="0" w:color="auto"/>
            </w:tcBorders>
            <w:vAlign w:val="center"/>
          </w:tcPr>
          <w:p w14:paraId="04C417E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512ED42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74</w:t>
            </w:r>
          </w:p>
        </w:tc>
        <w:tc>
          <w:tcPr>
            <w:tcW w:w="2154" w:type="dxa"/>
            <w:tcBorders>
              <w:top w:val="single" w:sz="2" w:space="0" w:color="auto"/>
              <w:left w:val="single" w:sz="2" w:space="0" w:color="auto"/>
              <w:bottom w:val="single" w:sz="2" w:space="0" w:color="auto"/>
              <w:right w:val="single" w:sz="2" w:space="0" w:color="auto"/>
            </w:tcBorders>
            <w:vAlign w:val="center"/>
          </w:tcPr>
          <w:p w14:paraId="6257A95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独立董事</w:t>
            </w:r>
          </w:p>
        </w:tc>
        <w:tc>
          <w:tcPr>
            <w:tcW w:w="1077" w:type="dxa"/>
            <w:tcBorders>
              <w:top w:val="single" w:sz="2" w:space="0" w:color="auto"/>
              <w:left w:val="single" w:sz="2" w:space="0" w:color="auto"/>
              <w:bottom w:val="single" w:sz="2" w:space="0" w:color="auto"/>
              <w:right w:val="single" w:sz="2" w:space="0" w:color="auto"/>
            </w:tcBorders>
            <w:vAlign w:val="center"/>
          </w:tcPr>
          <w:p w14:paraId="6C0D64F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14:paraId="72B4F5B4" w14:textId="63F2CED8"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12</w:t>
            </w:r>
            <w:r w:rsidR="00926E79">
              <w:rPr>
                <w:rFonts w:ascii="Times New Roman" w:eastAsia="宋体" w:hAnsi="Times New Roman" w:cs="宋体"/>
                <w:sz w:val="18"/>
                <w:szCs w:val="18"/>
              </w:rPr>
              <w:t>.00</w:t>
            </w:r>
          </w:p>
        </w:tc>
        <w:tc>
          <w:tcPr>
            <w:tcW w:w="1377" w:type="dxa"/>
            <w:tcBorders>
              <w:top w:val="single" w:sz="2" w:space="0" w:color="auto"/>
              <w:left w:val="single" w:sz="2" w:space="0" w:color="auto"/>
              <w:bottom w:val="single" w:sz="2" w:space="0" w:color="auto"/>
              <w:right w:val="single" w:sz="2" w:space="0" w:color="auto"/>
            </w:tcBorders>
            <w:vAlign w:val="center"/>
          </w:tcPr>
          <w:p w14:paraId="5DAF93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747CD78B" w14:textId="77777777">
        <w:trPr>
          <w:trHeight w:val="240"/>
        </w:trPr>
        <w:tc>
          <w:tcPr>
            <w:tcW w:w="2041" w:type="dxa"/>
            <w:tcBorders>
              <w:top w:val="single" w:sz="2" w:space="0" w:color="auto"/>
              <w:left w:val="single" w:sz="2" w:space="0" w:color="auto"/>
              <w:bottom w:val="single" w:sz="2" w:space="0" w:color="auto"/>
              <w:right w:val="single" w:sz="2" w:space="0" w:color="auto"/>
            </w:tcBorders>
            <w:vAlign w:val="center"/>
          </w:tcPr>
          <w:p w14:paraId="7CA90A3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蔡建文</w:t>
            </w:r>
          </w:p>
        </w:tc>
        <w:tc>
          <w:tcPr>
            <w:tcW w:w="794" w:type="dxa"/>
            <w:tcBorders>
              <w:top w:val="single" w:sz="2" w:space="0" w:color="auto"/>
              <w:left w:val="single" w:sz="2" w:space="0" w:color="auto"/>
              <w:bottom w:val="single" w:sz="2" w:space="0" w:color="auto"/>
              <w:right w:val="single" w:sz="2" w:space="0" w:color="auto"/>
            </w:tcBorders>
            <w:vAlign w:val="center"/>
          </w:tcPr>
          <w:p w14:paraId="65B1944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男</w:t>
            </w:r>
          </w:p>
        </w:tc>
        <w:tc>
          <w:tcPr>
            <w:tcW w:w="794" w:type="dxa"/>
            <w:tcBorders>
              <w:top w:val="single" w:sz="2" w:space="0" w:color="auto"/>
              <w:left w:val="single" w:sz="2" w:space="0" w:color="auto"/>
              <w:bottom w:val="single" w:sz="2" w:space="0" w:color="auto"/>
              <w:right w:val="single" w:sz="2" w:space="0" w:color="auto"/>
            </w:tcBorders>
            <w:vAlign w:val="center"/>
          </w:tcPr>
          <w:p w14:paraId="17718A4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52</w:t>
            </w:r>
          </w:p>
        </w:tc>
        <w:tc>
          <w:tcPr>
            <w:tcW w:w="2154" w:type="dxa"/>
            <w:tcBorders>
              <w:top w:val="single" w:sz="2" w:space="0" w:color="auto"/>
              <w:left w:val="single" w:sz="2" w:space="0" w:color="auto"/>
              <w:bottom w:val="single" w:sz="2" w:space="0" w:color="auto"/>
              <w:right w:val="single" w:sz="2" w:space="0" w:color="auto"/>
            </w:tcBorders>
            <w:vAlign w:val="center"/>
          </w:tcPr>
          <w:p w14:paraId="671D2B5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副总经理</w:t>
            </w:r>
          </w:p>
        </w:tc>
        <w:tc>
          <w:tcPr>
            <w:tcW w:w="1077" w:type="dxa"/>
            <w:tcBorders>
              <w:top w:val="single" w:sz="2" w:space="0" w:color="auto"/>
              <w:left w:val="single" w:sz="2" w:space="0" w:color="auto"/>
              <w:bottom w:val="single" w:sz="2" w:space="0" w:color="auto"/>
              <w:right w:val="single" w:sz="2" w:space="0" w:color="auto"/>
            </w:tcBorders>
            <w:vAlign w:val="center"/>
          </w:tcPr>
          <w:p w14:paraId="4B9A312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离任</w:t>
            </w:r>
          </w:p>
        </w:tc>
        <w:tc>
          <w:tcPr>
            <w:tcW w:w="1377" w:type="dxa"/>
            <w:tcBorders>
              <w:top w:val="single" w:sz="2" w:space="0" w:color="auto"/>
              <w:left w:val="single" w:sz="2" w:space="0" w:color="auto"/>
              <w:bottom w:val="single" w:sz="2" w:space="0" w:color="auto"/>
              <w:right w:val="single" w:sz="2" w:space="0" w:color="auto"/>
            </w:tcBorders>
            <w:vAlign w:val="center"/>
          </w:tcPr>
          <w:p w14:paraId="24983642"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187.48</w:t>
            </w:r>
          </w:p>
        </w:tc>
        <w:tc>
          <w:tcPr>
            <w:tcW w:w="1377" w:type="dxa"/>
            <w:tcBorders>
              <w:top w:val="single" w:sz="2" w:space="0" w:color="auto"/>
              <w:left w:val="single" w:sz="2" w:space="0" w:color="auto"/>
              <w:bottom w:val="single" w:sz="2" w:space="0" w:color="auto"/>
              <w:right w:val="single" w:sz="2" w:space="0" w:color="auto"/>
            </w:tcBorders>
            <w:vAlign w:val="center"/>
          </w:tcPr>
          <w:p w14:paraId="58C185F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否</w:t>
            </w:r>
          </w:p>
        </w:tc>
      </w:tr>
      <w:tr w:rsidR="00C57E60" w14:paraId="03ACAEBE" w14:textId="77777777">
        <w:trPr>
          <w:trHeight w:val="240"/>
        </w:trPr>
        <w:tc>
          <w:tcPr>
            <w:tcW w:w="2041" w:type="dxa"/>
            <w:tcBorders>
              <w:top w:val="single" w:sz="2" w:space="0" w:color="auto"/>
              <w:left w:val="single" w:sz="2" w:space="0" w:color="auto"/>
              <w:bottom w:val="single" w:sz="2" w:space="0" w:color="auto"/>
              <w:right w:val="single" w:sz="2" w:space="0" w:color="auto"/>
            </w:tcBorders>
            <w:shd w:val="clear" w:color="auto" w:fill="D3D3D3"/>
            <w:vAlign w:val="center"/>
          </w:tcPr>
          <w:p w14:paraId="3A396365" w14:textId="77777777" w:rsidR="00113A51" w:rsidRDefault="00766EC7">
            <w:pPr>
              <w:spacing w:before="40" w:after="40" w:line="360" w:lineRule="auto"/>
              <w:rPr>
                <w:rFonts w:ascii="Times New Roman" w:eastAsia="宋体" w:hAnsi="Times New Roman" w:cs="宋体"/>
                <w:sz w:val="18"/>
                <w:szCs w:val="18"/>
              </w:rPr>
            </w:pPr>
            <w:r>
              <w:rPr>
                <w:rFonts w:ascii="Times New Roman" w:eastAsia="宋体" w:hAnsi="Times New Roman" w:cs="宋体"/>
                <w:sz w:val="18"/>
                <w:szCs w:val="18"/>
              </w:rPr>
              <w:t>合计</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151F3290"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c>
          <w:tcPr>
            <w:tcW w:w="794" w:type="dxa"/>
            <w:tcBorders>
              <w:top w:val="single" w:sz="2" w:space="0" w:color="auto"/>
              <w:left w:val="single" w:sz="2" w:space="0" w:color="auto"/>
              <w:bottom w:val="single" w:sz="2" w:space="0" w:color="auto"/>
              <w:right w:val="single" w:sz="2" w:space="0" w:color="auto"/>
            </w:tcBorders>
            <w:shd w:val="clear" w:color="auto" w:fill="D3D3D3"/>
            <w:vAlign w:val="center"/>
          </w:tcPr>
          <w:p w14:paraId="2645BFD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c>
          <w:tcPr>
            <w:tcW w:w="2154" w:type="dxa"/>
            <w:tcBorders>
              <w:top w:val="single" w:sz="2" w:space="0" w:color="auto"/>
              <w:left w:val="single" w:sz="2" w:space="0" w:color="auto"/>
              <w:bottom w:val="single" w:sz="2" w:space="0" w:color="auto"/>
              <w:right w:val="single" w:sz="2" w:space="0" w:color="auto"/>
            </w:tcBorders>
            <w:shd w:val="clear" w:color="auto" w:fill="D3D3D3"/>
            <w:vAlign w:val="center"/>
          </w:tcPr>
          <w:p w14:paraId="4E4480A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c>
          <w:tcPr>
            <w:tcW w:w="1077" w:type="dxa"/>
            <w:tcBorders>
              <w:top w:val="single" w:sz="2" w:space="0" w:color="auto"/>
              <w:left w:val="single" w:sz="2" w:space="0" w:color="auto"/>
              <w:bottom w:val="single" w:sz="2" w:space="0" w:color="auto"/>
              <w:right w:val="single" w:sz="2" w:space="0" w:color="auto"/>
            </w:tcBorders>
            <w:shd w:val="clear" w:color="auto" w:fill="D3D3D3"/>
            <w:vAlign w:val="center"/>
          </w:tcPr>
          <w:p w14:paraId="0A64CF37"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c>
          <w:tcPr>
            <w:tcW w:w="1377" w:type="dxa"/>
            <w:tcBorders>
              <w:top w:val="single" w:sz="2" w:space="0" w:color="auto"/>
              <w:left w:val="single" w:sz="2" w:space="0" w:color="auto"/>
              <w:bottom w:val="single" w:sz="2" w:space="0" w:color="auto"/>
              <w:right w:val="single" w:sz="2" w:space="0" w:color="auto"/>
            </w:tcBorders>
            <w:vAlign w:val="center"/>
          </w:tcPr>
          <w:p w14:paraId="64C6EA98" w14:textId="77777777" w:rsidR="00113A51" w:rsidRDefault="00766EC7">
            <w:pPr>
              <w:spacing w:line="360" w:lineRule="auto"/>
              <w:jc w:val="right"/>
              <w:rPr>
                <w:rFonts w:ascii="Times New Roman" w:eastAsia="宋体" w:hAnsi="Times New Roman" w:cs="宋体"/>
                <w:sz w:val="18"/>
                <w:szCs w:val="18"/>
              </w:rPr>
            </w:pPr>
            <w:r>
              <w:rPr>
                <w:rFonts w:ascii="Times New Roman" w:eastAsia="宋体" w:hAnsi="Times New Roman" w:cs="宋体"/>
                <w:sz w:val="18"/>
                <w:szCs w:val="18"/>
              </w:rPr>
              <w:t>558.49</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704C4CF"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w:t>
            </w:r>
          </w:p>
        </w:tc>
      </w:tr>
    </w:tbl>
    <w:p w14:paraId="7BFFCEE1" w14:textId="77777777" w:rsidR="00113A51" w:rsidRDefault="00113A51">
      <w:pPr>
        <w:spacing w:line="0" w:lineRule="atLeast"/>
      </w:pPr>
    </w:p>
    <w:tbl>
      <w:tblPr>
        <w:tblW w:w="9900" w:type="dxa"/>
        <w:tblInd w:w="108" w:type="dxa"/>
        <w:tblLayout w:type="fixed"/>
        <w:tblLook w:val="04A0" w:firstRow="1" w:lastRow="0" w:firstColumn="1" w:lastColumn="0" w:noHBand="0" w:noVBand="1"/>
      </w:tblPr>
      <w:tblGrid>
        <w:gridCol w:w="5272"/>
        <w:gridCol w:w="4628"/>
      </w:tblGrid>
      <w:tr w:rsidR="00C57E60" w14:paraId="48C401DC" w14:textId="77777777">
        <w:trPr>
          <w:trHeight w:val="240"/>
        </w:trPr>
        <w:tc>
          <w:tcPr>
            <w:tcW w:w="5272" w:type="dxa"/>
            <w:tcBorders>
              <w:top w:val="single" w:sz="2" w:space="0" w:color="auto"/>
              <w:left w:val="single" w:sz="2" w:space="0" w:color="auto"/>
              <w:bottom w:val="single" w:sz="2" w:space="0" w:color="auto"/>
              <w:right w:val="single" w:sz="2" w:space="0" w:color="auto"/>
            </w:tcBorders>
            <w:shd w:val="clear" w:color="auto" w:fill="D3D3D3"/>
            <w:vAlign w:val="center"/>
          </w:tcPr>
          <w:p w14:paraId="5C5BC4D2"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报告期末全体董事和高级管理人员实际获得薪酬的考核依据</w:t>
            </w:r>
          </w:p>
        </w:tc>
        <w:tc>
          <w:tcPr>
            <w:tcW w:w="4628" w:type="dxa"/>
            <w:tcBorders>
              <w:top w:val="single" w:sz="2" w:space="0" w:color="auto"/>
              <w:left w:val="single" w:sz="2" w:space="0" w:color="auto"/>
              <w:bottom w:val="single" w:sz="2" w:space="0" w:color="auto"/>
              <w:right w:val="single" w:sz="2" w:space="0" w:color="auto"/>
            </w:tcBorders>
            <w:vAlign w:val="center"/>
          </w:tcPr>
          <w:p w14:paraId="6E76E337" w14:textId="1B669CE9" w:rsidR="00113A51" w:rsidRDefault="00766EC7">
            <w:pPr>
              <w:spacing w:line="240" w:lineRule="exact"/>
              <w:rPr>
                <w:rFonts w:ascii="宋体" w:eastAsia="宋体" w:hAnsi="宋体" w:cs="宋体"/>
                <w:sz w:val="18"/>
                <w:szCs w:val="18"/>
              </w:rPr>
            </w:pPr>
            <w:r>
              <w:rPr>
                <w:rFonts w:ascii="宋体" w:eastAsia="宋体" w:hAnsi="宋体" w:cs="宋体"/>
                <w:sz w:val="18"/>
                <w:szCs w:val="18"/>
              </w:rPr>
              <w:t>董事、高级管理人员的薪酬根据公司具体规章制度、</w:t>
            </w:r>
            <w:r w:rsidR="003D7EDD">
              <w:rPr>
                <w:rFonts w:ascii="宋体" w:eastAsia="宋体" w:hAnsi="宋体" w:cs="宋体" w:hint="eastAsia"/>
                <w:sz w:val="18"/>
                <w:szCs w:val="18"/>
              </w:rPr>
              <w:t>公司</w:t>
            </w:r>
            <w:r>
              <w:rPr>
                <w:rFonts w:ascii="宋体" w:eastAsia="宋体" w:hAnsi="宋体" w:cs="宋体"/>
                <w:sz w:val="18"/>
                <w:szCs w:val="18"/>
              </w:rPr>
              <w:t>薪酬体系及绩效考核体系确定。在公司担任具体职务的董事，根据其具体岗位领取相应报酬；公司每年为独立董事发放津贴。</w:t>
            </w:r>
          </w:p>
        </w:tc>
      </w:tr>
      <w:tr w:rsidR="00C57E60" w14:paraId="5C460E38" w14:textId="77777777">
        <w:trPr>
          <w:trHeight w:val="240"/>
        </w:trPr>
        <w:tc>
          <w:tcPr>
            <w:tcW w:w="5272" w:type="dxa"/>
            <w:tcBorders>
              <w:top w:val="single" w:sz="2" w:space="0" w:color="auto"/>
              <w:left w:val="single" w:sz="2" w:space="0" w:color="auto"/>
              <w:bottom w:val="single" w:sz="2" w:space="0" w:color="auto"/>
              <w:right w:val="single" w:sz="2" w:space="0" w:color="auto"/>
            </w:tcBorders>
            <w:shd w:val="clear" w:color="auto" w:fill="D3D3D3"/>
            <w:vAlign w:val="center"/>
          </w:tcPr>
          <w:p w14:paraId="42ED3E12"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报告期末全体董事和高级管理人员实际获得薪酬的考核完成情况</w:t>
            </w:r>
          </w:p>
        </w:tc>
        <w:tc>
          <w:tcPr>
            <w:tcW w:w="4628" w:type="dxa"/>
            <w:tcBorders>
              <w:top w:val="single" w:sz="2" w:space="0" w:color="auto"/>
              <w:left w:val="single" w:sz="2" w:space="0" w:color="auto"/>
              <w:bottom w:val="single" w:sz="2" w:space="0" w:color="auto"/>
              <w:right w:val="single" w:sz="2" w:space="0" w:color="auto"/>
            </w:tcBorders>
            <w:vAlign w:val="center"/>
          </w:tcPr>
          <w:p w14:paraId="24A9FE45"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已完成</w:t>
            </w:r>
          </w:p>
        </w:tc>
      </w:tr>
      <w:tr w:rsidR="00C57E60" w14:paraId="387E47EB" w14:textId="77777777">
        <w:trPr>
          <w:trHeight w:val="240"/>
        </w:trPr>
        <w:tc>
          <w:tcPr>
            <w:tcW w:w="5272" w:type="dxa"/>
            <w:tcBorders>
              <w:top w:val="single" w:sz="2" w:space="0" w:color="auto"/>
              <w:left w:val="single" w:sz="2" w:space="0" w:color="auto"/>
              <w:bottom w:val="single" w:sz="2" w:space="0" w:color="auto"/>
              <w:right w:val="single" w:sz="2" w:space="0" w:color="auto"/>
            </w:tcBorders>
            <w:shd w:val="clear" w:color="auto" w:fill="D3D3D3"/>
            <w:vAlign w:val="center"/>
          </w:tcPr>
          <w:p w14:paraId="478583E6"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报告期末全体董事和高级管理人员实际获得薪酬的递延支付安排</w:t>
            </w:r>
          </w:p>
        </w:tc>
        <w:tc>
          <w:tcPr>
            <w:tcW w:w="4628" w:type="dxa"/>
            <w:tcBorders>
              <w:top w:val="single" w:sz="2" w:space="0" w:color="auto"/>
              <w:left w:val="single" w:sz="2" w:space="0" w:color="auto"/>
              <w:bottom w:val="single" w:sz="2" w:space="0" w:color="auto"/>
              <w:right w:val="single" w:sz="2" w:space="0" w:color="auto"/>
            </w:tcBorders>
            <w:vAlign w:val="center"/>
          </w:tcPr>
          <w:p w14:paraId="62B214A7"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不适用</w:t>
            </w:r>
          </w:p>
        </w:tc>
      </w:tr>
      <w:tr w:rsidR="00C57E60" w14:paraId="28F8BF73" w14:textId="77777777">
        <w:trPr>
          <w:trHeight w:val="240"/>
        </w:trPr>
        <w:tc>
          <w:tcPr>
            <w:tcW w:w="5272" w:type="dxa"/>
            <w:tcBorders>
              <w:top w:val="single" w:sz="2" w:space="0" w:color="auto"/>
              <w:left w:val="single" w:sz="2" w:space="0" w:color="auto"/>
              <w:bottom w:val="single" w:sz="2" w:space="0" w:color="auto"/>
              <w:right w:val="single" w:sz="2" w:space="0" w:color="auto"/>
            </w:tcBorders>
            <w:shd w:val="clear" w:color="auto" w:fill="D3D3D3"/>
            <w:vAlign w:val="center"/>
          </w:tcPr>
          <w:p w14:paraId="0907CE03"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报告期末全体董事和高级管理人员实际获得薪酬的止付追索情况</w:t>
            </w:r>
          </w:p>
        </w:tc>
        <w:tc>
          <w:tcPr>
            <w:tcW w:w="4628" w:type="dxa"/>
            <w:tcBorders>
              <w:top w:val="single" w:sz="2" w:space="0" w:color="auto"/>
              <w:left w:val="single" w:sz="2" w:space="0" w:color="auto"/>
              <w:bottom w:val="single" w:sz="2" w:space="0" w:color="auto"/>
              <w:right w:val="single" w:sz="2" w:space="0" w:color="auto"/>
            </w:tcBorders>
            <w:vAlign w:val="center"/>
          </w:tcPr>
          <w:p w14:paraId="60C2C89D"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不适用</w:t>
            </w:r>
          </w:p>
        </w:tc>
      </w:tr>
    </w:tbl>
    <w:p w14:paraId="3ED7517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其他情况说明</w:t>
      </w:r>
    </w:p>
    <w:p w14:paraId="6181F314"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03E5020" w14:textId="77777777" w:rsidR="00113A51" w:rsidRDefault="00766EC7">
      <w:pPr>
        <w:pStyle w:val="2"/>
        <w:spacing w:before="300" w:after="300" w:line="320" w:lineRule="exact"/>
        <w:rPr>
          <w:rFonts w:ascii="宋体" w:eastAsia="宋体" w:hAnsi="宋体" w:cs="宋体"/>
          <w:b/>
          <w:bCs/>
          <w:sz w:val="24"/>
          <w:szCs w:val="24"/>
        </w:rPr>
      </w:pPr>
      <w:bookmarkStart w:id="71" w:name="_Toc988950"/>
      <w:r>
        <w:rPr>
          <w:rFonts w:ascii="宋体" w:eastAsia="宋体" w:hAnsi="宋体" w:cs="宋体"/>
          <w:b/>
          <w:bCs/>
          <w:sz w:val="24"/>
          <w:szCs w:val="24"/>
        </w:rPr>
        <w:t>七、报告期内董事履行职责的情况</w:t>
      </w:r>
      <w:bookmarkEnd w:id="71"/>
    </w:p>
    <w:p w14:paraId="65DEA558" w14:textId="77777777" w:rsidR="00113A51" w:rsidRDefault="00766EC7">
      <w:pPr>
        <w:pStyle w:val="3"/>
        <w:spacing w:line="280" w:lineRule="exact"/>
        <w:jc w:val="left"/>
        <w:rPr>
          <w:rFonts w:ascii="宋体" w:hAnsi="宋体" w:cs="宋体"/>
          <w:b/>
          <w:bCs/>
        </w:rPr>
      </w:pPr>
      <w:bookmarkStart w:id="72" w:name="_Toc988951"/>
      <w:r>
        <w:rPr>
          <w:rFonts w:ascii="宋体" w:hAnsi="宋体" w:cs="宋体"/>
          <w:b/>
          <w:bCs/>
        </w:rPr>
        <w:t>1、董事出席董事会及股东会的情况</w:t>
      </w:r>
      <w:bookmarkEnd w:id="72"/>
    </w:p>
    <w:tbl>
      <w:tblPr>
        <w:tblW w:w="9566" w:type="dxa"/>
        <w:tblInd w:w="108" w:type="dxa"/>
        <w:tblLayout w:type="fixed"/>
        <w:tblCellMar>
          <w:left w:w="28" w:type="dxa"/>
          <w:right w:w="28" w:type="dxa"/>
        </w:tblCellMar>
        <w:tblLook w:val="04A0" w:firstRow="1" w:lastRow="0" w:firstColumn="1" w:lastColumn="0" w:noHBand="0" w:noVBand="1"/>
      </w:tblPr>
      <w:tblGrid>
        <w:gridCol w:w="1276"/>
        <w:gridCol w:w="1341"/>
        <w:gridCol w:w="1131"/>
        <w:gridCol w:w="1208"/>
        <w:gridCol w:w="1174"/>
        <w:gridCol w:w="964"/>
        <w:gridCol w:w="1531"/>
        <w:gridCol w:w="941"/>
      </w:tblGrid>
      <w:tr w:rsidR="00C57E60" w14:paraId="3D8C968E" w14:textId="77777777" w:rsidTr="0001460F">
        <w:trPr>
          <w:cantSplit/>
          <w:trHeight w:val="240"/>
          <w:tblHeader/>
        </w:trPr>
        <w:tc>
          <w:tcPr>
            <w:tcW w:w="9566"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2AAEECAC"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董事出席董事会及股东会的情况</w:t>
            </w:r>
          </w:p>
        </w:tc>
      </w:tr>
      <w:tr w:rsidR="00C57E60" w14:paraId="0CFF4780"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0094BFA2"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董事姓名</w:t>
            </w:r>
          </w:p>
        </w:tc>
        <w:tc>
          <w:tcPr>
            <w:tcW w:w="1341" w:type="dxa"/>
            <w:tcBorders>
              <w:top w:val="single" w:sz="2" w:space="0" w:color="auto"/>
              <w:left w:val="single" w:sz="2" w:space="0" w:color="auto"/>
              <w:bottom w:val="single" w:sz="2" w:space="0" w:color="auto"/>
              <w:right w:val="single" w:sz="2" w:space="0" w:color="auto"/>
            </w:tcBorders>
            <w:shd w:val="clear" w:color="auto" w:fill="D3D3D3"/>
            <w:vAlign w:val="center"/>
          </w:tcPr>
          <w:p w14:paraId="513CF1F6"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本报告期应参加董事会次数</w:t>
            </w:r>
          </w:p>
        </w:tc>
        <w:tc>
          <w:tcPr>
            <w:tcW w:w="1131" w:type="dxa"/>
            <w:tcBorders>
              <w:top w:val="single" w:sz="2" w:space="0" w:color="auto"/>
              <w:left w:val="single" w:sz="2" w:space="0" w:color="auto"/>
              <w:bottom w:val="single" w:sz="2" w:space="0" w:color="auto"/>
              <w:right w:val="single" w:sz="2" w:space="0" w:color="auto"/>
            </w:tcBorders>
            <w:shd w:val="clear" w:color="auto" w:fill="D3D3D3"/>
            <w:vAlign w:val="center"/>
          </w:tcPr>
          <w:p w14:paraId="23E71FE5"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现场出席董事会次数</w:t>
            </w:r>
          </w:p>
        </w:tc>
        <w:tc>
          <w:tcPr>
            <w:tcW w:w="1208" w:type="dxa"/>
            <w:tcBorders>
              <w:top w:val="single" w:sz="2" w:space="0" w:color="auto"/>
              <w:left w:val="single" w:sz="2" w:space="0" w:color="auto"/>
              <w:bottom w:val="single" w:sz="2" w:space="0" w:color="auto"/>
              <w:right w:val="single" w:sz="2" w:space="0" w:color="auto"/>
            </w:tcBorders>
            <w:shd w:val="clear" w:color="auto" w:fill="D3D3D3"/>
            <w:vAlign w:val="center"/>
          </w:tcPr>
          <w:p w14:paraId="0D00586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以通讯方式参加董事会次数</w:t>
            </w:r>
          </w:p>
        </w:tc>
        <w:tc>
          <w:tcPr>
            <w:tcW w:w="1174" w:type="dxa"/>
            <w:tcBorders>
              <w:top w:val="single" w:sz="2" w:space="0" w:color="auto"/>
              <w:left w:val="single" w:sz="2" w:space="0" w:color="auto"/>
              <w:bottom w:val="single" w:sz="2" w:space="0" w:color="auto"/>
              <w:right w:val="single" w:sz="2" w:space="0" w:color="auto"/>
            </w:tcBorders>
            <w:shd w:val="clear" w:color="auto" w:fill="D3D3D3"/>
            <w:vAlign w:val="center"/>
          </w:tcPr>
          <w:p w14:paraId="22FA2FBE"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委托出席董事会次数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E895CE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缺席董事会次数</w:t>
            </w:r>
          </w:p>
        </w:tc>
        <w:tc>
          <w:tcPr>
            <w:tcW w:w="1531" w:type="dxa"/>
            <w:tcBorders>
              <w:top w:val="single" w:sz="2" w:space="0" w:color="auto"/>
              <w:left w:val="single" w:sz="2" w:space="0" w:color="auto"/>
              <w:bottom w:val="single" w:sz="2" w:space="0" w:color="auto"/>
              <w:right w:val="single" w:sz="2" w:space="0" w:color="auto"/>
            </w:tcBorders>
            <w:shd w:val="clear" w:color="auto" w:fill="D3D3D3"/>
            <w:vAlign w:val="center"/>
          </w:tcPr>
          <w:p w14:paraId="2F74E01A"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是否连续两次未亲自参加董事会会议</w:t>
            </w:r>
          </w:p>
        </w:tc>
        <w:tc>
          <w:tcPr>
            <w:tcW w:w="941" w:type="dxa"/>
            <w:tcBorders>
              <w:top w:val="single" w:sz="2" w:space="0" w:color="auto"/>
              <w:left w:val="single" w:sz="2" w:space="0" w:color="auto"/>
              <w:bottom w:val="single" w:sz="2" w:space="0" w:color="auto"/>
              <w:right w:val="single" w:sz="2" w:space="0" w:color="auto"/>
            </w:tcBorders>
            <w:shd w:val="clear" w:color="auto" w:fill="D3D3D3"/>
            <w:vAlign w:val="center"/>
          </w:tcPr>
          <w:p w14:paraId="37177274"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出席股东会次数</w:t>
            </w:r>
          </w:p>
        </w:tc>
      </w:tr>
      <w:tr w:rsidR="00C57E60" w14:paraId="578DB2E7"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6862F7F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李少波</w:t>
            </w:r>
          </w:p>
        </w:tc>
        <w:tc>
          <w:tcPr>
            <w:tcW w:w="1341" w:type="dxa"/>
            <w:tcBorders>
              <w:top w:val="single" w:sz="2" w:space="0" w:color="auto"/>
              <w:left w:val="single" w:sz="2" w:space="0" w:color="auto"/>
              <w:bottom w:val="single" w:sz="2" w:space="0" w:color="auto"/>
              <w:right w:val="single" w:sz="2" w:space="0" w:color="auto"/>
            </w:tcBorders>
            <w:vAlign w:val="center"/>
          </w:tcPr>
          <w:p w14:paraId="5F36C82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9</w:t>
            </w:r>
          </w:p>
        </w:tc>
        <w:tc>
          <w:tcPr>
            <w:tcW w:w="1131" w:type="dxa"/>
            <w:tcBorders>
              <w:top w:val="single" w:sz="2" w:space="0" w:color="auto"/>
              <w:left w:val="single" w:sz="2" w:space="0" w:color="auto"/>
              <w:bottom w:val="single" w:sz="2" w:space="0" w:color="auto"/>
              <w:right w:val="single" w:sz="2" w:space="0" w:color="auto"/>
            </w:tcBorders>
            <w:vAlign w:val="center"/>
          </w:tcPr>
          <w:p w14:paraId="29D7C83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7</w:t>
            </w:r>
          </w:p>
        </w:tc>
        <w:tc>
          <w:tcPr>
            <w:tcW w:w="1208" w:type="dxa"/>
            <w:tcBorders>
              <w:top w:val="single" w:sz="2" w:space="0" w:color="auto"/>
              <w:left w:val="single" w:sz="2" w:space="0" w:color="auto"/>
              <w:bottom w:val="single" w:sz="2" w:space="0" w:color="auto"/>
              <w:right w:val="single" w:sz="2" w:space="0" w:color="auto"/>
            </w:tcBorders>
            <w:vAlign w:val="center"/>
          </w:tcPr>
          <w:p w14:paraId="0FBB29D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c>
          <w:tcPr>
            <w:tcW w:w="1174" w:type="dxa"/>
            <w:tcBorders>
              <w:top w:val="single" w:sz="2" w:space="0" w:color="auto"/>
              <w:left w:val="single" w:sz="2" w:space="0" w:color="auto"/>
              <w:bottom w:val="single" w:sz="2" w:space="0" w:color="auto"/>
              <w:right w:val="single" w:sz="2" w:space="0" w:color="auto"/>
            </w:tcBorders>
            <w:vAlign w:val="center"/>
          </w:tcPr>
          <w:p w14:paraId="72E5879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3802AB3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35B14A7C"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5561BDE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31EA880F"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1613D23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李心一</w:t>
            </w:r>
          </w:p>
        </w:tc>
        <w:tc>
          <w:tcPr>
            <w:tcW w:w="1341" w:type="dxa"/>
            <w:tcBorders>
              <w:top w:val="single" w:sz="2" w:space="0" w:color="auto"/>
              <w:left w:val="single" w:sz="2" w:space="0" w:color="auto"/>
              <w:bottom w:val="single" w:sz="2" w:space="0" w:color="auto"/>
              <w:right w:val="single" w:sz="2" w:space="0" w:color="auto"/>
            </w:tcBorders>
            <w:vAlign w:val="center"/>
          </w:tcPr>
          <w:p w14:paraId="4272BCE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9</w:t>
            </w:r>
          </w:p>
        </w:tc>
        <w:tc>
          <w:tcPr>
            <w:tcW w:w="1131" w:type="dxa"/>
            <w:tcBorders>
              <w:top w:val="single" w:sz="2" w:space="0" w:color="auto"/>
              <w:left w:val="single" w:sz="2" w:space="0" w:color="auto"/>
              <w:bottom w:val="single" w:sz="2" w:space="0" w:color="auto"/>
              <w:right w:val="single" w:sz="2" w:space="0" w:color="auto"/>
            </w:tcBorders>
            <w:vAlign w:val="center"/>
          </w:tcPr>
          <w:p w14:paraId="7CB68B4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1208" w:type="dxa"/>
            <w:tcBorders>
              <w:top w:val="single" w:sz="2" w:space="0" w:color="auto"/>
              <w:left w:val="single" w:sz="2" w:space="0" w:color="auto"/>
              <w:bottom w:val="single" w:sz="2" w:space="0" w:color="auto"/>
              <w:right w:val="single" w:sz="2" w:space="0" w:color="auto"/>
            </w:tcBorders>
            <w:vAlign w:val="center"/>
          </w:tcPr>
          <w:p w14:paraId="5939646C"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3</w:t>
            </w:r>
          </w:p>
        </w:tc>
        <w:tc>
          <w:tcPr>
            <w:tcW w:w="1174" w:type="dxa"/>
            <w:tcBorders>
              <w:top w:val="single" w:sz="2" w:space="0" w:color="auto"/>
              <w:left w:val="single" w:sz="2" w:space="0" w:color="auto"/>
              <w:bottom w:val="single" w:sz="2" w:space="0" w:color="auto"/>
              <w:right w:val="single" w:sz="2" w:space="0" w:color="auto"/>
            </w:tcBorders>
            <w:vAlign w:val="center"/>
          </w:tcPr>
          <w:p w14:paraId="5E034C5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1AA1285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50AEC56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2E4096E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7DB13BB9"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1846A31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车宏菁</w:t>
            </w:r>
          </w:p>
        </w:tc>
        <w:tc>
          <w:tcPr>
            <w:tcW w:w="1341" w:type="dxa"/>
            <w:tcBorders>
              <w:top w:val="single" w:sz="2" w:space="0" w:color="auto"/>
              <w:left w:val="single" w:sz="2" w:space="0" w:color="auto"/>
              <w:bottom w:val="single" w:sz="2" w:space="0" w:color="auto"/>
              <w:right w:val="single" w:sz="2" w:space="0" w:color="auto"/>
            </w:tcBorders>
            <w:vAlign w:val="center"/>
          </w:tcPr>
          <w:p w14:paraId="71066BC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9</w:t>
            </w:r>
          </w:p>
        </w:tc>
        <w:tc>
          <w:tcPr>
            <w:tcW w:w="1131" w:type="dxa"/>
            <w:tcBorders>
              <w:top w:val="single" w:sz="2" w:space="0" w:color="auto"/>
              <w:left w:val="single" w:sz="2" w:space="0" w:color="auto"/>
              <w:bottom w:val="single" w:sz="2" w:space="0" w:color="auto"/>
              <w:right w:val="single" w:sz="2" w:space="0" w:color="auto"/>
            </w:tcBorders>
            <w:vAlign w:val="center"/>
          </w:tcPr>
          <w:p w14:paraId="523C53B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1208" w:type="dxa"/>
            <w:tcBorders>
              <w:top w:val="single" w:sz="2" w:space="0" w:color="auto"/>
              <w:left w:val="single" w:sz="2" w:space="0" w:color="auto"/>
              <w:bottom w:val="single" w:sz="2" w:space="0" w:color="auto"/>
              <w:right w:val="single" w:sz="2" w:space="0" w:color="auto"/>
            </w:tcBorders>
            <w:vAlign w:val="center"/>
          </w:tcPr>
          <w:p w14:paraId="402315B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w:t>
            </w:r>
          </w:p>
        </w:tc>
        <w:tc>
          <w:tcPr>
            <w:tcW w:w="1174" w:type="dxa"/>
            <w:tcBorders>
              <w:top w:val="single" w:sz="2" w:space="0" w:color="auto"/>
              <w:left w:val="single" w:sz="2" w:space="0" w:color="auto"/>
              <w:bottom w:val="single" w:sz="2" w:space="0" w:color="auto"/>
              <w:right w:val="single" w:sz="2" w:space="0" w:color="auto"/>
            </w:tcBorders>
            <w:vAlign w:val="center"/>
          </w:tcPr>
          <w:p w14:paraId="4C67D27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7861A5A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0E9D548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787306A0"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11116189"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706CF4F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陈纪正</w:t>
            </w:r>
          </w:p>
        </w:tc>
        <w:tc>
          <w:tcPr>
            <w:tcW w:w="1341" w:type="dxa"/>
            <w:tcBorders>
              <w:top w:val="single" w:sz="2" w:space="0" w:color="auto"/>
              <w:left w:val="single" w:sz="2" w:space="0" w:color="auto"/>
              <w:bottom w:val="single" w:sz="2" w:space="0" w:color="auto"/>
              <w:right w:val="single" w:sz="2" w:space="0" w:color="auto"/>
            </w:tcBorders>
            <w:vAlign w:val="center"/>
          </w:tcPr>
          <w:p w14:paraId="1C47C1F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9</w:t>
            </w:r>
          </w:p>
        </w:tc>
        <w:tc>
          <w:tcPr>
            <w:tcW w:w="1131" w:type="dxa"/>
            <w:tcBorders>
              <w:top w:val="single" w:sz="2" w:space="0" w:color="auto"/>
              <w:left w:val="single" w:sz="2" w:space="0" w:color="auto"/>
              <w:bottom w:val="single" w:sz="2" w:space="0" w:color="auto"/>
              <w:right w:val="single" w:sz="2" w:space="0" w:color="auto"/>
            </w:tcBorders>
            <w:vAlign w:val="center"/>
          </w:tcPr>
          <w:p w14:paraId="374BC70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1208" w:type="dxa"/>
            <w:tcBorders>
              <w:top w:val="single" w:sz="2" w:space="0" w:color="auto"/>
              <w:left w:val="single" w:sz="2" w:space="0" w:color="auto"/>
              <w:bottom w:val="single" w:sz="2" w:space="0" w:color="auto"/>
              <w:right w:val="single" w:sz="2" w:space="0" w:color="auto"/>
            </w:tcBorders>
            <w:vAlign w:val="center"/>
          </w:tcPr>
          <w:p w14:paraId="1708570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w:t>
            </w:r>
          </w:p>
        </w:tc>
        <w:tc>
          <w:tcPr>
            <w:tcW w:w="1174" w:type="dxa"/>
            <w:tcBorders>
              <w:top w:val="single" w:sz="2" w:space="0" w:color="auto"/>
              <w:left w:val="single" w:sz="2" w:space="0" w:color="auto"/>
              <w:bottom w:val="single" w:sz="2" w:space="0" w:color="auto"/>
              <w:right w:val="single" w:sz="2" w:space="0" w:color="auto"/>
            </w:tcBorders>
            <w:vAlign w:val="center"/>
          </w:tcPr>
          <w:p w14:paraId="30762EE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147E49D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300C948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791EDAC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7E3E454A"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641A80EB" w14:textId="0260E0A9" w:rsidR="00113A51" w:rsidRDefault="00766EC7" w:rsidP="0001460F">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Jianyou Tan</w:t>
            </w:r>
            <w:r>
              <w:rPr>
                <w:rFonts w:ascii="Times New Roman" w:eastAsia="宋体" w:hAnsi="Times New Roman" w:cs="宋体"/>
                <w:sz w:val="18"/>
                <w:szCs w:val="18"/>
              </w:rPr>
              <w:t>（谭建友）</w:t>
            </w:r>
          </w:p>
        </w:tc>
        <w:tc>
          <w:tcPr>
            <w:tcW w:w="1341" w:type="dxa"/>
            <w:tcBorders>
              <w:top w:val="single" w:sz="2" w:space="0" w:color="auto"/>
              <w:left w:val="single" w:sz="2" w:space="0" w:color="auto"/>
              <w:bottom w:val="single" w:sz="2" w:space="0" w:color="auto"/>
              <w:right w:val="single" w:sz="2" w:space="0" w:color="auto"/>
            </w:tcBorders>
            <w:vAlign w:val="center"/>
          </w:tcPr>
          <w:p w14:paraId="228F3F5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1131" w:type="dxa"/>
            <w:tcBorders>
              <w:top w:val="single" w:sz="2" w:space="0" w:color="auto"/>
              <w:left w:val="single" w:sz="2" w:space="0" w:color="auto"/>
              <w:bottom w:val="single" w:sz="2" w:space="0" w:color="auto"/>
              <w:right w:val="single" w:sz="2" w:space="0" w:color="auto"/>
            </w:tcBorders>
            <w:vAlign w:val="center"/>
          </w:tcPr>
          <w:p w14:paraId="1703F070"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1208" w:type="dxa"/>
            <w:tcBorders>
              <w:top w:val="single" w:sz="2" w:space="0" w:color="auto"/>
              <w:left w:val="single" w:sz="2" w:space="0" w:color="auto"/>
              <w:bottom w:val="single" w:sz="2" w:space="0" w:color="auto"/>
              <w:right w:val="single" w:sz="2" w:space="0" w:color="auto"/>
            </w:tcBorders>
            <w:vAlign w:val="center"/>
          </w:tcPr>
          <w:p w14:paraId="38F4322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174" w:type="dxa"/>
            <w:tcBorders>
              <w:top w:val="single" w:sz="2" w:space="0" w:color="auto"/>
              <w:left w:val="single" w:sz="2" w:space="0" w:color="auto"/>
              <w:bottom w:val="single" w:sz="2" w:space="0" w:color="auto"/>
              <w:right w:val="single" w:sz="2" w:space="0" w:color="auto"/>
            </w:tcBorders>
            <w:vAlign w:val="center"/>
          </w:tcPr>
          <w:p w14:paraId="18F521F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5360B0DC"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4D8F2B0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3BDA90B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r>
      <w:tr w:rsidR="00C57E60" w14:paraId="1882CC27"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0CDEDAA0" w14:textId="68A97435" w:rsidR="00113A51" w:rsidRDefault="00766EC7" w:rsidP="0001460F">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Zhenqi Liu</w:t>
            </w:r>
            <w:r>
              <w:rPr>
                <w:rFonts w:ascii="Times New Roman" w:eastAsia="宋体" w:hAnsi="Times New Roman" w:cs="宋体"/>
                <w:sz w:val="18"/>
                <w:szCs w:val="18"/>
              </w:rPr>
              <w:t>（刘振启）</w:t>
            </w:r>
          </w:p>
        </w:tc>
        <w:tc>
          <w:tcPr>
            <w:tcW w:w="1341" w:type="dxa"/>
            <w:tcBorders>
              <w:top w:val="single" w:sz="2" w:space="0" w:color="auto"/>
              <w:left w:val="single" w:sz="2" w:space="0" w:color="auto"/>
              <w:bottom w:val="single" w:sz="2" w:space="0" w:color="auto"/>
              <w:right w:val="single" w:sz="2" w:space="0" w:color="auto"/>
            </w:tcBorders>
            <w:vAlign w:val="center"/>
          </w:tcPr>
          <w:p w14:paraId="3163371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1131" w:type="dxa"/>
            <w:tcBorders>
              <w:top w:val="single" w:sz="2" w:space="0" w:color="auto"/>
              <w:left w:val="single" w:sz="2" w:space="0" w:color="auto"/>
              <w:bottom w:val="single" w:sz="2" w:space="0" w:color="auto"/>
              <w:right w:val="single" w:sz="2" w:space="0" w:color="auto"/>
            </w:tcBorders>
            <w:vAlign w:val="center"/>
          </w:tcPr>
          <w:p w14:paraId="4FBE1AE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1208" w:type="dxa"/>
            <w:tcBorders>
              <w:top w:val="single" w:sz="2" w:space="0" w:color="auto"/>
              <w:left w:val="single" w:sz="2" w:space="0" w:color="auto"/>
              <w:bottom w:val="single" w:sz="2" w:space="0" w:color="auto"/>
              <w:right w:val="single" w:sz="2" w:space="0" w:color="auto"/>
            </w:tcBorders>
            <w:vAlign w:val="center"/>
          </w:tcPr>
          <w:p w14:paraId="0AF8EC8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174" w:type="dxa"/>
            <w:tcBorders>
              <w:top w:val="single" w:sz="2" w:space="0" w:color="auto"/>
              <w:left w:val="single" w:sz="2" w:space="0" w:color="auto"/>
              <w:bottom w:val="single" w:sz="2" w:space="0" w:color="auto"/>
              <w:right w:val="single" w:sz="2" w:space="0" w:color="auto"/>
            </w:tcBorders>
            <w:vAlign w:val="center"/>
          </w:tcPr>
          <w:p w14:paraId="5C75DF9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6284F92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5806D0A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7740303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r>
      <w:tr w:rsidR="00C57E60" w14:paraId="385BADE0"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3651C92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黄绍波</w:t>
            </w:r>
          </w:p>
        </w:tc>
        <w:tc>
          <w:tcPr>
            <w:tcW w:w="1341" w:type="dxa"/>
            <w:tcBorders>
              <w:top w:val="single" w:sz="2" w:space="0" w:color="auto"/>
              <w:left w:val="single" w:sz="2" w:space="0" w:color="auto"/>
              <w:bottom w:val="single" w:sz="2" w:space="0" w:color="auto"/>
              <w:right w:val="single" w:sz="2" w:space="0" w:color="auto"/>
            </w:tcBorders>
            <w:vAlign w:val="center"/>
          </w:tcPr>
          <w:p w14:paraId="1CF78F7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1131" w:type="dxa"/>
            <w:tcBorders>
              <w:top w:val="single" w:sz="2" w:space="0" w:color="auto"/>
              <w:left w:val="single" w:sz="2" w:space="0" w:color="auto"/>
              <w:bottom w:val="single" w:sz="2" w:space="0" w:color="auto"/>
              <w:right w:val="single" w:sz="2" w:space="0" w:color="auto"/>
            </w:tcBorders>
            <w:vAlign w:val="center"/>
          </w:tcPr>
          <w:p w14:paraId="409782C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1208" w:type="dxa"/>
            <w:tcBorders>
              <w:top w:val="single" w:sz="2" w:space="0" w:color="auto"/>
              <w:left w:val="single" w:sz="2" w:space="0" w:color="auto"/>
              <w:bottom w:val="single" w:sz="2" w:space="0" w:color="auto"/>
              <w:right w:val="single" w:sz="2" w:space="0" w:color="auto"/>
            </w:tcBorders>
            <w:vAlign w:val="center"/>
          </w:tcPr>
          <w:p w14:paraId="0473E91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174" w:type="dxa"/>
            <w:tcBorders>
              <w:top w:val="single" w:sz="2" w:space="0" w:color="auto"/>
              <w:left w:val="single" w:sz="2" w:space="0" w:color="auto"/>
              <w:bottom w:val="single" w:sz="2" w:space="0" w:color="auto"/>
              <w:right w:val="single" w:sz="2" w:space="0" w:color="auto"/>
            </w:tcBorders>
            <w:vAlign w:val="center"/>
          </w:tcPr>
          <w:p w14:paraId="00AD93C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621EA31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427014D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4254882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6167F990"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0CFAACF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李晖（</w:t>
            </w:r>
            <w:r>
              <w:rPr>
                <w:rFonts w:ascii="Times New Roman" w:eastAsia="宋体" w:hAnsi="Times New Roman" w:cs="宋体"/>
                <w:sz w:val="18"/>
                <w:szCs w:val="18"/>
              </w:rPr>
              <w:t>LI HUI</w:t>
            </w:r>
            <w:r>
              <w:rPr>
                <w:rFonts w:ascii="Times New Roman" w:eastAsia="宋体" w:hAnsi="Times New Roman" w:cs="宋体"/>
                <w:sz w:val="18"/>
                <w:szCs w:val="18"/>
              </w:rPr>
              <w:t>）</w:t>
            </w:r>
          </w:p>
        </w:tc>
        <w:tc>
          <w:tcPr>
            <w:tcW w:w="1341" w:type="dxa"/>
            <w:tcBorders>
              <w:top w:val="single" w:sz="2" w:space="0" w:color="auto"/>
              <w:left w:val="single" w:sz="2" w:space="0" w:color="auto"/>
              <w:bottom w:val="single" w:sz="2" w:space="0" w:color="auto"/>
              <w:right w:val="single" w:sz="2" w:space="0" w:color="auto"/>
            </w:tcBorders>
            <w:vAlign w:val="center"/>
          </w:tcPr>
          <w:p w14:paraId="7BACDBD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8</w:t>
            </w:r>
          </w:p>
        </w:tc>
        <w:tc>
          <w:tcPr>
            <w:tcW w:w="1131" w:type="dxa"/>
            <w:tcBorders>
              <w:top w:val="single" w:sz="2" w:space="0" w:color="auto"/>
              <w:left w:val="single" w:sz="2" w:space="0" w:color="auto"/>
              <w:bottom w:val="single" w:sz="2" w:space="0" w:color="auto"/>
              <w:right w:val="single" w:sz="2" w:space="0" w:color="auto"/>
            </w:tcBorders>
            <w:vAlign w:val="center"/>
          </w:tcPr>
          <w:p w14:paraId="7CF6E19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1208" w:type="dxa"/>
            <w:tcBorders>
              <w:top w:val="single" w:sz="2" w:space="0" w:color="auto"/>
              <w:left w:val="single" w:sz="2" w:space="0" w:color="auto"/>
              <w:bottom w:val="single" w:sz="2" w:space="0" w:color="auto"/>
              <w:right w:val="single" w:sz="2" w:space="0" w:color="auto"/>
            </w:tcBorders>
            <w:vAlign w:val="center"/>
          </w:tcPr>
          <w:p w14:paraId="6F58815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1174" w:type="dxa"/>
            <w:tcBorders>
              <w:top w:val="single" w:sz="2" w:space="0" w:color="auto"/>
              <w:left w:val="single" w:sz="2" w:space="0" w:color="auto"/>
              <w:bottom w:val="single" w:sz="2" w:space="0" w:color="auto"/>
              <w:right w:val="single" w:sz="2" w:space="0" w:color="auto"/>
            </w:tcBorders>
            <w:vAlign w:val="center"/>
          </w:tcPr>
          <w:p w14:paraId="35B75B8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0E44D16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1489C4B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2773193B"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1AE0F87E"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0F605676"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袁洪</w:t>
            </w:r>
          </w:p>
        </w:tc>
        <w:tc>
          <w:tcPr>
            <w:tcW w:w="1341" w:type="dxa"/>
            <w:tcBorders>
              <w:top w:val="single" w:sz="2" w:space="0" w:color="auto"/>
              <w:left w:val="single" w:sz="2" w:space="0" w:color="auto"/>
              <w:bottom w:val="single" w:sz="2" w:space="0" w:color="auto"/>
              <w:right w:val="single" w:sz="2" w:space="0" w:color="auto"/>
            </w:tcBorders>
            <w:vAlign w:val="center"/>
          </w:tcPr>
          <w:p w14:paraId="6916517A"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8</w:t>
            </w:r>
          </w:p>
        </w:tc>
        <w:tc>
          <w:tcPr>
            <w:tcW w:w="1131" w:type="dxa"/>
            <w:tcBorders>
              <w:top w:val="single" w:sz="2" w:space="0" w:color="auto"/>
              <w:left w:val="single" w:sz="2" w:space="0" w:color="auto"/>
              <w:bottom w:val="single" w:sz="2" w:space="0" w:color="auto"/>
              <w:right w:val="single" w:sz="2" w:space="0" w:color="auto"/>
            </w:tcBorders>
            <w:vAlign w:val="center"/>
          </w:tcPr>
          <w:p w14:paraId="59026CE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5</w:t>
            </w:r>
          </w:p>
        </w:tc>
        <w:tc>
          <w:tcPr>
            <w:tcW w:w="1208" w:type="dxa"/>
            <w:tcBorders>
              <w:top w:val="single" w:sz="2" w:space="0" w:color="auto"/>
              <w:left w:val="single" w:sz="2" w:space="0" w:color="auto"/>
              <w:bottom w:val="single" w:sz="2" w:space="0" w:color="auto"/>
              <w:right w:val="single" w:sz="2" w:space="0" w:color="auto"/>
            </w:tcBorders>
            <w:vAlign w:val="center"/>
          </w:tcPr>
          <w:p w14:paraId="004C7D0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3</w:t>
            </w:r>
          </w:p>
        </w:tc>
        <w:tc>
          <w:tcPr>
            <w:tcW w:w="1174" w:type="dxa"/>
            <w:tcBorders>
              <w:top w:val="single" w:sz="2" w:space="0" w:color="auto"/>
              <w:left w:val="single" w:sz="2" w:space="0" w:color="auto"/>
              <w:bottom w:val="single" w:sz="2" w:space="0" w:color="auto"/>
              <w:right w:val="single" w:sz="2" w:space="0" w:color="auto"/>
            </w:tcBorders>
            <w:vAlign w:val="center"/>
          </w:tcPr>
          <w:p w14:paraId="72ED1FB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6AFC290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3D0FC5A7"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09D0B71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r w:rsidR="00C57E60" w14:paraId="6225A25D" w14:textId="77777777" w:rsidTr="0001460F">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67E5F842"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康熙雄</w:t>
            </w:r>
          </w:p>
        </w:tc>
        <w:tc>
          <w:tcPr>
            <w:tcW w:w="1341" w:type="dxa"/>
            <w:tcBorders>
              <w:top w:val="single" w:sz="2" w:space="0" w:color="auto"/>
              <w:left w:val="single" w:sz="2" w:space="0" w:color="auto"/>
              <w:bottom w:val="single" w:sz="2" w:space="0" w:color="auto"/>
              <w:right w:val="single" w:sz="2" w:space="0" w:color="auto"/>
            </w:tcBorders>
            <w:vAlign w:val="center"/>
          </w:tcPr>
          <w:p w14:paraId="3718B91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8</w:t>
            </w:r>
          </w:p>
        </w:tc>
        <w:tc>
          <w:tcPr>
            <w:tcW w:w="1131" w:type="dxa"/>
            <w:tcBorders>
              <w:top w:val="single" w:sz="2" w:space="0" w:color="auto"/>
              <w:left w:val="single" w:sz="2" w:space="0" w:color="auto"/>
              <w:bottom w:val="single" w:sz="2" w:space="0" w:color="auto"/>
              <w:right w:val="single" w:sz="2" w:space="0" w:color="auto"/>
            </w:tcBorders>
            <w:vAlign w:val="center"/>
          </w:tcPr>
          <w:p w14:paraId="7F42381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1208" w:type="dxa"/>
            <w:tcBorders>
              <w:top w:val="single" w:sz="2" w:space="0" w:color="auto"/>
              <w:left w:val="single" w:sz="2" w:space="0" w:color="auto"/>
              <w:bottom w:val="single" w:sz="2" w:space="0" w:color="auto"/>
              <w:right w:val="single" w:sz="2" w:space="0" w:color="auto"/>
            </w:tcBorders>
            <w:vAlign w:val="center"/>
          </w:tcPr>
          <w:p w14:paraId="2A616FB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4</w:t>
            </w:r>
          </w:p>
        </w:tc>
        <w:tc>
          <w:tcPr>
            <w:tcW w:w="1174" w:type="dxa"/>
            <w:tcBorders>
              <w:top w:val="single" w:sz="2" w:space="0" w:color="auto"/>
              <w:left w:val="single" w:sz="2" w:space="0" w:color="auto"/>
              <w:bottom w:val="single" w:sz="2" w:space="0" w:color="auto"/>
              <w:right w:val="single" w:sz="2" w:space="0" w:color="auto"/>
            </w:tcBorders>
            <w:vAlign w:val="center"/>
          </w:tcPr>
          <w:p w14:paraId="284452A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964" w:type="dxa"/>
            <w:tcBorders>
              <w:top w:val="single" w:sz="2" w:space="0" w:color="auto"/>
              <w:left w:val="single" w:sz="2" w:space="0" w:color="auto"/>
              <w:bottom w:val="single" w:sz="2" w:space="0" w:color="auto"/>
              <w:right w:val="single" w:sz="2" w:space="0" w:color="auto"/>
            </w:tcBorders>
            <w:vAlign w:val="center"/>
          </w:tcPr>
          <w:p w14:paraId="5CA2EE1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0</w:t>
            </w:r>
          </w:p>
        </w:tc>
        <w:tc>
          <w:tcPr>
            <w:tcW w:w="1531" w:type="dxa"/>
            <w:tcBorders>
              <w:top w:val="single" w:sz="2" w:space="0" w:color="auto"/>
              <w:left w:val="single" w:sz="2" w:space="0" w:color="auto"/>
              <w:bottom w:val="single" w:sz="2" w:space="0" w:color="auto"/>
              <w:right w:val="single" w:sz="2" w:space="0" w:color="auto"/>
            </w:tcBorders>
            <w:vAlign w:val="center"/>
          </w:tcPr>
          <w:p w14:paraId="662500A5"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否</w:t>
            </w:r>
          </w:p>
        </w:tc>
        <w:tc>
          <w:tcPr>
            <w:tcW w:w="941" w:type="dxa"/>
            <w:tcBorders>
              <w:top w:val="single" w:sz="2" w:space="0" w:color="auto"/>
              <w:left w:val="single" w:sz="2" w:space="0" w:color="auto"/>
              <w:bottom w:val="single" w:sz="2" w:space="0" w:color="auto"/>
              <w:right w:val="single" w:sz="2" w:space="0" w:color="auto"/>
            </w:tcBorders>
            <w:vAlign w:val="center"/>
          </w:tcPr>
          <w:p w14:paraId="71B30A81"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r>
    </w:tbl>
    <w:p w14:paraId="41164168"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连续两次未亲自出席董事会的说明</w:t>
      </w:r>
    </w:p>
    <w:p w14:paraId="2164FCA7" w14:textId="77777777" w:rsidR="00113A51" w:rsidRPr="0001460F" w:rsidRDefault="00766EC7" w:rsidP="0001460F">
      <w:pPr>
        <w:spacing w:before="40" w:after="40" w:line="240" w:lineRule="exact"/>
        <w:rPr>
          <w:rFonts w:ascii="宋体" w:eastAsia="宋体" w:hAnsi="宋体" w:cs="宋体"/>
          <w:sz w:val="18"/>
          <w:szCs w:val="18"/>
        </w:rPr>
      </w:pPr>
      <w:r w:rsidRPr="0001460F">
        <w:rPr>
          <w:rFonts w:ascii="宋体" w:eastAsia="宋体" w:hAnsi="宋体" w:cs="宋体" w:hint="eastAsia"/>
          <w:sz w:val="18"/>
          <w:szCs w:val="18"/>
        </w:rPr>
        <w:t>不适用</w:t>
      </w:r>
    </w:p>
    <w:p w14:paraId="374E7747" w14:textId="77777777" w:rsidR="00113A51" w:rsidRDefault="00766EC7">
      <w:pPr>
        <w:pStyle w:val="3"/>
        <w:spacing w:line="280" w:lineRule="exact"/>
        <w:jc w:val="left"/>
        <w:rPr>
          <w:rFonts w:ascii="宋体" w:hAnsi="宋体" w:cs="宋体"/>
          <w:b/>
          <w:bCs/>
        </w:rPr>
      </w:pPr>
      <w:bookmarkStart w:id="73" w:name="_Toc988952"/>
      <w:r>
        <w:rPr>
          <w:rFonts w:ascii="宋体" w:hAnsi="宋体" w:cs="宋体"/>
          <w:b/>
          <w:bCs/>
        </w:rPr>
        <w:t>2、董事对公司有关事项提出异议的情况</w:t>
      </w:r>
      <w:bookmarkEnd w:id="73"/>
    </w:p>
    <w:p w14:paraId="1B1D3C3C"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董事对公司有关事项是否提出异议</w:t>
      </w:r>
    </w:p>
    <w:p w14:paraId="6AD2387D"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880429B"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报告期内董事对公司有关事项未提出异议。</w:t>
      </w:r>
    </w:p>
    <w:p w14:paraId="631529EE" w14:textId="77777777" w:rsidR="00113A51" w:rsidRDefault="00766EC7">
      <w:pPr>
        <w:pStyle w:val="3"/>
        <w:spacing w:line="280" w:lineRule="exact"/>
        <w:jc w:val="left"/>
        <w:rPr>
          <w:rFonts w:ascii="宋体" w:hAnsi="宋体" w:cs="宋体"/>
          <w:b/>
          <w:bCs/>
        </w:rPr>
      </w:pPr>
      <w:bookmarkStart w:id="74" w:name="_Toc988953"/>
      <w:r>
        <w:rPr>
          <w:rFonts w:ascii="宋体" w:hAnsi="宋体" w:cs="宋体"/>
          <w:b/>
          <w:bCs/>
        </w:rPr>
        <w:t>3、董事履行职责的其他说明</w:t>
      </w:r>
      <w:bookmarkEnd w:id="74"/>
    </w:p>
    <w:p w14:paraId="1FE30AF1"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董事对公司有关建议是否被采纳</w:t>
      </w:r>
    </w:p>
    <w:p w14:paraId="55E5E0EB"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43CFAA47"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董事对公司有关建议被采纳或未被采纳的说明</w:t>
      </w:r>
    </w:p>
    <w:p w14:paraId="79C18276" w14:textId="290D5E2D" w:rsidR="00113A51" w:rsidRDefault="00766EC7" w:rsidP="0001460F">
      <w:pPr>
        <w:pStyle w:val="a9"/>
        <w:spacing w:before="0" w:beforeAutospacing="0" w:after="0" w:afterAutospacing="0" w:line="360" w:lineRule="auto"/>
        <w:ind w:firstLineChars="200" w:firstLine="420"/>
        <w:jc w:val="both"/>
        <w:rPr>
          <w:rFonts w:ascii="Times New Roman" w:hAnsi="Times New Roman"/>
          <w:sz w:val="21"/>
          <w:szCs w:val="21"/>
        </w:rPr>
      </w:pPr>
      <w:r>
        <w:rPr>
          <w:rFonts w:ascii="Times New Roman" w:hAnsi="Times New Roman" w:hint="eastAsia"/>
          <w:sz w:val="21"/>
          <w:szCs w:val="21"/>
        </w:rPr>
        <w:t>报告期内，公司全体董事恪尽职守、勤勉尽责，严格遵守《公司法》《证券法》《上市公司治理准则》《上市公司独立董事管理办法》《深圳证券交易所创业板股票上市规则》《深圳证券交易所上市公司自律监管指引第</w:t>
      </w:r>
      <w:r>
        <w:rPr>
          <w:rFonts w:ascii="Times New Roman" w:hAnsi="Times New Roman" w:cs="Times New Roman"/>
          <w:sz w:val="21"/>
          <w:szCs w:val="21"/>
        </w:rPr>
        <w:t>2</w:t>
      </w:r>
      <w:r>
        <w:rPr>
          <w:rFonts w:ascii="Times New Roman" w:hAnsi="Times New Roman" w:hint="eastAsia"/>
          <w:sz w:val="21"/>
          <w:szCs w:val="21"/>
        </w:rPr>
        <w:t>号——创业板上市公司规范运作》等法律法规和《公司章程》等公司制度的规定，对提交董事会审议的各项议案深入研究，客观发表专业意见和建议，为公司经营发展提供决策支持，在充分考虑中小股东的利益和诉求的基础上审慎行使表决权，切实增强了公司董事会决策的科学性与可行性。全体董事持续关注并监督公司股东会、董事会决议的执行情况，与公司经营管理层保持常态联系，及时了解和掌控公司日常经营情况和重大事项进展情况，切实维护了公司及全体股东的利益，对公司规范、稳定、健康地发展起到了积极的作用。</w:t>
      </w:r>
    </w:p>
    <w:p w14:paraId="4D5B936A" w14:textId="07A1B865" w:rsidR="0001460F" w:rsidRDefault="0001460F" w:rsidP="0001460F">
      <w:pPr>
        <w:pStyle w:val="a9"/>
        <w:spacing w:before="0" w:beforeAutospacing="0" w:after="0" w:afterAutospacing="0" w:line="360" w:lineRule="auto"/>
        <w:rPr>
          <w:rFonts w:ascii="Times New Roman" w:hAnsi="Times New Roman"/>
          <w:sz w:val="21"/>
          <w:szCs w:val="21"/>
        </w:rPr>
        <w:sectPr w:rsidR="0001460F">
          <w:pgSz w:w="11905" w:h="16840"/>
          <w:pgMar w:top="1440" w:right="1134" w:bottom="1440" w:left="1134" w:header="850" w:footer="992" w:gutter="0"/>
          <w:cols w:space="720"/>
          <w:docGrid w:type="linesAndChars" w:linePitch="312"/>
        </w:sectPr>
      </w:pPr>
    </w:p>
    <w:p w14:paraId="18AD9ABD" w14:textId="77777777" w:rsidR="00113A51" w:rsidRDefault="00766EC7">
      <w:pPr>
        <w:pStyle w:val="2"/>
        <w:spacing w:before="300" w:after="300" w:line="320" w:lineRule="exact"/>
        <w:rPr>
          <w:rFonts w:ascii="宋体" w:eastAsia="宋体" w:hAnsi="宋体" w:cs="宋体"/>
          <w:b/>
          <w:bCs/>
          <w:sz w:val="24"/>
          <w:szCs w:val="24"/>
        </w:rPr>
      </w:pPr>
      <w:bookmarkStart w:id="75" w:name="_Toc988954"/>
      <w:r>
        <w:rPr>
          <w:rFonts w:ascii="宋体" w:eastAsia="宋体" w:hAnsi="宋体" w:cs="宋体"/>
          <w:b/>
          <w:bCs/>
          <w:sz w:val="24"/>
          <w:szCs w:val="24"/>
        </w:rPr>
        <w:t>八、董事会下设专门委员会在报告期内的情况</w:t>
      </w:r>
      <w:bookmarkEnd w:id="75"/>
    </w:p>
    <w:tbl>
      <w:tblPr>
        <w:tblW w:w="13893" w:type="dxa"/>
        <w:tblInd w:w="108" w:type="dxa"/>
        <w:tblLayout w:type="fixed"/>
        <w:tblLook w:val="04A0" w:firstRow="1" w:lastRow="0" w:firstColumn="1" w:lastColumn="0" w:noHBand="0" w:noVBand="1"/>
      </w:tblPr>
      <w:tblGrid>
        <w:gridCol w:w="1304"/>
        <w:gridCol w:w="964"/>
        <w:gridCol w:w="856"/>
        <w:gridCol w:w="856"/>
        <w:gridCol w:w="3702"/>
        <w:gridCol w:w="3872"/>
        <w:gridCol w:w="1134"/>
        <w:gridCol w:w="1205"/>
      </w:tblGrid>
      <w:tr w:rsidR="00C57E60" w14:paraId="28540F54" w14:textId="77777777">
        <w:trPr>
          <w:trHeight w:val="240"/>
        </w:trPr>
        <w:tc>
          <w:tcPr>
            <w:tcW w:w="1304" w:type="dxa"/>
            <w:tcBorders>
              <w:top w:val="single" w:sz="2" w:space="0" w:color="auto"/>
              <w:left w:val="single" w:sz="2" w:space="0" w:color="auto"/>
              <w:bottom w:val="single" w:sz="2" w:space="0" w:color="auto"/>
              <w:right w:val="single" w:sz="2" w:space="0" w:color="auto"/>
            </w:tcBorders>
            <w:shd w:val="clear" w:color="auto" w:fill="D3D3D3"/>
            <w:vAlign w:val="center"/>
          </w:tcPr>
          <w:p w14:paraId="1CCC195B"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委员会名称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A05F3E9"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成员情况</w:t>
            </w:r>
          </w:p>
        </w:tc>
        <w:tc>
          <w:tcPr>
            <w:tcW w:w="856" w:type="dxa"/>
            <w:tcBorders>
              <w:top w:val="single" w:sz="2" w:space="0" w:color="auto"/>
              <w:left w:val="single" w:sz="2" w:space="0" w:color="auto"/>
              <w:bottom w:val="single" w:sz="2" w:space="0" w:color="auto"/>
              <w:right w:val="single" w:sz="2" w:space="0" w:color="auto"/>
            </w:tcBorders>
            <w:shd w:val="clear" w:color="auto" w:fill="D3D3D3"/>
            <w:vAlign w:val="center"/>
          </w:tcPr>
          <w:p w14:paraId="1D05459D"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召开会议次数</w:t>
            </w:r>
          </w:p>
        </w:tc>
        <w:tc>
          <w:tcPr>
            <w:tcW w:w="856" w:type="dxa"/>
            <w:tcBorders>
              <w:top w:val="single" w:sz="2" w:space="0" w:color="auto"/>
              <w:left w:val="single" w:sz="2" w:space="0" w:color="auto"/>
              <w:bottom w:val="single" w:sz="2" w:space="0" w:color="auto"/>
              <w:right w:val="single" w:sz="2" w:space="0" w:color="auto"/>
            </w:tcBorders>
            <w:shd w:val="clear" w:color="auto" w:fill="D3D3D3"/>
            <w:vAlign w:val="center"/>
          </w:tcPr>
          <w:p w14:paraId="53805CD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召开日期</w:t>
            </w:r>
          </w:p>
        </w:tc>
        <w:tc>
          <w:tcPr>
            <w:tcW w:w="3702" w:type="dxa"/>
            <w:tcBorders>
              <w:top w:val="single" w:sz="2" w:space="0" w:color="auto"/>
              <w:left w:val="single" w:sz="2" w:space="0" w:color="auto"/>
              <w:bottom w:val="single" w:sz="2" w:space="0" w:color="auto"/>
              <w:right w:val="single" w:sz="2" w:space="0" w:color="auto"/>
            </w:tcBorders>
            <w:shd w:val="clear" w:color="auto" w:fill="D3D3D3"/>
            <w:vAlign w:val="center"/>
          </w:tcPr>
          <w:p w14:paraId="2E8D428B"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会议内容</w:t>
            </w:r>
          </w:p>
        </w:tc>
        <w:tc>
          <w:tcPr>
            <w:tcW w:w="3872" w:type="dxa"/>
            <w:tcBorders>
              <w:top w:val="single" w:sz="2" w:space="0" w:color="auto"/>
              <w:left w:val="single" w:sz="2" w:space="0" w:color="auto"/>
              <w:bottom w:val="single" w:sz="2" w:space="0" w:color="auto"/>
              <w:right w:val="single" w:sz="2" w:space="0" w:color="auto"/>
            </w:tcBorders>
            <w:shd w:val="clear" w:color="auto" w:fill="D3D3D3"/>
            <w:vAlign w:val="center"/>
          </w:tcPr>
          <w:p w14:paraId="1B6BC80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提出的重要意见和建议</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5BF1E5E8"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其他履行职责的情况</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7A9D451" w14:textId="77777777" w:rsidR="00113A51" w:rsidRDefault="00766EC7">
            <w:pPr>
              <w:spacing w:before="40" w:after="40" w:line="360" w:lineRule="auto"/>
              <w:jc w:val="center"/>
              <w:rPr>
                <w:rFonts w:ascii="Times New Roman" w:eastAsia="宋体" w:hAnsi="Times New Roman" w:cs="宋体"/>
                <w:sz w:val="18"/>
                <w:szCs w:val="18"/>
              </w:rPr>
            </w:pPr>
            <w:r>
              <w:rPr>
                <w:rFonts w:ascii="Times New Roman" w:eastAsia="宋体" w:hAnsi="Times New Roman" w:cs="宋体"/>
                <w:sz w:val="18"/>
                <w:szCs w:val="18"/>
              </w:rPr>
              <w:t>异议事项具体情况（如有）</w:t>
            </w:r>
          </w:p>
        </w:tc>
      </w:tr>
      <w:tr w:rsidR="00C57E60" w14:paraId="1FA41E6E"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4D3348A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194CAE7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陈纪正、袁洪、车宏菁</w:t>
            </w:r>
          </w:p>
        </w:tc>
        <w:tc>
          <w:tcPr>
            <w:tcW w:w="856" w:type="dxa"/>
            <w:tcBorders>
              <w:top w:val="single" w:sz="2" w:space="0" w:color="auto"/>
              <w:left w:val="single" w:sz="2" w:space="0" w:color="auto"/>
              <w:bottom w:val="single" w:sz="2" w:space="0" w:color="auto"/>
              <w:right w:val="single" w:sz="2" w:space="0" w:color="auto"/>
            </w:tcBorders>
            <w:vAlign w:val="center"/>
          </w:tcPr>
          <w:p w14:paraId="3DECD2B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856" w:type="dxa"/>
            <w:tcBorders>
              <w:top w:val="single" w:sz="2" w:space="0" w:color="auto"/>
              <w:left w:val="single" w:sz="2" w:space="0" w:color="auto"/>
              <w:bottom w:val="single" w:sz="2" w:space="0" w:color="auto"/>
              <w:right w:val="single" w:sz="2" w:space="0" w:color="auto"/>
            </w:tcBorders>
            <w:vAlign w:val="center"/>
          </w:tcPr>
          <w:p w14:paraId="21836D9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02</w:t>
            </w:r>
            <w:r>
              <w:rPr>
                <w:rFonts w:ascii="Times New Roman" w:eastAsia="宋体" w:hAnsi="Times New Roman" w:cs="宋体"/>
                <w:sz w:val="18"/>
                <w:szCs w:val="18"/>
              </w:rPr>
              <w:t>月</w:t>
            </w:r>
            <w:r>
              <w:rPr>
                <w:rFonts w:ascii="Times New Roman" w:eastAsia="宋体" w:hAnsi="Times New Roman" w:cs="宋体"/>
                <w:sz w:val="18"/>
                <w:szCs w:val="18"/>
              </w:rPr>
              <w:t>26</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75382D3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、审议《审计部</w:t>
            </w:r>
            <w:r>
              <w:rPr>
                <w:rFonts w:ascii="Times New Roman" w:eastAsia="宋体" w:hAnsi="Times New Roman" w:cs="宋体"/>
                <w:sz w:val="18"/>
                <w:szCs w:val="18"/>
              </w:rPr>
              <w:t>2024</w:t>
            </w:r>
            <w:r>
              <w:rPr>
                <w:rFonts w:ascii="Times New Roman" w:eastAsia="宋体" w:hAnsi="Times New Roman" w:cs="宋体"/>
                <w:sz w:val="18"/>
                <w:szCs w:val="18"/>
              </w:rPr>
              <w:t>年审计工作及</w:t>
            </w:r>
            <w:r>
              <w:rPr>
                <w:rFonts w:ascii="Times New Roman" w:eastAsia="宋体" w:hAnsi="Times New Roman" w:cs="宋体"/>
                <w:sz w:val="18"/>
                <w:szCs w:val="18"/>
              </w:rPr>
              <w:t>2025</w:t>
            </w:r>
            <w:r>
              <w:rPr>
                <w:rFonts w:ascii="Times New Roman" w:eastAsia="宋体" w:hAnsi="Times New Roman" w:cs="宋体"/>
                <w:sz w:val="18"/>
                <w:szCs w:val="18"/>
              </w:rPr>
              <w:t>年审计计划的报告》。</w:t>
            </w:r>
          </w:p>
        </w:tc>
        <w:tc>
          <w:tcPr>
            <w:tcW w:w="3872" w:type="dxa"/>
            <w:tcBorders>
              <w:top w:val="single" w:sz="2" w:space="0" w:color="auto"/>
              <w:left w:val="single" w:sz="2" w:space="0" w:color="auto"/>
              <w:bottom w:val="single" w:sz="2" w:space="0" w:color="auto"/>
              <w:right w:val="single" w:sz="2" w:space="0" w:color="auto"/>
            </w:tcBorders>
            <w:vAlign w:val="center"/>
          </w:tcPr>
          <w:p w14:paraId="5317A65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年度，审计部紧紧围绕公司战略目标和年度经营计划，坚持</w:t>
            </w:r>
            <w:r>
              <w:rPr>
                <w:rFonts w:ascii="Times New Roman" w:eastAsia="宋体" w:hAnsi="Times New Roman" w:cs="宋体"/>
                <w:sz w:val="18"/>
                <w:szCs w:val="18"/>
              </w:rPr>
              <w:t>“</w:t>
            </w:r>
            <w:r>
              <w:rPr>
                <w:rFonts w:ascii="Times New Roman" w:eastAsia="宋体" w:hAnsi="Times New Roman" w:cs="宋体"/>
                <w:sz w:val="18"/>
                <w:szCs w:val="18"/>
              </w:rPr>
              <w:t>风险导向、服务增值</w:t>
            </w:r>
            <w:r>
              <w:rPr>
                <w:rFonts w:ascii="Times New Roman" w:eastAsia="宋体" w:hAnsi="Times New Roman" w:cs="宋体"/>
                <w:sz w:val="18"/>
                <w:szCs w:val="18"/>
              </w:rPr>
              <w:t>”</w:t>
            </w:r>
            <w:r>
              <w:rPr>
                <w:rFonts w:ascii="Times New Roman" w:eastAsia="宋体" w:hAnsi="Times New Roman" w:cs="宋体"/>
                <w:sz w:val="18"/>
                <w:szCs w:val="18"/>
              </w:rPr>
              <w:t>的审计理念，对公司内部控制、财务信息、反舞弊及其他事项进行审计或协调，认真履行了审计监督职责。</w:t>
            </w:r>
          </w:p>
        </w:tc>
        <w:tc>
          <w:tcPr>
            <w:tcW w:w="1134" w:type="dxa"/>
            <w:tcBorders>
              <w:top w:val="single" w:sz="2" w:space="0" w:color="auto"/>
              <w:left w:val="single" w:sz="2" w:space="0" w:color="auto"/>
              <w:bottom w:val="single" w:sz="2" w:space="0" w:color="auto"/>
              <w:right w:val="single" w:sz="2" w:space="0" w:color="auto"/>
            </w:tcBorders>
            <w:vAlign w:val="center"/>
          </w:tcPr>
          <w:p w14:paraId="6F47809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24C66D9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2E42F4E5"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349F013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207D2BA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陈纪正、袁洪、车宏菁</w:t>
            </w:r>
          </w:p>
        </w:tc>
        <w:tc>
          <w:tcPr>
            <w:tcW w:w="856" w:type="dxa"/>
            <w:tcBorders>
              <w:top w:val="single" w:sz="2" w:space="0" w:color="auto"/>
              <w:left w:val="single" w:sz="2" w:space="0" w:color="auto"/>
              <w:bottom w:val="single" w:sz="2" w:space="0" w:color="auto"/>
              <w:right w:val="single" w:sz="2" w:space="0" w:color="auto"/>
            </w:tcBorders>
            <w:vAlign w:val="center"/>
          </w:tcPr>
          <w:p w14:paraId="1A87FB24"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856" w:type="dxa"/>
            <w:tcBorders>
              <w:top w:val="single" w:sz="2" w:space="0" w:color="auto"/>
              <w:left w:val="single" w:sz="2" w:space="0" w:color="auto"/>
              <w:bottom w:val="single" w:sz="2" w:space="0" w:color="auto"/>
              <w:right w:val="single" w:sz="2" w:space="0" w:color="auto"/>
            </w:tcBorders>
            <w:vAlign w:val="center"/>
          </w:tcPr>
          <w:p w14:paraId="18AA175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08</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5018FD8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、审议《关于〈公司</w:t>
            </w:r>
            <w:r>
              <w:rPr>
                <w:rFonts w:ascii="Times New Roman" w:eastAsia="宋体" w:hAnsi="Times New Roman" w:cs="宋体"/>
                <w:sz w:val="18"/>
                <w:szCs w:val="18"/>
              </w:rPr>
              <w:t>2024</w:t>
            </w:r>
            <w:r>
              <w:rPr>
                <w:rFonts w:ascii="Times New Roman" w:eastAsia="宋体" w:hAnsi="Times New Roman" w:cs="宋体"/>
                <w:sz w:val="18"/>
                <w:szCs w:val="18"/>
              </w:rPr>
              <w:t>年年度报告全文〉及其摘要的议案》；</w:t>
            </w:r>
          </w:p>
          <w:p w14:paraId="2E6D670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w:t>
            </w:r>
            <w:r>
              <w:rPr>
                <w:rFonts w:ascii="Times New Roman" w:eastAsia="宋体" w:hAnsi="Times New Roman" w:cs="宋体"/>
                <w:sz w:val="18"/>
                <w:szCs w:val="18"/>
              </w:rPr>
              <w:t>、审议《关于〈公司</w:t>
            </w:r>
            <w:r>
              <w:rPr>
                <w:rFonts w:ascii="Times New Roman" w:eastAsia="宋体" w:hAnsi="Times New Roman" w:cs="宋体"/>
                <w:sz w:val="18"/>
                <w:szCs w:val="18"/>
              </w:rPr>
              <w:t>2024</w:t>
            </w:r>
            <w:r>
              <w:rPr>
                <w:rFonts w:ascii="Times New Roman" w:eastAsia="宋体" w:hAnsi="Times New Roman" w:cs="宋体"/>
                <w:sz w:val="18"/>
                <w:szCs w:val="18"/>
              </w:rPr>
              <w:t>年度财务决算报告〉的议案》；</w:t>
            </w:r>
          </w:p>
          <w:p w14:paraId="29674B7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3</w:t>
            </w:r>
            <w:r>
              <w:rPr>
                <w:rFonts w:ascii="Times New Roman" w:eastAsia="宋体" w:hAnsi="Times New Roman" w:cs="宋体"/>
                <w:sz w:val="18"/>
                <w:szCs w:val="18"/>
              </w:rPr>
              <w:t>、审议《关于〈</w:t>
            </w:r>
            <w:r>
              <w:rPr>
                <w:rFonts w:ascii="Times New Roman" w:eastAsia="宋体" w:hAnsi="Times New Roman" w:cs="宋体"/>
                <w:sz w:val="18"/>
                <w:szCs w:val="18"/>
              </w:rPr>
              <w:t>2024</w:t>
            </w:r>
            <w:r>
              <w:rPr>
                <w:rFonts w:ascii="Times New Roman" w:eastAsia="宋体" w:hAnsi="Times New Roman" w:cs="宋体"/>
                <w:sz w:val="18"/>
                <w:szCs w:val="18"/>
              </w:rPr>
              <w:t>年度公司控股股东及其他关联方占用资金情况的专项说明〉的议案》；</w:t>
            </w:r>
          </w:p>
          <w:p w14:paraId="0B4725E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4</w:t>
            </w:r>
            <w:r>
              <w:rPr>
                <w:rFonts w:ascii="Times New Roman" w:eastAsia="宋体" w:hAnsi="Times New Roman" w:cs="宋体"/>
                <w:sz w:val="18"/>
                <w:szCs w:val="18"/>
              </w:rPr>
              <w:t>、审议《关于</w:t>
            </w:r>
            <w:r>
              <w:rPr>
                <w:rFonts w:ascii="Times New Roman" w:eastAsia="宋体" w:hAnsi="Times New Roman" w:cs="宋体"/>
                <w:sz w:val="18"/>
                <w:szCs w:val="18"/>
              </w:rPr>
              <w:t>2024</w:t>
            </w:r>
            <w:r>
              <w:rPr>
                <w:rFonts w:ascii="Times New Roman" w:eastAsia="宋体" w:hAnsi="Times New Roman" w:cs="宋体"/>
                <w:sz w:val="18"/>
                <w:szCs w:val="18"/>
              </w:rPr>
              <w:t>年度募集资金存放与使用情况的专项报告》；</w:t>
            </w:r>
          </w:p>
          <w:p w14:paraId="0274263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5</w:t>
            </w:r>
            <w:r>
              <w:rPr>
                <w:rFonts w:ascii="Times New Roman" w:eastAsia="宋体" w:hAnsi="Times New Roman" w:cs="宋体"/>
                <w:sz w:val="18"/>
                <w:szCs w:val="18"/>
              </w:rPr>
              <w:t>、审议《关于〈公司</w:t>
            </w:r>
            <w:r>
              <w:rPr>
                <w:rFonts w:ascii="Times New Roman" w:eastAsia="宋体" w:hAnsi="Times New Roman" w:cs="宋体"/>
                <w:sz w:val="18"/>
                <w:szCs w:val="18"/>
              </w:rPr>
              <w:t>2024</w:t>
            </w:r>
            <w:r>
              <w:rPr>
                <w:rFonts w:ascii="Times New Roman" w:eastAsia="宋体" w:hAnsi="Times New Roman" w:cs="宋体"/>
                <w:sz w:val="18"/>
                <w:szCs w:val="18"/>
              </w:rPr>
              <w:t>年度内部控制评价报告〉的议案》；</w:t>
            </w:r>
          </w:p>
          <w:p w14:paraId="2BFE71F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6</w:t>
            </w:r>
            <w:r>
              <w:rPr>
                <w:rFonts w:ascii="Times New Roman" w:eastAsia="宋体" w:hAnsi="Times New Roman" w:cs="宋体"/>
                <w:sz w:val="18"/>
                <w:szCs w:val="18"/>
              </w:rPr>
              <w:t>、审议《关于公司</w:t>
            </w:r>
            <w:r>
              <w:rPr>
                <w:rFonts w:ascii="Times New Roman" w:eastAsia="宋体" w:hAnsi="Times New Roman" w:cs="宋体"/>
                <w:sz w:val="18"/>
                <w:szCs w:val="18"/>
              </w:rPr>
              <w:t>2024</w:t>
            </w:r>
            <w:r>
              <w:rPr>
                <w:rFonts w:ascii="Times New Roman" w:eastAsia="宋体" w:hAnsi="Times New Roman" w:cs="宋体"/>
                <w:sz w:val="18"/>
                <w:szCs w:val="18"/>
              </w:rPr>
              <w:t>年度日常关联交易确认和</w:t>
            </w:r>
            <w:r>
              <w:rPr>
                <w:rFonts w:ascii="Times New Roman" w:eastAsia="宋体" w:hAnsi="Times New Roman" w:cs="宋体"/>
                <w:sz w:val="18"/>
                <w:szCs w:val="18"/>
              </w:rPr>
              <w:t>2025</w:t>
            </w:r>
            <w:r>
              <w:rPr>
                <w:rFonts w:ascii="Times New Roman" w:eastAsia="宋体" w:hAnsi="Times New Roman" w:cs="宋体"/>
                <w:sz w:val="18"/>
                <w:szCs w:val="18"/>
              </w:rPr>
              <w:t>年度日常关联交易预计的议案》；</w:t>
            </w:r>
          </w:p>
          <w:p w14:paraId="3B1E7C7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7</w:t>
            </w:r>
            <w:r>
              <w:rPr>
                <w:rFonts w:ascii="Times New Roman" w:eastAsia="宋体" w:hAnsi="Times New Roman" w:cs="宋体"/>
                <w:sz w:val="18"/>
                <w:szCs w:val="18"/>
              </w:rPr>
              <w:t>、审议《关于使用闲置自有资金进行委托理财的议案》；</w:t>
            </w:r>
          </w:p>
          <w:p w14:paraId="15419F8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8</w:t>
            </w:r>
            <w:r>
              <w:rPr>
                <w:rFonts w:ascii="Times New Roman" w:eastAsia="宋体" w:hAnsi="Times New Roman" w:cs="宋体"/>
                <w:sz w:val="18"/>
                <w:szCs w:val="18"/>
              </w:rPr>
              <w:t>、审议《关于为控股子公司申请综合授信提供担保的议案》。</w:t>
            </w:r>
          </w:p>
        </w:tc>
        <w:tc>
          <w:tcPr>
            <w:tcW w:w="3872" w:type="dxa"/>
            <w:tcBorders>
              <w:top w:val="single" w:sz="2" w:space="0" w:color="auto"/>
              <w:left w:val="single" w:sz="2" w:space="0" w:color="auto"/>
              <w:bottom w:val="single" w:sz="2" w:space="0" w:color="auto"/>
              <w:right w:val="single" w:sz="2" w:space="0" w:color="auto"/>
            </w:tcBorders>
            <w:vAlign w:val="center"/>
          </w:tcPr>
          <w:p w14:paraId="2F9777D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2024</w:t>
            </w:r>
            <w:r>
              <w:rPr>
                <w:rFonts w:ascii="Times New Roman" w:eastAsia="宋体" w:hAnsi="Times New Roman" w:cs="宋体"/>
                <w:sz w:val="18"/>
                <w:szCs w:val="18"/>
              </w:rPr>
              <w:t>年，公司继续聚焦主营业务，实现了营业收入和利润的双重增长，募集资金使用和存放符合相关法律法规，不存在违规占用资金的情况，日常关联交易事项公平公正，不存在损害股东利益的行为。年度报告、财务决算报告等相关报告真实、准确、完整地反映了公司的财务状况和经营成果，详实报告了报告期内公司重大财务数据变动情况和重大事项情况，不存在虚假记载、误导性陈述或者重大遗漏。</w:t>
            </w:r>
          </w:p>
        </w:tc>
        <w:tc>
          <w:tcPr>
            <w:tcW w:w="1134" w:type="dxa"/>
            <w:tcBorders>
              <w:top w:val="single" w:sz="2" w:space="0" w:color="auto"/>
              <w:left w:val="single" w:sz="2" w:space="0" w:color="auto"/>
              <w:bottom w:val="single" w:sz="2" w:space="0" w:color="auto"/>
              <w:right w:val="single" w:sz="2" w:space="0" w:color="auto"/>
            </w:tcBorders>
            <w:vAlign w:val="center"/>
          </w:tcPr>
          <w:p w14:paraId="7EE1F20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5ACA966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4614D0ED"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6D5830B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7C2C20E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陈纪正、袁洪、车宏菁</w:t>
            </w:r>
          </w:p>
        </w:tc>
        <w:tc>
          <w:tcPr>
            <w:tcW w:w="856" w:type="dxa"/>
            <w:tcBorders>
              <w:top w:val="single" w:sz="2" w:space="0" w:color="auto"/>
              <w:left w:val="single" w:sz="2" w:space="0" w:color="auto"/>
              <w:bottom w:val="single" w:sz="2" w:space="0" w:color="auto"/>
              <w:right w:val="single" w:sz="2" w:space="0" w:color="auto"/>
            </w:tcBorders>
            <w:vAlign w:val="center"/>
          </w:tcPr>
          <w:p w14:paraId="02E12A4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856" w:type="dxa"/>
            <w:tcBorders>
              <w:top w:val="single" w:sz="2" w:space="0" w:color="auto"/>
              <w:left w:val="single" w:sz="2" w:space="0" w:color="auto"/>
              <w:bottom w:val="single" w:sz="2" w:space="0" w:color="auto"/>
              <w:right w:val="single" w:sz="2" w:space="0" w:color="auto"/>
            </w:tcBorders>
            <w:vAlign w:val="center"/>
          </w:tcPr>
          <w:p w14:paraId="1F0273D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25</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749E42F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、审议《关于公司</w:t>
            </w:r>
            <w:r>
              <w:rPr>
                <w:rFonts w:ascii="Times New Roman" w:eastAsia="宋体" w:hAnsi="Times New Roman" w:cs="宋体"/>
                <w:sz w:val="18"/>
                <w:szCs w:val="18"/>
              </w:rPr>
              <w:t>2025</w:t>
            </w:r>
            <w:r>
              <w:rPr>
                <w:rFonts w:ascii="Times New Roman" w:eastAsia="宋体" w:hAnsi="Times New Roman" w:cs="宋体"/>
                <w:sz w:val="18"/>
                <w:szCs w:val="18"/>
              </w:rPr>
              <w:t>年第一季度报告的议案》。</w:t>
            </w:r>
          </w:p>
        </w:tc>
        <w:tc>
          <w:tcPr>
            <w:tcW w:w="3872" w:type="dxa"/>
            <w:tcBorders>
              <w:top w:val="single" w:sz="2" w:space="0" w:color="auto"/>
              <w:left w:val="single" w:sz="2" w:space="0" w:color="auto"/>
              <w:bottom w:val="single" w:sz="2" w:space="0" w:color="auto"/>
              <w:right w:val="single" w:sz="2" w:space="0" w:color="auto"/>
            </w:tcBorders>
            <w:vAlign w:val="center"/>
          </w:tcPr>
          <w:p w14:paraId="38F0C0E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年第一季度，公司主营业务收入稳健增长，保持着较强的现金生成能力，报告内容真实、准确、完整地反映了公司当期的实际经营情况和财务状况。</w:t>
            </w:r>
          </w:p>
        </w:tc>
        <w:tc>
          <w:tcPr>
            <w:tcW w:w="1134" w:type="dxa"/>
            <w:tcBorders>
              <w:top w:val="single" w:sz="2" w:space="0" w:color="auto"/>
              <w:left w:val="single" w:sz="2" w:space="0" w:color="auto"/>
              <w:bottom w:val="single" w:sz="2" w:space="0" w:color="auto"/>
              <w:right w:val="single" w:sz="2" w:space="0" w:color="auto"/>
            </w:tcBorders>
            <w:vAlign w:val="center"/>
          </w:tcPr>
          <w:p w14:paraId="1846084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2886E6F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3DB71F04"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3173C3A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0FB59B2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陈纪正、袁洪、车宏菁</w:t>
            </w:r>
          </w:p>
        </w:tc>
        <w:tc>
          <w:tcPr>
            <w:tcW w:w="856" w:type="dxa"/>
            <w:tcBorders>
              <w:top w:val="single" w:sz="2" w:space="0" w:color="auto"/>
              <w:left w:val="single" w:sz="2" w:space="0" w:color="auto"/>
              <w:bottom w:val="single" w:sz="2" w:space="0" w:color="auto"/>
              <w:right w:val="single" w:sz="2" w:space="0" w:color="auto"/>
            </w:tcBorders>
            <w:vAlign w:val="center"/>
          </w:tcPr>
          <w:p w14:paraId="3BFF3E8C"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856" w:type="dxa"/>
            <w:tcBorders>
              <w:top w:val="single" w:sz="2" w:space="0" w:color="auto"/>
              <w:left w:val="single" w:sz="2" w:space="0" w:color="auto"/>
              <w:bottom w:val="single" w:sz="2" w:space="0" w:color="auto"/>
              <w:right w:val="single" w:sz="2" w:space="0" w:color="auto"/>
            </w:tcBorders>
            <w:vAlign w:val="center"/>
          </w:tcPr>
          <w:p w14:paraId="15A5C98B"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08</w:t>
            </w:r>
            <w:r>
              <w:rPr>
                <w:rFonts w:ascii="Times New Roman" w:eastAsia="宋体" w:hAnsi="Times New Roman" w:cs="宋体"/>
                <w:sz w:val="18"/>
                <w:szCs w:val="18"/>
              </w:rPr>
              <w:t>月</w:t>
            </w:r>
            <w:r>
              <w:rPr>
                <w:rFonts w:ascii="Times New Roman" w:eastAsia="宋体" w:hAnsi="Times New Roman" w:cs="宋体"/>
                <w:sz w:val="18"/>
                <w:szCs w:val="18"/>
              </w:rPr>
              <w:t>15</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1B2CEB9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、审议《关于〈公司</w:t>
            </w:r>
            <w:r>
              <w:rPr>
                <w:rFonts w:ascii="Times New Roman" w:eastAsia="宋体" w:hAnsi="Times New Roman" w:cs="宋体"/>
                <w:sz w:val="18"/>
                <w:szCs w:val="18"/>
              </w:rPr>
              <w:t>2025</w:t>
            </w:r>
            <w:r>
              <w:rPr>
                <w:rFonts w:ascii="Times New Roman" w:eastAsia="宋体" w:hAnsi="Times New Roman" w:cs="宋体"/>
                <w:sz w:val="18"/>
                <w:szCs w:val="18"/>
              </w:rPr>
              <w:t>年半年度报告全文〉及其摘要的议案》；</w:t>
            </w:r>
          </w:p>
          <w:p w14:paraId="28D5511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w:t>
            </w:r>
            <w:r>
              <w:rPr>
                <w:rFonts w:ascii="Times New Roman" w:eastAsia="宋体" w:hAnsi="Times New Roman" w:cs="宋体"/>
                <w:sz w:val="18"/>
                <w:szCs w:val="18"/>
              </w:rPr>
              <w:t>、审议同意《关于〈</w:t>
            </w:r>
            <w:r>
              <w:rPr>
                <w:rFonts w:ascii="Times New Roman" w:eastAsia="宋体" w:hAnsi="Times New Roman" w:cs="宋体"/>
                <w:sz w:val="18"/>
                <w:szCs w:val="18"/>
              </w:rPr>
              <w:t>2025</w:t>
            </w:r>
            <w:r>
              <w:rPr>
                <w:rFonts w:ascii="Times New Roman" w:eastAsia="宋体" w:hAnsi="Times New Roman" w:cs="宋体"/>
                <w:sz w:val="18"/>
                <w:szCs w:val="18"/>
              </w:rPr>
              <w:t>年上半年内部审计专项检查报告〉的议案》。</w:t>
            </w:r>
          </w:p>
        </w:tc>
        <w:tc>
          <w:tcPr>
            <w:tcW w:w="3872" w:type="dxa"/>
            <w:tcBorders>
              <w:top w:val="single" w:sz="2" w:space="0" w:color="auto"/>
              <w:left w:val="single" w:sz="2" w:space="0" w:color="auto"/>
              <w:bottom w:val="single" w:sz="2" w:space="0" w:color="auto"/>
              <w:right w:val="single" w:sz="2" w:space="0" w:color="auto"/>
            </w:tcBorders>
            <w:vAlign w:val="center"/>
          </w:tcPr>
          <w:p w14:paraId="5606FB3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上半年业绩收入总体符合预期，公司对外担保、关联交易、财务资助等事项，均符合相关法律法规、规范性文件以及《公司章程》的规定，相关报告真实、准确完整地反映了公司实际情况，不存在违法违规情形，不会损害公司及股东利益。</w:t>
            </w:r>
          </w:p>
        </w:tc>
        <w:tc>
          <w:tcPr>
            <w:tcW w:w="1134" w:type="dxa"/>
            <w:tcBorders>
              <w:top w:val="single" w:sz="2" w:space="0" w:color="auto"/>
              <w:left w:val="single" w:sz="2" w:space="0" w:color="auto"/>
              <w:bottom w:val="single" w:sz="2" w:space="0" w:color="auto"/>
              <w:right w:val="single" w:sz="2" w:space="0" w:color="auto"/>
            </w:tcBorders>
            <w:vAlign w:val="center"/>
          </w:tcPr>
          <w:p w14:paraId="65AE798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18FDA44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338F45C0"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355F926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03E33C1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陈纪正、袁洪、车宏菁</w:t>
            </w:r>
          </w:p>
        </w:tc>
        <w:tc>
          <w:tcPr>
            <w:tcW w:w="856" w:type="dxa"/>
            <w:tcBorders>
              <w:top w:val="single" w:sz="2" w:space="0" w:color="auto"/>
              <w:left w:val="single" w:sz="2" w:space="0" w:color="auto"/>
              <w:bottom w:val="single" w:sz="2" w:space="0" w:color="auto"/>
              <w:right w:val="single" w:sz="2" w:space="0" w:color="auto"/>
            </w:tcBorders>
            <w:vAlign w:val="center"/>
          </w:tcPr>
          <w:p w14:paraId="15EE733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856" w:type="dxa"/>
            <w:tcBorders>
              <w:top w:val="single" w:sz="2" w:space="0" w:color="auto"/>
              <w:left w:val="single" w:sz="2" w:space="0" w:color="auto"/>
              <w:bottom w:val="single" w:sz="2" w:space="0" w:color="auto"/>
              <w:right w:val="single" w:sz="2" w:space="0" w:color="auto"/>
            </w:tcBorders>
            <w:vAlign w:val="center"/>
          </w:tcPr>
          <w:p w14:paraId="1C5D279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10</w:t>
            </w:r>
            <w:r>
              <w:rPr>
                <w:rFonts w:ascii="Times New Roman" w:eastAsia="宋体" w:hAnsi="Times New Roman" w:cs="宋体"/>
                <w:sz w:val="18"/>
                <w:szCs w:val="18"/>
              </w:rPr>
              <w:t>月</w:t>
            </w:r>
            <w:r>
              <w:rPr>
                <w:rFonts w:ascii="Times New Roman" w:eastAsia="宋体" w:hAnsi="Times New Roman" w:cs="宋体"/>
                <w:sz w:val="18"/>
                <w:szCs w:val="18"/>
              </w:rPr>
              <w:t>20</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74B99EC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、审议《关于公司</w:t>
            </w:r>
            <w:r>
              <w:rPr>
                <w:rFonts w:ascii="Times New Roman" w:eastAsia="宋体" w:hAnsi="Times New Roman" w:cs="宋体"/>
                <w:sz w:val="18"/>
                <w:szCs w:val="18"/>
              </w:rPr>
              <w:t>2025</w:t>
            </w:r>
            <w:r>
              <w:rPr>
                <w:rFonts w:ascii="Times New Roman" w:eastAsia="宋体" w:hAnsi="Times New Roman" w:cs="宋体"/>
                <w:sz w:val="18"/>
                <w:szCs w:val="18"/>
              </w:rPr>
              <w:t>年第三季度报告的议案》。</w:t>
            </w:r>
          </w:p>
        </w:tc>
        <w:tc>
          <w:tcPr>
            <w:tcW w:w="3872" w:type="dxa"/>
            <w:tcBorders>
              <w:top w:val="single" w:sz="2" w:space="0" w:color="auto"/>
              <w:left w:val="single" w:sz="2" w:space="0" w:color="auto"/>
              <w:bottom w:val="single" w:sz="2" w:space="0" w:color="auto"/>
              <w:right w:val="single" w:sz="2" w:space="0" w:color="auto"/>
            </w:tcBorders>
            <w:vAlign w:val="center"/>
          </w:tcPr>
          <w:p w14:paraId="0B3C607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年第三季度经营面稳中向好，受专利诉讼影响，净利润下滑明显，报告真实、准确、完整地反映了公司的实际经营情况和财务状况。</w:t>
            </w:r>
          </w:p>
        </w:tc>
        <w:tc>
          <w:tcPr>
            <w:tcW w:w="1134" w:type="dxa"/>
            <w:tcBorders>
              <w:top w:val="single" w:sz="2" w:space="0" w:color="auto"/>
              <w:left w:val="single" w:sz="2" w:space="0" w:color="auto"/>
              <w:bottom w:val="single" w:sz="2" w:space="0" w:color="auto"/>
              <w:right w:val="single" w:sz="2" w:space="0" w:color="auto"/>
            </w:tcBorders>
            <w:vAlign w:val="center"/>
          </w:tcPr>
          <w:p w14:paraId="6F090B2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0757A46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61113C22"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70E1F42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1FBA634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陈纪正、袁洪、车宏菁</w:t>
            </w:r>
          </w:p>
        </w:tc>
        <w:tc>
          <w:tcPr>
            <w:tcW w:w="856" w:type="dxa"/>
            <w:tcBorders>
              <w:top w:val="single" w:sz="2" w:space="0" w:color="auto"/>
              <w:left w:val="single" w:sz="2" w:space="0" w:color="auto"/>
              <w:bottom w:val="single" w:sz="2" w:space="0" w:color="auto"/>
              <w:right w:val="single" w:sz="2" w:space="0" w:color="auto"/>
            </w:tcBorders>
            <w:vAlign w:val="center"/>
          </w:tcPr>
          <w:p w14:paraId="70EAD109"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6</w:t>
            </w:r>
          </w:p>
        </w:tc>
        <w:tc>
          <w:tcPr>
            <w:tcW w:w="856" w:type="dxa"/>
            <w:tcBorders>
              <w:top w:val="single" w:sz="2" w:space="0" w:color="auto"/>
              <w:left w:val="single" w:sz="2" w:space="0" w:color="auto"/>
              <w:bottom w:val="single" w:sz="2" w:space="0" w:color="auto"/>
              <w:right w:val="single" w:sz="2" w:space="0" w:color="auto"/>
            </w:tcBorders>
            <w:vAlign w:val="center"/>
          </w:tcPr>
          <w:p w14:paraId="119A5B6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12</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4552E83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、审议《关于续聘</w:t>
            </w:r>
            <w:r>
              <w:rPr>
                <w:rFonts w:ascii="Times New Roman" w:eastAsia="宋体" w:hAnsi="Times New Roman" w:cs="宋体"/>
                <w:sz w:val="18"/>
                <w:szCs w:val="18"/>
              </w:rPr>
              <w:t>2025</w:t>
            </w:r>
            <w:r>
              <w:rPr>
                <w:rFonts w:ascii="Times New Roman" w:eastAsia="宋体" w:hAnsi="Times New Roman" w:cs="宋体"/>
                <w:sz w:val="18"/>
                <w:szCs w:val="18"/>
              </w:rPr>
              <w:t>年度审计机构的议案》。</w:t>
            </w:r>
          </w:p>
        </w:tc>
        <w:tc>
          <w:tcPr>
            <w:tcW w:w="3872" w:type="dxa"/>
            <w:tcBorders>
              <w:top w:val="single" w:sz="2" w:space="0" w:color="auto"/>
              <w:left w:val="single" w:sz="2" w:space="0" w:color="auto"/>
              <w:bottom w:val="single" w:sz="2" w:space="0" w:color="auto"/>
              <w:right w:val="single" w:sz="2" w:space="0" w:color="auto"/>
            </w:tcBorders>
            <w:vAlign w:val="center"/>
          </w:tcPr>
          <w:p w14:paraId="1C76EEB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信永中和具备为公司提供审计服务的经验和能力，在独立性、专业胜任能力、业务经验、投资者保护能力等方面均符合公司</w:t>
            </w:r>
            <w:r>
              <w:rPr>
                <w:rFonts w:ascii="Times New Roman" w:eastAsia="宋体" w:hAnsi="Times New Roman" w:cs="宋体"/>
                <w:sz w:val="18"/>
                <w:szCs w:val="18"/>
              </w:rPr>
              <w:t>2025</w:t>
            </w:r>
            <w:r>
              <w:rPr>
                <w:rFonts w:ascii="Times New Roman" w:eastAsia="宋体" w:hAnsi="Times New Roman" w:cs="宋体"/>
                <w:sz w:val="18"/>
                <w:szCs w:val="18"/>
              </w:rPr>
              <w:t>年度报告相关审计工作和内部控制审计工作的要求，继续聘请有利于保障公司审计工作的质量及连续性，有利于保护公司及其他股东利益，尤其是中小股东利益。</w:t>
            </w:r>
          </w:p>
        </w:tc>
        <w:tc>
          <w:tcPr>
            <w:tcW w:w="1134" w:type="dxa"/>
            <w:tcBorders>
              <w:top w:val="single" w:sz="2" w:space="0" w:color="auto"/>
              <w:left w:val="single" w:sz="2" w:space="0" w:color="auto"/>
              <w:bottom w:val="single" w:sz="2" w:space="0" w:color="auto"/>
              <w:right w:val="single" w:sz="2" w:space="0" w:color="auto"/>
            </w:tcBorders>
            <w:vAlign w:val="center"/>
          </w:tcPr>
          <w:p w14:paraId="092A5AA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34591CB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4FD49E67"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169C904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第六届董事会审计委员会</w:t>
            </w:r>
          </w:p>
        </w:tc>
        <w:tc>
          <w:tcPr>
            <w:tcW w:w="964" w:type="dxa"/>
            <w:tcBorders>
              <w:top w:val="single" w:sz="2" w:space="0" w:color="auto"/>
              <w:left w:val="single" w:sz="2" w:space="0" w:color="auto"/>
              <w:bottom w:val="single" w:sz="2" w:space="0" w:color="auto"/>
              <w:right w:val="single" w:sz="2" w:space="0" w:color="auto"/>
            </w:tcBorders>
            <w:vAlign w:val="center"/>
          </w:tcPr>
          <w:p w14:paraId="2F5A9F7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陈纪正、</w:t>
            </w:r>
            <w:r>
              <w:rPr>
                <w:rFonts w:ascii="Times New Roman" w:eastAsia="宋体" w:hAnsi="Times New Roman" w:cs="宋体"/>
                <w:sz w:val="18"/>
                <w:szCs w:val="18"/>
              </w:rPr>
              <w:t>Jianyou Tan</w:t>
            </w:r>
            <w:r>
              <w:rPr>
                <w:rFonts w:ascii="Times New Roman" w:eastAsia="宋体" w:hAnsi="Times New Roman" w:cs="宋体"/>
                <w:sz w:val="18"/>
                <w:szCs w:val="18"/>
              </w:rPr>
              <w:t>（谭建友）、黄绍波</w:t>
            </w:r>
          </w:p>
        </w:tc>
        <w:tc>
          <w:tcPr>
            <w:tcW w:w="856" w:type="dxa"/>
            <w:tcBorders>
              <w:top w:val="single" w:sz="2" w:space="0" w:color="auto"/>
              <w:left w:val="single" w:sz="2" w:space="0" w:color="auto"/>
              <w:bottom w:val="single" w:sz="2" w:space="0" w:color="auto"/>
              <w:right w:val="single" w:sz="2" w:space="0" w:color="auto"/>
            </w:tcBorders>
            <w:vAlign w:val="center"/>
          </w:tcPr>
          <w:p w14:paraId="1C810A3D"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856" w:type="dxa"/>
            <w:tcBorders>
              <w:top w:val="single" w:sz="2" w:space="0" w:color="auto"/>
              <w:left w:val="single" w:sz="2" w:space="0" w:color="auto"/>
              <w:bottom w:val="single" w:sz="2" w:space="0" w:color="auto"/>
              <w:right w:val="single" w:sz="2" w:space="0" w:color="auto"/>
            </w:tcBorders>
            <w:vAlign w:val="center"/>
          </w:tcPr>
          <w:p w14:paraId="63865C6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1797D0C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、审议《关于聘任公司财务总监的议案》。</w:t>
            </w:r>
          </w:p>
        </w:tc>
        <w:tc>
          <w:tcPr>
            <w:tcW w:w="3872" w:type="dxa"/>
            <w:tcBorders>
              <w:top w:val="single" w:sz="2" w:space="0" w:color="auto"/>
              <w:left w:val="single" w:sz="2" w:space="0" w:color="auto"/>
              <w:bottom w:val="single" w:sz="2" w:space="0" w:color="auto"/>
              <w:right w:val="single" w:sz="2" w:space="0" w:color="auto"/>
            </w:tcBorders>
            <w:vAlign w:val="center"/>
          </w:tcPr>
          <w:p w14:paraId="2E75497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候选人具备担任公司财务总监所必需的专业胜任能力和工作经验，任职资格符合《公司法》及《公司章程》的相关规定。</w:t>
            </w:r>
          </w:p>
        </w:tc>
        <w:tc>
          <w:tcPr>
            <w:tcW w:w="1134" w:type="dxa"/>
            <w:tcBorders>
              <w:top w:val="single" w:sz="2" w:space="0" w:color="auto"/>
              <w:left w:val="single" w:sz="2" w:space="0" w:color="auto"/>
              <w:bottom w:val="single" w:sz="2" w:space="0" w:color="auto"/>
              <w:right w:val="single" w:sz="2" w:space="0" w:color="auto"/>
            </w:tcBorders>
            <w:vAlign w:val="center"/>
          </w:tcPr>
          <w:p w14:paraId="785BCFC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2786685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2EB55511"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17E5539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第五届董事会薪酬与考核委员会</w:t>
            </w:r>
          </w:p>
        </w:tc>
        <w:tc>
          <w:tcPr>
            <w:tcW w:w="964" w:type="dxa"/>
            <w:tcBorders>
              <w:top w:val="single" w:sz="2" w:space="0" w:color="auto"/>
              <w:left w:val="single" w:sz="2" w:space="0" w:color="auto"/>
              <w:bottom w:val="single" w:sz="2" w:space="0" w:color="auto"/>
              <w:right w:val="single" w:sz="2" w:space="0" w:color="auto"/>
            </w:tcBorders>
            <w:vAlign w:val="center"/>
          </w:tcPr>
          <w:p w14:paraId="7EEF81F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康熙雄、陈纪正、车宏菁</w:t>
            </w:r>
          </w:p>
        </w:tc>
        <w:tc>
          <w:tcPr>
            <w:tcW w:w="856" w:type="dxa"/>
            <w:tcBorders>
              <w:top w:val="single" w:sz="2" w:space="0" w:color="auto"/>
              <w:left w:val="single" w:sz="2" w:space="0" w:color="auto"/>
              <w:bottom w:val="single" w:sz="2" w:space="0" w:color="auto"/>
              <w:right w:val="single" w:sz="2" w:space="0" w:color="auto"/>
            </w:tcBorders>
            <w:vAlign w:val="center"/>
          </w:tcPr>
          <w:p w14:paraId="56F10ABE"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c>
          <w:tcPr>
            <w:tcW w:w="856" w:type="dxa"/>
            <w:tcBorders>
              <w:top w:val="single" w:sz="2" w:space="0" w:color="auto"/>
              <w:left w:val="single" w:sz="2" w:space="0" w:color="auto"/>
              <w:bottom w:val="single" w:sz="2" w:space="0" w:color="auto"/>
              <w:right w:val="single" w:sz="2" w:space="0" w:color="auto"/>
            </w:tcBorders>
            <w:vAlign w:val="center"/>
          </w:tcPr>
          <w:p w14:paraId="6B19C45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04</w:t>
            </w:r>
            <w:r>
              <w:rPr>
                <w:rFonts w:ascii="Times New Roman" w:eastAsia="宋体" w:hAnsi="Times New Roman" w:cs="宋体"/>
                <w:sz w:val="18"/>
                <w:szCs w:val="18"/>
              </w:rPr>
              <w:t>月</w:t>
            </w:r>
            <w:r>
              <w:rPr>
                <w:rFonts w:ascii="Times New Roman" w:eastAsia="宋体" w:hAnsi="Times New Roman" w:cs="宋体"/>
                <w:sz w:val="18"/>
                <w:szCs w:val="18"/>
              </w:rPr>
              <w:t>08</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3416F895"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、审议《关于〈公司</w:t>
            </w:r>
            <w:r>
              <w:rPr>
                <w:rFonts w:ascii="Times New Roman" w:eastAsia="宋体" w:hAnsi="Times New Roman" w:cs="宋体"/>
                <w:sz w:val="18"/>
                <w:szCs w:val="18"/>
              </w:rPr>
              <w:t>2025</w:t>
            </w:r>
            <w:r>
              <w:rPr>
                <w:rFonts w:ascii="Times New Roman" w:eastAsia="宋体" w:hAnsi="Times New Roman" w:cs="宋体"/>
                <w:sz w:val="18"/>
                <w:szCs w:val="18"/>
              </w:rPr>
              <w:t>年度董事津贴和薪酬方案〉的议案》；</w:t>
            </w:r>
          </w:p>
          <w:p w14:paraId="2DE950F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w:t>
            </w:r>
            <w:r>
              <w:rPr>
                <w:rFonts w:ascii="Times New Roman" w:eastAsia="宋体" w:hAnsi="Times New Roman" w:cs="宋体"/>
                <w:sz w:val="18"/>
                <w:szCs w:val="18"/>
              </w:rPr>
              <w:t>、审议《关于〈公司</w:t>
            </w:r>
            <w:r>
              <w:rPr>
                <w:rFonts w:ascii="Times New Roman" w:eastAsia="宋体" w:hAnsi="Times New Roman" w:cs="宋体"/>
                <w:sz w:val="18"/>
                <w:szCs w:val="18"/>
              </w:rPr>
              <w:t>2025</w:t>
            </w:r>
            <w:r>
              <w:rPr>
                <w:rFonts w:ascii="Times New Roman" w:eastAsia="宋体" w:hAnsi="Times New Roman" w:cs="宋体"/>
                <w:sz w:val="18"/>
                <w:szCs w:val="18"/>
              </w:rPr>
              <w:t>年度高级管理人员薪酬方案〉的议案》。</w:t>
            </w:r>
          </w:p>
        </w:tc>
        <w:tc>
          <w:tcPr>
            <w:tcW w:w="3872" w:type="dxa"/>
            <w:tcBorders>
              <w:top w:val="single" w:sz="2" w:space="0" w:color="auto"/>
              <w:left w:val="single" w:sz="2" w:space="0" w:color="auto"/>
              <w:bottom w:val="single" w:sz="2" w:space="0" w:color="auto"/>
              <w:right w:val="single" w:sz="2" w:space="0" w:color="auto"/>
            </w:tcBorders>
            <w:vAlign w:val="center"/>
          </w:tcPr>
          <w:p w14:paraId="661097B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结合公司实际经营情况及行业、地区薪酬水平等综合因素考虑，拟定了公司</w:t>
            </w:r>
            <w:r>
              <w:rPr>
                <w:rFonts w:ascii="Times New Roman" w:eastAsia="宋体" w:hAnsi="Times New Roman" w:cs="宋体"/>
                <w:sz w:val="18"/>
                <w:szCs w:val="18"/>
              </w:rPr>
              <w:t>2025</w:t>
            </w:r>
            <w:r>
              <w:rPr>
                <w:rFonts w:ascii="Times New Roman" w:eastAsia="宋体" w:hAnsi="Times New Roman" w:cs="宋体"/>
                <w:sz w:val="18"/>
                <w:szCs w:val="18"/>
              </w:rPr>
              <w:t>年度董事、高级管理人员津贴、薪酬方案，有利于充分调动公司</w:t>
            </w:r>
          </w:p>
          <w:p w14:paraId="70C7E4B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董事及高级管理人员的工作积极性和创造性。</w:t>
            </w:r>
          </w:p>
        </w:tc>
        <w:tc>
          <w:tcPr>
            <w:tcW w:w="1134" w:type="dxa"/>
            <w:tcBorders>
              <w:top w:val="single" w:sz="2" w:space="0" w:color="auto"/>
              <w:left w:val="single" w:sz="2" w:space="0" w:color="auto"/>
              <w:bottom w:val="single" w:sz="2" w:space="0" w:color="auto"/>
              <w:right w:val="single" w:sz="2" w:space="0" w:color="auto"/>
            </w:tcBorders>
            <w:vAlign w:val="center"/>
          </w:tcPr>
          <w:p w14:paraId="7F50EC9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7390686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2BE5246D"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01DE19C2"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第五届董事会薪酬与考核委员会</w:t>
            </w:r>
          </w:p>
        </w:tc>
        <w:tc>
          <w:tcPr>
            <w:tcW w:w="964" w:type="dxa"/>
            <w:tcBorders>
              <w:top w:val="single" w:sz="2" w:space="0" w:color="auto"/>
              <w:left w:val="single" w:sz="2" w:space="0" w:color="auto"/>
              <w:bottom w:val="single" w:sz="2" w:space="0" w:color="auto"/>
              <w:right w:val="single" w:sz="2" w:space="0" w:color="auto"/>
            </w:tcBorders>
            <w:vAlign w:val="center"/>
          </w:tcPr>
          <w:p w14:paraId="47F1785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康熙雄、陈纪正、车宏菁</w:t>
            </w:r>
          </w:p>
        </w:tc>
        <w:tc>
          <w:tcPr>
            <w:tcW w:w="856" w:type="dxa"/>
            <w:tcBorders>
              <w:top w:val="single" w:sz="2" w:space="0" w:color="auto"/>
              <w:left w:val="single" w:sz="2" w:space="0" w:color="auto"/>
              <w:bottom w:val="single" w:sz="2" w:space="0" w:color="auto"/>
              <w:right w:val="single" w:sz="2" w:space="0" w:color="auto"/>
            </w:tcBorders>
            <w:vAlign w:val="center"/>
          </w:tcPr>
          <w:p w14:paraId="4C538BB3"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2</w:t>
            </w:r>
          </w:p>
        </w:tc>
        <w:tc>
          <w:tcPr>
            <w:tcW w:w="856" w:type="dxa"/>
            <w:tcBorders>
              <w:top w:val="single" w:sz="2" w:space="0" w:color="auto"/>
              <w:left w:val="single" w:sz="2" w:space="0" w:color="auto"/>
              <w:bottom w:val="single" w:sz="2" w:space="0" w:color="auto"/>
              <w:right w:val="single" w:sz="2" w:space="0" w:color="auto"/>
            </w:tcBorders>
            <w:vAlign w:val="center"/>
          </w:tcPr>
          <w:p w14:paraId="793C0D1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12</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24E6555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、审议《关于购买董事、高级管理人员责任险的议案》。</w:t>
            </w:r>
          </w:p>
        </w:tc>
        <w:tc>
          <w:tcPr>
            <w:tcW w:w="3872" w:type="dxa"/>
            <w:tcBorders>
              <w:top w:val="single" w:sz="2" w:space="0" w:color="auto"/>
              <w:left w:val="single" w:sz="2" w:space="0" w:color="auto"/>
              <w:bottom w:val="single" w:sz="2" w:space="0" w:color="auto"/>
              <w:right w:val="single" w:sz="2" w:space="0" w:color="auto"/>
            </w:tcBorders>
            <w:vAlign w:val="center"/>
          </w:tcPr>
          <w:p w14:paraId="1DA3A829"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购买董事、高级管理人员责任险可以有效降低公司管理层人员因履职所承担的赔偿风险，更有利于公司管理层充分发挥工作潜能以及更加诚实地面对工作中的过失行为，有助于公司吸引并留住人才，间接促进提升公司治理水平。</w:t>
            </w:r>
          </w:p>
        </w:tc>
        <w:tc>
          <w:tcPr>
            <w:tcW w:w="1134" w:type="dxa"/>
            <w:tcBorders>
              <w:top w:val="single" w:sz="2" w:space="0" w:color="auto"/>
              <w:left w:val="single" w:sz="2" w:space="0" w:color="auto"/>
              <w:bottom w:val="single" w:sz="2" w:space="0" w:color="auto"/>
              <w:right w:val="single" w:sz="2" w:space="0" w:color="auto"/>
            </w:tcBorders>
            <w:vAlign w:val="center"/>
          </w:tcPr>
          <w:p w14:paraId="6E568AA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0F81C7C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44FE9617"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48DFB24F"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第五届董事会提名委员会</w:t>
            </w:r>
          </w:p>
        </w:tc>
        <w:tc>
          <w:tcPr>
            <w:tcW w:w="964" w:type="dxa"/>
            <w:tcBorders>
              <w:top w:val="single" w:sz="2" w:space="0" w:color="auto"/>
              <w:left w:val="single" w:sz="2" w:space="0" w:color="auto"/>
              <w:bottom w:val="single" w:sz="2" w:space="0" w:color="auto"/>
              <w:right w:val="single" w:sz="2" w:space="0" w:color="auto"/>
            </w:tcBorders>
            <w:vAlign w:val="center"/>
          </w:tcPr>
          <w:p w14:paraId="51AF523C"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袁洪、康熙雄、李心一</w:t>
            </w:r>
          </w:p>
        </w:tc>
        <w:tc>
          <w:tcPr>
            <w:tcW w:w="856" w:type="dxa"/>
            <w:tcBorders>
              <w:top w:val="single" w:sz="2" w:space="0" w:color="auto"/>
              <w:left w:val="single" w:sz="2" w:space="0" w:color="auto"/>
              <w:bottom w:val="single" w:sz="2" w:space="0" w:color="auto"/>
              <w:right w:val="single" w:sz="2" w:space="0" w:color="auto"/>
            </w:tcBorders>
            <w:vAlign w:val="center"/>
          </w:tcPr>
          <w:p w14:paraId="49F6438F"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856" w:type="dxa"/>
            <w:tcBorders>
              <w:top w:val="single" w:sz="2" w:space="0" w:color="auto"/>
              <w:left w:val="single" w:sz="2" w:space="0" w:color="auto"/>
              <w:bottom w:val="single" w:sz="2" w:space="0" w:color="auto"/>
              <w:right w:val="single" w:sz="2" w:space="0" w:color="auto"/>
            </w:tcBorders>
            <w:vAlign w:val="center"/>
          </w:tcPr>
          <w:p w14:paraId="6E97A32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12</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2EF4F027"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、审议《关于董事会换届选举暨提名第六届董事会非独立董事候选人的议案》；</w:t>
            </w:r>
          </w:p>
          <w:p w14:paraId="3EACA013"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w:t>
            </w:r>
            <w:r>
              <w:rPr>
                <w:rFonts w:ascii="Times New Roman" w:eastAsia="宋体" w:hAnsi="Times New Roman" w:cs="宋体"/>
                <w:sz w:val="18"/>
                <w:szCs w:val="18"/>
              </w:rPr>
              <w:t>、审议《关于董事会换届选举暨提名第六届董事会独立董事候选人的议案》。</w:t>
            </w:r>
          </w:p>
        </w:tc>
        <w:tc>
          <w:tcPr>
            <w:tcW w:w="3872" w:type="dxa"/>
            <w:tcBorders>
              <w:top w:val="single" w:sz="2" w:space="0" w:color="auto"/>
              <w:left w:val="single" w:sz="2" w:space="0" w:color="auto"/>
              <w:bottom w:val="single" w:sz="2" w:space="0" w:color="auto"/>
              <w:right w:val="single" w:sz="2" w:space="0" w:color="auto"/>
            </w:tcBorders>
            <w:vAlign w:val="center"/>
          </w:tcPr>
          <w:p w14:paraId="60EA5BD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审查各候选人的个人履历、工作经历、专业能力、全部兼职以及诚信信息等任职资格和履历情况，认可其专业胜任能力和履职经验。</w:t>
            </w:r>
          </w:p>
        </w:tc>
        <w:tc>
          <w:tcPr>
            <w:tcW w:w="1134" w:type="dxa"/>
            <w:tcBorders>
              <w:top w:val="single" w:sz="2" w:space="0" w:color="auto"/>
              <w:left w:val="single" w:sz="2" w:space="0" w:color="auto"/>
              <w:bottom w:val="single" w:sz="2" w:space="0" w:color="auto"/>
              <w:right w:val="single" w:sz="2" w:space="0" w:color="auto"/>
            </w:tcBorders>
            <w:vAlign w:val="center"/>
          </w:tcPr>
          <w:p w14:paraId="59C814F4"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6FD6CB26"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r w:rsidR="00C57E60" w14:paraId="63041333" w14:textId="77777777">
        <w:trPr>
          <w:trHeight w:val="240"/>
        </w:trPr>
        <w:tc>
          <w:tcPr>
            <w:tcW w:w="1304" w:type="dxa"/>
            <w:tcBorders>
              <w:top w:val="single" w:sz="2" w:space="0" w:color="auto"/>
              <w:left w:val="single" w:sz="2" w:space="0" w:color="auto"/>
              <w:bottom w:val="single" w:sz="2" w:space="0" w:color="auto"/>
              <w:right w:val="single" w:sz="2" w:space="0" w:color="auto"/>
            </w:tcBorders>
            <w:vAlign w:val="center"/>
          </w:tcPr>
          <w:p w14:paraId="657283B1"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第六届董事会提名委员会</w:t>
            </w:r>
          </w:p>
        </w:tc>
        <w:tc>
          <w:tcPr>
            <w:tcW w:w="964" w:type="dxa"/>
            <w:tcBorders>
              <w:top w:val="single" w:sz="2" w:space="0" w:color="auto"/>
              <w:left w:val="single" w:sz="2" w:space="0" w:color="auto"/>
              <w:bottom w:val="single" w:sz="2" w:space="0" w:color="auto"/>
              <w:right w:val="single" w:sz="2" w:space="0" w:color="auto"/>
            </w:tcBorders>
            <w:vAlign w:val="center"/>
          </w:tcPr>
          <w:p w14:paraId="310FCAF0"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Zhenqi Liu</w:t>
            </w:r>
            <w:r>
              <w:rPr>
                <w:rFonts w:ascii="Times New Roman" w:eastAsia="宋体" w:hAnsi="Times New Roman" w:cs="宋体"/>
                <w:sz w:val="18"/>
                <w:szCs w:val="18"/>
              </w:rPr>
              <w:t>（刘振启）、</w:t>
            </w:r>
            <w:r>
              <w:rPr>
                <w:rFonts w:ascii="Times New Roman" w:eastAsia="宋体" w:hAnsi="Times New Roman" w:cs="宋体"/>
                <w:sz w:val="18"/>
                <w:szCs w:val="18"/>
              </w:rPr>
              <w:t>Jianyou Tan</w:t>
            </w:r>
            <w:r>
              <w:rPr>
                <w:rFonts w:ascii="Times New Roman" w:eastAsia="宋体" w:hAnsi="Times New Roman" w:cs="宋体"/>
                <w:sz w:val="18"/>
                <w:szCs w:val="18"/>
              </w:rPr>
              <w:t>（谭建友）、李少波</w:t>
            </w:r>
          </w:p>
        </w:tc>
        <w:tc>
          <w:tcPr>
            <w:tcW w:w="856" w:type="dxa"/>
            <w:tcBorders>
              <w:top w:val="single" w:sz="2" w:space="0" w:color="auto"/>
              <w:left w:val="single" w:sz="2" w:space="0" w:color="auto"/>
              <w:bottom w:val="single" w:sz="2" w:space="0" w:color="auto"/>
              <w:right w:val="single" w:sz="2" w:space="0" w:color="auto"/>
            </w:tcBorders>
            <w:vAlign w:val="center"/>
          </w:tcPr>
          <w:p w14:paraId="29438438" w14:textId="77777777" w:rsidR="00113A51" w:rsidRDefault="00766EC7">
            <w:pPr>
              <w:spacing w:line="360" w:lineRule="auto"/>
              <w:jc w:val="center"/>
              <w:rPr>
                <w:rFonts w:ascii="Times New Roman" w:eastAsia="宋体" w:hAnsi="Times New Roman" w:cs="宋体"/>
                <w:sz w:val="18"/>
                <w:szCs w:val="18"/>
              </w:rPr>
            </w:pPr>
            <w:r>
              <w:rPr>
                <w:rFonts w:ascii="Times New Roman" w:eastAsia="宋体" w:hAnsi="Times New Roman" w:cs="宋体"/>
                <w:sz w:val="18"/>
                <w:szCs w:val="18"/>
              </w:rPr>
              <w:t>1</w:t>
            </w:r>
          </w:p>
        </w:tc>
        <w:tc>
          <w:tcPr>
            <w:tcW w:w="856" w:type="dxa"/>
            <w:tcBorders>
              <w:top w:val="single" w:sz="2" w:space="0" w:color="auto"/>
              <w:left w:val="single" w:sz="2" w:space="0" w:color="auto"/>
              <w:bottom w:val="single" w:sz="2" w:space="0" w:color="auto"/>
              <w:right w:val="single" w:sz="2" w:space="0" w:color="auto"/>
            </w:tcBorders>
            <w:vAlign w:val="center"/>
          </w:tcPr>
          <w:p w14:paraId="1D91D5B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2025</w:t>
            </w:r>
            <w:r>
              <w:rPr>
                <w:rFonts w:ascii="Times New Roman" w:eastAsia="宋体" w:hAnsi="Times New Roman" w:cs="宋体"/>
                <w:sz w:val="18"/>
                <w:szCs w:val="18"/>
              </w:rPr>
              <w:t>年</w:t>
            </w:r>
            <w:r>
              <w:rPr>
                <w:rFonts w:ascii="Times New Roman" w:eastAsia="宋体" w:hAnsi="Times New Roman" w:cs="宋体"/>
                <w:sz w:val="18"/>
                <w:szCs w:val="18"/>
              </w:rPr>
              <w:t>12</w:t>
            </w:r>
            <w:r>
              <w:rPr>
                <w:rFonts w:ascii="Times New Roman" w:eastAsia="宋体" w:hAnsi="Times New Roman" w:cs="宋体"/>
                <w:sz w:val="18"/>
                <w:szCs w:val="18"/>
              </w:rPr>
              <w:t>月</w:t>
            </w:r>
            <w:r>
              <w:rPr>
                <w:rFonts w:ascii="Times New Roman" w:eastAsia="宋体" w:hAnsi="Times New Roman" w:cs="宋体"/>
                <w:sz w:val="18"/>
                <w:szCs w:val="18"/>
              </w:rPr>
              <w:t>31</w:t>
            </w:r>
            <w:r>
              <w:rPr>
                <w:rFonts w:ascii="Times New Roman" w:eastAsia="宋体" w:hAnsi="Times New Roman" w:cs="宋体"/>
                <w:sz w:val="18"/>
                <w:szCs w:val="18"/>
              </w:rPr>
              <w:t>日</w:t>
            </w:r>
          </w:p>
        </w:tc>
        <w:tc>
          <w:tcPr>
            <w:tcW w:w="3702" w:type="dxa"/>
            <w:tcBorders>
              <w:top w:val="single" w:sz="2" w:space="0" w:color="auto"/>
              <w:left w:val="single" w:sz="2" w:space="0" w:color="auto"/>
              <w:bottom w:val="single" w:sz="2" w:space="0" w:color="auto"/>
              <w:right w:val="single" w:sz="2" w:space="0" w:color="auto"/>
            </w:tcBorders>
            <w:vAlign w:val="center"/>
          </w:tcPr>
          <w:p w14:paraId="2E0CA88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1</w:t>
            </w:r>
            <w:r>
              <w:rPr>
                <w:rFonts w:ascii="Times New Roman" w:eastAsia="宋体" w:hAnsi="Times New Roman" w:cs="宋体"/>
                <w:sz w:val="18"/>
                <w:szCs w:val="18"/>
              </w:rPr>
              <w:t>、审议《关于聘任公司总经理的议案》；</w:t>
            </w:r>
          </w:p>
          <w:p w14:paraId="7EA8CE68"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2</w:t>
            </w:r>
            <w:r>
              <w:rPr>
                <w:rFonts w:ascii="Times New Roman" w:eastAsia="宋体" w:hAnsi="Times New Roman" w:cs="宋体"/>
                <w:sz w:val="18"/>
                <w:szCs w:val="18"/>
              </w:rPr>
              <w:t>、审议《关于聘任公司副总经理的议案》；</w:t>
            </w:r>
          </w:p>
          <w:p w14:paraId="3EB6B6D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3</w:t>
            </w:r>
            <w:r>
              <w:rPr>
                <w:rFonts w:ascii="Times New Roman" w:eastAsia="宋体" w:hAnsi="Times New Roman" w:cs="宋体"/>
                <w:sz w:val="18"/>
                <w:szCs w:val="18"/>
              </w:rPr>
              <w:t>、审议《关于聘任公司财务总监的议案》；</w:t>
            </w:r>
          </w:p>
          <w:p w14:paraId="01F7AC0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4</w:t>
            </w:r>
            <w:r>
              <w:rPr>
                <w:rFonts w:ascii="Times New Roman" w:eastAsia="宋体" w:hAnsi="Times New Roman" w:cs="宋体"/>
                <w:sz w:val="18"/>
                <w:szCs w:val="18"/>
              </w:rPr>
              <w:t>、审议《关于聘任公司董事会秘书的议案》。</w:t>
            </w:r>
          </w:p>
        </w:tc>
        <w:tc>
          <w:tcPr>
            <w:tcW w:w="3872" w:type="dxa"/>
            <w:tcBorders>
              <w:top w:val="single" w:sz="2" w:space="0" w:color="auto"/>
              <w:left w:val="single" w:sz="2" w:space="0" w:color="auto"/>
              <w:bottom w:val="single" w:sz="2" w:space="0" w:color="auto"/>
              <w:right w:val="single" w:sz="2" w:space="0" w:color="auto"/>
            </w:tcBorders>
            <w:vAlign w:val="center"/>
          </w:tcPr>
          <w:p w14:paraId="40EE670A"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各候选人均具备担任上市公司高级管理人员的任职资格，具备履行各自职责所必需的专业能力和从业经验。</w:t>
            </w:r>
          </w:p>
        </w:tc>
        <w:tc>
          <w:tcPr>
            <w:tcW w:w="1134" w:type="dxa"/>
            <w:tcBorders>
              <w:top w:val="single" w:sz="2" w:space="0" w:color="auto"/>
              <w:left w:val="single" w:sz="2" w:space="0" w:color="auto"/>
              <w:bottom w:val="single" w:sz="2" w:space="0" w:color="auto"/>
              <w:right w:val="single" w:sz="2" w:space="0" w:color="auto"/>
            </w:tcBorders>
            <w:vAlign w:val="center"/>
          </w:tcPr>
          <w:p w14:paraId="555224FE"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表决通过所有议案。</w:t>
            </w:r>
          </w:p>
        </w:tc>
        <w:tc>
          <w:tcPr>
            <w:tcW w:w="1205" w:type="dxa"/>
            <w:tcBorders>
              <w:top w:val="single" w:sz="2" w:space="0" w:color="auto"/>
              <w:left w:val="single" w:sz="2" w:space="0" w:color="auto"/>
              <w:bottom w:val="single" w:sz="2" w:space="0" w:color="auto"/>
              <w:right w:val="single" w:sz="2" w:space="0" w:color="auto"/>
            </w:tcBorders>
            <w:vAlign w:val="center"/>
          </w:tcPr>
          <w:p w14:paraId="5F95B8CD" w14:textId="77777777" w:rsidR="00113A51" w:rsidRDefault="00766EC7">
            <w:pPr>
              <w:spacing w:line="360" w:lineRule="auto"/>
              <w:rPr>
                <w:rFonts w:ascii="Times New Roman" w:eastAsia="宋体" w:hAnsi="Times New Roman" w:cs="宋体"/>
                <w:sz w:val="18"/>
                <w:szCs w:val="18"/>
              </w:rPr>
            </w:pPr>
            <w:r>
              <w:rPr>
                <w:rFonts w:ascii="Times New Roman" w:eastAsia="宋体" w:hAnsi="Times New Roman" w:cs="宋体"/>
                <w:sz w:val="18"/>
                <w:szCs w:val="18"/>
              </w:rPr>
              <w:t>无</w:t>
            </w:r>
          </w:p>
        </w:tc>
      </w:tr>
    </w:tbl>
    <w:p w14:paraId="624AE462" w14:textId="77777777" w:rsidR="00113A51" w:rsidRDefault="00113A51">
      <w:pPr>
        <w:pStyle w:val="2"/>
        <w:spacing w:before="300" w:after="300" w:line="320" w:lineRule="exact"/>
        <w:rPr>
          <w:rFonts w:ascii="宋体" w:eastAsia="宋体" w:hAnsi="宋体" w:cs="宋体"/>
          <w:b/>
          <w:bCs/>
          <w:sz w:val="24"/>
          <w:szCs w:val="24"/>
        </w:rPr>
        <w:sectPr w:rsidR="00113A51">
          <w:pgSz w:w="16840" w:h="11905" w:orient="landscape"/>
          <w:pgMar w:top="1134" w:right="1440" w:bottom="1134" w:left="1440" w:header="850" w:footer="992" w:gutter="0"/>
          <w:cols w:space="720"/>
          <w:docGrid w:type="linesAndChars" w:linePitch="312"/>
        </w:sectPr>
      </w:pPr>
      <w:bookmarkStart w:id="76" w:name="_Toc988955"/>
    </w:p>
    <w:p w14:paraId="3A942F98" w14:textId="77777777" w:rsidR="00113A51" w:rsidRDefault="00766EC7">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九、审计委员会工作情况</w:t>
      </w:r>
      <w:bookmarkEnd w:id="76"/>
    </w:p>
    <w:p w14:paraId="4B61B9E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审计委员会在报告期内的监督活动中发现公司是否存在风险</w:t>
      </w:r>
    </w:p>
    <w:p w14:paraId="5E22FBC0"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78EBCE65"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审计委员会对报告期内的监督事项无异议。</w:t>
      </w:r>
    </w:p>
    <w:p w14:paraId="68822B18" w14:textId="77777777" w:rsidR="00113A51" w:rsidRDefault="00766EC7">
      <w:pPr>
        <w:pStyle w:val="2"/>
        <w:spacing w:before="300" w:after="300" w:line="320" w:lineRule="exact"/>
        <w:rPr>
          <w:rFonts w:ascii="宋体" w:eastAsia="宋体" w:hAnsi="宋体" w:cs="宋体"/>
          <w:b/>
          <w:bCs/>
          <w:sz w:val="24"/>
          <w:szCs w:val="24"/>
        </w:rPr>
      </w:pPr>
      <w:bookmarkStart w:id="77" w:name="_Toc988956"/>
      <w:r>
        <w:rPr>
          <w:rFonts w:ascii="宋体" w:eastAsia="宋体" w:hAnsi="宋体" w:cs="宋体"/>
          <w:b/>
          <w:bCs/>
          <w:sz w:val="24"/>
          <w:szCs w:val="24"/>
        </w:rPr>
        <w:t>十、公司员工情况</w:t>
      </w:r>
      <w:bookmarkEnd w:id="77"/>
    </w:p>
    <w:p w14:paraId="3AA49AEF" w14:textId="77777777" w:rsidR="00113A51" w:rsidRDefault="00766EC7">
      <w:pPr>
        <w:pStyle w:val="3"/>
        <w:spacing w:line="280" w:lineRule="exact"/>
        <w:jc w:val="left"/>
        <w:rPr>
          <w:rFonts w:ascii="宋体" w:hAnsi="宋体" w:cs="宋体"/>
          <w:b/>
          <w:bCs/>
        </w:rPr>
      </w:pPr>
      <w:bookmarkStart w:id="78" w:name="_Toc988957"/>
      <w:r>
        <w:rPr>
          <w:rFonts w:ascii="宋体" w:hAnsi="宋体" w:cs="宋体"/>
          <w:b/>
          <w:bCs/>
        </w:rPr>
        <w:t>1、员工数量、专业构成及教育程度</w:t>
      </w:r>
      <w:bookmarkEnd w:id="78"/>
    </w:p>
    <w:tbl>
      <w:tblPr>
        <w:tblW w:w="9639" w:type="dxa"/>
        <w:tblInd w:w="108" w:type="dxa"/>
        <w:tblLayout w:type="fixed"/>
        <w:tblLook w:val="04A0" w:firstRow="1" w:lastRow="0" w:firstColumn="1" w:lastColumn="0" w:noHBand="0" w:noVBand="1"/>
      </w:tblPr>
      <w:tblGrid>
        <w:gridCol w:w="4820"/>
        <w:gridCol w:w="4819"/>
      </w:tblGrid>
      <w:tr w:rsidR="00C57E60" w14:paraId="6D856A43"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24FCC95"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报告期末母公司在职员工的数量（人）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14:paraId="396C8C4C"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3,913</w:t>
            </w:r>
          </w:p>
        </w:tc>
      </w:tr>
      <w:tr w:rsidR="00C57E60" w14:paraId="6D106F8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34F6A6D"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报告期末主要子公司在职员工的数量（人）</w:t>
            </w:r>
          </w:p>
        </w:tc>
        <w:tc>
          <w:tcPr>
            <w:tcW w:w="4820" w:type="dxa"/>
            <w:tcBorders>
              <w:top w:val="single" w:sz="2" w:space="0" w:color="auto"/>
              <w:left w:val="single" w:sz="2" w:space="0" w:color="auto"/>
              <w:bottom w:val="single" w:sz="2" w:space="0" w:color="auto"/>
              <w:right w:val="single" w:sz="2" w:space="0" w:color="auto"/>
            </w:tcBorders>
            <w:vAlign w:val="center"/>
          </w:tcPr>
          <w:p w14:paraId="052ABDAA"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1,097</w:t>
            </w:r>
          </w:p>
        </w:tc>
      </w:tr>
      <w:tr w:rsidR="00C57E60" w14:paraId="55F0553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AF2D5C0"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报告期末在职员工的数量合计（人）</w:t>
            </w:r>
          </w:p>
        </w:tc>
        <w:tc>
          <w:tcPr>
            <w:tcW w:w="4820" w:type="dxa"/>
            <w:tcBorders>
              <w:top w:val="single" w:sz="2" w:space="0" w:color="auto"/>
              <w:left w:val="single" w:sz="2" w:space="0" w:color="auto"/>
              <w:bottom w:val="single" w:sz="2" w:space="0" w:color="auto"/>
              <w:right w:val="single" w:sz="2" w:space="0" w:color="auto"/>
            </w:tcBorders>
            <w:vAlign w:val="center"/>
          </w:tcPr>
          <w:p w14:paraId="4FB59CB0"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5,010</w:t>
            </w:r>
          </w:p>
        </w:tc>
      </w:tr>
      <w:tr w:rsidR="00C57E60" w14:paraId="07E183C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9ED2A11"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当期领取薪酬员工总人数（人）</w:t>
            </w:r>
          </w:p>
        </w:tc>
        <w:tc>
          <w:tcPr>
            <w:tcW w:w="4820" w:type="dxa"/>
            <w:tcBorders>
              <w:top w:val="single" w:sz="2" w:space="0" w:color="auto"/>
              <w:left w:val="single" w:sz="2" w:space="0" w:color="auto"/>
              <w:bottom w:val="single" w:sz="2" w:space="0" w:color="auto"/>
              <w:right w:val="single" w:sz="2" w:space="0" w:color="auto"/>
            </w:tcBorders>
            <w:vAlign w:val="center"/>
          </w:tcPr>
          <w:p w14:paraId="60E70A34"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5,010</w:t>
            </w:r>
          </w:p>
        </w:tc>
      </w:tr>
      <w:tr w:rsidR="00C57E60" w14:paraId="5F92FCB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982BF83"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母公司及主要子公司需承担费用的离退休职工人数（人）</w:t>
            </w:r>
          </w:p>
        </w:tc>
        <w:tc>
          <w:tcPr>
            <w:tcW w:w="4820" w:type="dxa"/>
            <w:tcBorders>
              <w:top w:val="single" w:sz="2" w:space="0" w:color="auto"/>
              <w:left w:val="single" w:sz="2" w:space="0" w:color="auto"/>
              <w:bottom w:val="single" w:sz="2" w:space="0" w:color="auto"/>
              <w:right w:val="single" w:sz="2" w:space="0" w:color="auto"/>
            </w:tcBorders>
            <w:vAlign w:val="center"/>
          </w:tcPr>
          <w:p w14:paraId="518CAC6C"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30</w:t>
            </w:r>
          </w:p>
        </w:tc>
      </w:tr>
      <w:tr w:rsidR="00C57E60" w14:paraId="7E9675E6"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423E6DE" w14:textId="77777777" w:rsidR="00113A51" w:rsidRDefault="00766EC7">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w:t>
            </w:r>
          </w:p>
        </w:tc>
      </w:tr>
      <w:tr w:rsidR="00C57E60" w14:paraId="49758928"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E51BD21" w14:textId="77777777" w:rsidR="00113A51" w:rsidRDefault="00766EC7">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8079409" w14:textId="77777777" w:rsidR="00113A51" w:rsidRDefault="00766EC7">
            <w:pPr>
              <w:spacing w:before="40" w:after="40" w:line="240" w:lineRule="exact"/>
              <w:jc w:val="center"/>
              <w:rPr>
                <w:rFonts w:ascii="宋体" w:eastAsia="宋体" w:hAnsi="宋体" w:cs="宋体"/>
                <w:sz w:val="18"/>
                <w:szCs w:val="18"/>
              </w:rPr>
            </w:pPr>
            <w:r>
              <w:rPr>
                <w:rFonts w:ascii="宋体" w:eastAsia="宋体" w:hAnsi="宋体" w:cs="宋体"/>
                <w:sz w:val="18"/>
                <w:szCs w:val="18"/>
              </w:rPr>
              <w:t>专业构成人数（人）</w:t>
            </w:r>
          </w:p>
        </w:tc>
      </w:tr>
      <w:tr w:rsidR="00C57E60" w14:paraId="66F29CDF"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9F13E0C"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生产人员</w:t>
            </w:r>
          </w:p>
        </w:tc>
        <w:tc>
          <w:tcPr>
            <w:tcW w:w="4820" w:type="dxa"/>
            <w:tcBorders>
              <w:top w:val="single" w:sz="2" w:space="0" w:color="auto"/>
              <w:left w:val="single" w:sz="2" w:space="0" w:color="auto"/>
              <w:bottom w:val="single" w:sz="2" w:space="0" w:color="auto"/>
              <w:right w:val="single" w:sz="2" w:space="0" w:color="auto"/>
            </w:tcBorders>
            <w:vAlign w:val="center"/>
          </w:tcPr>
          <w:p w14:paraId="7197292C"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2,019</w:t>
            </w:r>
          </w:p>
        </w:tc>
      </w:tr>
      <w:tr w:rsidR="00C57E60" w14:paraId="32D8BD89"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676004A"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销售人员</w:t>
            </w:r>
          </w:p>
        </w:tc>
        <w:tc>
          <w:tcPr>
            <w:tcW w:w="4820" w:type="dxa"/>
            <w:tcBorders>
              <w:top w:val="single" w:sz="2" w:space="0" w:color="auto"/>
              <w:left w:val="single" w:sz="2" w:space="0" w:color="auto"/>
              <w:bottom w:val="single" w:sz="2" w:space="0" w:color="auto"/>
              <w:right w:val="single" w:sz="2" w:space="0" w:color="auto"/>
            </w:tcBorders>
            <w:vAlign w:val="center"/>
          </w:tcPr>
          <w:p w14:paraId="11228B84"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1,692</w:t>
            </w:r>
          </w:p>
        </w:tc>
      </w:tr>
      <w:tr w:rsidR="00C57E60" w14:paraId="5B7CEA12"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2984A40"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技术人员</w:t>
            </w:r>
          </w:p>
        </w:tc>
        <w:tc>
          <w:tcPr>
            <w:tcW w:w="4820" w:type="dxa"/>
            <w:tcBorders>
              <w:top w:val="single" w:sz="2" w:space="0" w:color="auto"/>
              <w:left w:val="single" w:sz="2" w:space="0" w:color="auto"/>
              <w:bottom w:val="single" w:sz="2" w:space="0" w:color="auto"/>
              <w:right w:val="single" w:sz="2" w:space="0" w:color="auto"/>
            </w:tcBorders>
            <w:vAlign w:val="center"/>
          </w:tcPr>
          <w:p w14:paraId="70356D6D"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879</w:t>
            </w:r>
          </w:p>
        </w:tc>
      </w:tr>
      <w:tr w:rsidR="00C57E60" w14:paraId="6292AE9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B678261"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财务人员</w:t>
            </w:r>
          </w:p>
        </w:tc>
        <w:tc>
          <w:tcPr>
            <w:tcW w:w="4820" w:type="dxa"/>
            <w:tcBorders>
              <w:top w:val="single" w:sz="2" w:space="0" w:color="auto"/>
              <w:left w:val="single" w:sz="2" w:space="0" w:color="auto"/>
              <w:bottom w:val="single" w:sz="2" w:space="0" w:color="auto"/>
              <w:right w:val="single" w:sz="2" w:space="0" w:color="auto"/>
            </w:tcBorders>
            <w:vAlign w:val="center"/>
          </w:tcPr>
          <w:p w14:paraId="2804E753"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87</w:t>
            </w:r>
          </w:p>
        </w:tc>
      </w:tr>
      <w:tr w:rsidR="00C57E60" w14:paraId="31986F25"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9E637C3"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行政人员</w:t>
            </w:r>
          </w:p>
        </w:tc>
        <w:tc>
          <w:tcPr>
            <w:tcW w:w="4820" w:type="dxa"/>
            <w:tcBorders>
              <w:top w:val="single" w:sz="2" w:space="0" w:color="auto"/>
              <w:left w:val="single" w:sz="2" w:space="0" w:color="auto"/>
              <w:bottom w:val="single" w:sz="2" w:space="0" w:color="auto"/>
              <w:right w:val="single" w:sz="2" w:space="0" w:color="auto"/>
            </w:tcBorders>
            <w:vAlign w:val="center"/>
          </w:tcPr>
          <w:p w14:paraId="2F265193"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333</w:t>
            </w:r>
          </w:p>
        </w:tc>
      </w:tr>
      <w:tr w:rsidR="00C57E60" w14:paraId="7749B51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1AB0484"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5E62EBB5"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5,010</w:t>
            </w:r>
          </w:p>
        </w:tc>
      </w:tr>
      <w:tr w:rsidR="00C57E60" w14:paraId="2821F30E" w14:textId="77777777">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FB2D986" w14:textId="77777777" w:rsidR="00113A51" w:rsidRDefault="00766EC7">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w:t>
            </w:r>
          </w:p>
        </w:tc>
      </w:tr>
      <w:tr w:rsidR="00C57E60" w14:paraId="060F3C7E"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2A200FE" w14:textId="77777777" w:rsidR="00113A51" w:rsidRDefault="00766EC7">
            <w:pPr>
              <w:spacing w:before="40" w:after="40" w:line="240" w:lineRule="exact"/>
              <w:jc w:val="center"/>
              <w:rPr>
                <w:rFonts w:ascii="宋体" w:eastAsia="宋体" w:hAnsi="宋体" w:cs="宋体"/>
                <w:sz w:val="18"/>
                <w:szCs w:val="18"/>
              </w:rPr>
            </w:pPr>
            <w:r>
              <w:rPr>
                <w:rFonts w:ascii="宋体" w:eastAsia="宋体" w:hAnsi="宋体" w:cs="宋体"/>
                <w:sz w:val="18"/>
                <w:szCs w:val="18"/>
              </w:rPr>
              <w:t>教育程度类别</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1FCA373" w14:textId="77777777" w:rsidR="00113A51" w:rsidRDefault="00766EC7">
            <w:pPr>
              <w:spacing w:before="40" w:after="40" w:line="240" w:lineRule="exact"/>
              <w:jc w:val="center"/>
              <w:rPr>
                <w:rFonts w:ascii="宋体" w:eastAsia="宋体" w:hAnsi="宋体" w:cs="宋体"/>
                <w:sz w:val="18"/>
                <w:szCs w:val="18"/>
              </w:rPr>
            </w:pPr>
            <w:r>
              <w:rPr>
                <w:rFonts w:ascii="宋体" w:eastAsia="宋体" w:hAnsi="宋体" w:cs="宋体"/>
                <w:sz w:val="18"/>
                <w:szCs w:val="18"/>
              </w:rPr>
              <w:t>数量（人）</w:t>
            </w:r>
          </w:p>
        </w:tc>
      </w:tr>
      <w:tr w:rsidR="00C57E60" w14:paraId="693D9973"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76F9C736"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博士及以上</w:t>
            </w:r>
          </w:p>
        </w:tc>
        <w:tc>
          <w:tcPr>
            <w:tcW w:w="4820" w:type="dxa"/>
            <w:tcBorders>
              <w:top w:val="single" w:sz="2" w:space="0" w:color="auto"/>
              <w:left w:val="single" w:sz="2" w:space="0" w:color="auto"/>
              <w:bottom w:val="single" w:sz="2" w:space="0" w:color="auto"/>
              <w:right w:val="single" w:sz="2" w:space="0" w:color="auto"/>
            </w:tcBorders>
            <w:vAlign w:val="center"/>
          </w:tcPr>
          <w:p w14:paraId="54A5A50F"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14</w:t>
            </w:r>
          </w:p>
        </w:tc>
      </w:tr>
      <w:tr w:rsidR="00C57E60" w14:paraId="2FB5D33C"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97CEA91"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硕士</w:t>
            </w:r>
          </w:p>
        </w:tc>
        <w:tc>
          <w:tcPr>
            <w:tcW w:w="4820" w:type="dxa"/>
            <w:tcBorders>
              <w:top w:val="single" w:sz="2" w:space="0" w:color="auto"/>
              <w:left w:val="single" w:sz="2" w:space="0" w:color="auto"/>
              <w:bottom w:val="single" w:sz="2" w:space="0" w:color="auto"/>
              <w:right w:val="single" w:sz="2" w:space="0" w:color="auto"/>
            </w:tcBorders>
            <w:vAlign w:val="center"/>
          </w:tcPr>
          <w:p w14:paraId="3D59B323"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326</w:t>
            </w:r>
          </w:p>
        </w:tc>
      </w:tr>
      <w:tr w:rsidR="00C57E60" w14:paraId="4CA26641"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FFFFADA"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本科</w:t>
            </w:r>
          </w:p>
        </w:tc>
        <w:tc>
          <w:tcPr>
            <w:tcW w:w="4820" w:type="dxa"/>
            <w:tcBorders>
              <w:top w:val="single" w:sz="2" w:space="0" w:color="auto"/>
              <w:left w:val="single" w:sz="2" w:space="0" w:color="auto"/>
              <w:bottom w:val="single" w:sz="2" w:space="0" w:color="auto"/>
              <w:right w:val="single" w:sz="2" w:space="0" w:color="auto"/>
            </w:tcBorders>
            <w:vAlign w:val="center"/>
          </w:tcPr>
          <w:p w14:paraId="2333B523"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1,602</w:t>
            </w:r>
          </w:p>
        </w:tc>
      </w:tr>
      <w:tr w:rsidR="00C57E60" w14:paraId="75D83878"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1665DFF3"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专科</w:t>
            </w:r>
          </w:p>
        </w:tc>
        <w:tc>
          <w:tcPr>
            <w:tcW w:w="4820" w:type="dxa"/>
            <w:tcBorders>
              <w:top w:val="single" w:sz="2" w:space="0" w:color="auto"/>
              <w:left w:val="single" w:sz="2" w:space="0" w:color="auto"/>
              <w:bottom w:val="single" w:sz="2" w:space="0" w:color="auto"/>
              <w:right w:val="single" w:sz="2" w:space="0" w:color="auto"/>
            </w:tcBorders>
            <w:vAlign w:val="center"/>
          </w:tcPr>
          <w:p w14:paraId="6E20B862"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1,285</w:t>
            </w:r>
          </w:p>
        </w:tc>
      </w:tr>
      <w:tr w:rsidR="00C57E60" w14:paraId="7ADC781E" w14:textId="77777777">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4268272F" w14:textId="77777777" w:rsidR="00113A51" w:rsidRDefault="00766EC7">
            <w:pPr>
              <w:spacing w:line="240" w:lineRule="exact"/>
              <w:rPr>
                <w:rFonts w:ascii="宋体" w:eastAsia="宋体" w:hAnsi="宋体" w:cs="宋体"/>
                <w:sz w:val="18"/>
                <w:szCs w:val="18"/>
              </w:rPr>
            </w:pPr>
            <w:r>
              <w:rPr>
                <w:rFonts w:ascii="宋体" w:eastAsia="宋体" w:hAnsi="宋体" w:cs="宋体"/>
                <w:sz w:val="18"/>
                <w:szCs w:val="18"/>
              </w:rPr>
              <w:t>高中及以下</w:t>
            </w:r>
          </w:p>
        </w:tc>
        <w:tc>
          <w:tcPr>
            <w:tcW w:w="4820" w:type="dxa"/>
            <w:tcBorders>
              <w:top w:val="single" w:sz="2" w:space="0" w:color="auto"/>
              <w:left w:val="single" w:sz="2" w:space="0" w:color="auto"/>
              <w:bottom w:val="single" w:sz="2" w:space="0" w:color="auto"/>
              <w:right w:val="single" w:sz="2" w:space="0" w:color="auto"/>
            </w:tcBorders>
            <w:vAlign w:val="center"/>
          </w:tcPr>
          <w:p w14:paraId="70F46E5B"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1,783</w:t>
            </w:r>
          </w:p>
        </w:tc>
      </w:tr>
      <w:tr w:rsidR="00C57E60" w14:paraId="4BA21896"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335E359"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合计</w:t>
            </w:r>
          </w:p>
        </w:tc>
        <w:tc>
          <w:tcPr>
            <w:tcW w:w="4820" w:type="dxa"/>
            <w:tcBorders>
              <w:top w:val="single" w:sz="2" w:space="0" w:color="auto"/>
              <w:left w:val="single" w:sz="2" w:space="0" w:color="auto"/>
              <w:bottom w:val="single" w:sz="2" w:space="0" w:color="auto"/>
              <w:right w:val="single" w:sz="2" w:space="0" w:color="auto"/>
            </w:tcBorders>
            <w:vAlign w:val="center"/>
          </w:tcPr>
          <w:p w14:paraId="634DD648"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5,010</w:t>
            </w:r>
          </w:p>
        </w:tc>
      </w:tr>
    </w:tbl>
    <w:p w14:paraId="612837B5" w14:textId="77777777" w:rsidR="00113A51" w:rsidRDefault="00766EC7">
      <w:pPr>
        <w:pStyle w:val="3"/>
        <w:spacing w:line="280" w:lineRule="exact"/>
        <w:jc w:val="left"/>
        <w:rPr>
          <w:rFonts w:ascii="宋体" w:hAnsi="宋体" w:cs="宋体"/>
          <w:b/>
          <w:bCs/>
        </w:rPr>
      </w:pPr>
      <w:bookmarkStart w:id="79" w:name="_Toc988958"/>
      <w:r>
        <w:rPr>
          <w:rFonts w:ascii="宋体" w:hAnsi="宋体" w:cs="宋体"/>
          <w:b/>
          <w:bCs/>
        </w:rPr>
        <w:t>2、薪酬政策</w:t>
      </w:r>
      <w:bookmarkEnd w:id="79"/>
    </w:p>
    <w:p w14:paraId="58D5015E" w14:textId="77777777" w:rsidR="00113A51" w:rsidRDefault="00766EC7">
      <w:pPr>
        <w:pStyle w:val="a9"/>
        <w:spacing w:before="40" w:beforeAutospacing="0" w:after="40" w:afterAutospacing="0"/>
        <w:jc w:val="both"/>
        <w:rPr>
          <w:rFonts w:ascii="Times New Roman" w:hAnsi="Times New Roman" w:cs="Times New Roman"/>
          <w:sz w:val="18"/>
          <w:szCs w:val="18"/>
        </w:rPr>
      </w:pPr>
      <w:r>
        <w:rPr>
          <w:rFonts w:cs="Times New Roman" w:hint="eastAsia"/>
          <w:sz w:val="18"/>
          <w:szCs w:val="18"/>
        </w:rPr>
        <w:t>公司坚持以人才战略为核心，已建立一套具备公平性、竞争性、激励性，能够激发个体潜能，支持业务成功的薪酬体系。为吸引和保留优质人才，对于资深技术及关键管理岗位，我们采取领先型薪酬策略，通过建立具有内部公平性、外部竞争力的薪酬体系。与国内标杆企业对标，保持高度市场竞争力，吸引和固留技术、管理人才。在完善的绩效管理体系下，通过合适的薪酬制度充分发挥激励和筛选的杠杆作用，给绩优人员提供更多的奖金、晋升、调薪、培训机会，对于关键管理、技术骨干岗位，则通过长期激励、项目奖金的激励，从而激发个体潜能，也充分体现投入与产出的公平性。对于员工的福利待遇，在保证福利水平提升的前提下，以丰富的福利形式完善灵活性福利体系，充分体现公司人文关怀。建立一套有效促进公司战略的薪酬激励体系，配合公司的整体发展战略，将公司、部门、团队和个人绩效有机联系成为一个整体，保持业务目标的一致性，强化公司战略及个人贡献的密切联系。</w:t>
      </w:r>
    </w:p>
    <w:p w14:paraId="3912AD3D" w14:textId="77777777" w:rsidR="00113A51" w:rsidRDefault="00766EC7">
      <w:pPr>
        <w:pStyle w:val="3"/>
        <w:spacing w:line="280" w:lineRule="exact"/>
        <w:jc w:val="left"/>
        <w:rPr>
          <w:rFonts w:ascii="宋体" w:hAnsi="宋体" w:cs="宋体"/>
          <w:b/>
          <w:bCs/>
        </w:rPr>
      </w:pPr>
      <w:bookmarkStart w:id="80" w:name="_Toc988959"/>
      <w:r>
        <w:rPr>
          <w:rFonts w:ascii="宋体" w:hAnsi="宋体" w:cs="宋体"/>
          <w:b/>
          <w:bCs/>
        </w:rPr>
        <w:t>3、培训计划</w:t>
      </w:r>
      <w:bookmarkEnd w:id="80"/>
    </w:p>
    <w:p w14:paraId="3E19A5DC" w14:textId="77777777" w:rsidR="00113A51" w:rsidRDefault="00766EC7">
      <w:pPr>
        <w:pStyle w:val="a9"/>
        <w:spacing w:before="40" w:beforeAutospacing="0" w:after="40" w:afterAutospacing="0"/>
        <w:jc w:val="both"/>
        <w:rPr>
          <w:rFonts w:ascii="Times New Roman" w:hAnsi="Times New Roman" w:cs="Times New Roman"/>
          <w:sz w:val="18"/>
          <w:szCs w:val="18"/>
        </w:rPr>
      </w:pPr>
      <w:r>
        <w:rPr>
          <w:rFonts w:ascii="Times New Roman" w:hAnsi="Times New Roman" w:cs="Times New Roman"/>
          <w:sz w:val="18"/>
          <w:szCs w:val="18"/>
        </w:rPr>
        <w:t>2025</w:t>
      </w:r>
      <w:r>
        <w:rPr>
          <w:rFonts w:cs="Times New Roman" w:hint="eastAsia"/>
          <w:sz w:val="18"/>
          <w:szCs w:val="18"/>
        </w:rPr>
        <w:t>年，公司刷新人才发展体系，以人才战略目标承接组织战略目标。通过建立清晰的人才标准选对人，畅通的发展通道发展人，有效的人才培养体系培养人，科学的人才评鉴评价人，保障人才“选育用留评”各环节的落地，助力实现全球领先的糖尿病数字管理专家的公司愿景。通过对人才标准进一步的澄清，刷新潜力模型，提升识人用人的精准度，选拔更符合公司用人标准的人才；通过对全员进行“糖尿病及相关慢病健康知识”培训，提升人员对糖尿病及相关慢病知识的了解掌握，助力了解并提供更贴近用户场景的服务；通过对关键岗位人才、梯队人才、高潜人才、新员工等人员的培养，为公司后备人才的储备打下坚实的基础；通过打造趣味化、社群化的学习平台，沉淀岗位内部标杆经验，实现知识技能的有效萃取及分享传承。</w:t>
      </w:r>
    </w:p>
    <w:p w14:paraId="04D44D88" w14:textId="77777777" w:rsidR="00113A51" w:rsidRDefault="00766EC7">
      <w:pPr>
        <w:pStyle w:val="3"/>
        <w:spacing w:line="280" w:lineRule="exact"/>
        <w:jc w:val="left"/>
        <w:rPr>
          <w:rFonts w:ascii="宋体" w:hAnsi="宋体" w:cs="宋体"/>
          <w:b/>
          <w:bCs/>
        </w:rPr>
      </w:pPr>
      <w:bookmarkStart w:id="81" w:name="_Toc988960"/>
      <w:r>
        <w:rPr>
          <w:rFonts w:ascii="宋体" w:hAnsi="宋体" w:cs="宋体"/>
          <w:b/>
          <w:bCs/>
        </w:rPr>
        <w:t>4、劳务外包情况</w:t>
      </w:r>
      <w:bookmarkEnd w:id="81"/>
    </w:p>
    <w:p w14:paraId="12809304"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Layout w:type="fixed"/>
        <w:tblLook w:val="04A0" w:firstRow="1" w:lastRow="0" w:firstColumn="1" w:lastColumn="0" w:noHBand="0" w:noVBand="1"/>
      </w:tblPr>
      <w:tblGrid>
        <w:gridCol w:w="4820"/>
        <w:gridCol w:w="4819"/>
      </w:tblGrid>
      <w:tr w:rsidR="00C57E60" w14:paraId="29C5FD2D"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30FA366"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劳务外包的工时总数（小时）</w:t>
            </w:r>
          </w:p>
        </w:tc>
        <w:tc>
          <w:tcPr>
            <w:tcW w:w="4820" w:type="dxa"/>
            <w:tcBorders>
              <w:top w:val="single" w:sz="2" w:space="0" w:color="auto"/>
              <w:left w:val="single" w:sz="2" w:space="0" w:color="auto"/>
              <w:bottom w:val="single" w:sz="2" w:space="0" w:color="auto"/>
              <w:right w:val="single" w:sz="2" w:space="0" w:color="auto"/>
            </w:tcBorders>
            <w:vAlign w:val="center"/>
          </w:tcPr>
          <w:p w14:paraId="55AE6753"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545,728</w:t>
            </w:r>
          </w:p>
        </w:tc>
      </w:tr>
      <w:tr w:rsidR="00C57E60" w14:paraId="11DFC411" w14:textId="77777777">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C7731E6"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t>劳务外包支付的报酬总额（元）</w:t>
            </w:r>
          </w:p>
        </w:tc>
        <w:tc>
          <w:tcPr>
            <w:tcW w:w="4820" w:type="dxa"/>
            <w:tcBorders>
              <w:top w:val="single" w:sz="2" w:space="0" w:color="auto"/>
              <w:left w:val="single" w:sz="2" w:space="0" w:color="auto"/>
              <w:bottom w:val="single" w:sz="2" w:space="0" w:color="auto"/>
              <w:right w:val="single" w:sz="2" w:space="0" w:color="auto"/>
            </w:tcBorders>
            <w:vAlign w:val="center"/>
          </w:tcPr>
          <w:p w14:paraId="45BC210F" w14:textId="77777777" w:rsidR="00113A51" w:rsidRDefault="00766EC7">
            <w:pPr>
              <w:spacing w:line="240" w:lineRule="exact"/>
              <w:jc w:val="right"/>
              <w:rPr>
                <w:rFonts w:ascii="宋体" w:eastAsia="宋体" w:hAnsi="宋体" w:cs="宋体"/>
                <w:sz w:val="18"/>
                <w:szCs w:val="18"/>
              </w:rPr>
            </w:pPr>
            <w:r>
              <w:rPr>
                <w:rFonts w:ascii="宋体" w:eastAsia="宋体" w:hAnsi="宋体" w:cs="宋体"/>
                <w:sz w:val="18"/>
                <w:szCs w:val="18"/>
              </w:rPr>
              <w:t>32,939,859.00</w:t>
            </w:r>
          </w:p>
        </w:tc>
      </w:tr>
    </w:tbl>
    <w:p w14:paraId="35A132A5" w14:textId="77777777" w:rsidR="00113A51" w:rsidRDefault="00766EC7">
      <w:pPr>
        <w:pStyle w:val="2"/>
        <w:spacing w:before="300" w:after="300" w:line="320" w:lineRule="exact"/>
        <w:rPr>
          <w:rFonts w:ascii="宋体" w:eastAsia="宋体" w:hAnsi="宋体" w:cs="宋体"/>
          <w:b/>
          <w:bCs/>
          <w:sz w:val="24"/>
          <w:szCs w:val="24"/>
        </w:rPr>
      </w:pPr>
      <w:bookmarkStart w:id="82" w:name="_Toc988961"/>
      <w:r>
        <w:rPr>
          <w:rFonts w:ascii="宋体" w:eastAsia="宋体" w:hAnsi="宋体" w:cs="宋体"/>
          <w:b/>
          <w:bCs/>
          <w:sz w:val="24"/>
          <w:szCs w:val="24"/>
        </w:rPr>
        <w:t>十一、公司利润分配及资本公积金转增股本情况</w:t>
      </w:r>
      <w:bookmarkEnd w:id="82"/>
    </w:p>
    <w:p w14:paraId="39AAABB2"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报告期内利润分配政策，特别是现金分红政策的制定、执行或调整情况</w:t>
      </w:r>
    </w:p>
    <w:p w14:paraId="0AD23B93"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EC442F6" w14:textId="77777777" w:rsidR="00DC359B" w:rsidRPr="00DC359B" w:rsidRDefault="00DC359B" w:rsidP="00DC359B">
      <w:pPr>
        <w:widowControl/>
        <w:spacing w:line="360" w:lineRule="auto"/>
        <w:ind w:firstLine="420"/>
        <w:jc w:val="both"/>
        <w:rPr>
          <w:rFonts w:ascii="宋体" w:eastAsia="宋体" w:hAnsi="宋体" w:cs="宋体"/>
          <w:kern w:val="0"/>
          <w:sz w:val="24"/>
          <w:szCs w:val="24"/>
        </w:rPr>
      </w:pPr>
      <w:r w:rsidRPr="00DC359B">
        <w:rPr>
          <w:rFonts w:ascii="宋体" w:eastAsia="宋体" w:hAnsi="宋体" w:cs="宋体" w:hint="eastAsia"/>
          <w:kern w:val="0"/>
          <w:szCs w:val="21"/>
        </w:rPr>
        <w:t>报告期内，公司严格按照《公司法》《企业会计准则》《上市公司监管指引第</w:t>
      </w:r>
      <w:r w:rsidRPr="00DC359B">
        <w:rPr>
          <w:rFonts w:ascii="Times New Roman" w:eastAsia="宋体" w:hAnsi="Times New Roman" w:cs="Times New Roman"/>
          <w:kern w:val="0"/>
          <w:szCs w:val="21"/>
        </w:rPr>
        <w:t>3</w:t>
      </w:r>
      <w:r w:rsidRPr="00DC359B">
        <w:rPr>
          <w:rFonts w:ascii="宋体" w:eastAsia="宋体" w:hAnsi="宋体" w:cs="宋体" w:hint="eastAsia"/>
          <w:kern w:val="0"/>
          <w:szCs w:val="21"/>
        </w:rPr>
        <w:t>号——上市公司现金分红》等法律、行政法规、规范性文件及《公司章程》的有关规定，结合公司未来经营业务情况和资金状况，制定、审议和实施年度利润分配方案，分红标准和分红比例明确清晰，相关的决策程序和机制完备，充分考虑了公司实际经营情况和公司股东合理的投资回报，与公司经营业绩及未来发展相匹配。</w:t>
      </w:r>
    </w:p>
    <w:p w14:paraId="3A49A48B" w14:textId="756AA8CE" w:rsidR="00DC359B" w:rsidRPr="00DC359B" w:rsidRDefault="00DC359B" w:rsidP="00DC359B">
      <w:pPr>
        <w:widowControl/>
        <w:spacing w:line="360" w:lineRule="auto"/>
        <w:ind w:firstLine="420"/>
        <w:jc w:val="both"/>
        <w:rPr>
          <w:rFonts w:ascii="宋体" w:eastAsia="宋体" w:hAnsi="宋体" w:cs="宋体"/>
          <w:kern w:val="0"/>
          <w:sz w:val="24"/>
          <w:szCs w:val="24"/>
        </w:rPr>
      </w:pPr>
      <w:r w:rsidRPr="00DC359B">
        <w:rPr>
          <w:rFonts w:ascii="Times New Roman" w:eastAsia="宋体" w:hAnsi="Times New Roman" w:cs="Times New Roman"/>
          <w:kern w:val="0"/>
          <w:szCs w:val="21"/>
        </w:rPr>
        <w:t>2025</w:t>
      </w:r>
      <w:r w:rsidRPr="00DC359B">
        <w:rPr>
          <w:rFonts w:ascii="宋体" w:eastAsia="宋体" w:hAnsi="宋体" w:cs="宋体" w:hint="eastAsia"/>
          <w:kern w:val="0"/>
          <w:szCs w:val="21"/>
        </w:rPr>
        <w:t>年</w:t>
      </w:r>
      <w:r w:rsidRPr="00DC359B">
        <w:rPr>
          <w:rFonts w:ascii="Times New Roman" w:eastAsia="宋体" w:hAnsi="Times New Roman" w:cs="Times New Roman"/>
          <w:kern w:val="0"/>
          <w:szCs w:val="21"/>
        </w:rPr>
        <w:t>5</w:t>
      </w:r>
      <w:r w:rsidRPr="00DC359B">
        <w:rPr>
          <w:rFonts w:ascii="宋体" w:eastAsia="宋体" w:hAnsi="宋体" w:cs="宋体" w:hint="eastAsia"/>
          <w:kern w:val="0"/>
          <w:szCs w:val="21"/>
        </w:rPr>
        <w:t>月</w:t>
      </w:r>
      <w:r w:rsidRPr="00DC359B">
        <w:rPr>
          <w:rFonts w:ascii="Times New Roman" w:eastAsia="宋体" w:hAnsi="Times New Roman" w:cs="Times New Roman"/>
          <w:kern w:val="0"/>
          <w:szCs w:val="21"/>
        </w:rPr>
        <w:t>14</w:t>
      </w:r>
      <w:r w:rsidRPr="00DC359B">
        <w:rPr>
          <w:rFonts w:ascii="宋体" w:eastAsia="宋体" w:hAnsi="宋体" w:cs="宋体" w:hint="eastAsia"/>
          <w:kern w:val="0"/>
          <w:szCs w:val="21"/>
        </w:rPr>
        <w:t>日，公司召开</w:t>
      </w:r>
      <w:r w:rsidRPr="00DC359B">
        <w:rPr>
          <w:rFonts w:ascii="Times New Roman" w:eastAsia="宋体" w:hAnsi="Times New Roman" w:cs="Times New Roman"/>
          <w:kern w:val="0"/>
          <w:szCs w:val="21"/>
        </w:rPr>
        <w:t>2024</w:t>
      </w:r>
      <w:r w:rsidRPr="00DC359B">
        <w:rPr>
          <w:rFonts w:ascii="宋体" w:eastAsia="宋体" w:hAnsi="宋体" w:cs="宋体" w:hint="eastAsia"/>
          <w:kern w:val="0"/>
          <w:szCs w:val="21"/>
        </w:rPr>
        <w:t>年年度股东大会，审议并通过了《关于〈公司</w:t>
      </w:r>
      <w:r w:rsidRPr="00DC359B">
        <w:rPr>
          <w:rFonts w:ascii="Times New Roman" w:eastAsia="宋体" w:hAnsi="Times New Roman" w:cs="Times New Roman"/>
          <w:kern w:val="0"/>
          <w:szCs w:val="21"/>
        </w:rPr>
        <w:t>2024</w:t>
      </w:r>
      <w:r w:rsidRPr="00DC359B">
        <w:rPr>
          <w:rFonts w:ascii="宋体" w:eastAsia="宋体" w:hAnsi="宋体" w:cs="宋体" w:hint="eastAsia"/>
          <w:kern w:val="0"/>
          <w:szCs w:val="21"/>
        </w:rPr>
        <w:t>年度利润分配预案〉的议案》，决定以公司实施</w:t>
      </w:r>
      <w:r w:rsidRPr="00DC359B">
        <w:rPr>
          <w:rFonts w:ascii="Times New Roman" w:eastAsia="宋体" w:hAnsi="Times New Roman" w:cs="Times New Roman"/>
          <w:kern w:val="0"/>
          <w:szCs w:val="21"/>
        </w:rPr>
        <w:t>2024</w:t>
      </w:r>
      <w:r w:rsidRPr="00DC359B">
        <w:rPr>
          <w:rFonts w:ascii="宋体" w:eastAsia="宋体" w:hAnsi="宋体" w:cs="宋体" w:hint="eastAsia"/>
          <w:kern w:val="0"/>
          <w:szCs w:val="21"/>
        </w:rPr>
        <w:t>年度利润分配方案时股权登记日（</w:t>
      </w:r>
      <w:r w:rsidRPr="00DC359B">
        <w:rPr>
          <w:rFonts w:ascii="Times New Roman" w:eastAsia="宋体" w:hAnsi="Times New Roman" w:cs="Times New Roman"/>
          <w:kern w:val="0"/>
          <w:szCs w:val="21"/>
        </w:rPr>
        <w:t>2025</w:t>
      </w:r>
      <w:r w:rsidRPr="00DC359B">
        <w:rPr>
          <w:rFonts w:ascii="宋体" w:eastAsia="宋体" w:hAnsi="宋体" w:cs="宋体" w:hint="eastAsia"/>
          <w:kern w:val="0"/>
          <w:szCs w:val="21"/>
        </w:rPr>
        <w:t>年</w:t>
      </w:r>
      <w:r w:rsidRPr="00DC359B">
        <w:rPr>
          <w:rFonts w:ascii="Times New Roman" w:eastAsia="宋体" w:hAnsi="Times New Roman" w:cs="Times New Roman"/>
          <w:kern w:val="0"/>
          <w:szCs w:val="21"/>
        </w:rPr>
        <w:t>6</w:t>
      </w:r>
      <w:r w:rsidRPr="00DC359B">
        <w:rPr>
          <w:rFonts w:ascii="宋体" w:eastAsia="宋体" w:hAnsi="宋体" w:cs="宋体" w:hint="eastAsia"/>
          <w:kern w:val="0"/>
          <w:szCs w:val="21"/>
        </w:rPr>
        <w:t>月</w:t>
      </w:r>
      <w:r w:rsidRPr="00DC359B">
        <w:rPr>
          <w:rFonts w:ascii="Times New Roman" w:eastAsia="宋体" w:hAnsi="Times New Roman" w:cs="Times New Roman"/>
          <w:kern w:val="0"/>
          <w:szCs w:val="21"/>
        </w:rPr>
        <w:t>12</w:t>
      </w:r>
      <w:r w:rsidRPr="00DC359B">
        <w:rPr>
          <w:rFonts w:ascii="宋体" w:eastAsia="宋体" w:hAnsi="宋体" w:cs="宋体" w:hint="eastAsia"/>
          <w:kern w:val="0"/>
          <w:szCs w:val="21"/>
        </w:rPr>
        <w:t>日）的总股本，剔除因公司通过集中竞价交易方式回购的、依法不参与利润分配的股份</w:t>
      </w:r>
      <w:r w:rsidRPr="00DC359B">
        <w:rPr>
          <w:rFonts w:ascii="Times New Roman" w:eastAsia="宋体" w:hAnsi="Times New Roman" w:cs="Times New Roman"/>
          <w:kern w:val="0"/>
          <w:szCs w:val="21"/>
        </w:rPr>
        <w:t>11,289,387</w:t>
      </w:r>
      <w:r w:rsidRPr="00DC359B">
        <w:rPr>
          <w:rFonts w:ascii="宋体" w:eastAsia="宋体" w:hAnsi="宋体" w:cs="宋体" w:hint="eastAsia"/>
          <w:kern w:val="0"/>
          <w:szCs w:val="21"/>
        </w:rPr>
        <w:t>股后的股本总额</w:t>
      </w:r>
      <w:r w:rsidRPr="00DC359B">
        <w:rPr>
          <w:rFonts w:ascii="Times New Roman" w:eastAsia="宋体" w:hAnsi="Times New Roman" w:cs="Times New Roman"/>
          <w:kern w:val="0"/>
          <w:szCs w:val="21"/>
        </w:rPr>
        <w:t>552,975,988</w:t>
      </w:r>
      <w:r w:rsidRPr="00DC359B">
        <w:rPr>
          <w:rFonts w:ascii="宋体" w:eastAsia="宋体" w:hAnsi="宋体" w:cs="宋体" w:hint="eastAsia"/>
          <w:kern w:val="0"/>
          <w:szCs w:val="21"/>
        </w:rPr>
        <w:t>股为基数，向全体股东每</w:t>
      </w:r>
      <w:r w:rsidRPr="00DC359B">
        <w:rPr>
          <w:rFonts w:ascii="Times New Roman" w:eastAsia="宋体" w:hAnsi="Times New Roman" w:cs="Times New Roman"/>
          <w:kern w:val="0"/>
          <w:szCs w:val="21"/>
        </w:rPr>
        <w:t>10</w:t>
      </w:r>
      <w:r w:rsidRPr="00DC359B">
        <w:rPr>
          <w:rFonts w:ascii="宋体" w:eastAsia="宋体" w:hAnsi="宋体" w:cs="宋体" w:hint="eastAsia"/>
          <w:kern w:val="0"/>
          <w:szCs w:val="21"/>
        </w:rPr>
        <w:t>股派发现金股利</w:t>
      </w:r>
      <w:r w:rsidRPr="00DC359B">
        <w:rPr>
          <w:rFonts w:ascii="Times New Roman" w:eastAsia="宋体" w:hAnsi="Times New Roman" w:cs="Times New Roman"/>
          <w:kern w:val="0"/>
          <w:szCs w:val="21"/>
        </w:rPr>
        <w:t>2.20</w:t>
      </w:r>
      <w:r w:rsidRPr="00DC359B">
        <w:rPr>
          <w:rFonts w:ascii="宋体" w:eastAsia="宋体" w:hAnsi="宋体" w:cs="宋体" w:hint="eastAsia"/>
          <w:kern w:val="0"/>
          <w:szCs w:val="21"/>
        </w:rPr>
        <w:t>元人民币（含税）。本次利润分配不送红股，不进行资本公积金转增股本，剩余未分配利润结转下一年度。</w:t>
      </w:r>
      <w:r w:rsidRPr="00DC359B">
        <w:rPr>
          <w:rFonts w:ascii="Times New Roman" w:eastAsia="宋体" w:hAnsi="Times New Roman" w:cs="Times New Roman"/>
          <w:kern w:val="0"/>
          <w:szCs w:val="21"/>
        </w:rPr>
        <w:t>2025</w:t>
      </w:r>
      <w:r w:rsidRPr="00DC359B">
        <w:rPr>
          <w:rFonts w:ascii="宋体" w:eastAsia="宋体" w:hAnsi="宋体" w:cs="宋体" w:hint="eastAsia"/>
          <w:kern w:val="0"/>
          <w:szCs w:val="21"/>
        </w:rPr>
        <w:t>年</w:t>
      </w:r>
      <w:r w:rsidRPr="00DC359B">
        <w:rPr>
          <w:rFonts w:ascii="Times New Roman" w:eastAsia="宋体" w:hAnsi="Times New Roman" w:cs="Times New Roman"/>
          <w:kern w:val="0"/>
          <w:szCs w:val="21"/>
        </w:rPr>
        <w:t>6</w:t>
      </w:r>
      <w:r w:rsidRPr="00DC359B">
        <w:rPr>
          <w:rFonts w:ascii="宋体" w:eastAsia="宋体" w:hAnsi="宋体" w:cs="宋体" w:hint="eastAsia"/>
          <w:kern w:val="0"/>
          <w:szCs w:val="21"/>
        </w:rPr>
        <w:t>月</w:t>
      </w:r>
      <w:r w:rsidRPr="00DC359B">
        <w:rPr>
          <w:rFonts w:ascii="Times New Roman" w:eastAsia="宋体" w:hAnsi="Times New Roman" w:cs="Times New Roman"/>
          <w:kern w:val="0"/>
          <w:szCs w:val="21"/>
        </w:rPr>
        <w:t>6</w:t>
      </w:r>
      <w:r w:rsidRPr="00DC359B">
        <w:rPr>
          <w:rFonts w:ascii="宋体" w:eastAsia="宋体" w:hAnsi="宋体" w:cs="宋体" w:hint="eastAsia"/>
          <w:kern w:val="0"/>
          <w:szCs w:val="21"/>
        </w:rPr>
        <w:t>日，公司披露了《</w:t>
      </w:r>
      <w:r w:rsidRPr="00DC359B">
        <w:rPr>
          <w:rFonts w:ascii="Times New Roman" w:eastAsia="宋体" w:hAnsi="Times New Roman" w:cs="Times New Roman"/>
          <w:kern w:val="0"/>
          <w:szCs w:val="21"/>
        </w:rPr>
        <w:t>2024</w:t>
      </w:r>
      <w:r w:rsidRPr="00DC359B">
        <w:rPr>
          <w:rFonts w:ascii="宋体" w:eastAsia="宋体" w:hAnsi="宋体" w:cs="宋体" w:hint="eastAsia"/>
          <w:kern w:val="0"/>
          <w:szCs w:val="21"/>
        </w:rPr>
        <w:t>年年度权益分派实施公告》（公告编号：</w:t>
      </w:r>
      <w:r w:rsidRPr="00DC359B">
        <w:rPr>
          <w:rFonts w:ascii="Times New Roman" w:eastAsia="宋体" w:hAnsi="Times New Roman" w:cs="Times New Roman"/>
          <w:kern w:val="0"/>
          <w:szCs w:val="21"/>
        </w:rPr>
        <w:t>2025-052</w:t>
      </w:r>
      <w:r w:rsidRPr="00DC359B">
        <w:rPr>
          <w:rFonts w:ascii="宋体" w:eastAsia="宋体" w:hAnsi="宋体" w:cs="宋体" w:hint="eastAsia"/>
          <w:kern w:val="0"/>
          <w:szCs w:val="21"/>
        </w:rPr>
        <w:t>）。</w:t>
      </w:r>
      <w:r w:rsidRPr="00DC359B">
        <w:rPr>
          <w:rFonts w:ascii="Times New Roman" w:eastAsia="宋体" w:hAnsi="Times New Roman" w:cs="Times New Roman"/>
          <w:kern w:val="0"/>
          <w:szCs w:val="21"/>
        </w:rPr>
        <w:t>2025</w:t>
      </w:r>
      <w:r w:rsidRPr="00DC359B">
        <w:rPr>
          <w:rFonts w:ascii="宋体" w:eastAsia="宋体" w:hAnsi="宋体" w:cs="宋体" w:hint="eastAsia"/>
          <w:kern w:val="0"/>
          <w:szCs w:val="21"/>
        </w:rPr>
        <w:t>年</w:t>
      </w:r>
      <w:r w:rsidRPr="00DC359B">
        <w:rPr>
          <w:rFonts w:ascii="Times New Roman" w:eastAsia="宋体" w:hAnsi="Times New Roman" w:cs="Times New Roman"/>
          <w:kern w:val="0"/>
          <w:szCs w:val="21"/>
        </w:rPr>
        <w:t>6</w:t>
      </w:r>
      <w:r w:rsidRPr="00DC359B">
        <w:rPr>
          <w:rFonts w:ascii="宋体" w:eastAsia="宋体" w:hAnsi="宋体" w:cs="宋体" w:hint="eastAsia"/>
          <w:kern w:val="0"/>
          <w:szCs w:val="21"/>
        </w:rPr>
        <w:t>月</w:t>
      </w:r>
      <w:r w:rsidRPr="00DC359B">
        <w:rPr>
          <w:rFonts w:ascii="Times New Roman" w:eastAsia="宋体" w:hAnsi="Times New Roman" w:cs="Times New Roman"/>
          <w:kern w:val="0"/>
          <w:szCs w:val="21"/>
        </w:rPr>
        <w:t>13</w:t>
      </w:r>
      <w:r w:rsidRPr="00DC359B">
        <w:rPr>
          <w:rFonts w:ascii="宋体" w:eastAsia="宋体" w:hAnsi="宋体" w:cs="宋体" w:hint="eastAsia"/>
          <w:kern w:val="0"/>
          <w:szCs w:val="21"/>
        </w:rPr>
        <w:t>日，公司实施完毕</w:t>
      </w:r>
      <w:r w:rsidRPr="00DC359B">
        <w:rPr>
          <w:rFonts w:ascii="Times New Roman" w:eastAsia="宋体" w:hAnsi="Times New Roman" w:cs="Times New Roman"/>
          <w:kern w:val="0"/>
          <w:szCs w:val="21"/>
        </w:rPr>
        <w:t>2024</w:t>
      </w:r>
      <w:r w:rsidRPr="00DC359B">
        <w:rPr>
          <w:rFonts w:ascii="宋体" w:eastAsia="宋体" w:hAnsi="宋体" w:cs="宋体" w:hint="eastAsia"/>
          <w:kern w:val="0"/>
          <w:szCs w:val="21"/>
        </w:rPr>
        <w:t>年度权益分派方案</w:t>
      </w:r>
      <w:r w:rsidR="00F85AC1">
        <w:rPr>
          <w:rFonts w:ascii="宋体" w:eastAsia="宋体" w:hAnsi="宋体" w:cs="宋体" w:hint="eastAsia"/>
          <w:kern w:val="0"/>
          <w:szCs w:val="21"/>
        </w:rPr>
        <w:t>，共计派发现金股利人民币</w:t>
      </w:r>
      <w:r w:rsidR="00F85AC1" w:rsidRPr="0086498D">
        <w:rPr>
          <w:rFonts w:ascii="Times New Roman" w:eastAsia="宋体" w:hAnsi="Times New Roman" w:cs="Times New Roman" w:hint="eastAsia"/>
          <w:kern w:val="0"/>
          <w:szCs w:val="21"/>
        </w:rPr>
        <w:t>121,654,717.36</w:t>
      </w:r>
      <w:r w:rsidR="00F85AC1">
        <w:rPr>
          <w:rFonts w:ascii="宋体" w:eastAsia="宋体" w:hAnsi="宋体" w:cs="宋体" w:hint="eastAsia"/>
          <w:kern w:val="0"/>
          <w:szCs w:val="21"/>
        </w:rPr>
        <w:t>元（含税）</w:t>
      </w:r>
      <w:r w:rsidRPr="00DC359B">
        <w:rPr>
          <w:rFonts w:ascii="宋体" w:eastAsia="宋体" w:hAnsi="宋体" w:cs="宋体" w:hint="eastAsia"/>
          <w:kern w:val="0"/>
          <w:szCs w:val="21"/>
        </w:rPr>
        <w:t>。</w:t>
      </w:r>
    </w:p>
    <w:tbl>
      <w:tblPr>
        <w:tblW w:w="9639" w:type="dxa"/>
        <w:tblInd w:w="108" w:type="dxa"/>
        <w:tblLayout w:type="fixed"/>
        <w:tblLook w:val="0000" w:firstRow="0" w:lastRow="0" w:firstColumn="0" w:lastColumn="0" w:noHBand="0" w:noVBand="0"/>
      </w:tblPr>
      <w:tblGrid>
        <w:gridCol w:w="4820"/>
        <w:gridCol w:w="4819"/>
      </w:tblGrid>
      <w:tr w:rsidR="00C57E60" w14:paraId="2A94292C" w14:textId="77777777" w:rsidTr="00A212D0">
        <w:trPr>
          <w:cantSplit/>
          <w:trHeight w:val="240"/>
          <w:tblHeader/>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63A45C8"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现金分红政策的专项说明</w:t>
            </w:r>
          </w:p>
        </w:tc>
      </w:tr>
      <w:tr w:rsidR="00C57E60" w14:paraId="36BC2674"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95D275E"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是否符合公司章程的规定或股东会决议的要求：</w:t>
            </w:r>
          </w:p>
        </w:tc>
        <w:tc>
          <w:tcPr>
            <w:tcW w:w="4820" w:type="dxa"/>
            <w:tcBorders>
              <w:top w:val="single" w:sz="2" w:space="0" w:color="auto"/>
              <w:left w:val="single" w:sz="2" w:space="0" w:color="auto"/>
              <w:bottom w:val="single" w:sz="2" w:space="0" w:color="auto"/>
              <w:right w:val="single" w:sz="2" w:space="0" w:color="auto"/>
            </w:tcBorders>
            <w:vAlign w:val="center"/>
          </w:tcPr>
          <w:p w14:paraId="35BC20AF"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公司利润分配方案严格按照《公司章程》的相关规定制定，并经公司2024年年度股东大会审议通过后，在规定时间内按决议内容实施。</w:t>
            </w:r>
          </w:p>
        </w:tc>
      </w:tr>
      <w:tr w:rsidR="00C57E60" w14:paraId="2B78CDB9"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71CF636"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分红标准和比例是否明确和清晰：</w:t>
            </w:r>
          </w:p>
        </w:tc>
        <w:tc>
          <w:tcPr>
            <w:tcW w:w="4820" w:type="dxa"/>
            <w:tcBorders>
              <w:top w:val="single" w:sz="2" w:space="0" w:color="auto"/>
              <w:left w:val="single" w:sz="2" w:space="0" w:color="auto"/>
              <w:bottom w:val="single" w:sz="2" w:space="0" w:color="auto"/>
              <w:right w:val="single" w:sz="2" w:space="0" w:color="auto"/>
            </w:tcBorders>
            <w:vAlign w:val="center"/>
          </w:tcPr>
          <w:p w14:paraId="6D1E39F3"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明确规定了公司进行利润分配的原则、形式、时间间隔、条件以及利润分配政策的决策机制和审批程序等，符合中国证监会等相关监管机构对于上市公司股利分配政策的最新要求，分红标准和比例明确、清晰。</w:t>
            </w:r>
          </w:p>
        </w:tc>
      </w:tr>
      <w:tr w:rsidR="00C57E60" w14:paraId="3FCD9CB1"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3A49A31"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相关的决策程序和机制是否完备：</w:t>
            </w:r>
          </w:p>
        </w:tc>
        <w:tc>
          <w:tcPr>
            <w:tcW w:w="4820" w:type="dxa"/>
            <w:tcBorders>
              <w:top w:val="single" w:sz="2" w:space="0" w:color="auto"/>
              <w:left w:val="single" w:sz="2" w:space="0" w:color="auto"/>
              <w:bottom w:val="single" w:sz="2" w:space="0" w:color="auto"/>
              <w:right w:val="single" w:sz="2" w:space="0" w:color="auto"/>
            </w:tcBorders>
            <w:vAlign w:val="center"/>
          </w:tcPr>
          <w:p w14:paraId="6CBC268F"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公司《2024年度利润分配预案》经公司第五届董事会第十七次会议、第五届监事会第十三次会议和2024年年度股东大会审议通过，已履行相关决策程序，并于2025年6月13日实施完毕。</w:t>
            </w:r>
          </w:p>
        </w:tc>
      </w:tr>
      <w:tr w:rsidR="00C57E60" w14:paraId="17F3E17F"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3F2BE74"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独立董事是否履职尽责并发挥了应有的作用：</w:t>
            </w:r>
          </w:p>
        </w:tc>
        <w:tc>
          <w:tcPr>
            <w:tcW w:w="4820" w:type="dxa"/>
            <w:tcBorders>
              <w:top w:val="single" w:sz="2" w:space="0" w:color="auto"/>
              <w:left w:val="single" w:sz="2" w:space="0" w:color="auto"/>
              <w:bottom w:val="single" w:sz="2" w:space="0" w:color="auto"/>
              <w:right w:val="single" w:sz="2" w:space="0" w:color="auto"/>
            </w:tcBorders>
            <w:vAlign w:val="center"/>
          </w:tcPr>
          <w:p w14:paraId="02812596"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公司独立董事召开第二次独立董事专门会议，审议并通过《关于〈公司2024年度利润分配预案〉的议案》，在公司《2024年度利润分配预案》的制定与决策程序方面发挥了应有作用。</w:t>
            </w:r>
          </w:p>
        </w:tc>
      </w:tr>
      <w:tr w:rsidR="00C57E60" w14:paraId="675EE130"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A0DE564"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公司未进行现金分红的，应当披露具体原因，以及下一步为增强投资者回报水平拟采取的举措：</w:t>
            </w:r>
          </w:p>
        </w:tc>
        <w:tc>
          <w:tcPr>
            <w:tcW w:w="4820" w:type="dxa"/>
            <w:tcBorders>
              <w:top w:val="single" w:sz="2" w:space="0" w:color="auto"/>
              <w:left w:val="single" w:sz="2" w:space="0" w:color="auto"/>
              <w:bottom w:val="single" w:sz="2" w:space="0" w:color="auto"/>
              <w:right w:val="single" w:sz="2" w:space="0" w:color="auto"/>
            </w:tcBorders>
            <w:vAlign w:val="center"/>
          </w:tcPr>
          <w:p w14:paraId="2225F7A9"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不适用</w:t>
            </w:r>
          </w:p>
        </w:tc>
      </w:tr>
      <w:tr w:rsidR="00C57E60" w14:paraId="002CEE01"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E204D45"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中小股东是否有充分表达意见和诉求的机会，其合法权益是否得到了充分保护：</w:t>
            </w:r>
          </w:p>
        </w:tc>
        <w:tc>
          <w:tcPr>
            <w:tcW w:w="4820" w:type="dxa"/>
            <w:tcBorders>
              <w:top w:val="single" w:sz="2" w:space="0" w:color="auto"/>
              <w:left w:val="single" w:sz="2" w:space="0" w:color="auto"/>
              <w:bottom w:val="single" w:sz="2" w:space="0" w:color="auto"/>
              <w:right w:val="single" w:sz="2" w:space="0" w:color="auto"/>
            </w:tcBorders>
            <w:vAlign w:val="center"/>
          </w:tcPr>
          <w:p w14:paraId="78411D77"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公司利润分配决策程序和机制完备，切实保护了全体股东，尤其是中小股东的利益。</w:t>
            </w:r>
          </w:p>
        </w:tc>
      </w:tr>
      <w:tr w:rsidR="00C57E60" w14:paraId="3A3B4390" w14:textId="77777777" w:rsidTr="00A212D0">
        <w:trPr>
          <w:cantSplit/>
          <w:trHeight w:val="240"/>
          <w:tblHeader/>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75E122F"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现金分红政策进行调整或变更的，条件及程序是否合规、透明：</w:t>
            </w:r>
          </w:p>
        </w:tc>
        <w:tc>
          <w:tcPr>
            <w:tcW w:w="4820" w:type="dxa"/>
            <w:tcBorders>
              <w:top w:val="single" w:sz="2" w:space="0" w:color="auto"/>
              <w:left w:val="single" w:sz="2" w:space="0" w:color="auto"/>
              <w:bottom w:val="single" w:sz="2" w:space="0" w:color="auto"/>
              <w:right w:val="single" w:sz="2" w:space="0" w:color="auto"/>
            </w:tcBorders>
            <w:vAlign w:val="center"/>
          </w:tcPr>
          <w:p w14:paraId="5EEC4B8C" w14:textId="77777777" w:rsidR="00DC359B" w:rsidRPr="00DC359B" w:rsidRDefault="00DC359B" w:rsidP="00DC359B">
            <w:pPr>
              <w:spacing w:line="240" w:lineRule="exact"/>
              <w:rPr>
                <w:rFonts w:ascii="宋体" w:eastAsia="宋体" w:hAnsi="宋体" w:cs="宋体"/>
                <w:sz w:val="18"/>
                <w:szCs w:val="18"/>
              </w:rPr>
            </w:pPr>
            <w:r w:rsidRPr="00DC359B">
              <w:rPr>
                <w:rFonts w:ascii="宋体" w:eastAsia="宋体" w:hAnsi="宋体" w:cs="宋体"/>
                <w:sz w:val="18"/>
                <w:szCs w:val="18"/>
              </w:rPr>
              <w:t>不适用</w:t>
            </w:r>
          </w:p>
        </w:tc>
      </w:tr>
    </w:tbl>
    <w:p w14:paraId="53DCEA0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公司报告期利润分配预案及资本公积金转增股本预案与公司章程和分红管理办法等的相关规定一致</w:t>
      </w:r>
    </w:p>
    <w:p w14:paraId="52101BBE"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 □不适用</w:t>
      </w:r>
    </w:p>
    <w:p w14:paraId="39B61DDB" w14:textId="77777777" w:rsidR="00113A51" w:rsidRDefault="00766EC7">
      <w:pPr>
        <w:spacing w:before="100" w:after="100" w:line="240" w:lineRule="exact"/>
        <w:rPr>
          <w:rFonts w:ascii="宋体" w:eastAsia="宋体" w:hAnsi="宋体" w:cs="宋体"/>
          <w:sz w:val="18"/>
          <w:szCs w:val="18"/>
        </w:rPr>
      </w:pPr>
      <w:r>
        <w:rPr>
          <w:rFonts w:ascii="宋体" w:eastAsia="宋体" w:hAnsi="宋体" w:cs="宋体"/>
          <w:sz w:val="18"/>
          <w:szCs w:val="18"/>
        </w:rPr>
        <w:t>公司报告期利润分配预案及资本公积金转增股本预案符合公司章程等的相关规定。</w:t>
      </w:r>
    </w:p>
    <w:p w14:paraId="760E6958" w14:textId="77777777" w:rsidR="0001460F" w:rsidRDefault="0001460F" w:rsidP="0001460F">
      <w:pPr>
        <w:spacing w:line="240" w:lineRule="exact"/>
        <w:rPr>
          <w:rFonts w:ascii="宋体" w:eastAsia="宋体" w:hAnsi="宋体" w:cs="宋体"/>
          <w:sz w:val="18"/>
          <w:szCs w:val="18"/>
        </w:rPr>
      </w:pPr>
      <w:bookmarkStart w:id="83" w:name="_Toc988962"/>
      <w:r>
        <w:rPr>
          <w:rFonts w:ascii="宋体" w:eastAsia="宋体" w:hAnsi="宋体" w:cs="宋体"/>
          <w:sz w:val="18"/>
          <w:szCs w:val="18"/>
        </w:rPr>
        <w:t>本年度利润分配及资本公积金转增股本情况</w:t>
      </w:r>
    </w:p>
    <w:tbl>
      <w:tblPr>
        <w:tblW w:w="9639" w:type="dxa"/>
        <w:tblInd w:w="108" w:type="dxa"/>
        <w:tblLayout w:type="fixed"/>
        <w:tblLook w:val="04A0" w:firstRow="1" w:lastRow="0" w:firstColumn="1" w:lastColumn="0" w:noHBand="0" w:noVBand="1"/>
      </w:tblPr>
      <w:tblGrid>
        <w:gridCol w:w="4820"/>
        <w:gridCol w:w="4819"/>
      </w:tblGrid>
      <w:tr w:rsidR="00C57E60" w14:paraId="058BC183"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1EC5579"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每</w:t>
            </w:r>
            <w:r w:rsidRPr="0001460F">
              <w:rPr>
                <w:rFonts w:ascii="Times New Roman" w:eastAsia="宋体" w:hAnsi="Times New Roman" w:cs="Times New Roman"/>
                <w:sz w:val="18"/>
                <w:szCs w:val="18"/>
              </w:rPr>
              <w:t>10</w:t>
            </w:r>
            <w:r w:rsidRPr="0001460F">
              <w:rPr>
                <w:rFonts w:ascii="Times New Roman" w:eastAsia="宋体" w:hAnsi="Times New Roman" w:cs="Times New Roman"/>
                <w:sz w:val="18"/>
                <w:szCs w:val="18"/>
              </w:rPr>
              <w:t>股送红股数（股）</w:t>
            </w:r>
          </w:p>
        </w:tc>
        <w:tc>
          <w:tcPr>
            <w:tcW w:w="4820" w:type="dxa"/>
            <w:tcBorders>
              <w:top w:val="single" w:sz="2" w:space="0" w:color="auto"/>
              <w:left w:val="single" w:sz="2" w:space="0" w:color="auto"/>
              <w:bottom w:val="single" w:sz="2" w:space="0" w:color="auto"/>
              <w:right w:val="single" w:sz="2" w:space="0" w:color="auto"/>
            </w:tcBorders>
            <w:vAlign w:val="center"/>
          </w:tcPr>
          <w:p w14:paraId="0297CA38"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0</w:t>
            </w:r>
          </w:p>
        </w:tc>
      </w:tr>
      <w:tr w:rsidR="00C57E60" w14:paraId="4A41E0BC"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110F029"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每</w:t>
            </w:r>
            <w:r w:rsidRPr="0001460F">
              <w:rPr>
                <w:rFonts w:ascii="Times New Roman" w:eastAsia="宋体" w:hAnsi="Times New Roman" w:cs="Times New Roman"/>
                <w:sz w:val="18"/>
                <w:szCs w:val="18"/>
              </w:rPr>
              <w:t>10</w:t>
            </w:r>
            <w:r w:rsidRPr="0001460F">
              <w:rPr>
                <w:rFonts w:ascii="Times New Roman" w:eastAsia="宋体" w:hAnsi="Times New Roman" w:cs="Times New Roman"/>
                <w:sz w:val="18"/>
                <w:szCs w:val="18"/>
              </w:rPr>
              <w:t>股派息数（元）（含税）</w:t>
            </w:r>
          </w:p>
        </w:tc>
        <w:tc>
          <w:tcPr>
            <w:tcW w:w="4820" w:type="dxa"/>
            <w:tcBorders>
              <w:top w:val="single" w:sz="2" w:space="0" w:color="auto"/>
              <w:left w:val="single" w:sz="2" w:space="0" w:color="auto"/>
              <w:bottom w:val="single" w:sz="2" w:space="0" w:color="auto"/>
              <w:right w:val="single" w:sz="2" w:space="0" w:color="auto"/>
            </w:tcBorders>
            <w:vAlign w:val="center"/>
          </w:tcPr>
          <w:p w14:paraId="61DA504D"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0</w:t>
            </w:r>
          </w:p>
        </w:tc>
      </w:tr>
      <w:tr w:rsidR="00C57E60" w14:paraId="206BF916"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4215980"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每</w:t>
            </w:r>
            <w:r w:rsidRPr="0001460F">
              <w:rPr>
                <w:rFonts w:ascii="Times New Roman" w:eastAsia="宋体" w:hAnsi="Times New Roman" w:cs="Times New Roman"/>
                <w:sz w:val="18"/>
                <w:szCs w:val="18"/>
              </w:rPr>
              <w:t>10</w:t>
            </w:r>
            <w:r w:rsidRPr="0001460F">
              <w:rPr>
                <w:rFonts w:ascii="Times New Roman" w:eastAsia="宋体" w:hAnsi="Times New Roman" w:cs="Times New Roman"/>
                <w:sz w:val="18"/>
                <w:szCs w:val="18"/>
              </w:rPr>
              <w:t>股转增数（股）</w:t>
            </w:r>
          </w:p>
        </w:tc>
        <w:tc>
          <w:tcPr>
            <w:tcW w:w="4820" w:type="dxa"/>
            <w:tcBorders>
              <w:top w:val="single" w:sz="2" w:space="0" w:color="auto"/>
              <w:left w:val="single" w:sz="2" w:space="0" w:color="auto"/>
              <w:bottom w:val="single" w:sz="2" w:space="0" w:color="auto"/>
              <w:right w:val="single" w:sz="2" w:space="0" w:color="auto"/>
            </w:tcBorders>
            <w:vAlign w:val="center"/>
          </w:tcPr>
          <w:p w14:paraId="4E73601C"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0</w:t>
            </w:r>
          </w:p>
        </w:tc>
      </w:tr>
      <w:tr w:rsidR="00C57E60" w14:paraId="45BF6A99"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1685F23"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分配预案的股本基数（股）</w:t>
            </w:r>
          </w:p>
        </w:tc>
        <w:tc>
          <w:tcPr>
            <w:tcW w:w="4820" w:type="dxa"/>
            <w:tcBorders>
              <w:top w:val="single" w:sz="2" w:space="0" w:color="auto"/>
              <w:left w:val="single" w:sz="2" w:space="0" w:color="auto"/>
              <w:bottom w:val="single" w:sz="2" w:space="0" w:color="auto"/>
              <w:right w:val="single" w:sz="2" w:space="0" w:color="auto"/>
            </w:tcBorders>
            <w:vAlign w:val="center"/>
          </w:tcPr>
          <w:p w14:paraId="7C169DCC"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541,090,632</w:t>
            </w:r>
          </w:p>
        </w:tc>
      </w:tr>
      <w:tr w:rsidR="00C57E60" w14:paraId="7071EE92"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59EEE16"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现金分红金额（元）（含税）</w:t>
            </w:r>
          </w:p>
        </w:tc>
        <w:tc>
          <w:tcPr>
            <w:tcW w:w="4820" w:type="dxa"/>
            <w:tcBorders>
              <w:top w:val="single" w:sz="2" w:space="0" w:color="auto"/>
              <w:left w:val="single" w:sz="2" w:space="0" w:color="auto"/>
              <w:bottom w:val="single" w:sz="2" w:space="0" w:color="auto"/>
              <w:right w:val="single" w:sz="2" w:space="0" w:color="auto"/>
            </w:tcBorders>
            <w:vAlign w:val="center"/>
          </w:tcPr>
          <w:p w14:paraId="2D209B75"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0.00</w:t>
            </w:r>
          </w:p>
        </w:tc>
      </w:tr>
      <w:tr w:rsidR="00C57E60" w14:paraId="17A30D47"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D0616A9"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以其他方式（如回购股份）现金分红金额（元）</w:t>
            </w:r>
          </w:p>
        </w:tc>
        <w:tc>
          <w:tcPr>
            <w:tcW w:w="4820" w:type="dxa"/>
            <w:tcBorders>
              <w:top w:val="single" w:sz="2" w:space="0" w:color="auto"/>
              <w:left w:val="single" w:sz="2" w:space="0" w:color="auto"/>
              <w:bottom w:val="single" w:sz="2" w:space="0" w:color="auto"/>
              <w:right w:val="single" w:sz="2" w:space="0" w:color="auto"/>
            </w:tcBorders>
            <w:vAlign w:val="center"/>
          </w:tcPr>
          <w:p w14:paraId="0DA01DC0"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201,617,066.23</w:t>
            </w:r>
          </w:p>
        </w:tc>
      </w:tr>
      <w:tr w:rsidR="00C57E60" w14:paraId="0CF18F0B"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CC356AA"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现金分红总额（含其他方式）（元）</w:t>
            </w:r>
          </w:p>
        </w:tc>
        <w:tc>
          <w:tcPr>
            <w:tcW w:w="4820" w:type="dxa"/>
            <w:tcBorders>
              <w:top w:val="single" w:sz="2" w:space="0" w:color="auto"/>
              <w:left w:val="single" w:sz="2" w:space="0" w:color="auto"/>
              <w:bottom w:val="single" w:sz="2" w:space="0" w:color="auto"/>
              <w:right w:val="single" w:sz="2" w:space="0" w:color="auto"/>
            </w:tcBorders>
            <w:vAlign w:val="center"/>
          </w:tcPr>
          <w:p w14:paraId="5CE08F46"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201,617,066.23</w:t>
            </w:r>
          </w:p>
        </w:tc>
      </w:tr>
      <w:tr w:rsidR="00C57E60" w14:paraId="4162F428"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1450064"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可分配利润（元）</w:t>
            </w:r>
          </w:p>
        </w:tc>
        <w:tc>
          <w:tcPr>
            <w:tcW w:w="4820" w:type="dxa"/>
            <w:tcBorders>
              <w:top w:val="single" w:sz="2" w:space="0" w:color="auto"/>
              <w:left w:val="single" w:sz="2" w:space="0" w:color="auto"/>
              <w:bottom w:val="single" w:sz="2" w:space="0" w:color="auto"/>
              <w:right w:val="single" w:sz="2" w:space="0" w:color="auto"/>
            </w:tcBorders>
            <w:vAlign w:val="center"/>
          </w:tcPr>
          <w:p w14:paraId="5F2CE54D"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1,071,018,512.63</w:t>
            </w:r>
          </w:p>
        </w:tc>
      </w:tr>
      <w:tr w:rsidR="00C57E60" w14:paraId="2C664ADE" w14:textId="77777777" w:rsidTr="00C57E6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ECB018D" w14:textId="77777777" w:rsidR="0001460F" w:rsidRPr="0001460F" w:rsidRDefault="0001460F" w:rsidP="0001460F">
            <w:pPr>
              <w:spacing w:before="40" w:after="40"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现金分红总额（含其他方式）占利润分配总额的比例</w:t>
            </w:r>
          </w:p>
        </w:tc>
        <w:tc>
          <w:tcPr>
            <w:tcW w:w="4820" w:type="dxa"/>
            <w:tcBorders>
              <w:top w:val="single" w:sz="2" w:space="0" w:color="auto"/>
              <w:left w:val="single" w:sz="2" w:space="0" w:color="auto"/>
              <w:bottom w:val="single" w:sz="2" w:space="0" w:color="auto"/>
              <w:right w:val="single" w:sz="2" w:space="0" w:color="auto"/>
            </w:tcBorders>
            <w:vAlign w:val="center"/>
          </w:tcPr>
          <w:p w14:paraId="5D074B66" w14:textId="77777777" w:rsidR="0001460F" w:rsidRPr="0001460F" w:rsidRDefault="0001460F" w:rsidP="0001460F">
            <w:pPr>
              <w:spacing w:line="360" w:lineRule="auto"/>
              <w:jc w:val="right"/>
              <w:rPr>
                <w:rFonts w:ascii="Times New Roman" w:eastAsia="宋体" w:hAnsi="Times New Roman" w:cs="Times New Roman"/>
                <w:sz w:val="18"/>
                <w:szCs w:val="18"/>
              </w:rPr>
            </w:pPr>
            <w:r w:rsidRPr="0001460F">
              <w:rPr>
                <w:rFonts w:ascii="Times New Roman" w:eastAsia="宋体" w:hAnsi="Times New Roman" w:cs="Times New Roman"/>
                <w:sz w:val="18"/>
                <w:szCs w:val="18"/>
              </w:rPr>
              <w:t>100.00%</w:t>
            </w:r>
          </w:p>
        </w:tc>
      </w:tr>
      <w:tr w:rsidR="00C57E60" w14:paraId="6963774C" w14:textId="77777777" w:rsidTr="00C57E60">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41099EB" w14:textId="77777777" w:rsidR="0001460F" w:rsidRPr="0001460F" w:rsidRDefault="0001460F" w:rsidP="0001460F">
            <w:pPr>
              <w:spacing w:before="40" w:after="40" w:line="360" w:lineRule="auto"/>
              <w:jc w:val="center"/>
              <w:rPr>
                <w:rFonts w:ascii="Times New Roman" w:eastAsia="宋体" w:hAnsi="Times New Roman" w:cs="Times New Roman"/>
                <w:sz w:val="18"/>
                <w:szCs w:val="18"/>
              </w:rPr>
            </w:pPr>
            <w:r w:rsidRPr="0001460F">
              <w:rPr>
                <w:rFonts w:ascii="Times New Roman" w:eastAsia="宋体" w:hAnsi="Times New Roman" w:cs="Times New Roman"/>
                <w:sz w:val="18"/>
                <w:szCs w:val="18"/>
              </w:rPr>
              <w:t>本次现金分红情况</w:t>
            </w:r>
          </w:p>
        </w:tc>
      </w:tr>
      <w:tr w:rsidR="00C57E60" w14:paraId="05AB05E6" w14:textId="77777777" w:rsidTr="00C57E60">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31937667" w14:textId="77777777" w:rsidR="0001460F" w:rsidRPr="0001460F" w:rsidRDefault="0001460F" w:rsidP="0001460F">
            <w:pPr>
              <w:spacing w:line="360" w:lineRule="auto"/>
              <w:rPr>
                <w:rFonts w:ascii="Times New Roman" w:eastAsia="宋体" w:hAnsi="Times New Roman" w:cs="Times New Roman"/>
                <w:sz w:val="18"/>
                <w:szCs w:val="18"/>
              </w:rPr>
            </w:pPr>
            <w:r w:rsidRPr="0001460F">
              <w:rPr>
                <w:rFonts w:ascii="Times New Roman" w:eastAsia="宋体" w:hAnsi="Times New Roman" w:cs="Times New Roman"/>
                <w:sz w:val="18"/>
                <w:szCs w:val="18"/>
              </w:rPr>
              <w:t>其他</w:t>
            </w:r>
          </w:p>
        </w:tc>
      </w:tr>
      <w:tr w:rsidR="00C57E60" w14:paraId="6B42DF52" w14:textId="77777777" w:rsidTr="00C57E60">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8B4C7B4" w14:textId="77777777" w:rsidR="0001460F" w:rsidRPr="0001460F" w:rsidRDefault="0001460F" w:rsidP="0001460F">
            <w:pPr>
              <w:spacing w:before="40" w:after="40" w:line="360" w:lineRule="auto"/>
              <w:jc w:val="center"/>
              <w:rPr>
                <w:rFonts w:ascii="Times New Roman" w:eastAsia="宋体" w:hAnsi="Times New Roman" w:cs="Times New Roman"/>
                <w:sz w:val="18"/>
                <w:szCs w:val="18"/>
              </w:rPr>
            </w:pPr>
            <w:r w:rsidRPr="0001460F">
              <w:rPr>
                <w:rFonts w:ascii="Times New Roman" w:eastAsia="宋体" w:hAnsi="Times New Roman" w:cs="Times New Roman"/>
                <w:sz w:val="18"/>
                <w:szCs w:val="18"/>
              </w:rPr>
              <w:t>利润分配或资本公积金转增预案的详细情况说明</w:t>
            </w:r>
          </w:p>
        </w:tc>
      </w:tr>
      <w:tr w:rsidR="00C57E60" w14:paraId="26F5B0B8" w14:textId="77777777" w:rsidTr="00C57E60">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1A32FE45" w14:textId="35899760" w:rsidR="0001460F" w:rsidRPr="0001460F" w:rsidRDefault="0001460F" w:rsidP="0086498D">
            <w:pPr>
              <w:spacing w:line="360" w:lineRule="auto"/>
              <w:jc w:val="both"/>
              <w:rPr>
                <w:rFonts w:ascii="Times New Roman" w:eastAsia="宋体" w:hAnsi="Times New Roman" w:cs="Times New Roman"/>
                <w:sz w:val="18"/>
                <w:szCs w:val="18"/>
              </w:rPr>
            </w:pPr>
            <w:r w:rsidRPr="0001460F">
              <w:rPr>
                <w:rFonts w:ascii="Times New Roman" w:eastAsia="宋体" w:hAnsi="Times New Roman" w:cs="Times New Roman"/>
                <w:sz w:val="18"/>
                <w:szCs w:val="18"/>
              </w:rPr>
              <w:t>2026</w:t>
            </w:r>
            <w:r w:rsidRPr="0001460F">
              <w:rPr>
                <w:rFonts w:ascii="Times New Roman" w:eastAsia="宋体" w:hAnsi="Times New Roman" w:cs="Times New Roman"/>
                <w:sz w:val="18"/>
                <w:szCs w:val="18"/>
              </w:rPr>
              <w:t>年</w:t>
            </w:r>
            <w:r w:rsidRPr="0001460F">
              <w:rPr>
                <w:rFonts w:ascii="Times New Roman" w:eastAsia="宋体" w:hAnsi="Times New Roman" w:cs="Times New Roman"/>
                <w:sz w:val="18"/>
                <w:szCs w:val="18"/>
              </w:rPr>
              <w:t>4</w:t>
            </w:r>
            <w:r w:rsidRPr="0001460F">
              <w:rPr>
                <w:rFonts w:ascii="Times New Roman" w:eastAsia="宋体" w:hAnsi="Times New Roman" w:cs="Times New Roman"/>
                <w:sz w:val="18"/>
                <w:szCs w:val="18"/>
              </w:rPr>
              <w:t>月</w:t>
            </w:r>
            <w:r w:rsidRPr="0001460F">
              <w:rPr>
                <w:rFonts w:ascii="Times New Roman" w:eastAsia="宋体" w:hAnsi="Times New Roman" w:cs="Times New Roman"/>
                <w:sz w:val="18"/>
                <w:szCs w:val="18"/>
              </w:rPr>
              <w:t>27</w:t>
            </w:r>
            <w:r w:rsidRPr="0001460F">
              <w:rPr>
                <w:rFonts w:ascii="Times New Roman" w:eastAsia="宋体" w:hAnsi="Times New Roman" w:cs="Times New Roman"/>
                <w:sz w:val="18"/>
                <w:szCs w:val="18"/>
              </w:rPr>
              <w:t>日，公司第六届董事会第四次会议审议通过《关于〈公司</w:t>
            </w:r>
            <w:r w:rsidRPr="0001460F">
              <w:rPr>
                <w:rFonts w:ascii="Times New Roman" w:eastAsia="宋体" w:hAnsi="Times New Roman" w:cs="Times New Roman"/>
                <w:sz w:val="18"/>
                <w:szCs w:val="18"/>
              </w:rPr>
              <w:t>2025</w:t>
            </w:r>
            <w:r w:rsidRPr="0001460F">
              <w:rPr>
                <w:rFonts w:ascii="Times New Roman" w:eastAsia="宋体" w:hAnsi="Times New Roman" w:cs="Times New Roman"/>
                <w:sz w:val="18"/>
                <w:szCs w:val="18"/>
              </w:rPr>
              <w:t>年度利润分配预案〉的议案》，</w:t>
            </w:r>
            <w:r w:rsidR="006774C7" w:rsidRPr="006774C7">
              <w:rPr>
                <w:rFonts w:ascii="Times New Roman" w:eastAsia="宋体" w:hAnsi="Times New Roman" w:cs="Times New Roman" w:hint="eastAsia"/>
                <w:sz w:val="18"/>
                <w:szCs w:val="18"/>
              </w:rPr>
              <w:t>综合考虑公司实际经营状况、当前发展阶段以及未来长期发展规划等各方面因素，为更好地维护全体股东的长远利益，保障公司的持续稳定发展和资金需求，经董事会研究决定，拟定公司</w:t>
            </w:r>
            <w:r w:rsidR="006774C7" w:rsidRPr="006774C7">
              <w:rPr>
                <w:rFonts w:ascii="Times New Roman" w:eastAsia="宋体" w:hAnsi="Times New Roman" w:cs="Times New Roman"/>
                <w:sz w:val="18"/>
                <w:szCs w:val="18"/>
              </w:rPr>
              <w:t>2025</w:t>
            </w:r>
            <w:r w:rsidR="006774C7" w:rsidRPr="006774C7">
              <w:rPr>
                <w:rFonts w:ascii="Times New Roman" w:eastAsia="宋体" w:hAnsi="Times New Roman" w:cs="Times New Roman"/>
                <w:sz w:val="18"/>
                <w:szCs w:val="18"/>
              </w:rPr>
              <w:t>年度利润分配方案为：</w:t>
            </w:r>
            <w:r w:rsidR="006774C7" w:rsidRPr="006774C7">
              <w:rPr>
                <w:rFonts w:ascii="Times New Roman" w:eastAsia="宋体" w:hAnsi="Times New Roman" w:cs="Times New Roman"/>
                <w:sz w:val="18"/>
                <w:szCs w:val="18"/>
              </w:rPr>
              <w:t>2025</w:t>
            </w:r>
            <w:r w:rsidR="006774C7" w:rsidRPr="006774C7">
              <w:rPr>
                <w:rFonts w:ascii="Times New Roman" w:eastAsia="宋体" w:hAnsi="Times New Roman" w:cs="Times New Roman"/>
                <w:sz w:val="18"/>
                <w:szCs w:val="18"/>
              </w:rPr>
              <w:t>年度拟不派发现金红利、不送红股、不进行公积金转增股本。</w:t>
            </w:r>
            <w:r w:rsidRPr="0001460F">
              <w:rPr>
                <w:rFonts w:ascii="Times New Roman" w:eastAsia="宋体" w:hAnsi="Times New Roman" w:cs="Times New Roman"/>
                <w:sz w:val="18"/>
                <w:szCs w:val="18"/>
              </w:rPr>
              <w:t>该分配预案已经公司第六届董事会第一次独立董事专门会议审议通过，尚需提交公司</w:t>
            </w:r>
            <w:r w:rsidRPr="0001460F">
              <w:rPr>
                <w:rFonts w:ascii="Times New Roman" w:eastAsia="宋体" w:hAnsi="Times New Roman" w:cs="Times New Roman"/>
                <w:sz w:val="18"/>
                <w:szCs w:val="18"/>
              </w:rPr>
              <w:t>2025</w:t>
            </w:r>
            <w:r w:rsidRPr="0001460F">
              <w:rPr>
                <w:rFonts w:ascii="Times New Roman" w:eastAsia="宋体" w:hAnsi="Times New Roman" w:cs="Times New Roman"/>
                <w:sz w:val="18"/>
                <w:szCs w:val="18"/>
              </w:rPr>
              <w:t>年年度股东会审议。</w:t>
            </w:r>
          </w:p>
        </w:tc>
      </w:tr>
    </w:tbl>
    <w:p w14:paraId="1A79F46B" w14:textId="77777777" w:rsidR="0001460F" w:rsidRDefault="0001460F" w:rsidP="0001460F">
      <w:pPr>
        <w:spacing w:before="100" w:after="100" w:line="240" w:lineRule="exact"/>
        <w:rPr>
          <w:rFonts w:ascii="宋体" w:eastAsia="宋体" w:hAnsi="宋体" w:cs="宋体"/>
          <w:sz w:val="18"/>
          <w:szCs w:val="18"/>
        </w:rPr>
      </w:pPr>
      <w:r>
        <w:rPr>
          <w:rFonts w:ascii="宋体" w:eastAsia="宋体" w:hAnsi="宋体" w:cs="宋体"/>
          <w:sz w:val="18"/>
          <w:szCs w:val="18"/>
        </w:rPr>
        <w:t>公司报告期内盈利且母公司可供股东分配利润为正但未提出现金红利分配预案</w:t>
      </w:r>
    </w:p>
    <w:p w14:paraId="53A25E79" w14:textId="77777777" w:rsidR="0001460F" w:rsidRDefault="0001460F" w:rsidP="0001460F">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9639" w:type="dxa"/>
        <w:tblInd w:w="108" w:type="dxa"/>
        <w:tblLayout w:type="fixed"/>
        <w:tblLook w:val="04A0" w:firstRow="1" w:lastRow="0" w:firstColumn="1" w:lastColumn="0" w:noHBand="0" w:noVBand="1"/>
      </w:tblPr>
      <w:tblGrid>
        <w:gridCol w:w="4819"/>
        <w:gridCol w:w="4820"/>
      </w:tblGrid>
      <w:tr w:rsidR="00C57E60" w14:paraId="3E93A6D7" w14:textId="77777777" w:rsidTr="004E63D7">
        <w:trPr>
          <w:trHeight w:val="240"/>
        </w:trPr>
        <w:tc>
          <w:tcPr>
            <w:tcW w:w="4819" w:type="dxa"/>
            <w:tcBorders>
              <w:top w:val="single" w:sz="2" w:space="0" w:color="auto"/>
              <w:left w:val="single" w:sz="2" w:space="0" w:color="auto"/>
              <w:bottom w:val="single" w:sz="2" w:space="0" w:color="auto"/>
              <w:right w:val="single" w:sz="2" w:space="0" w:color="auto"/>
            </w:tcBorders>
            <w:shd w:val="clear" w:color="auto" w:fill="D3D3D3"/>
            <w:vAlign w:val="center"/>
          </w:tcPr>
          <w:p w14:paraId="170F2B3D" w14:textId="77777777" w:rsidR="0001460F" w:rsidRPr="004E63D7" w:rsidRDefault="0001460F" w:rsidP="004E63D7">
            <w:pPr>
              <w:spacing w:before="40" w:after="40" w:line="360" w:lineRule="auto"/>
              <w:jc w:val="center"/>
              <w:rPr>
                <w:rFonts w:ascii="Times New Roman" w:eastAsia="宋体" w:hAnsi="Times New Roman" w:cs="Times New Roman"/>
                <w:sz w:val="18"/>
                <w:szCs w:val="18"/>
              </w:rPr>
            </w:pPr>
            <w:r w:rsidRPr="004E63D7">
              <w:rPr>
                <w:rFonts w:ascii="Times New Roman" w:eastAsia="宋体" w:hAnsi="Times New Roman" w:cs="Times New Roman"/>
                <w:sz w:val="18"/>
                <w:szCs w:val="18"/>
              </w:rPr>
              <w:t>报告期内盈利且母公司可供股东分配利润为正但未提出现金红利分配预案的原因</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BFA907D" w14:textId="77777777" w:rsidR="0001460F" w:rsidRPr="004E63D7" w:rsidRDefault="0001460F" w:rsidP="004E63D7">
            <w:pPr>
              <w:spacing w:before="40" w:after="40" w:line="360" w:lineRule="auto"/>
              <w:jc w:val="center"/>
              <w:rPr>
                <w:rFonts w:ascii="Times New Roman" w:eastAsia="宋体" w:hAnsi="Times New Roman" w:cs="Times New Roman"/>
                <w:sz w:val="18"/>
                <w:szCs w:val="18"/>
              </w:rPr>
            </w:pPr>
            <w:r w:rsidRPr="004E63D7">
              <w:rPr>
                <w:rFonts w:ascii="Times New Roman" w:eastAsia="宋体" w:hAnsi="Times New Roman" w:cs="Times New Roman"/>
                <w:sz w:val="18"/>
                <w:szCs w:val="18"/>
              </w:rPr>
              <w:t>公司未分配利润的用途和使用计划</w:t>
            </w:r>
          </w:p>
        </w:tc>
      </w:tr>
      <w:tr w:rsidR="00C57E60" w14:paraId="25CE7867" w14:textId="77777777" w:rsidTr="004E63D7">
        <w:trPr>
          <w:trHeight w:val="240"/>
        </w:trPr>
        <w:tc>
          <w:tcPr>
            <w:tcW w:w="4819" w:type="dxa"/>
            <w:tcBorders>
              <w:top w:val="single" w:sz="2" w:space="0" w:color="auto"/>
              <w:left w:val="single" w:sz="2" w:space="0" w:color="auto"/>
              <w:bottom w:val="single" w:sz="2" w:space="0" w:color="auto"/>
              <w:right w:val="single" w:sz="2" w:space="0" w:color="auto"/>
            </w:tcBorders>
            <w:vAlign w:val="center"/>
          </w:tcPr>
          <w:p w14:paraId="2693BE23" w14:textId="5843C51F" w:rsidR="0001460F" w:rsidRPr="004E63D7" w:rsidRDefault="0001460F" w:rsidP="004E63D7">
            <w:pPr>
              <w:spacing w:line="360" w:lineRule="auto"/>
              <w:jc w:val="both"/>
              <w:rPr>
                <w:rFonts w:ascii="Times New Roman" w:eastAsia="宋体" w:hAnsi="Times New Roman" w:cs="Times New Roman"/>
                <w:sz w:val="18"/>
                <w:szCs w:val="18"/>
              </w:rPr>
            </w:pPr>
            <w:r w:rsidRPr="004E63D7">
              <w:rPr>
                <w:rFonts w:ascii="Times New Roman" w:eastAsia="宋体" w:hAnsi="Times New Roman" w:cs="Times New Roman"/>
                <w:sz w:val="18"/>
                <w:szCs w:val="18"/>
              </w:rPr>
              <w:t>1</w:t>
            </w:r>
            <w:r w:rsidRPr="004E63D7">
              <w:rPr>
                <w:rFonts w:ascii="Times New Roman" w:eastAsia="宋体" w:hAnsi="Times New Roman" w:cs="Times New Roman"/>
                <w:sz w:val="18"/>
                <w:szCs w:val="18"/>
              </w:rPr>
              <w:t>、鉴于</w:t>
            </w:r>
            <w:r w:rsidRPr="004E63D7">
              <w:rPr>
                <w:rFonts w:ascii="Times New Roman" w:eastAsia="宋体" w:hAnsi="Times New Roman" w:cs="Times New Roman"/>
                <w:sz w:val="18"/>
                <w:szCs w:val="18"/>
              </w:rPr>
              <w:t>2025</w:t>
            </w:r>
            <w:r w:rsidRPr="004E63D7">
              <w:rPr>
                <w:rFonts w:ascii="Times New Roman" w:eastAsia="宋体" w:hAnsi="Times New Roman" w:cs="Times New Roman"/>
                <w:sz w:val="18"/>
                <w:szCs w:val="18"/>
              </w:rPr>
              <w:t>年度公司归属于上市公司的净利润下降幅度较大，经综合考虑公司中长期发展规划与短期生产经营实际需求，结合公司现金流量实际情况及未来经营发展对资金的需求，为提高公司长远发展能力和盈利能力，增强</w:t>
            </w:r>
            <w:r w:rsidR="00613289">
              <w:rPr>
                <w:rFonts w:ascii="Times New Roman" w:eastAsia="宋体" w:hAnsi="Times New Roman" w:cs="Times New Roman" w:hint="eastAsia"/>
                <w:sz w:val="18"/>
                <w:szCs w:val="18"/>
              </w:rPr>
              <w:t>抵御</w:t>
            </w:r>
            <w:r w:rsidRPr="004E63D7">
              <w:rPr>
                <w:rFonts w:ascii="Times New Roman" w:eastAsia="宋体" w:hAnsi="Times New Roman" w:cs="Times New Roman"/>
                <w:sz w:val="18"/>
                <w:szCs w:val="18"/>
              </w:rPr>
              <w:t>风险能力，经研究决定</w:t>
            </w:r>
            <w:r w:rsidRPr="004E63D7">
              <w:rPr>
                <w:rFonts w:ascii="Times New Roman" w:eastAsia="宋体" w:hAnsi="Times New Roman" w:cs="Times New Roman"/>
                <w:sz w:val="18"/>
                <w:szCs w:val="18"/>
              </w:rPr>
              <w:t>2025</w:t>
            </w:r>
            <w:r w:rsidRPr="004E63D7">
              <w:rPr>
                <w:rFonts w:ascii="Times New Roman" w:eastAsia="宋体" w:hAnsi="Times New Roman" w:cs="Times New Roman"/>
                <w:sz w:val="18"/>
                <w:szCs w:val="18"/>
              </w:rPr>
              <w:t>年度拟不派发现金红利，不送红股，不</w:t>
            </w:r>
            <w:r w:rsidR="00613289">
              <w:rPr>
                <w:rFonts w:ascii="Times New Roman" w:eastAsia="宋体" w:hAnsi="Times New Roman" w:cs="Times New Roman" w:hint="eastAsia"/>
                <w:sz w:val="18"/>
                <w:szCs w:val="18"/>
              </w:rPr>
              <w:t>进行</w:t>
            </w:r>
            <w:r w:rsidRPr="004E63D7">
              <w:rPr>
                <w:rFonts w:ascii="Times New Roman" w:eastAsia="宋体" w:hAnsi="Times New Roman" w:cs="Times New Roman"/>
                <w:sz w:val="18"/>
                <w:szCs w:val="18"/>
              </w:rPr>
              <w:t>公积金转增股本。</w:t>
            </w:r>
          </w:p>
          <w:p w14:paraId="0CF1FABE" w14:textId="5CEB6B38" w:rsidR="0001460F" w:rsidRPr="004E63D7" w:rsidRDefault="0001460F" w:rsidP="004E63D7">
            <w:pPr>
              <w:spacing w:line="360" w:lineRule="auto"/>
              <w:jc w:val="both"/>
              <w:rPr>
                <w:rFonts w:ascii="Times New Roman" w:eastAsia="宋体" w:hAnsi="Times New Roman" w:cs="Times New Roman"/>
                <w:sz w:val="18"/>
                <w:szCs w:val="18"/>
              </w:rPr>
            </w:pPr>
            <w:r w:rsidRPr="004E63D7">
              <w:rPr>
                <w:rFonts w:ascii="Times New Roman" w:eastAsia="宋体" w:hAnsi="Times New Roman" w:cs="Times New Roman"/>
                <w:sz w:val="18"/>
                <w:szCs w:val="18"/>
              </w:rPr>
              <w:t>2</w:t>
            </w:r>
            <w:r w:rsidRPr="004E63D7">
              <w:rPr>
                <w:rFonts w:ascii="Times New Roman" w:eastAsia="宋体" w:hAnsi="Times New Roman" w:cs="Times New Roman"/>
                <w:sz w:val="18"/>
                <w:szCs w:val="18"/>
              </w:rPr>
              <w:t>、</w:t>
            </w:r>
            <w:r w:rsidR="00613289" w:rsidRPr="00613289">
              <w:rPr>
                <w:rFonts w:ascii="Times New Roman" w:eastAsia="宋体" w:hAnsi="Times New Roman" w:cs="Times New Roman" w:hint="eastAsia"/>
                <w:sz w:val="18"/>
                <w:szCs w:val="18"/>
              </w:rPr>
              <w:t>公司于</w:t>
            </w:r>
            <w:r w:rsidR="00613289" w:rsidRPr="00613289">
              <w:rPr>
                <w:rFonts w:ascii="Times New Roman" w:eastAsia="宋体" w:hAnsi="Times New Roman" w:cs="Times New Roman"/>
                <w:sz w:val="18"/>
                <w:szCs w:val="18"/>
              </w:rPr>
              <w:t>2025</w:t>
            </w:r>
            <w:r w:rsidR="00613289" w:rsidRPr="00613289">
              <w:rPr>
                <w:rFonts w:ascii="Times New Roman" w:eastAsia="宋体" w:hAnsi="Times New Roman" w:cs="Times New Roman"/>
                <w:sz w:val="18"/>
                <w:szCs w:val="18"/>
              </w:rPr>
              <w:t>年</w:t>
            </w:r>
            <w:r w:rsidR="00613289" w:rsidRPr="00613289">
              <w:rPr>
                <w:rFonts w:ascii="Times New Roman" w:eastAsia="宋体" w:hAnsi="Times New Roman" w:cs="Times New Roman"/>
                <w:sz w:val="18"/>
                <w:szCs w:val="18"/>
              </w:rPr>
              <w:t>4</w:t>
            </w:r>
            <w:r w:rsidR="00613289" w:rsidRPr="00613289">
              <w:rPr>
                <w:rFonts w:ascii="Times New Roman" w:eastAsia="宋体" w:hAnsi="Times New Roman" w:cs="Times New Roman"/>
                <w:sz w:val="18"/>
                <w:szCs w:val="18"/>
              </w:rPr>
              <w:t>月</w:t>
            </w:r>
            <w:r w:rsidR="00613289" w:rsidRPr="00613289">
              <w:rPr>
                <w:rFonts w:ascii="Times New Roman" w:eastAsia="宋体" w:hAnsi="Times New Roman" w:cs="Times New Roman"/>
                <w:sz w:val="18"/>
                <w:szCs w:val="18"/>
              </w:rPr>
              <w:t>7</w:t>
            </w:r>
            <w:r w:rsidR="00613289" w:rsidRPr="00613289">
              <w:rPr>
                <w:rFonts w:ascii="Times New Roman" w:eastAsia="宋体" w:hAnsi="Times New Roman" w:cs="Times New Roman"/>
                <w:sz w:val="18"/>
                <w:szCs w:val="18"/>
              </w:rPr>
              <w:t>日至</w:t>
            </w:r>
            <w:r w:rsidR="00613289" w:rsidRPr="00613289">
              <w:rPr>
                <w:rFonts w:ascii="Times New Roman" w:eastAsia="宋体" w:hAnsi="Times New Roman" w:cs="Times New Roman"/>
                <w:sz w:val="18"/>
                <w:szCs w:val="18"/>
              </w:rPr>
              <w:t>2025</w:t>
            </w:r>
            <w:r w:rsidR="00613289" w:rsidRPr="00613289">
              <w:rPr>
                <w:rFonts w:ascii="Times New Roman" w:eastAsia="宋体" w:hAnsi="Times New Roman" w:cs="Times New Roman"/>
                <w:sz w:val="18"/>
                <w:szCs w:val="18"/>
              </w:rPr>
              <w:t>年</w:t>
            </w:r>
            <w:r w:rsidR="00613289" w:rsidRPr="00613289">
              <w:rPr>
                <w:rFonts w:ascii="Times New Roman" w:eastAsia="宋体" w:hAnsi="Times New Roman" w:cs="Times New Roman"/>
                <w:sz w:val="18"/>
                <w:szCs w:val="18"/>
              </w:rPr>
              <w:t>12</w:t>
            </w:r>
            <w:r w:rsidR="00613289" w:rsidRPr="00613289">
              <w:rPr>
                <w:rFonts w:ascii="Times New Roman" w:eastAsia="宋体" w:hAnsi="Times New Roman" w:cs="Times New Roman"/>
                <w:sz w:val="18"/>
                <w:szCs w:val="18"/>
              </w:rPr>
              <w:t>月</w:t>
            </w:r>
            <w:r w:rsidR="00613289" w:rsidRPr="00613289">
              <w:rPr>
                <w:rFonts w:ascii="Times New Roman" w:eastAsia="宋体" w:hAnsi="Times New Roman" w:cs="Times New Roman"/>
                <w:sz w:val="18"/>
                <w:szCs w:val="18"/>
              </w:rPr>
              <w:t>31</w:t>
            </w:r>
            <w:r w:rsidR="00613289" w:rsidRPr="00613289">
              <w:rPr>
                <w:rFonts w:ascii="Times New Roman" w:eastAsia="宋体" w:hAnsi="Times New Roman" w:cs="Times New Roman"/>
                <w:sz w:val="18"/>
                <w:szCs w:val="18"/>
              </w:rPr>
              <w:t>日期间通过股份回购专用证券账户以集中竞价交易方式累计回购公司股份</w:t>
            </w:r>
            <w:r w:rsidR="00613289" w:rsidRPr="00613289">
              <w:rPr>
                <w:rFonts w:ascii="Times New Roman" w:eastAsia="宋体" w:hAnsi="Times New Roman" w:cs="Times New Roman"/>
                <w:sz w:val="18"/>
                <w:szCs w:val="18"/>
              </w:rPr>
              <w:t>10,314,561</w:t>
            </w:r>
            <w:r w:rsidR="00613289" w:rsidRPr="00613289">
              <w:rPr>
                <w:rFonts w:ascii="Times New Roman" w:eastAsia="宋体" w:hAnsi="Times New Roman" w:cs="Times New Roman"/>
                <w:sz w:val="18"/>
                <w:szCs w:val="18"/>
              </w:rPr>
              <w:t>股，成交总金额为</w:t>
            </w:r>
            <w:r w:rsidR="00613289" w:rsidRPr="00613289">
              <w:rPr>
                <w:rFonts w:ascii="Times New Roman" w:eastAsia="宋体" w:hAnsi="Times New Roman" w:cs="Times New Roman"/>
                <w:sz w:val="18"/>
                <w:szCs w:val="18"/>
              </w:rPr>
              <w:t>201,617,066.23</w:t>
            </w:r>
            <w:r w:rsidR="00613289" w:rsidRPr="00613289">
              <w:rPr>
                <w:rFonts w:ascii="Times New Roman" w:eastAsia="宋体" w:hAnsi="Times New Roman" w:cs="Times New Roman"/>
                <w:sz w:val="18"/>
                <w:szCs w:val="18"/>
              </w:rPr>
              <w:t>元（不含交易费用）</w:t>
            </w:r>
            <w:r w:rsidR="006F11C7">
              <w:rPr>
                <w:rFonts w:ascii="Times New Roman" w:eastAsia="宋体" w:hAnsi="Times New Roman" w:cs="Times New Roman" w:hint="eastAsia"/>
                <w:sz w:val="18"/>
                <w:szCs w:val="18"/>
              </w:rPr>
              <w:t>，</w:t>
            </w:r>
            <w:r w:rsidRPr="004E63D7">
              <w:rPr>
                <w:rFonts w:ascii="Times New Roman" w:eastAsia="宋体" w:hAnsi="Times New Roman" w:cs="Times New Roman"/>
                <w:sz w:val="18"/>
                <w:szCs w:val="18"/>
              </w:rPr>
              <w:t>视同</w:t>
            </w:r>
            <w:r w:rsidRPr="004E63D7">
              <w:rPr>
                <w:rFonts w:ascii="Times New Roman" w:eastAsia="宋体" w:hAnsi="Times New Roman" w:cs="Times New Roman"/>
                <w:sz w:val="18"/>
                <w:szCs w:val="18"/>
              </w:rPr>
              <w:t>2025</w:t>
            </w:r>
            <w:r w:rsidRPr="004E63D7">
              <w:rPr>
                <w:rFonts w:ascii="Times New Roman" w:eastAsia="宋体" w:hAnsi="Times New Roman" w:cs="Times New Roman"/>
                <w:sz w:val="18"/>
                <w:szCs w:val="18"/>
              </w:rPr>
              <w:t>年度现金分红</w:t>
            </w:r>
            <w:r w:rsidRPr="004E63D7">
              <w:rPr>
                <w:rFonts w:ascii="Times New Roman" w:eastAsia="宋体" w:hAnsi="Times New Roman" w:cs="Times New Roman"/>
                <w:sz w:val="18"/>
                <w:szCs w:val="18"/>
              </w:rPr>
              <w:t>201,617,066.23</w:t>
            </w:r>
            <w:r w:rsidRPr="004E63D7">
              <w:rPr>
                <w:rFonts w:ascii="Times New Roman" w:eastAsia="宋体" w:hAnsi="Times New Roman" w:cs="Times New Roman"/>
                <w:sz w:val="18"/>
                <w:szCs w:val="18"/>
              </w:rPr>
              <w:t>元，公司以回购方式实现了对投资者的权益回报。</w:t>
            </w:r>
          </w:p>
        </w:tc>
        <w:tc>
          <w:tcPr>
            <w:tcW w:w="4820" w:type="dxa"/>
            <w:tcBorders>
              <w:top w:val="single" w:sz="2" w:space="0" w:color="auto"/>
              <w:left w:val="single" w:sz="2" w:space="0" w:color="auto"/>
              <w:bottom w:val="single" w:sz="2" w:space="0" w:color="auto"/>
              <w:right w:val="single" w:sz="2" w:space="0" w:color="auto"/>
            </w:tcBorders>
            <w:vAlign w:val="center"/>
          </w:tcPr>
          <w:p w14:paraId="3A2CFD14" w14:textId="77777777" w:rsidR="0001460F" w:rsidRPr="004E63D7" w:rsidRDefault="0001460F" w:rsidP="004E63D7">
            <w:pPr>
              <w:spacing w:line="360" w:lineRule="auto"/>
              <w:rPr>
                <w:rFonts w:ascii="Times New Roman" w:eastAsia="宋体" w:hAnsi="Times New Roman" w:cs="Times New Roman"/>
                <w:sz w:val="18"/>
                <w:szCs w:val="18"/>
              </w:rPr>
            </w:pPr>
            <w:r w:rsidRPr="004E63D7">
              <w:rPr>
                <w:rFonts w:ascii="Times New Roman" w:eastAsia="宋体" w:hAnsi="Times New Roman" w:cs="Times New Roman"/>
                <w:sz w:val="18"/>
                <w:szCs w:val="18"/>
              </w:rPr>
              <w:t>结合公司</w:t>
            </w:r>
            <w:r w:rsidRPr="004E63D7">
              <w:rPr>
                <w:rFonts w:ascii="Times New Roman" w:eastAsia="宋体" w:hAnsi="Times New Roman" w:cs="Times New Roman"/>
                <w:sz w:val="18"/>
                <w:szCs w:val="18"/>
              </w:rPr>
              <w:t>2025</w:t>
            </w:r>
            <w:r w:rsidRPr="004E63D7">
              <w:rPr>
                <w:rFonts w:ascii="Times New Roman" w:eastAsia="宋体" w:hAnsi="Times New Roman" w:cs="Times New Roman"/>
                <w:sz w:val="18"/>
                <w:szCs w:val="18"/>
              </w:rPr>
              <w:t>年度公司现金流量实际情况及未来经营发展对资金的需求，同时兼顾应对外部风险的必要资金需求，公司未分配利润将结转至以后年度。</w:t>
            </w:r>
          </w:p>
          <w:p w14:paraId="6AF5A8A0" w14:textId="713A8D6F" w:rsidR="0001460F" w:rsidRPr="004E63D7" w:rsidRDefault="0001460F" w:rsidP="0086498D">
            <w:pPr>
              <w:spacing w:line="360" w:lineRule="auto"/>
              <w:jc w:val="both"/>
              <w:rPr>
                <w:rFonts w:ascii="Times New Roman" w:eastAsia="宋体" w:hAnsi="Times New Roman" w:cs="Times New Roman"/>
                <w:sz w:val="18"/>
                <w:szCs w:val="18"/>
              </w:rPr>
            </w:pPr>
            <w:r w:rsidRPr="004E63D7">
              <w:rPr>
                <w:rFonts w:ascii="Times New Roman" w:eastAsia="宋体" w:hAnsi="Times New Roman" w:cs="Times New Roman"/>
                <w:sz w:val="18"/>
                <w:szCs w:val="18"/>
              </w:rPr>
              <w:t>公司重视对投资者的合理投资回报，今后仍将严格按照相关法律法规和《公司章程》等规定，综合</w:t>
            </w:r>
            <w:r w:rsidR="00D8520D">
              <w:rPr>
                <w:rFonts w:ascii="Times New Roman" w:eastAsia="宋体" w:hAnsi="Times New Roman" w:cs="Times New Roman" w:hint="eastAsia"/>
                <w:sz w:val="18"/>
                <w:szCs w:val="18"/>
              </w:rPr>
              <w:t>考虑</w:t>
            </w:r>
            <w:r w:rsidRPr="004E63D7">
              <w:rPr>
                <w:rFonts w:ascii="Times New Roman" w:eastAsia="宋体" w:hAnsi="Times New Roman" w:cs="Times New Roman"/>
                <w:sz w:val="18"/>
                <w:szCs w:val="18"/>
              </w:rPr>
              <w:t>利润分配相关的各种因素，从有利于公司发展和投资者回报的角度出发，在确保公司持续、健康、稳定发展的前提下，与广大投资者共享公司发展的成果。</w:t>
            </w:r>
          </w:p>
        </w:tc>
      </w:tr>
    </w:tbl>
    <w:p w14:paraId="436BEBB4" w14:textId="77777777" w:rsidR="00113A51" w:rsidRDefault="00766EC7">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十二、公司股权激励计划、员工持股计划或其他员工激励措施的实施情况</w:t>
      </w:r>
      <w:bookmarkEnd w:id="83"/>
    </w:p>
    <w:p w14:paraId="785C60EC" w14:textId="77777777" w:rsidR="00113A51" w:rsidRDefault="00766EC7">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18D6DA1" w14:textId="77777777" w:rsidR="00113A51" w:rsidRDefault="00766EC7">
      <w:pPr>
        <w:pStyle w:val="3"/>
        <w:spacing w:line="280" w:lineRule="exact"/>
        <w:jc w:val="left"/>
        <w:rPr>
          <w:rFonts w:ascii="宋体" w:hAnsi="宋体" w:cs="宋体"/>
          <w:b/>
          <w:bCs/>
        </w:rPr>
      </w:pPr>
      <w:bookmarkStart w:id="84" w:name="_Toc988963"/>
      <w:r>
        <w:rPr>
          <w:rFonts w:ascii="宋体" w:hAnsi="宋体" w:cs="宋体"/>
          <w:b/>
          <w:bCs/>
        </w:rPr>
        <w:t>1、股权激励</w:t>
      </w:r>
      <w:bookmarkEnd w:id="84"/>
    </w:p>
    <w:p w14:paraId="7F33817D"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报告期内，公司未实施股权激励计划。</w:t>
      </w:r>
    </w:p>
    <w:p w14:paraId="75FB941D"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董事、高级管理人员获得的股权激励</w:t>
      </w:r>
    </w:p>
    <w:p w14:paraId="4F6E188A"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4DB057A6"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高级管理人员的考评机制及激励情况</w:t>
      </w:r>
    </w:p>
    <w:p w14:paraId="011F5C44"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为充分调动公司高级管理人员的工作积极性和创造性，促进公司经济效益的持续增长，公司董事会下设薪酬与考核委员会，负责制定公司高级管理人员的考核标准并进行考核；负责制定、审查公司高级管理人员的薪酬政策与方案，对董事会负责。公司人力资源部和财务部协助筹备薪酬与考核委员会会议并执行相关决议。</w:t>
      </w:r>
    </w:p>
    <w:p w14:paraId="2B2351D4"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公司高级管理人员按其岗位以及在实际工作中的履职能力和工作绩效领取薪酬福利，由“基本工资</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hint="eastAsia"/>
          <w:kern w:val="0"/>
          <w:szCs w:val="21"/>
        </w:rPr>
        <w:t>绩效工资</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hint="eastAsia"/>
          <w:kern w:val="0"/>
          <w:szCs w:val="21"/>
        </w:rPr>
        <w:t>特殊贡献奖励”组成，绩效工资以公司经营目标完成情况为基础，结合个人岗位考核情况、个人行为规范确定。报告期内，公司薪酬与考核委员会制定了《</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度高级管理人员薪酬方案》，并经公司董事会审议通过；公司高级管理人员严格按照《公司法》《公司章程》的有关规定认真履行职责，积极落实公司股东会和董事会相关决议，较好地完成了本年度的各项经营管理任务和岗位职责，薪酬方案的制定与薪酬发放程序均符合有关法律法规的要求。</w:t>
      </w:r>
    </w:p>
    <w:p w14:paraId="0507038B"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bookmarkStart w:id="85" w:name="_Toc988964"/>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、员工持股计划的实施情况</w:t>
      </w:r>
      <w:bookmarkEnd w:id="85"/>
    </w:p>
    <w:p w14:paraId="791F9C15"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4CB3DD1C"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报告期内全部有效的员工持股计划情况</w:t>
      </w:r>
    </w:p>
    <w:tbl>
      <w:tblPr>
        <w:tblW w:w="9639" w:type="dxa"/>
        <w:tblInd w:w="108" w:type="dxa"/>
        <w:tblLayout w:type="fixed"/>
        <w:tblCellMar>
          <w:left w:w="28" w:type="dxa"/>
          <w:right w:w="28" w:type="dxa"/>
        </w:tblCellMar>
        <w:tblLook w:val="0000" w:firstRow="0" w:lastRow="0" w:firstColumn="0" w:lastColumn="0" w:noHBand="0" w:noVBand="0"/>
      </w:tblPr>
      <w:tblGrid>
        <w:gridCol w:w="2472"/>
        <w:gridCol w:w="567"/>
        <w:gridCol w:w="992"/>
        <w:gridCol w:w="2977"/>
        <w:gridCol w:w="1276"/>
        <w:gridCol w:w="1355"/>
      </w:tblGrid>
      <w:tr w:rsidR="00C57E60" w14:paraId="49891972" w14:textId="77777777" w:rsidTr="00DC359B">
        <w:trPr>
          <w:cantSplit/>
          <w:trHeight w:val="240"/>
          <w:tblHeader/>
        </w:trPr>
        <w:tc>
          <w:tcPr>
            <w:tcW w:w="2472" w:type="dxa"/>
            <w:tcBorders>
              <w:top w:val="single" w:sz="2" w:space="0" w:color="auto"/>
              <w:left w:val="single" w:sz="2" w:space="0" w:color="auto"/>
              <w:bottom w:val="single" w:sz="2" w:space="0" w:color="auto"/>
              <w:right w:val="single" w:sz="2" w:space="0" w:color="auto"/>
            </w:tcBorders>
            <w:shd w:val="clear" w:color="auto" w:fill="D3D3D3"/>
            <w:vAlign w:val="center"/>
          </w:tcPr>
          <w:p w14:paraId="2B3646A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员工的范围</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C403E9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员工人数</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7AE183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持有的股票总数（股）</w:t>
            </w:r>
          </w:p>
        </w:tc>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5CE415B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变更情况</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3522644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占上市公司股本总额的比例</w:t>
            </w:r>
          </w:p>
        </w:tc>
        <w:tc>
          <w:tcPr>
            <w:tcW w:w="1355" w:type="dxa"/>
            <w:tcBorders>
              <w:top w:val="single" w:sz="2" w:space="0" w:color="auto"/>
              <w:left w:val="single" w:sz="2" w:space="0" w:color="auto"/>
              <w:bottom w:val="single" w:sz="2" w:space="0" w:color="auto"/>
              <w:right w:val="single" w:sz="2" w:space="0" w:color="auto"/>
            </w:tcBorders>
            <w:shd w:val="clear" w:color="auto" w:fill="D3D3D3"/>
            <w:vAlign w:val="center"/>
          </w:tcPr>
          <w:p w14:paraId="036EAEC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实施计划的资金来源</w:t>
            </w:r>
          </w:p>
        </w:tc>
      </w:tr>
      <w:tr w:rsidR="00C57E60" w14:paraId="02CBF4CE" w14:textId="77777777" w:rsidTr="00DC359B">
        <w:trPr>
          <w:cantSplit/>
          <w:trHeight w:val="240"/>
          <w:tblHeader/>
        </w:trPr>
        <w:tc>
          <w:tcPr>
            <w:tcW w:w="2472" w:type="dxa"/>
            <w:tcBorders>
              <w:top w:val="single" w:sz="2" w:space="0" w:color="auto"/>
              <w:left w:val="single" w:sz="2" w:space="0" w:color="auto"/>
              <w:bottom w:val="single" w:sz="2" w:space="0" w:color="auto"/>
              <w:right w:val="single" w:sz="2" w:space="0" w:color="auto"/>
            </w:tcBorders>
            <w:vAlign w:val="center"/>
          </w:tcPr>
          <w:p w14:paraId="5A5F626A"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与公司或下属子公司签订劳动合同且领取报酬的，对公司中长期发展具有重要作用和影响的核心经营、管理、研发人员及骨干员工，包括公司部分监事、高级管理人员和其他员工</w:t>
            </w:r>
          </w:p>
        </w:tc>
        <w:tc>
          <w:tcPr>
            <w:tcW w:w="567" w:type="dxa"/>
            <w:tcBorders>
              <w:top w:val="single" w:sz="2" w:space="0" w:color="auto"/>
              <w:left w:val="single" w:sz="2" w:space="0" w:color="auto"/>
              <w:bottom w:val="single" w:sz="2" w:space="0" w:color="auto"/>
              <w:right w:val="single" w:sz="2" w:space="0" w:color="auto"/>
            </w:tcBorders>
            <w:vAlign w:val="center"/>
          </w:tcPr>
          <w:p w14:paraId="184F6A2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50</w:t>
            </w:r>
          </w:p>
        </w:tc>
        <w:tc>
          <w:tcPr>
            <w:tcW w:w="992" w:type="dxa"/>
            <w:tcBorders>
              <w:top w:val="single" w:sz="2" w:space="0" w:color="auto"/>
              <w:left w:val="single" w:sz="2" w:space="0" w:color="auto"/>
              <w:bottom w:val="single" w:sz="2" w:space="0" w:color="auto"/>
              <w:right w:val="single" w:sz="2" w:space="0" w:color="auto"/>
            </w:tcBorders>
            <w:vAlign w:val="center"/>
          </w:tcPr>
          <w:p w14:paraId="39A743DD" w14:textId="2FC462C7" w:rsidR="00DC359B" w:rsidRPr="00DC359B" w:rsidRDefault="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w:t>
            </w:r>
            <w:r w:rsidR="00640EAE">
              <w:rPr>
                <w:rFonts w:ascii="Times New Roman" w:eastAsia="宋体" w:hAnsi="Times New Roman" w:cs="Times New Roman"/>
                <w:sz w:val="18"/>
                <w:szCs w:val="18"/>
              </w:rPr>
              <w:t>526</w:t>
            </w:r>
            <w:r w:rsidRPr="00DC359B">
              <w:rPr>
                <w:rFonts w:ascii="Times New Roman" w:eastAsia="宋体" w:hAnsi="Times New Roman" w:cs="Times New Roman"/>
                <w:sz w:val="18"/>
                <w:szCs w:val="18"/>
              </w:rPr>
              <w:t>,028</w:t>
            </w:r>
          </w:p>
        </w:tc>
        <w:tc>
          <w:tcPr>
            <w:tcW w:w="2977" w:type="dxa"/>
            <w:tcBorders>
              <w:top w:val="single" w:sz="2" w:space="0" w:color="auto"/>
              <w:left w:val="single" w:sz="2" w:space="0" w:color="auto"/>
              <w:bottom w:val="single" w:sz="2" w:space="0" w:color="auto"/>
              <w:right w:val="single" w:sz="2" w:space="0" w:color="auto"/>
            </w:tcBorders>
            <w:vAlign w:val="center"/>
          </w:tcPr>
          <w:p w14:paraId="60E340E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、截至</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31</w:t>
            </w:r>
            <w:r w:rsidRPr="00DC359B">
              <w:rPr>
                <w:rFonts w:ascii="Times New Roman" w:eastAsia="宋体" w:hAnsi="Times New Roman" w:cs="Times New Roman"/>
                <w:sz w:val="18"/>
                <w:szCs w:val="18"/>
              </w:rPr>
              <w:t>日，公司第二期员工持股计划第四个锁定期届满，对应解锁股份为本员工持股计划总数（</w:t>
            </w:r>
            <w:r w:rsidRPr="00DC359B">
              <w:rPr>
                <w:rFonts w:ascii="Times New Roman" w:eastAsia="宋体" w:hAnsi="Times New Roman" w:cs="Times New Roman"/>
                <w:sz w:val="18"/>
                <w:szCs w:val="18"/>
              </w:rPr>
              <w:t>5,901,628</w:t>
            </w:r>
            <w:r w:rsidRPr="00DC359B">
              <w:rPr>
                <w:rFonts w:ascii="Times New Roman" w:eastAsia="宋体" w:hAnsi="Times New Roman" w:cs="Times New Roman"/>
                <w:sz w:val="18"/>
                <w:szCs w:val="18"/>
              </w:rPr>
              <w:t>股）的</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w:t>
            </w:r>
          </w:p>
          <w:p w14:paraId="093D28DF"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、报告期内，公司第二期员工持股计划未出售股票；截至报告期末，公司第二期员工持股计划持有公司股票的数量为</w:t>
            </w:r>
            <w:r w:rsidRPr="00DC359B">
              <w:rPr>
                <w:rFonts w:ascii="Times New Roman" w:eastAsia="宋体" w:hAnsi="Times New Roman" w:cs="Times New Roman"/>
                <w:sz w:val="18"/>
                <w:szCs w:val="18"/>
              </w:rPr>
              <w:t>5,526,028</w:t>
            </w:r>
            <w:r w:rsidRPr="00DC359B">
              <w:rPr>
                <w:rFonts w:ascii="Times New Roman" w:eastAsia="宋体" w:hAnsi="Times New Roman" w:cs="Times New Roman"/>
                <w:sz w:val="18"/>
                <w:szCs w:val="18"/>
              </w:rPr>
              <w:t>股，占公司期末总股本</w:t>
            </w:r>
            <w:r w:rsidRPr="00DC359B">
              <w:rPr>
                <w:rFonts w:ascii="Times New Roman" w:eastAsia="宋体" w:hAnsi="Times New Roman" w:cs="Times New Roman"/>
                <w:sz w:val="18"/>
                <w:szCs w:val="18"/>
              </w:rPr>
              <w:t>560,267,306</w:t>
            </w:r>
            <w:r w:rsidRPr="00DC359B">
              <w:rPr>
                <w:rFonts w:ascii="Times New Roman" w:eastAsia="宋体" w:hAnsi="Times New Roman" w:cs="Times New Roman"/>
                <w:sz w:val="18"/>
                <w:szCs w:val="18"/>
              </w:rPr>
              <w:t>股的比例为</w:t>
            </w:r>
            <w:r w:rsidRPr="00DC359B">
              <w:rPr>
                <w:rFonts w:ascii="Times New Roman" w:eastAsia="宋体" w:hAnsi="Times New Roman" w:cs="Times New Roman"/>
                <w:sz w:val="18"/>
                <w:szCs w:val="18"/>
              </w:rPr>
              <w:t>0.99%</w:t>
            </w:r>
            <w:r w:rsidRPr="00DC359B">
              <w:rPr>
                <w:rFonts w:ascii="Times New Roman" w:eastAsia="宋体" w:hAnsi="Times New Roman" w:cs="Times New Roman"/>
                <w:sz w:val="18"/>
                <w:szCs w:val="18"/>
              </w:rPr>
              <w:t>。</w:t>
            </w:r>
          </w:p>
        </w:tc>
        <w:tc>
          <w:tcPr>
            <w:tcW w:w="1276" w:type="dxa"/>
            <w:tcBorders>
              <w:top w:val="single" w:sz="2" w:space="0" w:color="auto"/>
              <w:left w:val="single" w:sz="2" w:space="0" w:color="auto"/>
              <w:bottom w:val="single" w:sz="2" w:space="0" w:color="auto"/>
              <w:right w:val="single" w:sz="2" w:space="0" w:color="auto"/>
            </w:tcBorders>
            <w:vAlign w:val="center"/>
          </w:tcPr>
          <w:p w14:paraId="0A55B5C7" w14:textId="73E467F9" w:rsidR="00DC359B" w:rsidRPr="00DC359B" w:rsidRDefault="003635A3" w:rsidP="003635A3">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0.99</w:t>
            </w:r>
            <w:r w:rsidR="00DC359B" w:rsidRPr="00DC359B">
              <w:rPr>
                <w:rFonts w:ascii="Times New Roman" w:eastAsia="宋体" w:hAnsi="Times New Roman" w:cs="Times New Roman"/>
                <w:sz w:val="18"/>
                <w:szCs w:val="18"/>
              </w:rPr>
              <w:t>%</w:t>
            </w:r>
          </w:p>
        </w:tc>
        <w:tc>
          <w:tcPr>
            <w:tcW w:w="1355" w:type="dxa"/>
            <w:tcBorders>
              <w:top w:val="single" w:sz="2" w:space="0" w:color="auto"/>
              <w:left w:val="single" w:sz="2" w:space="0" w:color="auto"/>
              <w:bottom w:val="single" w:sz="2" w:space="0" w:color="auto"/>
              <w:right w:val="single" w:sz="2" w:space="0" w:color="auto"/>
            </w:tcBorders>
            <w:vAlign w:val="center"/>
          </w:tcPr>
          <w:p w14:paraId="152B40B4"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员工合法薪酬、自筹资金、股东或实际控制人借款以及法律法规允许的其他方式。公司不得向员工提供垫资、借贷等财务资助，也不得为其贷款提供担保。</w:t>
            </w:r>
          </w:p>
        </w:tc>
      </w:tr>
      <w:tr w:rsidR="00C57E60" w14:paraId="42A02F95" w14:textId="77777777" w:rsidTr="00DC359B">
        <w:trPr>
          <w:cantSplit/>
          <w:trHeight w:val="240"/>
          <w:tblHeader/>
        </w:trPr>
        <w:tc>
          <w:tcPr>
            <w:tcW w:w="2472" w:type="dxa"/>
            <w:tcBorders>
              <w:top w:val="single" w:sz="2" w:space="0" w:color="auto"/>
              <w:left w:val="single" w:sz="2" w:space="0" w:color="auto"/>
              <w:bottom w:val="single" w:sz="2" w:space="0" w:color="auto"/>
              <w:right w:val="single" w:sz="2" w:space="0" w:color="auto"/>
            </w:tcBorders>
            <w:vAlign w:val="center"/>
          </w:tcPr>
          <w:p w14:paraId="29C20D68"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与公司或下属子公司签订劳动合同且领取报酬的公司部分高级管理人员和其他员工，包括在公司及下属子公司任职的生产、营销、研发和管理的核心人才和经公司董事会认定的工作表现良好、对本公司战略发展有贡献的其他员工</w:t>
            </w:r>
          </w:p>
        </w:tc>
        <w:tc>
          <w:tcPr>
            <w:tcW w:w="567" w:type="dxa"/>
            <w:tcBorders>
              <w:top w:val="single" w:sz="2" w:space="0" w:color="auto"/>
              <w:left w:val="single" w:sz="2" w:space="0" w:color="auto"/>
              <w:bottom w:val="single" w:sz="2" w:space="0" w:color="auto"/>
              <w:right w:val="single" w:sz="2" w:space="0" w:color="auto"/>
            </w:tcBorders>
            <w:vAlign w:val="center"/>
          </w:tcPr>
          <w:p w14:paraId="1489250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17</w:t>
            </w:r>
          </w:p>
        </w:tc>
        <w:tc>
          <w:tcPr>
            <w:tcW w:w="992" w:type="dxa"/>
            <w:tcBorders>
              <w:top w:val="single" w:sz="2" w:space="0" w:color="auto"/>
              <w:left w:val="single" w:sz="2" w:space="0" w:color="auto"/>
              <w:bottom w:val="single" w:sz="2" w:space="0" w:color="auto"/>
              <w:right w:val="single" w:sz="2" w:space="0" w:color="auto"/>
            </w:tcBorders>
            <w:vAlign w:val="center"/>
          </w:tcPr>
          <w:p w14:paraId="6C5E33A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3,000,000</w:t>
            </w:r>
          </w:p>
        </w:tc>
        <w:tc>
          <w:tcPr>
            <w:tcW w:w="2977" w:type="dxa"/>
            <w:tcBorders>
              <w:top w:val="single" w:sz="2" w:space="0" w:color="auto"/>
              <w:left w:val="single" w:sz="2" w:space="0" w:color="auto"/>
              <w:bottom w:val="single" w:sz="2" w:space="0" w:color="auto"/>
              <w:right w:val="single" w:sz="2" w:space="0" w:color="auto"/>
            </w:tcBorders>
            <w:vAlign w:val="center"/>
          </w:tcPr>
          <w:p w14:paraId="74EFF9F5"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、截至</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11</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13</w:t>
            </w:r>
            <w:r w:rsidRPr="00DC359B">
              <w:rPr>
                <w:rFonts w:ascii="Times New Roman" w:eastAsia="宋体" w:hAnsi="Times New Roman" w:cs="Times New Roman"/>
                <w:sz w:val="18"/>
                <w:szCs w:val="18"/>
              </w:rPr>
              <w:t>日，公司第三期员工持股计划第一个锁定期届满，对应解锁股份为本员工持股计划总数（</w:t>
            </w:r>
            <w:r w:rsidRPr="00DC359B">
              <w:rPr>
                <w:rFonts w:ascii="Times New Roman" w:eastAsia="宋体" w:hAnsi="Times New Roman" w:cs="Times New Roman"/>
                <w:sz w:val="18"/>
                <w:szCs w:val="18"/>
              </w:rPr>
              <w:t>3,000,000</w:t>
            </w:r>
            <w:r w:rsidRPr="00DC359B">
              <w:rPr>
                <w:rFonts w:ascii="Times New Roman" w:eastAsia="宋体" w:hAnsi="Times New Roman" w:cs="Times New Roman"/>
                <w:sz w:val="18"/>
                <w:szCs w:val="18"/>
              </w:rPr>
              <w:t>股）的</w:t>
            </w:r>
            <w:r w:rsidRPr="00DC359B">
              <w:rPr>
                <w:rFonts w:ascii="Times New Roman" w:eastAsia="宋体" w:hAnsi="Times New Roman" w:cs="Times New Roman"/>
                <w:sz w:val="18"/>
                <w:szCs w:val="18"/>
              </w:rPr>
              <w:t>12.50%</w:t>
            </w:r>
            <w:r w:rsidRPr="00DC359B">
              <w:rPr>
                <w:rFonts w:ascii="Times New Roman" w:eastAsia="宋体" w:hAnsi="Times New Roman" w:cs="Times New Roman"/>
                <w:sz w:val="18"/>
                <w:szCs w:val="18"/>
              </w:rPr>
              <w:t>；</w:t>
            </w:r>
          </w:p>
          <w:p w14:paraId="3555350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、报告期内，公司第三期员工持股计划未出售股票；截至报告期末，公司第三期员工持股计划持有公司股票的数量为</w:t>
            </w:r>
            <w:r w:rsidRPr="00DC359B">
              <w:rPr>
                <w:rFonts w:ascii="Times New Roman" w:eastAsia="宋体" w:hAnsi="Times New Roman" w:cs="Times New Roman"/>
                <w:sz w:val="18"/>
                <w:szCs w:val="18"/>
              </w:rPr>
              <w:t>3,000,000</w:t>
            </w:r>
            <w:r w:rsidRPr="00DC359B">
              <w:rPr>
                <w:rFonts w:ascii="Times New Roman" w:eastAsia="宋体" w:hAnsi="Times New Roman" w:cs="Times New Roman"/>
                <w:sz w:val="18"/>
                <w:szCs w:val="18"/>
              </w:rPr>
              <w:t>股，占公司期末总股本</w:t>
            </w:r>
            <w:r w:rsidRPr="00DC359B">
              <w:rPr>
                <w:rFonts w:ascii="Times New Roman" w:eastAsia="宋体" w:hAnsi="Times New Roman" w:cs="Times New Roman"/>
                <w:sz w:val="18"/>
                <w:szCs w:val="18"/>
              </w:rPr>
              <w:t>560,267,306</w:t>
            </w:r>
            <w:r w:rsidRPr="00DC359B">
              <w:rPr>
                <w:rFonts w:ascii="Times New Roman" w:eastAsia="宋体" w:hAnsi="Times New Roman" w:cs="Times New Roman"/>
                <w:sz w:val="18"/>
                <w:szCs w:val="18"/>
              </w:rPr>
              <w:t>股的比例为</w:t>
            </w:r>
            <w:r w:rsidRPr="00DC359B">
              <w:rPr>
                <w:rFonts w:ascii="Times New Roman" w:eastAsia="宋体" w:hAnsi="Times New Roman" w:cs="Times New Roman"/>
                <w:sz w:val="18"/>
                <w:szCs w:val="18"/>
              </w:rPr>
              <w:t>0.54%</w:t>
            </w:r>
            <w:r w:rsidRPr="00DC359B">
              <w:rPr>
                <w:rFonts w:ascii="Times New Roman" w:eastAsia="宋体" w:hAnsi="Times New Roman" w:cs="Times New Roman"/>
                <w:sz w:val="18"/>
                <w:szCs w:val="18"/>
              </w:rPr>
              <w:t>。</w:t>
            </w:r>
          </w:p>
        </w:tc>
        <w:tc>
          <w:tcPr>
            <w:tcW w:w="1276" w:type="dxa"/>
            <w:tcBorders>
              <w:top w:val="single" w:sz="2" w:space="0" w:color="auto"/>
              <w:left w:val="single" w:sz="2" w:space="0" w:color="auto"/>
              <w:bottom w:val="single" w:sz="2" w:space="0" w:color="auto"/>
              <w:right w:val="single" w:sz="2" w:space="0" w:color="auto"/>
            </w:tcBorders>
            <w:vAlign w:val="center"/>
          </w:tcPr>
          <w:p w14:paraId="20E0EFB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0.54%</w:t>
            </w:r>
          </w:p>
        </w:tc>
        <w:tc>
          <w:tcPr>
            <w:tcW w:w="1355" w:type="dxa"/>
            <w:tcBorders>
              <w:top w:val="single" w:sz="2" w:space="0" w:color="auto"/>
              <w:left w:val="single" w:sz="2" w:space="0" w:color="auto"/>
              <w:bottom w:val="single" w:sz="2" w:space="0" w:color="auto"/>
              <w:right w:val="single" w:sz="2" w:space="0" w:color="auto"/>
            </w:tcBorders>
            <w:vAlign w:val="center"/>
          </w:tcPr>
          <w:p w14:paraId="705A1274"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员工合法薪酬、自筹资金、公司控股股东及实际控制人李少波先生向员工提供的借款以及法律法规允许的其他方式。公司不以任何方式向持有人提供垫资、借贷等财务资助，也不得为其贷款提供担保。</w:t>
            </w:r>
          </w:p>
        </w:tc>
      </w:tr>
    </w:tbl>
    <w:p w14:paraId="1A364ECA"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报告期内董事、高级管理人员在员工持股计划中的持股情况</w:t>
      </w:r>
    </w:p>
    <w:tbl>
      <w:tblPr>
        <w:tblW w:w="9639" w:type="dxa"/>
        <w:tblInd w:w="108" w:type="dxa"/>
        <w:tblLayout w:type="fixed"/>
        <w:tblLook w:val="0000" w:firstRow="0" w:lastRow="0" w:firstColumn="0" w:lastColumn="0" w:noHBand="0" w:noVBand="0"/>
      </w:tblPr>
      <w:tblGrid>
        <w:gridCol w:w="851"/>
        <w:gridCol w:w="2126"/>
        <w:gridCol w:w="2126"/>
        <w:gridCol w:w="2127"/>
        <w:gridCol w:w="2409"/>
      </w:tblGrid>
      <w:tr w:rsidR="00C57E60" w14:paraId="52D75EFF" w14:textId="77777777" w:rsidTr="00DC359B">
        <w:trPr>
          <w:trHeight w:val="240"/>
        </w:trPr>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30795C4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姓名</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3AD5A87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职务</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31ABEE0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报告期初持股数（股）</w:t>
            </w:r>
          </w:p>
        </w:tc>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2BD7BA3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报告期末持股数（股）</w:t>
            </w:r>
          </w:p>
        </w:tc>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E0ECB5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占上市公司股本总额的比例</w:t>
            </w:r>
          </w:p>
        </w:tc>
      </w:tr>
      <w:tr w:rsidR="00C57E60" w14:paraId="426A6B60" w14:textId="77777777" w:rsidTr="00DC359B">
        <w:trPr>
          <w:trHeight w:val="240"/>
        </w:trPr>
        <w:tc>
          <w:tcPr>
            <w:tcW w:w="851" w:type="dxa"/>
            <w:tcBorders>
              <w:top w:val="single" w:sz="2" w:space="0" w:color="auto"/>
              <w:left w:val="single" w:sz="2" w:space="0" w:color="auto"/>
              <w:bottom w:val="single" w:sz="2" w:space="0" w:color="auto"/>
              <w:right w:val="single" w:sz="2" w:space="0" w:color="auto"/>
            </w:tcBorders>
            <w:vAlign w:val="center"/>
          </w:tcPr>
          <w:p w14:paraId="4F8CD76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黄绍波</w:t>
            </w:r>
          </w:p>
        </w:tc>
        <w:tc>
          <w:tcPr>
            <w:tcW w:w="2126" w:type="dxa"/>
            <w:tcBorders>
              <w:top w:val="single" w:sz="2" w:space="0" w:color="auto"/>
              <w:left w:val="single" w:sz="2" w:space="0" w:color="auto"/>
              <w:bottom w:val="single" w:sz="2" w:space="0" w:color="auto"/>
              <w:right w:val="single" w:sz="2" w:space="0" w:color="auto"/>
            </w:tcBorders>
            <w:vAlign w:val="center"/>
          </w:tcPr>
          <w:p w14:paraId="692F72B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职工代表董事</w:t>
            </w:r>
          </w:p>
        </w:tc>
        <w:tc>
          <w:tcPr>
            <w:tcW w:w="2126" w:type="dxa"/>
            <w:tcBorders>
              <w:top w:val="single" w:sz="2" w:space="0" w:color="auto"/>
              <w:left w:val="single" w:sz="2" w:space="0" w:color="auto"/>
              <w:bottom w:val="single" w:sz="2" w:space="0" w:color="auto"/>
              <w:right w:val="single" w:sz="2" w:space="0" w:color="auto"/>
            </w:tcBorders>
            <w:vAlign w:val="center"/>
          </w:tcPr>
          <w:p w14:paraId="5C4FAA9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145,335</w:t>
            </w:r>
          </w:p>
        </w:tc>
        <w:tc>
          <w:tcPr>
            <w:tcW w:w="2127" w:type="dxa"/>
            <w:tcBorders>
              <w:top w:val="single" w:sz="2" w:space="0" w:color="auto"/>
              <w:left w:val="single" w:sz="2" w:space="0" w:color="auto"/>
              <w:bottom w:val="single" w:sz="2" w:space="0" w:color="auto"/>
              <w:right w:val="single" w:sz="2" w:space="0" w:color="auto"/>
            </w:tcBorders>
            <w:vAlign w:val="center"/>
          </w:tcPr>
          <w:p w14:paraId="77506F3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145,335</w:t>
            </w:r>
          </w:p>
        </w:tc>
        <w:tc>
          <w:tcPr>
            <w:tcW w:w="2409" w:type="dxa"/>
            <w:tcBorders>
              <w:top w:val="single" w:sz="2" w:space="0" w:color="auto"/>
              <w:left w:val="single" w:sz="2" w:space="0" w:color="auto"/>
              <w:bottom w:val="single" w:sz="2" w:space="0" w:color="auto"/>
              <w:right w:val="single" w:sz="2" w:space="0" w:color="auto"/>
            </w:tcBorders>
            <w:vAlign w:val="center"/>
          </w:tcPr>
          <w:p w14:paraId="63C6B32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0.03%</w:t>
            </w:r>
          </w:p>
        </w:tc>
      </w:tr>
      <w:tr w:rsidR="00C57E60" w14:paraId="0A17B1F1" w14:textId="77777777" w:rsidTr="00DC359B">
        <w:trPr>
          <w:trHeight w:val="240"/>
        </w:trPr>
        <w:tc>
          <w:tcPr>
            <w:tcW w:w="851" w:type="dxa"/>
            <w:tcBorders>
              <w:top w:val="single" w:sz="2" w:space="0" w:color="auto"/>
              <w:left w:val="single" w:sz="2" w:space="0" w:color="auto"/>
              <w:bottom w:val="single" w:sz="2" w:space="0" w:color="auto"/>
              <w:right w:val="single" w:sz="2" w:space="0" w:color="auto"/>
            </w:tcBorders>
            <w:vAlign w:val="center"/>
          </w:tcPr>
          <w:p w14:paraId="67CAA3B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彭旭明</w:t>
            </w:r>
          </w:p>
        </w:tc>
        <w:tc>
          <w:tcPr>
            <w:tcW w:w="2126" w:type="dxa"/>
            <w:tcBorders>
              <w:top w:val="single" w:sz="2" w:space="0" w:color="auto"/>
              <w:left w:val="single" w:sz="2" w:space="0" w:color="auto"/>
              <w:bottom w:val="single" w:sz="2" w:space="0" w:color="auto"/>
              <w:right w:val="single" w:sz="2" w:space="0" w:color="auto"/>
            </w:tcBorders>
            <w:vAlign w:val="center"/>
          </w:tcPr>
          <w:p w14:paraId="63F880B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副总经理</w:t>
            </w:r>
          </w:p>
        </w:tc>
        <w:tc>
          <w:tcPr>
            <w:tcW w:w="2126" w:type="dxa"/>
            <w:tcBorders>
              <w:top w:val="single" w:sz="2" w:space="0" w:color="auto"/>
              <w:left w:val="single" w:sz="2" w:space="0" w:color="auto"/>
              <w:bottom w:val="single" w:sz="2" w:space="0" w:color="auto"/>
              <w:right w:val="single" w:sz="2" w:space="0" w:color="auto"/>
            </w:tcBorders>
            <w:vAlign w:val="center"/>
          </w:tcPr>
          <w:p w14:paraId="4F6F04B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196,174</w:t>
            </w:r>
          </w:p>
        </w:tc>
        <w:tc>
          <w:tcPr>
            <w:tcW w:w="2127" w:type="dxa"/>
            <w:tcBorders>
              <w:top w:val="single" w:sz="2" w:space="0" w:color="auto"/>
              <w:left w:val="single" w:sz="2" w:space="0" w:color="auto"/>
              <w:bottom w:val="single" w:sz="2" w:space="0" w:color="auto"/>
              <w:right w:val="single" w:sz="2" w:space="0" w:color="auto"/>
            </w:tcBorders>
            <w:vAlign w:val="center"/>
          </w:tcPr>
          <w:p w14:paraId="71157DB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196,174</w:t>
            </w:r>
          </w:p>
        </w:tc>
        <w:tc>
          <w:tcPr>
            <w:tcW w:w="2409" w:type="dxa"/>
            <w:tcBorders>
              <w:top w:val="single" w:sz="2" w:space="0" w:color="auto"/>
              <w:left w:val="single" w:sz="2" w:space="0" w:color="auto"/>
              <w:bottom w:val="single" w:sz="2" w:space="0" w:color="auto"/>
              <w:right w:val="single" w:sz="2" w:space="0" w:color="auto"/>
            </w:tcBorders>
            <w:vAlign w:val="center"/>
          </w:tcPr>
          <w:p w14:paraId="60855C2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0.04%</w:t>
            </w:r>
          </w:p>
        </w:tc>
      </w:tr>
      <w:tr w:rsidR="00C57E60" w14:paraId="33E026AC" w14:textId="77777777" w:rsidTr="00DC359B">
        <w:trPr>
          <w:trHeight w:val="240"/>
        </w:trPr>
        <w:tc>
          <w:tcPr>
            <w:tcW w:w="851" w:type="dxa"/>
            <w:tcBorders>
              <w:top w:val="single" w:sz="2" w:space="0" w:color="auto"/>
              <w:left w:val="single" w:sz="2" w:space="0" w:color="auto"/>
              <w:bottom w:val="single" w:sz="2" w:space="0" w:color="auto"/>
              <w:right w:val="single" w:sz="2" w:space="0" w:color="auto"/>
            </w:tcBorders>
            <w:vAlign w:val="center"/>
          </w:tcPr>
          <w:p w14:paraId="4031BFC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郑霁耘</w:t>
            </w:r>
          </w:p>
        </w:tc>
        <w:tc>
          <w:tcPr>
            <w:tcW w:w="2126" w:type="dxa"/>
            <w:tcBorders>
              <w:top w:val="single" w:sz="2" w:space="0" w:color="auto"/>
              <w:left w:val="single" w:sz="2" w:space="0" w:color="auto"/>
              <w:bottom w:val="single" w:sz="2" w:space="0" w:color="auto"/>
              <w:right w:val="single" w:sz="2" w:space="0" w:color="auto"/>
            </w:tcBorders>
            <w:vAlign w:val="center"/>
          </w:tcPr>
          <w:p w14:paraId="4F964FE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副总经理、董事会秘书</w:t>
            </w:r>
          </w:p>
        </w:tc>
        <w:tc>
          <w:tcPr>
            <w:tcW w:w="2126" w:type="dxa"/>
            <w:tcBorders>
              <w:top w:val="single" w:sz="2" w:space="0" w:color="auto"/>
              <w:left w:val="single" w:sz="2" w:space="0" w:color="auto"/>
              <w:bottom w:val="single" w:sz="2" w:space="0" w:color="auto"/>
              <w:right w:val="single" w:sz="2" w:space="0" w:color="auto"/>
            </w:tcBorders>
            <w:vAlign w:val="center"/>
          </w:tcPr>
          <w:p w14:paraId="5484A71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272,122</w:t>
            </w:r>
          </w:p>
        </w:tc>
        <w:tc>
          <w:tcPr>
            <w:tcW w:w="2127" w:type="dxa"/>
            <w:tcBorders>
              <w:top w:val="single" w:sz="2" w:space="0" w:color="auto"/>
              <w:left w:val="single" w:sz="2" w:space="0" w:color="auto"/>
              <w:bottom w:val="single" w:sz="2" w:space="0" w:color="auto"/>
              <w:right w:val="single" w:sz="2" w:space="0" w:color="auto"/>
            </w:tcBorders>
            <w:vAlign w:val="center"/>
          </w:tcPr>
          <w:p w14:paraId="0009EF9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272,122</w:t>
            </w:r>
          </w:p>
        </w:tc>
        <w:tc>
          <w:tcPr>
            <w:tcW w:w="2409" w:type="dxa"/>
            <w:tcBorders>
              <w:top w:val="single" w:sz="2" w:space="0" w:color="auto"/>
              <w:left w:val="single" w:sz="2" w:space="0" w:color="auto"/>
              <w:bottom w:val="single" w:sz="2" w:space="0" w:color="auto"/>
              <w:right w:val="single" w:sz="2" w:space="0" w:color="auto"/>
            </w:tcBorders>
            <w:vAlign w:val="center"/>
          </w:tcPr>
          <w:p w14:paraId="183991C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0.05%</w:t>
            </w:r>
          </w:p>
        </w:tc>
      </w:tr>
      <w:tr w:rsidR="00C57E60" w14:paraId="451855E2" w14:textId="77777777" w:rsidTr="00DC359B">
        <w:trPr>
          <w:trHeight w:val="240"/>
        </w:trPr>
        <w:tc>
          <w:tcPr>
            <w:tcW w:w="851" w:type="dxa"/>
            <w:tcBorders>
              <w:top w:val="single" w:sz="2" w:space="0" w:color="auto"/>
              <w:left w:val="single" w:sz="2" w:space="0" w:color="auto"/>
              <w:bottom w:val="single" w:sz="2" w:space="0" w:color="auto"/>
              <w:right w:val="single" w:sz="2" w:space="0" w:color="auto"/>
            </w:tcBorders>
            <w:vAlign w:val="center"/>
          </w:tcPr>
          <w:p w14:paraId="2B0303E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何竹子</w:t>
            </w:r>
          </w:p>
        </w:tc>
        <w:tc>
          <w:tcPr>
            <w:tcW w:w="2126" w:type="dxa"/>
            <w:tcBorders>
              <w:top w:val="single" w:sz="2" w:space="0" w:color="auto"/>
              <w:left w:val="single" w:sz="2" w:space="0" w:color="auto"/>
              <w:bottom w:val="single" w:sz="2" w:space="0" w:color="auto"/>
              <w:right w:val="single" w:sz="2" w:space="0" w:color="auto"/>
            </w:tcBorders>
            <w:vAlign w:val="center"/>
          </w:tcPr>
          <w:p w14:paraId="2DB978E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财务总监</w:t>
            </w:r>
          </w:p>
        </w:tc>
        <w:tc>
          <w:tcPr>
            <w:tcW w:w="2126" w:type="dxa"/>
            <w:tcBorders>
              <w:top w:val="single" w:sz="2" w:space="0" w:color="auto"/>
              <w:left w:val="single" w:sz="2" w:space="0" w:color="auto"/>
              <w:bottom w:val="single" w:sz="2" w:space="0" w:color="auto"/>
              <w:right w:val="single" w:sz="2" w:space="0" w:color="auto"/>
            </w:tcBorders>
            <w:vAlign w:val="center"/>
          </w:tcPr>
          <w:p w14:paraId="3F5F1FE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196,174</w:t>
            </w:r>
          </w:p>
        </w:tc>
        <w:tc>
          <w:tcPr>
            <w:tcW w:w="2127" w:type="dxa"/>
            <w:tcBorders>
              <w:top w:val="single" w:sz="2" w:space="0" w:color="auto"/>
              <w:left w:val="single" w:sz="2" w:space="0" w:color="auto"/>
              <w:bottom w:val="single" w:sz="2" w:space="0" w:color="auto"/>
              <w:right w:val="single" w:sz="2" w:space="0" w:color="auto"/>
            </w:tcBorders>
            <w:vAlign w:val="center"/>
          </w:tcPr>
          <w:p w14:paraId="3F58151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196,174</w:t>
            </w:r>
          </w:p>
        </w:tc>
        <w:tc>
          <w:tcPr>
            <w:tcW w:w="2409" w:type="dxa"/>
            <w:tcBorders>
              <w:top w:val="single" w:sz="2" w:space="0" w:color="auto"/>
              <w:left w:val="single" w:sz="2" w:space="0" w:color="auto"/>
              <w:bottom w:val="single" w:sz="2" w:space="0" w:color="auto"/>
              <w:right w:val="single" w:sz="2" w:space="0" w:color="auto"/>
            </w:tcBorders>
            <w:vAlign w:val="center"/>
          </w:tcPr>
          <w:p w14:paraId="312F1A2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0.04%</w:t>
            </w:r>
          </w:p>
        </w:tc>
      </w:tr>
    </w:tbl>
    <w:p w14:paraId="2C3345E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报告期内资产管理机构的变更情况</w:t>
      </w:r>
    </w:p>
    <w:p w14:paraId="460E6C3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25B4384"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报告期内因持有人处置份额等引起的权益变动情况</w:t>
      </w:r>
    </w:p>
    <w:p w14:paraId="7239F33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4359EF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报告期内股东权利行使的情况</w:t>
      </w:r>
    </w:p>
    <w:p w14:paraId="0821275B"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根据公司</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年年度股东大会决议，公司于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13</w:t>
      </w:r>
      <w:r w:rsidRPr="00DC359B">
        <w:rPr>
          <w:rFonts w:ascii="Times New Roman" w:eastAsia="宋体" w:hAnsi="Times New Roman" w:cs="Times New Roman" w:hint="eastAsia"/>
          <w:kern w:val="0"/>
          <w:szCs w:val="21"/>
        </w:rPr>
        <w:t>日实施完成</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年度权益分派方案，即以公司实施</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年度利润分配方案时股权登记日的总股本，剔除因公司通过集中竞价交易方式回购的、依法不参与利润分配的股份</w:t>
      </w:r>
      <w:r w:rsidRPr="00DC359B">
        <w:rPr>
          <w:rFonts w:ascii="Times New Roman" w:eastAsia="宋体" w:hAnsi="Times New Roman" w:cs="Times New Roman"/>
          <w:kern w:val="0"/>
          <w:szCs w:val="21"/>
        </w:rPr>
        <w:t>11,289,387</w:t>
      </w:r>
      <w:r w:rsidRPr="00DC359B">
        <w:rPr>
          <w:rFonts w:ascii="Times New Roman" w:eastAsia="宋体" w:hAnsi="Times New Roman" w:cs="Times New Roman" w:hint="eastAsia"/>
          <w:kern w:val="0"/>
          <w:szCs w:val="21"/>
        </w:rPr>
        <w:t>股之后的股本总额</w:t>
      </w:r>
      <w:r w:rsidRPr="00DC359B">
        <w:rPr>
          <w:rFonts w:ascii="Times New Roman" w:eastAsia="宋体" w:hAnsi="Times New Roman" w:cs="Times New Roman"/>
          <w:kern w:val="0"/>
          <w:szCs w:val="21"/>
        </w:rPr>
        <w:t>552,975,988</w:t>
      </w:r>
      <w:r w:rsidRPr="00DC359B">
        <w:rPr>
          <w:rFonts w:ascii="Times New Roman" w:eastAsia="宋体" w:hAnsi="Times New Roman" w:cs="Times New Roman" w:hint="eastAsia"/>
          <w:kern w:val="0"/>
          <w:szCs w:val="21"/>
        </w:rPr>
        <w:t>股为基数，向全体股东每</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股派发现金股利</w:t>
      </w:r>
      <w:r w:rsidRPr="00DC359B">
        <w:rPr>
          <w:rFonts w:ascii="Times New Roman" w:eastAsia="宋体" w:hAnsi="Times New Roman" w:cs="Times New Roman"/>
          <w:kern w:val="0"/>
          <w:szCs w:val="21"/>
        </w:rPr>
        <w:t>2.20</w:t>
      </w:r>
      <w:r w:rsidRPr="00DC359B">
        <w:rPr>
          <w:rFonts w:ascii="Times New Roman" w:eastAsia="宋体" w:hAnsi="Times New Roman" w:cs="Times New Roman" w:hint="eastAsia"/>
          <w:kern w:val="0"/>
          <w:szCs w:val="21"/>
        </w:rPr>
        <w:t>元人民币（含税），不送红股，不进行资本公积金转增股本。上述权益分派方案实施完成后，公司第二期员工持股计划获得派发现金股利</w:t>
      </w:r>
      <w:r w:rsidRPr="00DC359B">
        <w:rPr>
          <w:rFonts w:ascii="Times New Roman" w:eastAsia="宋体" w:hAnsi="Times New Roman" w:cs="Times New Roman"/>
          <w:kern w:val="0"/>
          <w:szCs w:val="21"/>
        </w:rPr>
        <w:t>1,215,726.16</w:t>
      </w:r>
      <w:r w:rsidRPr="00DC359B">
        <w:rPr>
          <w:rFonts w:ascii="Times New Roman" w:eastAsia="宋体" w:hAnsi="Times New Roman" w:cs="Times New Roman" w:hint="eastAsia"/>
          <w:kern w:val="0"/>
          <w:szCs w:val="21"/>
        </w:rPr>
        <w:t>元，公司第三期员工持股计划获得派发现金股利</w:t>
      </w:r>
      <w:r w:rsidRPr="00DC359B">
        <w:rPr>
          <w:rFonts w:ascii="Times New Roman" w:eastAsia="宋体" w:hAnsi="Times New Roman" w:cs="Times New Roman"/>
          <w:kern w:val="0"/>
          <w:szCs w:val="21"/>
        </w:rPr>
        <w:t>660,000.00</w:t>
      </w:r>
      <w:r w:rsidRPr="00DC359B">
        <w:rPr>
          <w:rFonts w:ascii="Times New Roman" w:eastAsia="宋体" w:hAnsi="Times New Roman" w:cs="Times New Roman" w:hint="eastAsia"/>
          <w:kern w:val="0"/>
          <w:szCs w:val="21"/>
        </w:rPr>
        <w:t>元。</w:t>
      </w:r>
      <w:r w:rsidRPr="00DC359B">
        <w:rPr>
          <w:rFonts w:ascii="Times New Roman" w:eastAsia="宋体" w:hAnsi="Times New Roman" w:cs="Times New Roman"/>
          <w:kern w:val="0"/>
          <w:szCs w:val="21"/>
        </w:rPr>
        <w:t xml:space="preserve"> </w:t>
      </w:r>
    </w:p>
    <w:p w14:paraId="7AEF808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报告期内员工持股计划的其他相关情形及说明</w:t>
      </w:r>
    </w:p>
    <w:p w14:paraId="5123D81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672705EF"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第三期员工持股计划持有人于媛媛离职，根据公司《第三期员工持股计划（草案修订稿）》《第三期员工持股计划管理办法》的相关规定，将由管理委员会指定的受让人受让其认购的份额，受让方与上市公司持股</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以上股东、实际控制人不存在关联关系，也不存在一致行动关系，相关处置符合员工持股计划的约定。</w:t>
      </w:r>
    </w:p>
    <w:p w14:paraId="5F1B988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员工持股计划管理委员会成员发生变化</w:t>
      </w:r>
    </w:p>
    <w:p w14:paraId="40B6A8A4"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3A706742"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8</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日，公司召开第三期员工持股计划第二次持有人会议，审议并通过《关于变更第三期员工持股计划管理委员会委员的议案》，鉴于第三期员工持股计划管理委员会委员于媛媛因个人原因无法继续履职，管理委员会委员人数将低于《第三期员工持股计划管理办法》规定的人数，根据《第三期员工持股计划（草案修订稿）》《第三期员工持股计划管理办法》相关规定，为保证公司第三期员工持股计划管理委员会的正常运作，有效保障全体持有人的合法权益，同意选举闵晓芳为公司第三期员工持股计划管理委员会委员，与原委员高飞、高奥共同组成公司第三期员工持股计划管理委员会，任期与公司第三期员工持股计划的存续期一致。经核查，闵晓芳不为持有公司持股</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以上股东、实际控制人、公司董事、高级管理人员，亦与前述主体不存在关联关系。</w:t>
      </w:r>
    </w:p>
    <w:p w14:paraId="053613F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员工持股计划对报告期上市公司的财务影响及相关会计处理</w:t>
      </w:r>
    </w:p>
    <w:p w14:paraId="06A98F8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31F4E85E" w14:textId="6A3998F8"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报告期内，公司第二期员工持股计划以权益结算的股份支付费用为</w:t>
      </w:r>
      <w:r w:rsidRPr="00DC359B">
        <w:rPr>
          <w:rFonts w:ascii="Times New Roman" w:eastAsia="宋体" w:hAnsi="Times New Roman" w:cs="Times New Roman" w:hint="eastAsia"/>
          <w:kern w:val="0"/>
          <w:szCs w:val="21"/>
        </w:rPr>
        <w:t>10,142,486.43</w:t>
      </w:r>
      <w:r w:rsidRPr="00DC359B">
        <w:rPr>
          <w:rFonts w:ascii="Times New Roman" w:eastAsia="宋体" w:hAnsi="Times New Roman" w:cs="Times New Roman" w:hint="eastAsia"/>
          <w:kern w:val="0"/>
          <w:szCs w:val="21"/>
        </w:rPr>
        <w:t>元；公司第三期员工持股计划以权益结算的股份支付费用为</w:t>
      </w:r>
      <w:r w:rsidR="004A3E59" w:rsidRPr="004A3E59">
        <w:rPr>
          <w:rFonts w:ascii="Times New Roman" w:eastAsia="宋体" w:hAnsi="Times New Roman" w:cs="Times New Roman"/>
          <w:kern w:val="0"/>
          <w:szCs w:val="21"/>
        </w:rPr>
        <w:t>574,017.84</w:t>
      </w:r>
      <w:r w:rsidRPr="00DC359B">
        <w:rPr>
          <w:rFonts w:ascii="Times New Roman" w:eastAsia="宋体" w:hAnsi="Times New Roman" w:cs="Times New Roman" w:hint="eastAsia"/>
          <w:kern w:val="0"/>
          <w:szCs w:val="21"/>
        </w:rPr>
        <w:t>元，合计减少当期利润</w:t>
      </w:r>
      <w:r w:rsidRPr="00DC359B">
        <w:rPr>
          <w:rFonts w:ascii="Times New Roman" w:eastAsia="宋体" w:hAnsi="Times New Roman" w:cs="Times New Roman" w:hint="eastAsia"/>
          <w:kern w:val="0"/>
          <w:szCs w:val="21"/>
        </w:rPr>
        <w:t>10,716,504.27</w:t>
      </w:r>
      <w:r w:rsidRPr="00DC359B">
        <w:rPr>
          <w:rFonts w:ascii="Times New Roman" w:eastAsia="宋体" w:hAnsi="Times New Roman" w:cs="Times New Roman" w:hint="eastAsia"/>
          <w:kern w:val="0"/>
          <w:szCs w:val="21"/>
        </w:rPr>
        <w:t>元，该费用对报告期利润不造成重大影响。</w:t>
      </w:r>
    </w:p>
    <w:p w14:paraId="1B83375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报告期内员工持股计划终止的情况</w:t>
      </w:r>
    </w:p>
    <w:p w14:paraId="13EDD7C0"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267A928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其他说明：</w:t>
      </w:r>
    </w:p>
    <w:p w14:paraId="475329B7"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hint="eastAsia"/>
          <w:sz w:val="18"/>
          <w:szCs w:val="18"/>
        </w:rPr>
        <w:t>无</w:t>
      </w:r>
    </w:p>
    <w:p w14:paraId="5C743CED"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bookmarkStart w:id="86" w:name="_Toc988965"/>
      <w:r w:rsidRPr="00DC359B">
        <w:rPr>
          <w:rFonts w:ascii="Times New Roman" w:eastAsia="宋体" w:hAnsi="Times New Roman" w:cs="Times New Roman"/>
          <w:b/>
          <w:bCs/>
          <w:szCs w:val="21"/>
        </w:rPr>
        <w:t>3</w:t>
      </w:r>
      <w:r w:rsidRPr="00DC359B">
        <w:rPr>
          <w:rFonts w:ascii="Times New Roman" w:eastAsia="宋体" w:hAnsi="Times New Roman" w:cs="Times New Roman"/>
          <w:b/>
          <w:bCs/>
          <w:szCs w:val="21"/>
        </w:rPr>
        <w:t>、其他员工激励措施</w:t>
      </w:r>
      <w:bookmarkEnd w:id="86"/>
    </w:p>
    <w:p w14:paraId="72523C1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7D74E90"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87" w:name="_Toc988966"/>
      <w:r w:rsidRPr="00DC359B">
        <w:rPr>
          <w:rFonts w:ascii="宋体" w:eastAsia="宋体" w:hAnsi="宋体" w:cs="宋体"/>
          <w:b/>
          <w:bCs/>
          <w:sz w:val="24"/>
          <w:szCs w:val="24"/>
        </w:rPr>
        <w:t>十三、报告期内的内部控制制度建设及实施情况</w:t>
      </w:r>
      <w:bookmarkEnd w:id="87"/>
    </w:p>
    <w:p w14:paraId="79EDC3D9"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bookmarkStart w:id="88" w:name="_Toc988967"/>
      <w:r w:rsidRPr="00DC359B">
        <w:rPr>
          <w:rFonts w:ascii="Times New Roman" w:eastAsia="宋体" w:hAnsi="Times New Roman" w:cs="Times New Roman"/>
          <w:b/>
          <w:bCs/>
          <w:szCs w:val="21"/>
        </w:rPr>
        <w:t>1</w:t>
      </w:r>
      <w:r w:rsidRPr="00DC359B">
        <w:rPr>
          <w:rFonts w:ascii="Times New Roman" w:eastAsia="宋体" w:hAnsi="Times New Roman" w:cs="Times New Roman"/>
          <w:b/>
          <w:bCs/>
          <w:szCs w:val="21"/>
        </w:rPr>
        <w:t>、内部控制建设及实施情况</w:t>
      </w:r>
      <w:bookmarkEnd w:id="88"/>
    </w:p>
    <w:p w14:paraId="317F5E5C"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根据《企业内部控制基本规范》及其配套指引的规定和要求，结合公司内部控制和评价办法，在内部控制日常监督和专项监督的基础上，坚持以风险导向为原则，对内部控制体系进行适时的修订和完善，建立了一套设计科学、简洁适用、运行有效的内部控制体系。公司董事会全面统筹内部控制制度的有效实施，并结合董事会审计委员会、内部审计部门审计工作组等风险内控管理组织，深入了解公司内控建设和运行现状，通过分析内控设计及执行有效性，明确内控差距及缺陷，进一步优化完善公司内部控制体系，有效防范公司经营管理中的风险。</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年度，公司对组织架构、发展战略、人力资源、社会责任、企业文化等内容进行了自我评价工作，具体报告如下：</w:t>
      </w:r>
    </w:p>
    <w:p w14:paraId="7E53B314" w14:textId="77777777" w:rsidR="00DC359B" w:rsidRPr="00DC359B" w:rsidRDefault="00DC359B" w:rsidP="00DC359B">
      <w:pPr>
        <w:widowControl/>
        <w:spacing w:line="360" w:lineRule="auto"/>
        <w:ind w:firstLine="422"/>
        <w:jc w:val="both"/>
        <w:rPr>
          <w:rFonts w:ascii="Times New Roman" w:eastAsia="宋体" w:hAnsi="Times New Roman" w:cs="Times New Roman"/>
          <w:b/>
          <w:bCs/>
          <w:color w:val="000000"/>
          <w:kern w:val="0"/>
          <w:sz w:val="24"/>
          <w:szCs w:val="24"/>
        </w:rPr>
      </w:pPr>
      <w:r w:rsidRPr="00DC359B">
        <w:rPr>
          <w:rFonts w:ascii="Times New Roman" w:eastAsia="宋体" w:hAnsi="Times New Roman" w:cs="Times New Roman" w:hint="eastAsia"/>
          <w:b/>
          <w:color w:val="000000"/>
          <w:kern w:val="0"/>
          <w:szCs w:val="21"/>
        </w:rPr>
        <w:t>（</w:t>
      </w:r>
      <w:r w:rsidRPr="00DC359B">
        <w:rPr>
          <w:rFonts w:ascii="Times New Roman" w:eastAsia="宋体" w:hAnsi="Times New Roman" w:cs="Times New Roman"/>
          <w:b/>
          <w:color w:val="000000"/>
          <w:kern w:val="0"/>
          <w:szCs w:val="21"/>
        </w:rPr>
        <w:t>1</w:t>
      </w:r>
      <w:r w:rsidRPr="00DC359B">
        <w:rPr>
          <w:rFonts w:ascii="Times New Roman" w:eastAsia="宋体" w:hAnsi="Times New Roman" w:cs="Times New Roman" w:hint="eastAsia"/>
          <w:b/>
          <w:color w:val="000000"/>
          <w:kern w:val="0"/>
          <w:szCs w:val="21"/>
        </w:rPr>
        <w:t>）治理结构、机构设置及权责分配</w:t>
      </w:r>
    </w:p>
    <w:p w14:paraId="6C0A074A"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公司按照《公司法》《证券法》和有关监管部门的要求及《公司章程》的规定，建立了股东会、董事会以及高级管理人员组成的公司治理结构。其中，公司董事会由董事长、副董事长及董事共</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人组成，高级管理人员由总经理、副总经理、董事会秘书、财务总监组成。</w:t>
      </w:r>
    </w:p>
    <w:p w14:paraId="57C699FE"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公司治理结构的设立遵照《公司法》及中国证监会等相关监管机构法律法规的相关要求。</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底，公司根据最新监管要求及治理优化目标，对治理体系进行了系统性升级：取消监事会设置，由董事会审计委员会承接《公司法》规定的监事会职权，并同步修订了《公司章程》及相关治理制度。本公司依照《公司法》和《公司章程》持续建立健全董事会的各项职责，制定了《股东会议事规则》和《董事会议事规则》，明确决策、执行等方面的职责权限，形成了科学有效的职责分工和制衡机制。股东会、董事会分别按其职责行使决策权和执行权，董事会审计委员会行使监督权。董事会成员由股东会选举产生，向股东负责，其中独立董事</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名，超过董事人数的三分之一。</w:t>
      </w:r>
    </w:p>
    <w:p w14:paraId="790E85B4"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本公司建立董事会领导下总经理负责制。按照《公司章程》的规定，公司高级管理人员由董事会聘任和解聘。</w:t>
      </w:r>
    </w:p>
    <w:p w14:paraId="3D2C41D4"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总经理是公司管理层的负责人，其主要在董事会授权范围内开展工作，副总经理和其他高级管理人员在总经理的领导下负责处理分管的工作。</w:t>
      </w:r>
    </w:p>
    <w:p w14:paraId="65E62A2B"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公司董事会下设战略委员会、提名委员会、薪酬与考核委员会、审计委员会，其中公司审计委员会是公司内部控制有效性的检查监督机构。</w:t>
      </w:r>
    </w:p>
    <w:p w14:paraId="49ECB0C0"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本部合理设置了各内部管理职能机构，并通过制定组织结构图、部门职责、岗位职责、三诺生物权限指引体系等内部管理制度或相关文件，明确了各机构的职责权限，并使管理层和员工充分了解和掌握组织架构设计及权责分配情况。</w:t>
      </w:r>
    </w:p>
    <w:p w14:paraId="18459CA1" w14:textId="77777777" w:rsidR="00DC359B" w:rsidRPr="00DC359B" w:rsidRDefault="00DC359B" w:rsidP="00DC359B">
      <w:pPr>
        <w:widowControl/>
        <w:spacing w:line="360" w:lineRule="auto"/>
        <w:ind w:firstLine="422"/>
        <w:jc w:val="both"/>
        <w:rPr>
          <w:rFonts w:ascii="Times New Roman" w:eastAsia="宋体" w:hAnsi="Times New Roman" w:cs="Times New Roman"/>
          <w:b/>
          <w:color w:val="000000"/>
          <w:kern w:val="0"/>
          <w:szCs w:val="21"/>
        </w:rPr>
      </w:pPr>
      <w:r w:rsidRPr="00DC359B">
        <w:rPr>
          <w:rFonts w:ascii="Times New Roman" w:eastAsia="宋体" w:hAnsi="Times New Roman" w:cs="Times New Roman" w:hint="eastAsia"/>
          <w:b/>
          <w:color w:val="000000"/>
          <w:kern w:val="0"/>
          <w:szCs w:val="21"/>
        </w:rPr>
        <w:t>（</w:t>
      </w:r>
      <w:r w:rsidRPr="00DC359B">
        <w:rPr>
          <w:rFonts w:ascii="Times New Roman" w:eastAsia="宋体" w:hAnsi="Times New Roman" w:cs="Times New Roman"/>
          <w:b/>
          <w:color w:val="000000"/>
          <w:kern w:val="0"/>
          <w:szCs w:val="21"/>
        </w:rPr>
        <w:t>2</w:t>
      </w:r>
      <w:r w:rsidRPr="00DC359B">
        <w:rPr>
          <w:rFonts w:ascii="Times New Roman" w:eastAsia="宋体" w:hAnsi="Times New Roman" w:cs="Times New Roman" w:hint="eastAsia"/>
          <w:b/>
          <w:color w:val="000000"/>
          <w:kern w:val="0"/>
          <w:szCs w:val="21"/>
        </w:rPr>
        <w:t>）发展战略</w:t>
      </w:r>
    </w:p>
    <w:p w14:paraId="41968F06"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公司董事会下设战略委员会，明确了董事会及其战略委员会负责公司的发展战略管理，对公司长期发展战略和重大投资决策进行研究并提出建议，战略委员会由</w:t>
      </w: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名独立董事和</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名非独立董事组成。战略委员会委员均具备扎实的专业知识和丰富的实践经验，涉及生物医药、金融、治理等多元化专业领域，能够为公司带来多元化的观点和建议，同时熟悉公司业务行业特点及经营运作特点，具有较强的市场敏感性和综合判断能力，能够充分了解国家宏观政策走向、国内外发展趋势，确保公司战略规划有效实施。公司坚持科学发展观，高度重视企业发展与环境、社会的和谐，促进行业与社会、环境的协调、可持续健康发展，践行从“中国血糖仪普及推动者”到“全球领先的血糖监测专家”转型升级的发展战略，最终实现“全球领先的糖尿病数字管理专家”的战略愿景。同时，公司将战略层层分解，展开至产品线战略、事业部战略、职能战略，并深入到基本业务流程进行战略执行与监控，通过战略解码到中心部门，形成组织绩效</w:t>
      </w:r>
      <w:r w:rsidRPr="00DC359B">
        <w:rPr>
          <w:rFonts w:ascii="Times New Roman" w:eastAsia="宋体" w:hAnsi="Times New Roman" w:cs="Times New Roman"/>
          <w:kern w:val="0"/>
          <w:szCs w:val="21"/>
        </w:rPr>
        <w:t>KPI</w:t>
      </w:r>
      <w:r w:rsidRPr="00DC359B">
        <w:rPr>
          <w:rFonts w:ascii="Times New Roman" w:eastAsia="宋体" w:hAnsi="Times New Roman" w:cs="Times New Roman" w:hint="eastAsia"/>
          <w:kern w:val="0"/>
          <w:szCs w:val="21"/>
        </w:rPr>
        <w:t>指标，推动战略目标实现落地。</w:t>
      </w:r>
    </w:p>
    <w:p w14:paraId="47F9BE68" w14:textId="77777777" w:rsidR="00DC359B" w:rsidRPr="00DC359B" w:rsidRDefault="00DC359B" w:rsidP="00DC359B">
      <w:pPr>
        <w:widowControl/>
        <w:spacing w:line="360" w:lineRule="auto"/>
        <w:ind w:firstLine="422"/>
        <w:jc w:val="both"/>
        <w:rPr>
          <w:rFonts w:ascii="Times New Roman" w:eastAsia="宋体" w:hAnsi="Times New Roman" w:cs="Times New Roman"/>
          <w:b/>
          <w:color w:val="000000"/>
          <w:kern w:val="0"/>
          <w:szCs w:val="21"/>
        </w:rPr>
      </w:pPr>
      <w:r w:rsidRPr="00DC359B">
        <w:rPr>
          <w:rFonts w:ascii="Times New Roman" w:eastAsia="宋体" w:hAnsi="Times New Roman" w:cs="Times New Roman" w:hint="eastAsia"/>
          <w:b/>
          <w:color w:val="000000"/>
          <w:kern w:val="0"/>
          <w:szCs w:val="21"/>
        </w:rPr>
        <w:t>（</w:t>
      </w:r>
      <w:r w:rsidRPr="00DC359B">
        <w:rPr>
          <w:rFonts w:ascii="Times New Roman" w:eastAsia="宋体" w:hAnsi="Times New Roman" w:cs="Times New Roman"/>
          <w:b/>
          <w:color w:val="000000"/>
          <w:kern w:val="0"/>
          <w:szCs w:val="21"/>
        </w:rPr>
        <w:t>3</w:t>
      </w:r>
      <w:r w:rsidRPr="00DC359B">
        <w:rPr>
          <w:rFonts w:ascii="Times New Roman" w:eastAsia="宋体" w:hAnsi="Times New Roman" w:cs="Times New Roman" w:hint="eastAsia"/>
          <w:b/>
          <w:color w:val="000000"/>
          <w:kern w:val="0"/>
          <w:szCs w:val="21"/>
        </w:rPr>
        <w:t>）人力资源</w:t>
      </w:r>
    </w:p>
    <w:p w14:paraId="530A84D4" w14:textId="6BF6CF5D"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本公司坚守“对员工的承诺”，为员工提供充满关爱及成就感的工作环境，重视员工的发展。根据《中华人民共和国劳动法》《中华人民共和国劳动合同法》《中华人民共和国劳动合同法实施条例》及《中华人民共和国民法典》等要求，公司制定了《公司组织架构与部门职能》等基础管理文件，以及《员工手册》《员工行为奖惩制度》《绩效管理制度》《考勤与假务管理制度》《内部推荐管理办法》《员工海外派遣政策》《员工异地派遣</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异地引进政策》《内部讲师管理制度》《员工外训管理制度》等人力资源管理政策，在员工的选、用、育、留等方面严格遵守国家法律法规政策规定，与员工签订正式劳动合同，严格按劳动合同行使</w:t>
      </w:r>
      <w:r w:rsidR="007F39A3">
        <w:rPr>
          <w:rFonts w:ascii="Times New Roman" w:eastAsia="宋体" w:hAnsi="Times New Roman" w:cs="Times New Roman" w:hint="eastAsia"/>
          <w:kern w:val="0"/>
          <w:szCs w:val="21"/>
        </w:rPr>
        <w:t>权利</w:t>
      </w:r>
      <w:r w:rsidRPr="00DC359B">
        <w:rPr>
          <w:rFonts w:ascii="Times New Roman" w:eastAsia="宋体" w:hAnsi="Times New Roman" w:cs="Times New Roman" w:hint="eastAsia"/>
          <w:kern w:val="0"/>
          <w:szCs w:val="21"/>
        </w:rPr>
        <w:t>和履行义务。同时，推动了</w:t>
      </w:r>
      <w:r w:rsidRPr="00DC359B">
        <w:rPr>
          <w:rFonts w:ascii="Times New Roman" w:eastAsia="宋体" w:hAnsi="Times New Roman" w:cs="Times New Roman"/>
          <w:kern w:val="0"/>
          <w:szCs w:val="21"/>
        </w:rPr>
        <w:t>HR</w:t>
      </w:r>
      <w:r w:rsidRPr="00DC359B">
        <w:rPr>
          <w:rFonts w:ascii="Times New Roman" w:eastAsia="宋体" w:hAnsi="Times New Roman" w:cs="Times New Roman" w:hint="eastAsia"/>
          <w:kern w:val="0"/>
          <w:szCs w:val="21"/>
        </w:rPr>
        <w:t>数智化建设，将员工线上流程打通，实现入职办理在线化，劳动合同审批、续签在线化。</w:t>
      </w:r>
    </w:p>
    <w:p w14:paraId="5596AC2E"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在人事任免方面，公司根据管理权限对公司及下属公司的关键管理人员进行考察、任免，降低用人风险，并使公司经营决策在下属公司能够得到全面而有效地执行，保证了公司整体利益和发展战略目标的实现。</w:t>
      </w:r>
    </w:p>
    <w:p w14:paraId="10584186"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在人才发展方面，公司构建了战略性人才发展体系。通过建立科学化人才标准体系，配套实施“选拔</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培养</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评估”闭环管理机制，确保人才发展工作精准对接战略需求。依托数字化平台支撑，打造了</w:t>
      </w:r>
      <w:r w:rsidRPr="00DC359B">
        <w:rPr>
          <w:rFonts w:ascii="Times New Roman" w:eastAsia="宋体" w:hAnsi="Times New Roman" w:cs="Times New Roman"/>
          <w:kern w:val="0"/>
          <w:szCs w:val="21"/>
        </w:rPr>
        <w:t>O2O</w:t>
      </w:r>
      <w:r w:rsidRPr="00DC359B">
        <w:rPr>
          <w:rFonts w:ascii="Times New Roman" w:eastAsia="宋体" w:hAnsi="Times New Roman" w:cs="Times New Roman" w:hint="eastAsia"/>
          <w:kern w:val="0"/>
          <w:szCs w:val="21"/>
        </w:rPr>
        <w:t>混合式培养矩阵，通过融入计划强化新员工文化融入、提升岗位胜任力；通过专业力培养项目促进专业序列的技术精进；通过领导力培养项目系统提升管理者领导能力。借助智能人才管理系统，实现自主学习、个人发展计划、继任管理、能力评估等模块的有机整合，形成人才发展的闭环管理，持续赋能员工职业成长，构建支撑企业可持续发展的复合型人才梯队。</w:t>
      </w:r>
    </w:p>
    <w:p w14:paraId="24D658DF"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在员工福利方面，公司通过“人生的每一步幸福都在三诺实现”的福利体系路径，完善员工新婚贺礼、孕产期福利、生日福利、入职周年纪念活动等。借助企业数字化工具，搭建职能服务平台，为员工方便地提供财务、</w:t>
      </w:r>
      <w:r w:rsidRPr="00DC359B">
        <w:rPr>
          <w:rFonts w:ascii="Times New Roman" w:eastAsia="宋体" w:hAnsi="Times New Roman" w:cs="Times New Roman"/>
          <w:kern w:val="0"/>
          <w:szCs w:val="21"/>
        </w:rPr>
        <w:t>HR</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IT</w:t>
      </w:r>
      <w:r w:rsidRPr="00DC359B">
        <w:rPr>
          <w:rFonts w:ascii="Times New Roman" w:eastAsia="宋体" w:hAnsi="Times New Roman" w:cs="Times New Roman" w:hint="eastAsia"/>
          <w:kern w:val="0"/>
          <w:szCs w:val="21"/>
        </w:rPr>
        <w:t>、行政等事务信息汇总和检索，实现以发展的平台吸引员工、以合理的薪资留住员工、以平等的机制成就员工、以友爱的氛围凝聚员工的三诺人才战略。</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年，三诺生物荣获中华全国总工会颁布的“全国模范职工之家”荣誉称号。</w:t>
      </w:r>
    </w:p>
    <w:p w14:paraId="4E1C1669" w14:textId="77777777" w:rsidR="00DC359B" w:rsidRPr="00DC359B" w:rsidRDefault="00DC359B" w:rsidP="00DC359B">
      <w:pPr>
        <w:widowControl/>
        <w:spacing w:line="360" w:lineRule="auto"/>
        <w:ind w:firstLine="422"/>
        <w:jc w:val="both"/>
        <w:rPr>
          <w:rFonts w:ascii="Times New Roman" w:eastAsia="宋体" w:hAnsi="Times New Roman" w:cs="Times New Roman"/>
          <w:b/>
          <w:bCs/>
          <w:color w:val="000000"/>
          <w:kern w:val="0"/>
          <w:sz w:val="24"/>
          <w:szCs w:val="24"/>
        </w:rPr>
      </w:pPr>
      <w:r w:rsidRPr="00DC359B">
        <w:rPr>
          <w:rFonts w:ascii="Times New Roman" w:eastAsia="宋体" w:hAnsi="Times New Roman" w:cs="Times New Roman" w:hint="eastAsia"/>
          <w:b/>
          <w:bCs/>
          <w:color w:val="000000"/>
          <w:kern w:val="0"/>
          <w:szCs w:val="21"/>
        </w:rPr>
        <w:t>（</w:t>
      </w:r>
      <w:r w:rsidRPr="00DC359B">
        <w:rPr>
          <w:rFonts w:ascii="Times New Roman" w:eastAsia="宋体" w:hAnsi="Times New Roman" w:cs="Times New Roman"/>
          <w:b/>
          <w:bCs/>
          <w:color w:val="000000"/>
          <w:kern w:val="0"/>
          <w:szCs w:val="21"/>
        </w:rPr>
        <w:t>4</w:t>
      </w:r>
      <w:r w:rsidRPr="00DC359B">
        <w:rPr>
          <w:rFonts w:ascii="Times New Roman" w:eastAsia="宋体" w:hAnsi="Times New Roman" w:cs="Times New Roman" w:hint="eastAsia"/>
          <w:b/>
          <w:bCs/>
          <w:color w:val="000000"/>
          <w:kern w:val="0"/>
          <w:szCs w:val="21"/>
        </w:rPr>
        <w:t>）社会责任</w:t>
      </w:r>
    </w:p>
    <w:p w14:paraId="2694AB37"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公司积极履行社会责任，高度重视安全生产、环保安全、生物安全、员工职业健康、产品质量安全等工作，并积极开展慈善公益项目。</w:t>
      </w:r>
    </w:p>
    <w:p w14:paraId="30791421"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公司持续深入贯彻落实国家有关安全生产、环保安全、质量安全等一系列政策措施，紧紧围绕安全管理的总体目标，强化精细化管理，通过加强培训、完善制度、强化监督、提高执行力等手段，有效预防了重、特大安全事故的发生，提高全员环保节能意识，安全与生产工作取得较好成绩。</w:t>
      </w:r>
    </w:p>
    <w:p w14:paraId="300603D7" w14:textId="380B8B52"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在职业健康方面，本公司严格按照《中华人民共和国</w:t>
      </w:r>
      <w:r w:rsidR="007F39A3" w:rsidRPr="00DC359B">
        <w:rPr>
          <w:rFonts w:ascii="Times New Roman" w:eastAsia="宋体" w:hAnsi="Times New Roman" w:cs="Times New Roman" w:hint="eastAsia"/>
          <w:kern w:val="0"/>
          <w:szCs w:val="21"/>
        </w:rPr>
        <w:t>安全</w:t>
      </w:r>
      <w:r w:rsidRPr="00DC359B">
        <w:rPr>
          <w:rFonts w:ascii="Times New Roman" w:eastAsia="宋体" w:hAnsi="Times New Roman" w:cs="Times New Roman" w:hint="eastAsia"/>
          <w:kern w:val="0"/>
          <w:szCs w:val="21"/>
        </w:rPr>
        <w:t>生产法》《中华人民共和国职业病防治法》等相关法律法规，制定《</w:t>
      </w:r>
      <w:r w:rsidRPr="00DC359B">
        <w:rPr>
          <w:rFonts w:ascii="Times New Roman" w:eastAsia="宋体" w:hAnsi="Times New Roman" w:cs="Times New Roman"/>
          <w:kern w:val="0"/>
          <w:szCs w:val="21"/>
        </w:rPr>
        <w:t>EHS</w:t>
      </w:r>
      <w:r w:rsidRPr="00DC359B">
        <w:rPr>
          <w:rFonts w:ascii="Times New Roman" w:eastAsia="宋体" w:hAnsi="Times New Roman" w:cs="Times New Roman" w:hint="eastAsia"/>
          <w:kern w:val="0"/>
          <w:szCs w:val="21"/>
        </w:rPr>
        <w:t>委员会及安全责任制度》《劳动防护用品管理制度》《环境与安全事故管理制度》等一系列制度文件，持续开展安全管理工作，不断优化完善各类应急管理预案，形成安全管理的常态机制，全面保障员工安全生产环境。</w:t>
      </w:r>
    </w:p>
    <w:p w14:paraId="71CE1E60"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在产品质量方面，形成了“质量第一”的文化。三诺生物的质量管理体系符合</w:t>
      </w:r>
      <w:r w:rsidRPr="00DC359B">
        <w:rPr>
          <w:rFonts w:ascii="Times New Roman" w:eastAsia="宋体" w:hAnsi="Times New Roman" w:cs="Times New Roman"/>
          <w:kern w:val="0"/>
          <w:szCs w:val="21"/>
        </w:rPr>
        <w:t>ISO13485</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ISO9001</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GB/T42061-2022</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MDSAP</w:t>
      </w:r>
      <w:r w:rsidRPr="00DC359B">
        <w:rPr>
          <w:rFonts w:ascii="Times New Roman" w:eastAsia="宋体" w:hAnsi="Times New Roman" w:cs="Times New Roman" w:hint="eastAsia"/>
          <w:kern w:val="0"/>
          <w:szCs w:val="21"/>
        </w:rPr>
        <w:t>等标准，以及欧盟、美国、巴西、韩国、澳大利亚、加拿大等国家的法规要求，多体系融合以满足全球市场的标准和要求。公司参照有关标准和法规要求，建立全过程质量管理体系，横向覆盖采购、生产、销售全流程，纵向从质量基础数据管理，延伸至质量检验和质量判定全过程，切实将质量管理贯穿在采购询价、供应商选择、货物接收、生产、销售和财务核算等整个企业经营活动中。在公司内部，我们积极营造质量文化，将质量意识深植于每位员工心中。</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年，公司将美国（</w:t>
      </w:r>
      <w:r w:rsidRPr="00DC359B">
        <w:rPr>
          <w:rFonts w:ascii="Times New Roman" w:eastAsia="宋体" w:hAnsi="Times New Roman" w:cs="Times New Roman"/>
          <w:kern w:val="0"/>
          <w:szCs w:val="21"/>
        </w:rPr>
        <w:t>QMSR</w:t>
      </w:r>
      <w:r w:rsidRPr="00DC359B">
        <w:rPr>
          <w:rFonts w:ascii="Times New Roman" w:eastAsia="宋体" w:hAnsi="Times New Roman" w:cs="Times New Roman" w:hint="eastAsia"/>
          <w:kern w:val="0"/>
          <w:szCs w:val="21"/>
        </w:rPr>
        <w:t>）与日本医疗器械法规要求融入现有体系，增强了应对国际复杂监管的能力，确保了质量体系适宜性和有效性。与此同时，公司全面实现体系文件电子化，显著提升了质量体系的运营的效率。</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年，三诺生物入选</w:t>
      </w:r>
      <w:r w:rsidRPr="00DC359B">
        <w:rPr>
          <w:rFonts w:ascii="Times New Roman" w:eastAsia="宋体" w:hAnsi="Times New Roman" w:cs="Times New Roman"/>
          <w:kern w:val="0"/>
          <w:szCs w:val="21"/>
        </w:rPr>
        <w:t>“2025-2027</w:t>
      </w:r>
      <w:r w:rsidRPr="00DC359B">
        <w:rPr>
          <w:rFonts w:ascii="Times New Roman" w:eastAsia="宋体" w:hAnsi="Times New Roman" w:cs="Times New Roman" w:hint="eastAsia"/>
          <w:kern w:val="0"/>
          <w:szCs w:val="21"/>
        </w:rPr>
        <w:t>制造业单项冠军企业</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w:t>
      </w:r>
    </w:p>
    <w:p w14:paraId="0B704FD3"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在慈善公益方面，公司及其创始人、主要股东共同发起并成立了湖南省三诺糖尿病公益基金会（以下简称“三诺基金会”），为湖南省</w:t>
      </w:r>
      <w:r w:rsidRPr="00DC359B">
        <w:rPr>
          <w:rFonts w:ascii="Times New Roman" w:eastAsia="宋体" w:hAnsi="Times New Roman" w:cs="Times New Roman"/>
          <w:kern w:val="0"/>
          <w:szCs w:val="21"/>
        </w:rPr>
        <w:t>4A</w:t>
      </w:r>
      <w:r w:rsidRPr="00DC359B">
        <w:rPr>
          <w:rFonts w:ascii="Times New Roman" w:eastAsia="宋体" w:hAnsi="Times New Roman" w:cs="Times New Roman" w:hint="eastAsia"/>
          <w:kern w:val="0"/>
          <w:szCs w:val="21"/>
        </w:rPr>
        <w:t>级非公募基金会，也是中国大陆第一家糖尿病公益基金会。三诺基金会连续</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年获</w:t>
      </w:r>
      <w:r w:rsidRPr="00DC359B">
        <w:rPr>
          <w:rFonts w:ascii="Times New Roman" w:eastAsia="宋体" w:hAnsi="Times New Roman" w:cs="Times New Roman"/>
          <w:kern w:val="0"/>
          <w:szCs w:val="21"/>
        </w:rPr>
        <w:t>FTI</w:t>
      </w:r>
      <w:r w:rsidRPr="00DC359B">
        <w:rPr>
          <w:rFonts w:ascii="Times New Roman" w:eastAsia="宋体" w:hAnsi="Times New Roman" w:cs="Times New Roman" w:hint="eastAsia"/>
          <w:kern w:val="0"/>
          <w:szCs w:val="21"/>
        </w:rPr>
        <w:t>中基透明指数满分，评级为最高等级</w:t>
      </w:r>
      <w:r w:rsidRPr="00DC359B">
        <w:rPr>
          <w:rFonts w:ascii="Times New Roman" w:eastAsia="宋体" w:hAnsi="Times New Roman" w:cs="Times New Roman"/>
          <w:kern w:val="0"/>
          <w:szCs w:val="21"/>
        </w:rPr>
        <w:t>A+</w:t>
      </w:r>
      <w:r w:rsidRPr="00DC359B">
        <w:rPr>
          <w:rFonts w:ascii="Times New Roman" w:eastAsia="宋体" w:hAnsi="Times New Roman" w:cs="Times New Roman" w:hint="eastAsia"/>
          <w:kern w:val="0"/>
          <w:szCs w:val="21"/>
        </w:rPr>
        <w:t>，入榜中小型非公募基金会榜单。获评中国基金会透明指数（</w:t>
      </w:r>
      <w:r w:rsidRPr="00DC359B">
        <w:rPr>
          <w:rFonts w:ascii="Times New Roman" w:eastAsia="宋体" w:hAnsi="Times New Roman" w:cs="Times New Roman"/>
          <w:kern w:val="0"/>
          <w:szCs w:val="21"/>
        </w:rPr>
        <w:t>FTI</w:t>
      </w:r>
      <w:r w:rsidRPr="00DC359B">
        <w:rPr>
          <w:rFonts w:ascii="Times New Roman" w:eastAsia="宋体" w:hAnsi="Times New Roman" w:cs="Times New Roman" w:hint="eastAsia"/>
          <w:kern w:val="0"/>
          <w:szCs w:val="21"/>
        </w:rPr>
        <w:t>）满分。三诺基金会秉承着</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通过教育和创新，帮助糖尿病人快乐健康生活</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的使命，聚焦</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型糖尿病儿童，围绕面向患者家庭、面向医护、面向社会大众三大干预模块开展系列项目。</w:t>
      </w:r>
    </w:p>
    <w:p w14:paraId="6EB30A5F"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面向患者家庭，持续开展“甜蜜生活包”、“甜蜜生活支持计划”、“甜蜜康乐营”、“甜蜜心咨询”等公益项目，为</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型糖尿病儿童（简称</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糖宝</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）及其家庭赋能，提供资金、物资、糖尿病知识、心理服务等多方位的支持，帮助他们更好地管理疾病，提升生活质量。</w:t>
      </w:r>
    </w:p>
    <w:p w14:paraId="65A1CB9B"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面向医护，通过科研项目孵化、专业人才培养、学术交流平台三大路径，提升医护人员的</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型糖尿病教育水平，持续推动中国</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型糖尿病诊疗能力的均衡化与高质量发展。</w:t>
      </w:r>
    </w:p>
    <w:p w14:paraId="0B0CE522"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面向社会大众，通过“</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型一起说”科普直播、“</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诺跑</w:t>
      </w:r>
      <w:r w:rsidRPr="00DC359B">
        <w:rPr>
          <w:rFonts w:ascii="Times New Roman" w:eastAsia="宋体" w:hAnsi="Times New Roman" w:cs="Times New Roman"/>
          <w:kern w:val="0"/>
          <w:szCs w:val="21"/>
        </w:rPr>
        <w:t>iWalk</w:t>
      </w:r>
      <w:r w:rsidRPr="00DC359B">
        <w:rPr>
          <w:rFonts w:ascii="Times New Roman" w:eastAsia="宋体" w:hAnsi="Times New Roman" w:cs="Times New Roman" w:hint="eastAsia"/>
          <w:kern w:val="0"/>
          <w:szCs w:val="21"/>
        </w:rPr>
        <w:t>”公益徒步活动、“心艺守护</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甜野人生”主题艺术公益展等活动进行科普，让更多潜在糖尿病患者进行早期识别和诊断、及时治疗，降低对患者的误解和歧视，增进职场、学校等机构的社会支持，助力患者的社会融入与品质生活。此外，三诺基金会通过链接、资助和孵化更多在地公益组织，构建糖尿病公益生态圈，一起聚焦于</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型糖尿病儿童社会问题的研究和解决。</w:t>
      </w:r>
    </w:p>
    <w:p w14:paraId="08BF0B71"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年，三诺糖尿病基金会获得“第三届中欧校友公益评选活动”公益机构奖</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践行奖、第四届长沙慈善榜</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公益组织影响力榜</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等荣誉。</w:t>
      </w:r>
    </w:p>
    <w:p w14:paraId="2426A979" w14:textId="77777777" w:rsidR="00DC359B" w:rsidRPr="00DC359B" w:rsidRDefault="00DC359B" w:rsidP="00DC359B">
      <w:pPr>
        <w:widowControl/>
        <w:spacing w:line="360" w:lineRule="auto"/>
        <w:ind w:firstLine="422"/>
        <w:jc w:val="both"/>
        <w:rPr>
          <w:rFonts w:ascii="Times New Roman" w:eastAsia="等线" w:hAnsi="Times New Roman" w:cs="Times New Roman"/>
          <w:kern w:val="0"/>
          <w:szCs w:val="21"/>
        </w:rPr>
      </w:pPr>
      <w:r w:rsidRPr="00DC359B">
        <w:rPr>
          <w:rFonts w:ascii="Times New Roman" w:eastAsia="宋体" w:hAnsi="Times New Roman" w:cs="Times New Roman" w:hint="eastAsia"/>
          <w:b/>
          <w:bCs/>
          <w:color w:val="000000"/>
          <w:kern w:val="0"/>
          <w:szCs w:val="21"/>
        </w:rPr>
        <w:t>（</w:t>
      </w:r>
      <w:r w:rsidRPr="00DC359B">
        <w:rPr>
          <w:rFonts w:ascii="Times New Roman" w:eastAsia="等线" w:hAnsi="Times New Roman" w:cs="Times New Roman"/>
          <w:b/>
          <w:bCs/>
          <w:color w:val="000000"/>
          <w:kern w:val="0"/>
          <w:szCs w:val="21"/>
        </w:rPr>
        <w:t>5</w:t>
      </w:r>
      <w:r w:rsidRPr="00DC359B">
        <w:rPr>
          <w:rFonts w:ascii="Times New Roman" w:eastAsia="宋体" w:hAnsi="Times New Roman" w:cs="Times New Roman" w:hint="eastAsia"/>
          <w:b/>
          <w:bCs/>
          <w:color w:val="000000"/>
          <w:kern w:val="0"/>
          <w:szCs w:val="21"/>
        </w:rPr>
        <w:t>）企业文化</w:t>
      </w:r>
    </w:p>
    <w:p w14:paraId="7A403C01"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公司着力推进企业文化建设，注重企业文化建设的整体规划，不断丰富企业文化内涵。</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年是本公司成立第</w:t>
      </w:r>
      <w:r w:rsidRPr="00DC359B">
        <w:rPr>
          <w:rFonts w:ascii="Times New Roman" w:eastAsia="宋体" w:hAnsi="Times New Roman" w:cs="Times New Roman"/>
          <w:kern w:val="0"/>
          <w:szCs w:val="21"/>
        </w:rPr>
        <w:t>23</w:t>
      </w:r>
      <w:r w:rsidRPr="00DC359B">
        <w:rPr>
          <w:rFonts w:ascii="Times New Roman" w:eastAsia="宋体" w:hAnsi="Times New Roman" w:cs="Times New Roman" w:hint="eastAsia"/>
          <w:kern w:val="0"/>
          <w:szCs w:val="21"/>
        </w:rPr>
        <w:t>周年，举办了“爱三诺</w:t>
      </w:r>
      <w:r w:rsidRPr="00DC359B">
        <w:rPr>
          <w:rFonts w:ascii="Times New Roman" w:eastAsia="宋体" w:hAnsi="Times New Roman" w:cs="Times New Roman"/>
          <w:kern w:val="0"/>
          <w:szCs w:val="21"/>
        </w:rPr>
        <w:t>·AI</w:t>
      </w:r>
      <w:r w:rsidRPr="00DC359B">
        <w:rPr>
          <w:rFonts w:ascii="Times New Roman" w:eastAsia="宋体" w:hAnsi="Times New Roman" w:cs="Times New Roman" w:hint="eastAsia"/>
          <w:kern w:val="0"/>
          <w:szCs w:val="21"/>
        </w:rPr>
        <w:t>同行”三诺</w:t>
      </w:r>
      <w:r w:rsidRPr="00DC359B">
        <w:rPr>
          <w:rFonts w:ascii="Times New Roman" w:eastAsia="宋体" w:hAnsi="Times New Roman" w:cs="Times New Roman"/>
          <w:kern w:val="0"/>
          <w:szCs w:val="21"/>
        </w:rPr>
        <w:t>23</w:t>
      </w:r>
      <w:r w:rsidRPr="00DC359B">
        <w:rPr>
          <w:rFonts w:ascii="Times New Roman" w:eastAsia="宋体" w:hAnsi="Times New Roman" w:cs="Times New Roman" w:hint="eastAsia"/>
          <w:kern w:val="0"/>
          <w:szCs w:val="21"/>
        </w:rPr>
        <w:t>周年庆典，同时，举办</w:t>
      </w:r>
      <w:r w:rsidRPr="00DC359B">
        <w:rPr>
          <w:rFonts w:ascii="Times New Roman" w:eastAsia="宋体" w:hAnsi="Times New Roman" w:cs="Times New Roman"/>
          <w:kern w:val="0"/>
          <w:szCs w:val="21"/>
        </w:rPr>
        <w:t>CIS</w:t>
      </w:r>
      <w:r w:rsidRPr="00DC359B">
        <w:rPr>
          <w:rFonts w:ascii="Times New Roman" w:eastAsia="宋体" w:hAnsi="Times New Roman" w:cs="Times New Roman" w:hint="eastAsia"/>
          <w:kern w:val="0"/>
          <w:szCs w:val="21"/>
        </w:rPr>
        <w:t>企业形象识别系统培训司庆月活动，通过知识竞赛的形式，加深员工对三诺品牌</w:t>
      </w:r>
      <w:r w:rsidRPr="00DC359B">
        <w:rPr>
          <w:rFonts w:ascii="Times New Roman" w:eastAsia="宋体" w:hAnsi="Times New Roman" w:cs="Times New Roman"/>
          <w:kern w:val="0"/>
          <w:szCs w:val="21"/>
        </w:rPr>
        <w:t>CIS</w:t>
      </w:r>
      <w:r w:rsidRPr="00DC359B">
        <w:rPr>
          <w:rFonts w:ascii="Times New Roman" w:eastAsia="宋体" w:hAnsi="Times New Roman" w:cs="Times New Roman" w:hint="eastAsia"/>
          <w:kern w:val="0"/>
          <w:szCs w:val="21"/>
        </w:rPr>
        <w:t>的理解。“诺力量嘉年华”市集活动，打破部门之间的壁垒，加强员工之间的沟通了解，提高员工对公司的归属感；“我眼中的三诺”活动鼓励所有员工随时随地通过照片的形式记录三诺的</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人、物、景</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，留下属于三诺的传承记忆；“</w:t>
      </w:r>
      <w:r w:rsidRPr="00DC359B">
        <w:rPr>
          <w:rFonts w:ascii="Times New Roman" w:eastAsia="宋体" w:hAnsi="Times New Roman" w:cs="Times New Roman"/>
          <w:kern w:val="0"/>
          <w:szCs w:val="21"/>
        </w:rPr>
        <w:t>i</w:t>
      </w:r>
      <w:r w:rsidRPr="00DC359B">
        <w:rPr>
          <w:rFonts w:ascii="Times New Roman" w:eastAsia="宋体" w:hAnsi="Times New Roman" w:cs="Times New Roman" w:hint="eastAsia"/>
          <w:kern w:val="0"/>
          <w:szCs w:val="21"/>
        </w:rPr>
        <w:t>成长</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高效”是</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年三诺的成长主题，聚焦</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简化、</w:t>
      </w:r>
      <w:r w:rsidRPr="00DC359B">
        <w:rPr>
          <w:rFonts w:ascii="Times New Roman" w:eastAsia="宋体" w:hAnsi="Times New Roman" w:cs="Times New Roman"/>
          <w:kern w:val="0"/>
          <w:szCs w:val="21"/>
        </w:rPr>
        <w:t>AI</w:t>
      </w:r>
      <w:r w:rsidRPr="00DC359B">
        <w:rPr>
          <w:rFonts w:ascii="Times New Roman" w:eastAsia="宋体" w:hAnsi="Times New Roman" w:cs="Times New Roman" w:hint="eastAsia"/>
          <w:kern w:val="0"/>
          <w:szCs w:val="21"/>
        </w:rPr>
        <w:t>、交付”三个支点，持续践行，以“你这周搞定了什么？”为主题量化结果，帮助员工创造更多用户价值和产出成果。同时，在日常工作中，通过价值观行为典范项目，践行“用户至上、认真、拥抱变化、协作、卓越结果、创新”六大行为典范，评选出</w:t>
      </w:r>
      <w:r w:rsidRPr="00DC359B">
        <w:rPr>
          <w:rFonts w:ascii="Times New Roman" w:eastAsia="宋体" w:hAnsi="Times New Roman" w:cs="Times New Roman"/>
          <w:kern w:val="0"/>
          <w:szCs w:val="21"/>
        </w:rPr>
        <w:t>36</w:t>
      </w:r>
      <w:r w:rsidRPr="00DC359B">
        <w:rPr>
          <w:rFonts w:ascii="Times New Roman" w:eastAsia="宋体" w:hAnsi="Times New Roman" w:cs="Times New Roman" w:hint="eastAsia"/>
          <w:kern w:val="0"/>
          <w:szCs w:val="21"/>
        </w:rPr>
        <w:t>名年度行为典范楷模，助力企业文化深入人心，在实践和工作行为中落地。</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日三诺全球价值观日，连接三诺全球各地的员工，分享在日常工作中践行价值观行为典范的优秀事例，相互学习，共同成长。</w:t>
      </w:r>
    </w:p>
    <w:p w14:paraId="0D4AE349"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bookmarkStart w:id="89" w:name="_Toc988968"/>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、报告期内发现的内部控制重大缺陷的具体情况</w:t>
      </w:r>
      <w:bookmarkEnd w:id="89"/>
    </w:p>
    <w:p w14:paraId="0CFE10C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□是 </w:t>
      </w:r>
      <w:r w:rsidRPr="00DC359B">
        <w:rPr>
          <w:rFonts w:ascii="宋体" w:eastAsia="宋体" w:hAnsi="宋体" w:cs="宋体"/>
          <w:sz w:val="18"/>
          <w:szCs w:val="18"/>
        </w:rPr>
        <w:sym w:font="Wingdings 2" w:char="F052"/>
      </w:r>
      <w:r w:rsidRPr="00DC359B">
        <w:rPr>
          <w:rFonts w:ascii="宋体" w:eastAsia="宋体" w:hAnsi="宋体" w:cs="宋体"/>
          <w:sz w:val="18"/>
          <w:szCs w:val="18"/>
        </w:rPr>
        <w:t>否</w:t>
      </w:r>
    </w:p>
    <w:p w14:paraId="09D78BE7"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90" w:name="_Toc988969"/>
      <w:r w:rsidRPr="00DC359B">
        <w:rPr>
          <w:rFonts w:ascii="宋体" w:eastAsia="宋体" w:hAnsi="宋体" w:cs="宋体"/>
          <w:b/>
          <w:bCs/>
          <w:sz w:val="24"/>
          <w:szCs w:val="24"/>
        </w:rPr>
        <w:t>十四、公司报告期内对子公司的管理控制情况</w:t>
      </w:r>
      <w:bookmarkEnd w:id="90"/>
    </w:p>
    <w:tbl>
      <w:tblPr>
        <w:tblW w:w="9639" w:type="dxa"/>
        <w:tblInd w:w="108" w:type="dxa"/>
        <w:tblLayout w:type="fixed"/>
        <w:tblLook w:val="0000" w:firstRow="0" w:lastRow="0" w:firstColumn="0" w:lastColumn="0" w:noHBand="0" w:noVBand="0"/>
      </w:tblPr>
      <w:tblGrid>
        <w:gridCol w:w="1377"/>
        <w:gridCol w:w="1377"/>
        <w:gridCol w:w="1377"/>
        <w:gridCol w:w="1377"/>
        <w:gridCol w:w="1377"/>
        <w:gridCol w:w="1377"/>
        <w:gridCol w:w="1377"/>
      </w:tblGrid>
      <w:tr w:rsidR="00C57E60" w14:paraId="0E59EE44" w14:textId="77777777" w:rsidTr="00DC359B">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D1EC0F6"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公司名称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FDD5F02"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整合计划</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A9287B3"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整合进展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26CABCE"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整合中遇到的问题</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E07C624"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已采取的解决措施</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4937C8"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解决进展</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2EDD24A"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宋体" w:eastAsia="宋体" w:hAnsi="宋体" w:cs="宋体"/>
                <w:sz w:val="18"/>
                <w:szCs w:val="18"/>
              </w:rPr>
              <w:t>后续解决计划</w:t>
            </w:r>
          </w:p>
        </w:tc>
      </w:tr>
      <w:tr w:rsidR="00C57E60" w14:paraId="1506F772" w14:textId="77777777" w:rsidTr="00DC359B">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619D2197"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641E840E"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01BD0400"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4B4F3197"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382E5389"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64478BE7"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c>
          <w:tcPr>
            <w:tcW w:w="1377" w:type="dxa"/>
            <w:tcBorders>
              <w:top w:val="single" w:sz="2" w:space="0" w:color="auto"/>
              <w:left w:val="single" w:sz="2" w:space="0" w:color="auto"/>
              <w:bottom w:val="single" w:sz="2" w:space="0" w:color="auto"/>
              <w:right w:val="single" w:sz="2" w:space="0" w:color="auto"/>
            </w:tcBorders>
            <w:shd w:val="clear" w:color="auto" w:fill="FFFFFF"/>
            <w:vAlign w:val="center"/>
          </w:tcPr>
          <w:p w14:paraId="27CF14A8" w14:textId="77777777" w:rsidR="00DC359B" w:rsidRPr="00DC359B" w:rsidRDefault="00DC359B" w:rsidP="00DC359B">
            <w:pPr>
              <w:spacing w:before="40" w:after="40" w:line="240" w:lineRule="exact"/>
              <w:jc w:val="center"/>
              <w:rPr>
                <w:rFonts w:ascii="宋体" w:eastAsia="宋体" w:hAnsi="宋体" w:cs="宋体"/>
                <w:sz w:val="18"/>
                <w:szCs w:val="18"/>
              </w:rPr>
            </w:pPr>
            <w:r w:rsidRPr="00DC359B">
              <w:rPr>
                <w:rFonts w:ascii="Times New Roman" w:eastAsia="宋体" w:hAnsi="Times New Roman" w:cs="Times New Roman"/>
                <w:sz w:val="18"/>
                <w:szCs w:val="18"/>
              </w:rPr>
              <w:t>不适用</w:t>
            </w:r>
          </w:p>
        </w:tc>
      </w:tr>
    </w:tbl>
    <w:p w14:paraId="27FE8F9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对子公司的管理控制存在异常</w:t>
      </w:r>
    </w:p>
    <w:p w14:paraId="6BD69E4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□是 </w:t>
      </w:r>
      <w:r w:rsidRPr="00DC359B">
        <w:rPr>
          <w:rFonts w:ascii="宋体" w:eastAsia="宋体" w:hAnsi="宋体" w:cs="宋体"/>
          <w:sz w:val="18"/>
          <w:szCs w:val="18"/>
        </w:rPr>
        <w:sym w:font="Wingdings 2" w:char="F052"/>
      </w:r>
      <w:r w:rsidRPr="00DC359B">
        <w:rPr>
          <w:rFonts w:ascii="宋体" w:eastAsia="宋体" w:hAnsi="宋体" w:cs="宋体"/>
          <w:sz w:val="18"/>
          <w:szCs w:val="18"/>
        </w:rPr>
        <w:t>否</w:t>
      </w:r>
    </w:p>
    <w:p w14:paraId="23837D50"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91" w:name="_Toc988970"/>
      <w:r w:rsidRPr="00DC359B">
        <w:rPr>
          <w:rFonts w:ascii="宋体" w:eastAsia="宋体" w:hAnsi="宋体" w:cs="宋体"/>
          <w:b/>
          <w:bCs/>
          <w:sz w:val="24"/>
          <w:szCs w:val="24"/>
        </w:rPr>
        <w:t>十五、内部控制评价报告及内部控制审计报告</w:t>
      </w:r>
      <w:bookmarkEnd w:id="91"/>
    </w:p>
    <w:p w14:paraId="066B266E"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bookmarkStart w:id="92" w:name="_Toc988971"/>
      <w:r w:rsidRPr="00DC359B">
        <w:rPr>
          <w:rFonts w:ascii="Times New Roman" w:eastAsia="宋体" w:hAnsi="Times New Roman" w:cs="Times New Roman"/>
          <w:b/>
          <w:bCs/>
          <w:szCs w:val="21"/>
        </w:rPr>
        <w:t>1</w:t>
      </w:r>
      <w:r w:rsidRPr="00DC359B">
        <w:rPr>
          <w:rFonts w:ascii="Times New Roman" w:eastAsia="宋体" w:hAnsi="Times New Roman" w:cs="Times New Roman"/>
          <w:b/>
          <w:bCs/>
          <w:szCs w:val="21"/>
        </w:rPr>
        <w:t>、内控评价报告</w:t>
      </w:r>
      <w:bookmarkEnd w:id="92"/>
    </w:p>
    <w:tbl>
      <w:tblPr>
        <w:tblW w:w="9639" w:type="dxa"/>
        <w:tblInd w:w="108" w:type="dxa"/>
        <w:tblLayout w:type="fixed"/>
        <w:tblLook w:val="0000" w:firstRow="0" w:lastRow="0" w:firstColumn="0" w:lastColumn="0" w:noHBand="0" w:noVBand="0"/>
      </w:tblPr>
      <w:tblGrid>
        <w:gridCol w:w="2977"/>
        <w:gridCol w:w="3331"/>
        <w:gridCol w:w="3331"/>
      </w:tblGrid>
      <w:tr w:rsidR="00C57E60" w14:paraId="5007F90F"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57ADFE8F"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内部控制评价报告全文披露日期</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490BA16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2026</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04</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28</w:t>
            </w:r>
            <w:r w:rsidRPr="00DC359B">
              <w:rPr>
                <w:rFonts w:ascii="Times New Roman" w:eastAsia="宋体" w:hAnsi="Times New Roman" w:cs="Times New Roman"/>
                <w:sz w:val="18"/>
                <w:szCs w:val="18"/>
              </w:rPr>
              <w:t>日</w:t>
            </w:r>
          </w:p>
        </w:tc>
      </w:tr>
      <w:tr w:rsidR="00C57E60" w14:paraId="30DF7656"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4F5B61D4"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内部控制评价报告全文披露索引</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7FC4E5A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详见披露于巨潮资讯网（</w:t>
            </w:r>
            <w:r w:rsidRPr="00DC359B">
              <w:rPr>
                <w:rFonts w:ascii="Times New Roman" w:eastAsia="宋体" w:hAnsi="Times New Roman" w:cs="Times New Roman"/>
                <w:sz w:val="18"/>
                <w:szCs w:val="18"/>
              </w:rPr>
              <w:t>www.cninfo.com.cn</w:t>
            </w:r>
            <w:r w:rsidRPr="00DC359B">
              <w:rPr>
                <w:rFonts w:ascii="Times New Roman" w:eastAsia="宋体" w:hAnsi="Times New Roman" w:cs="Times New Roman"/>
                <w:sz w:val="18"/>
                <w:szCs w:val="18"/>
              </w:rPr>
              <w:t>）的《</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年度内部控制评价报告》</w:t>
            </w:r>
          </w:p>
        </w:tc>
      </w:tr>
      <w:tr w:rsidR="00C57E60" w14:paraId="269F421C"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3B230A9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纳入评价范围单位资产总额占公司合并财务报表资产总额的比例</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4A59894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100.00%</w:t>
            </w:r>
          </w:p>
        </w:tc>
      </w:tr>
      <w:tr w:rsidR="00C57E60" w14:paraId="17874F6B"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518ADFB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纳入评价范围单位营业收入占公司合并财务报表营业收入的比例</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57B49C3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100.00%</w:t>
            </w:r>
          </w:p>
        </w:tc>
      </w:tr>
      <w:tr w:rsidR="00C57E60" w14:paraId="0A21C291" w14:textId="77777777" w:rsidTr="00DC359B">
        <w:trPr>
          <w:cantSplit/>
          <w:trHeight w:val="240"/>
          <w:tblHeader/>
        </w:trPr>
        <w:tc>
          <w:tcPr>
            <w:tcW w:w="963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91B28D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缺陷认定标准</w:t>
            </w:r>
          </w:p>
        </w:tc>
      </w:tr>
      <w:tr w:rsidR="00C57E60" w14:paraId="2FD526AA"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5FBDCA4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类别</w:t>
            </w:r>
          </w:p>
        </w:tc>
        <w:tc>
          <w:tcPr>
            <w:tcW w:w="3331" w:type="dxa"/>
            <w:tcBorders>
              <w:top w:val="single" w:sz="2" w:space="0" w:color="auto"/>
              <w:left w:val="single" w:sz="2" w:space="0" w:color="auto"/>
              <w:bottom w:val="single" w:sz="2" w:space="0" w:color="auto"/>
              <w:right w:val="single" w:sz="2" w:space="0" w:color="auto"/>
            </w:tcBorders>
            <w:shd w:val="clear" w:color="auto" w:fill="D3D3D3"/>
            <w:vAlign w:val="center"/>
          </w:tcPr>
          <w:p w14:paraId="0F05540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财务报告</w:t>
            </w:r>
          </w:p>
        </w:tc>
        <w:tc>
          <w:tcPr>
            <w:tcW w:w="3331" w:type="dxa"/>
            <w:tcBorders>
              <w:top w:val="single" w:sz="2" w:space="0" w:color="auto"/>
              <w:left w:val="single" w:sz="2" w:space="0" w:color="auto"/>
              <w:bottom w:val="single" w:sz="2" w:space="0" w:color="auto"/>
              <w:right w:val="single" w:sz="2" w:space="0" w:color="auto"/>
            </w:tcBorders>
            <w:shd w:val="clear" w:color="auto" w:fill="D3D3D3"/>
            <w:vAlign w:val="center"/>
          </w:tcPr>
          <w:p w14:paraId="5A75EC75"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非财务报告</w:t>
            </w:r>
          </w:p>
        </w:tc>
      </w:tr>
      <w:tr w:rsidR="00C57E60" w14:paraId="69ABCBB7"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222B800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定性标准</w:t>
            </w:r>
          </w:p>
        </w:tc>
        <w:tc>
          <w:tcPr>
            <w:tcW w:w="3331" w:type="dxa"/>
            <w:tcBorders>
              <w:top w:val="single" w:sz="2" w:space="0" w:color="auto"/>
              <w:left w:val="single" w:sz="2" w:space="0" w:color="auto"/>
              <w:bottom w:val="single" w:sz="2" w:space="0" w:color="auto"/>
              <w:right w:val="single" w:sz="2" w:space="0" w:color="auto"/>
            </w:tcBorders>
            <w:vAlign w:val="center"/>
          </w:tcPr>
          <w:p w14:paraId="79DABF97"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出现下列情形的，认定为重大缺陷：</w:t>
            </w:r>
          </w:p>
          <w:p w14:paraId="57F4EF27"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①</w:t>
            </w:r>
            <w:r w:rsidRPr="00DC359B">
              <w:rPr>
                <w:rFonts w:ascii="Times New Roman" w:eastAsia="宋体" w:hAnsi="Times New Roman" w:cs="Times New Roman"/>
                <w:sz w:val="18"/>
                <w:szCs w:val="18"/>
              </w:rPr>
              <w:t>公司董事、高级管理人员出现影响公司财务报表真实性的舞弊行为，并对公司造成重大损失和不利影响；</w:t>
            </w:r>
          </w:p>
          <w:p w14:paraId="6A87893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②</w:t>
            </w:r>
            <w:r w:rsidRPr="00DC359B">
              <w:rPr>
                <w:rFonts w:ascii="Times New Roman" w:eastAsia="宋体" w:hAnsi="Times New Roman" w:cs="Times New Roman"/>
                <w:sz w:val="18"/>
                <w:szCs w:val="18"/>
              </w:rPr>
              <w:t>对已经公告的财务报表出现重大差错进行错报更正（由于政策变化或其他客观因素变化导致的对以前年度的追溯调整除外）；</w:t>
            </w:r>
          </w:p>
          <w:p w14:paraId="6CA76827"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③</w:t>
            </w:r>
            <w:r w:rsidRPr="00DC359B">
              <w:rPr>
                <w:rFonts w:ascii="Times New Roman" w:eastAsia="宋体" w:hAnsi="Times New Roman" w:cs="Times New Roman"/>
                <w:sz w:val="18"/>
                <w:szCs w:val="18"/>
              </w:rPr>
              <w:t>注册会计师发现的却未被公司内部控制识别的当期财务报告中的重大错报；</w:t>
            </w:r>
          </w:p>
          <w:p w14:paraId="6D539F52"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④</w:t>
            </w:r>
            <w:r w:rsidRPr="00DC359B">
              <w:rPr>
                <w:rFonts w:ascii="Times New Roman" w:eastAsia="宋体" w:hAnsi="Times New Roman" w:cs="Times New Roman"/>
                <w:sz w:val="18"/>
                <w:szCs w:val="18"/>
              </w:rPr>
              <w:t>审计委员会和风险合规与审计部对公司内部控制监督无效；</w:t>
            </w:r>
          </w:p>
          <w:p w14:paraId="3C13F012"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⑤</w:t>
            </w:r>
            <w:r w:rsidRPr="00DC359B">
              <w:rPr>
                <w:rFonts w:ascii="Times New Roman" w:eastAsia="宋体" w:hAnsi="Times New Roman" w:cs="Times New Roman"/>
                <w:sz w:val="18"/>
                <w:szCs w:val="18"/>
              </w:rPr>
              <w:t>重要业务缺乏制度控制或制度体系失效；</w:t>
            </w:r>
          </w:p>
          <w:p w14:paraId="63EDAFF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⑥</w:t>
            </w:r>
            <w:r w:rsidRPr="00DC359B">
              <w:rPr>
                <w:rFonts w:ascii="Times New Roman" w:eastAsia="宋体" w:hAnsi="Times New Roman" w:cs="Times New Roman"/>
                <w:sz w:val="18"/>
                <w:szCs w:val="18"/>
              </w:rPr>
              <w:t>内部控制重大或重要缺陷未得到整改；</w:t>
            </w:r>
          </w:p>
          <w:p w14:paraId="30837C61"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出现下列情形的，认定为重要缺陷：</w:t>
            </w:r>
          </w:p>
          <w:p w14:paraId="3F47682F"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①</w:t>
            </w:r>
            <w:r w:rsidRPr="00DC359B">
              <w:rPr>
                <w:rFonts w:ascii="Times New Roman" w:eastAsia="宋体" w:hAnsi="Times New Roman" w:cs="Times New Roman"/>
                <w:sz w:val="18"/>
                <w:szCs w:val="18"/>
              </w:rPr>
              <w:t>未依照公认会计准则选择和应用会计政策；</w:t>
            </w:r>
          </w:p>
          <w:p w14:paraId="3174AFD6"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②</w:t>
            </w:r>
            <w:r w:rsidRPr="00DC359B">
              <w:rPr>
                <w:rFonts w:ascii="Times New Roman" w:eastAsia="宋体" w:hAnsi="Times New Roman" w:cs="Times New Roman"/>
                <w:sz w:val="18"/>
                <w:szCs w:val="18"/>
              </w:rPr>
              <w:t>未建立反舞弊程序和控制措施；</w:t>
            </w:r>
          </w:p>
          <w:p w14:paraId="648A79A2"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③</w:t>
            </w:r>
            <w:r w:rsidRPr="00DC359B">
              <w:rPr>
                <w:rFonts w:ascii="Times New Roman" w:eastAsia="宋体" w:hAnsi="Times New Roman" w:cs="Times New Roman"/>
                <w:sz w:val="18"/>
                <w:szCs w:val="18"/>
              </w:rPr>
              <w:t>对于非常规或特殊交易的账务处理没有建立相应的控制机制或没有实施且没有相应的补偿性控制；</w:t>
            </w:r>
          </w:p>
          <w:p w14:paraId="2F693456"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④</w:t>
            </w:r>
            <w:r w:rsidRPr="00DC359B">
              <w:rPr>
                <w:rFonts w:ascii="Times New Roman" w:eastAsia="宋体" w:hAnsi="Times New Roman" w:cs="Times New Roman"/>
                <w:sz w:val="18"/>
                <w:szCs w:val="18"/>
              </w:rPr>
              <w:t>对于期末财务报告过程的控制存在一项或多项缺陷且不能合理保证编制的财务报表达到真实、准确的目标。</w:t>
            </w:r>
          </w:p>
          <w:p w14:paraId="7209A41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除重大缺陷、重要缺陷之外的其他控制缺陷认定为一般缺陷。</w:t>
            </w:r>
          </w:p>
        </w:tc>
        <w:tc>
          <w:tcPr>
            <w:tcW w:w="3331" w:type="dxa"/>
            <w:tcBorders>
              <w:top w:val="single" w:sz="2" w:space="0" w:color="auto"/>
              <w:left w:val="single" w:sz="2" w:space="0" w:color="auto"/>
              <w:bottom w:val="single" w:sz="2" w:space="0" w:color="auto"/>
              <w:right w:val="single" w:sz="2" w:space="0" w:color="auto"/>
            </w:tcBorders>
            <w:vAlign w:val="center"/>
          </w:tcPr>
          <w:p w14:paraId="76E86F2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出现下列情形的，认定为重大缺陷：</w:t>
            </w:r>
          </w:p>
          <w:p w14:paraId="4DFC132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①</w:t>
            </w:r>
            <w:r w:rsidRPr="00DC359B">
              <w:rPr>
                <w:rFonts w:ascii="Times New Roman" w:eastAsia="宋体" w:hAnsi="Times New Roman" w:cs="Times New Roman"/>
                <w:sz w:val="18"/>
                <w:szCs w:val="18"/>
              </w:rPr>
              <w:t>违反国家法律法规或规范性文件并受到重大处罚；</w:t>
            </w:r>
          </w:p>
          <w:p w14:paraId="5A7710F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②</w:t>
            </w:r>
            <w:r w:rsidRPr="00DC359B">
              <w:rPr>
                <w:rFonts w:ascii="Times New Roman" w:eastAsia="宋体" w:hAnsi="Times New Roman" w:cs="Times New Roman"/>
                <w:sz w:val="18"/>
                <w:szCs w:val="18"/>
              </w:rPr>
              <w:t>决策程序不科学，导致重大失误，给公司造成重大财产损失；</w:t>
            </w:r>
          </w:p>
          <w:p w14:paraId="24D19E42"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③</w:t>
            </w:r>
            <w:r w:rsidRPr="00DC359B">
              <w:rPr>
                <w:rFonts w:ascii="Times New Roman" w:eastAsia="宋体" w:hAnsi="Times New Roman" w:cs="Times New Roman"/>
                <w:sz w:val="18"/>
                <w:szCs w:val="18"/>
              </w:rPr>
              <w:t>重大缺陷未得到整改；</w:t>
            </w:r>
          </w:p>
          <w:p w14:paraId="18B10001"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④</w:t>
            </w:r>
            <w:r w:rsidRPr="00DC359B">
              <w:rPr>
                <w:rFonts w:ascii="Times New Roman" w:eastAsia="宋体" w:hAnsi="Times New Roman" w:cs="Times New Roman"/>
                <w:sz w:val="18"/>
                <w:szCs w:val="18"/>
              </w:rPr>
              <w:t>重要业务缺乏制度控制或制度系统性失效；</w:t>
            </w:r>
          </w:p>
          <w:p w14:paraId="5959D86A"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⑤</w:t>
            </w:r>
            <w:r w:rsidRPr="00DC359B">
              <w:rPr>
                <w:rFonts w:ascii="Times New Roman" w:eastAsia="宋体" w:hAnsi="Times New Roman" w:cs="Times New Roman"/>
                <w:sz w:val="18"/>
                <w:szCs w:val="18"/>
              </w:rPr>
              <w:t>关键核心技术人员流失严重；</w:t>
            </w:r>
          </w:p>
          <w:p w14:paraId="66D0413C"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⑥</w:t>
            </w:r>
            <w:r w:rsidRPr="00DC359B">
              <w:rPr>
                <w:rFonts w:ascii="Times New Roman" w:eastAsia="宋体" w:hAnsi="Times New Roman" w:cs="Times New Roman"/>
                <w:sz w:val="18"/>
                <w:szCs w:val="18"/>
              </w:rPr>
              <w:t>其他对公司负面影响重大的情形。</w:t>
            </w:r>
          </w:p>
          <w:p w14:paraId="5E6375C2"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出现下列情形的，认定为重要缺陷：</w:t>
            </w:r>
          </w:p>
          <w:p w14:paraId="28A980F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①</w:t>
            </w:r>
            <w:r w:rsidRPr="00DC359B">
              <w:rPr>
                <w:rFonts w:ascii="Times New Roman" w:eastAsia="宋体" w:hAnsi="Times New Roman" w:cs="Times New Roman"/>
                <w:sz w:val="18"/>
                <w:szCs w:val="18"/>
              </w:rPr>
              <w:t>违反国家法律法规并受到较重处罚，或违反企业内部规章制度形成较大损失；</w:t>
            </w:r>
          </w:p>
          <w:p w14:paraId="09C4AC38"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②</w:t>
            </w:r>
            <w:r w:rsidRPr="00DC359B">
              <w:rPr>
                <w:rFonts w:ascii="Times New Roman" w:eastAsia="宋体" w:hAnsi="Times New Roman" w:cs="Times New Roman"/>
                <w:sz w:val="18"/>
                <w:szCs w:val="18"/>
              </w:rPr>
              <w:t>决策程序不科学，导致一般失误，给公司造成较大财产损失；</w:t>
            </w:r>
          </w:p>
          <w:p w14:paraId="590F8DD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③</w:t>
            </w:r>
            <w:r w:rsidRPr="00DC359B">
              <w:rPr>
                <w:rFonts w:ascii="Times New Roman" w:eastAsia="宋体" w:hAnsi="Times New Roman" w:cs="Times New Roman"/>
                <w:sz w:val="18"/>
                <w:szCs w:val="18"/>
              </w:rPr>
              <w:t>重要缺陷未得到整改；</w:t>
            </w:r>
          </w:p>
          <w:p w14:paraId="44C0BB4F"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④</w:t>
            </w:r>
            <w:r w:rsidRPr="00DC359B">
              <w:rPr>
                <w:rFonts w:ascii="Times New Roman" w:eastAsia="宋体" w:hAnsi="Times New Roman" w:cs="Times New Roman"/>
                <w:sz w:val="18"/>
                <w:szCs w:val="18"/>
              </w:rPr>
              <w:t>重要业务制度或系统存在重要缺陷；</w:t>
            </w:r>
          </w:p>
          <w:p w14:paraId="30DE8F81"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⑤</w:t>
            </w:r>
            <w:r w:rsidRPr="00DC359B">
              <w:rPr>
                <w:rFonts w:ascii="Times New Roman" w:eastAsia="宋体" w:hAnsi="Times New Roman" w:cs="Times New Roman"/>
                <w:sz w:val="18"/>
                <w:szCs w:val="18"/>
              </w:rPr>
              <w:t>关键岗位业务人员流失严重；</w:t>
            </w:r>
          </w:p>
          <w:p w14:paraId="65341E7A"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⑥</w:t>
            </w:r>
            <w:r w:rsidRPr="00DC359B">
              <w:rPr>
                <w:rFonts w:ascii="Times New Roman" w:eastAsia="宋体" w:hAnsi="Times New Roman" w:cs="Times New Roman"/>
                <w:sz w:val="18"/>
                <w:szCs w:val="18"/>
              </w:rPr>
              <w:t>其他对公司负面影响较大的情形。</w:t>
            </w:r>
          </w:p>
          <w:p w14:paraId="1B822DA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出现下列情形的，认定为一般缺陷：</w:t>
            </w:r>
          </w:p>
          <w:p w14:paraId="6C1D1DE7"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①</w:t>
            </w:r>
            <w:r w:rsidRPr="00DC359B">
              <w:rPr>
                <w:rFonts w:ascii="Times New Roman" w:eastAsia="宋体" w:hAnsi="Times New Roman" w:cs="Times New Roman"/>
                <w:sz w:val="18"/>
                <w:szCs w:val="18"/>
              </w:rPr>
              <w:t>违反内部规章制度但未形成损失或损失较小；</w:t>
            </w:r>
          </w:p>
          <w:p w14:paraId="34110B66"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②</w:t>
            </w:r>
            <w:r w:rsidRPr="00DC359B">
              <w:rPr>
                <w:rFonts w:ascii="Times New Roman" w:eastAsia="宋体" w:hAnsi="Times New Roman" w:cs="Times New Roman"/>
                <w:sz w:val="18"/>
                <w:szCs w:val="18"/>
              </w:rPr>
              <w:t>决策程序效率不高；</w:t>
            </w:r>
          </w:p>
          <w:p w14:paraId="0CEF11DD"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③</w:t>
            </w:r>
            <w:r w:rsidRPr="00DC359B">
              <w:rPr>
                <w:rFonts w:ascii="Times New Roman" w:eastAsia="宋体" w:hAnsi="Times New Roman" w:cs="Times New Roman"/>
                <w:sz w:val="18"/>
                <w:szCs w:val="18"/>
              </w:rPr>
              <w:t>一般缺陷未得到整改；</w:t>
            </w:r>
          </w:p>
          <w:p w14:paraId="4A8CFB8A"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④</w:t>
            </w:r>
            <w:r w:rsidRPr="00DC359B">
              <w:rPr>
                <w:rFonts w:ascii="Times New Roman" w:eastAsia="宋体" w:hAnsi="Times New Roman" w:cs="Times New Roman"/>
                <w:sz w:val="18"/>
                <w:szCs w:val="18"/>
              </w:rPr>
              <w:t>一般业务制度或系统存在缺陷；</w:t>
            </w:r>
          </w:p>
          <w:p w14:paraId="1D9AB61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宋体" w:eastAsia="宋体" w:hAnsi="宋体" w:cs="宋体"/>
                <w:sz w:val="18"/>
                <w:szCs w:val="18"/>
              </w:rPr>
              <w:t>⑤</w:t>
            </w:r>
            <w:r w:rsidRPr="00DC359B">
              <w:rPr>
                <w:rFonts w:ascii="Times New Roman" w:eastAsia="宋体" w:hAnsi="Times New Roman" w:cs="Times New Roman"/>
                <w:sz w:val="18"/>
                <w:szCs w:val="18"/>
              </w:rPr>
              <w:t>未达到重大缺陷、重要缺陷标准的其他内部控制缺陷。</w:t>
            </w:r>
          </w:p>
        </w:tc>
      </w:tr>
      <w:tr w:rsidR="00C57E60" w14:paraId="373E712D"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02DE14B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定量标准</w:t>
            </w:r>
          </w:p>
        </w:tc>
        <w:tc>
          <w:tcPr>
            <w:tcW w:w="3331" w:type="dxa"/>
            <w:tcBorders>
              <w:top w:val="single" w:sz="2" w:space="0" w:color="auto"/>
              <w:left w:val="single" w:sz="2" w:space="0" w:color="auto"/>
              <w:bottom w:val="single" w:sz="2" w:space="0" w:color="auto"/>
              <w:right w:val="single" w:sz="2" w:space="0" w:color="auto"/>
            </w:tcBorders>
            <w:vAlign w:val="center"/>
          </w:tcPr>
          <w:p w14:paraId="1CCC9408"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内部控制缺陷导致或可能导致的损失以近</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年平均利润总额指标衡量。如果该缺陷单独或连同其他缺陷可能导致的财务报告错报的金额小于近</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年平均利润总额的</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，则认定为一般缺陷；如果大于或等于近</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年平均利润总额的</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，但小于</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认定为重要缺陷；如果大于或等于近</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年平均利润总额的</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，则认定为重大缺陷。</w:t>
            </w:r>
          </w:p>
        </w:tc>
        <w:tc>
          <w:tcPr>
            <w:tcW w:w="3331" w:type="dxa"/>
            <w:tcBorders>
              <w:top w:val="single" w:sz="2" w:space="0" w:color="auto"/>
              <w:left w:val="single" w:sz="2" w:space="0" w:color="auto"/>
              <w:bottom w:val="single" w:sz="2" w:space="0" w:color="auto"/>
              <w:right w:val="single" w:sz="2" w:space="0" w:color="auto"/>
            </w:tcBorders>
            <w:vAlign w:val="center"/>
          </w:tcPr>
          <w:p w14:paraId="6F57C68E"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内部控制缺陷导致或可能导致直接损失金额小于净资产指标衡量。如果该缺陷单独或连同其他缺陷可能导致的直接损失金额小于净资产的</w:t>
            </w:r>
            <w:r w:rsidRPr="00DC359B">
              <w:rPr>
                <w:rFonts w:ascii="Times New Roman" w:eastAsia="宋体" w:hAnsi="Times New Roman" w:cs="Times New Roman"/>
                <w:sz w:val="18"/>
                <w:szCs w:val="18"/>
              </w:rPr>
              <w:t>0.5%</w:t>
            </w:r>
            <w:r w:rsidRPr="00DC359B">
              <w:rPr>
                <w:rFonts w:ascii="Times New Roman" w:eastAsia="宋体" w:hAnsi="Times New Roman" w:cs="Times New Roman"/>
                <w:sz w:val="18"/>
                <w:szCs w:val="18"/>
              </w:rPr>
              <w:t>，则认定为一般缺陷；如果小于净资产的</w:t>
            </w:r>
            <w:r w:rsidRPr="00DC359B">
              <w:rPr>
                <w:rFonts w:ascii="Times New Roman" w:eastAsia="宋体" w:hAnsi="Times New Roman" w:cs="Times New Roman"/>
                <w:sz w:val="18"/>
                <w:szCs w:val="18"/>
              </w:rPr>
              <w:t>1.5%</w:t>
            </w:r>
            <w:r w:rsidRPr="00DC359B">
              <w:rPr>
                <w:rFonts w:ascii="Times New Roman" w:eastAsia="宋体" w:hAnsi="Times New Roman" w:cs="Times New Roman"/>
                <w:sz w:val="18"/>
                <w:szCs w:val="18"/>
              </w:rPr>
              <w:t>但大于或等于净资产总额的</w:t>
            </w:r>
            <w:r w:rsidRPr="00DC359B">
              <w:rPr>
                <w:rFonts w:ascii="Times New Roman" w:eastAsia="宋体" w:hAnsi="Times New Roman" w:cs="Times New Roman"/>
                <w:sz w:val="18"/>
                <w:szCs w:val="18"/>
              </w:rPr>
              <w:t>0.5%</w:t>
            </w:r>
            <w:r w:rsidRPr="00DC359B">
              <w:rPr>
                <w:rFonts w:ascii="Times New Roman" w:eastAsia="宋体" w:hAnsi="Times New Roman" w:cs="Times New Roman"/>
                <w:sz w:val="18"/>
                <w:szCs w:val="18"/>
              </w:rPr>
              <w:t>，认定为重要缺陷；如果大于或等于净资产的</w:t>
            </w:r>
            <w:r w:rsidRPr="00DC359B">
              <w:rPr>
                <w:rFonts w:ascii="Times New Roman" w:eastAsia="宋体" w:hAnsi="Times New Roman" w:cs="Times New Roman"/>
                <w:sz w:val="18"/>
                <w:szCs w:val="18"/>
              </w:rPr>
              <w:t>1.5%</w:t>
            </w:r>
            <w:r w:rsidRPr="00DC359B">
              <w:rPr>
                <w:rFonts w:ascii="Times New Roman" w:eastAsia="宋体" w:hAnsi="Times New Roman" w:cs="Times New Roman"/>
                <w:sz w:val="18"/>
                <w:szCs w:val="18"/>
              </w:rPr>
              <w:t>，则认定为重大缺陷。</w:t>
            </w:r>
          </w:p>
        </w:tc>
      </w:tr>
      <w:tr w:rsidR="00C57E60" w14:paraId="1E5360DC"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7E6FAD14"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财务报告重大缺陷数量（个）</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1D4FC81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40518F61"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4FA18509"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非财务报告重大缺陷数量（个）</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0279998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6E9B748D"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4D543F97"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财务报告重要缺陷数量（个）</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3418612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3088736E" w14:textId="77777777" w:rsidTr="00DC359B">
        <w:trPr>
          <w:cantSplit/>
          <w:trHeight w:val="240"/>
          <w:tblHeader/>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6C978E9A"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非财务报告重要缺陷数量（个）</w:t>
            </w:r>
          </w:p>
        </w:tc>
        <w:tc>
          <w:tcPr>
            <w:tcW w:w="6662" w:type="dxa"/>
            <w:gridSpan w:val="2"/>
            <w:tcBorders>
              <w:top w:val="single" w:sz="2" w:space="0" w:color="auto"/>
              <w:left w:val="single" w:sz="2" w:space="0" w:color="auto"/>
              <w:bottom w:val="single" w:sz="2" w:space="0" w:color="auto"/>
              <w:right w:val="single" w:sz="2" w:space="0" w:color="auto"/>
            </w:tcBorders>
            <w:vAlign w:val="center"/>
          </w:tcPr>
          <w:p w14:paraId="0D46896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bl>
    <w:p w14:paraId="601B303B"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bookmarkStart w:id="93" w:name="_Toc988972"/>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、内部控制审计报告</w:t>
      </w:r>
      <w:bookmarkEnd w:id="93"/>
    </w:p>
    <w:p w14:paraId="0E16298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tbl>
      <w:tblPr>
        <w:tblW w:w="9639" w:type="dxa"/>
        <w:tblInd w:w="108" w:type="dxa"/>
        <w:tblLayout w:type="fixed"/>
        <w:tblLook w:val="0000" w:firstRow="0" w:lastRow="0" w:firstColumn="0" w:lastColumn="0" w:noHBand="0" w:noVBand="0"/>
      </w:tblPr>
      <w:tblGrid>
        <w:gridCol w:w="2977"/>
        <w:gridCol w:w="6662"/>
      </w:tblGrid>
      <w:tr w:rsidR="00C57E60" w14:paraId="74FC1052" w14:textId="77777777" w:rsidTr="00DC359B">
        <w:trPr>
          <w:trHeight w:val="240"/>
        </w:trPr>
        <w:tc>
          <w:tcPr>
            <w:tcW w:w="963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3437DE1"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内部控制审计报告中的审议意见段</w:t>
            </w:r>
          </w:p>
        </w:tc>
      </w:tr>
      <w:tr w:rsidR="00C57E60" w14:paraId="16D6ECAD" w14:textId="77777777" w:rsidTr="00DC359B">
        <w:trPr>
          <w:trHeight w:val="240"/>
        </w:trPr>
        <w:tc>
          <w:tcPr>
            <w:tcW w:w="9639" w:type="dxa"/>
            <w:gridSpan w:val="2"/>
            <w:tcBorders>
              <w:top w:val="single" w:sz="2" w:space="0" w:color="auto"/>
              <w:left w:val="single" w:sz="2" w:space="0" w:color="auto"/>
              <w:bottom w:val="single" w:sz="2" w:space="0" w:color="auto"/>
              <w:right w:val="single" w:sz="2" w:space="0" w:color="auto"/>
            </w:tcBorders>
            <w:vAlign w:val="center"/>
          </w:tcPr>
          <w:p w14:paraId="0617084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我们认为，三诺生物公司于</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31</w:t>
            </w:r>
            <w:r w:rsidRPr="00DC359B">
              <w:rPr>
                <w:rFonts w:ascii="Times New Roman" w:eastAsia="宋体" w:hAnsi="Times New Roman" w:cs="Times New Roman"/>
                <w:sz w:val="18"/>
                <w:szCs w:val="18"/>
              </w:rPr>
              <w:t>日按照《企业内部控制基本规范》和相关规定在所有重大方面保持了有效的财务报告内部控制。</w:t>
            </w:r>
          </w:p>
        </w:tc>
      </w:tr>
      <w:tr w:rsidR="00C57E60" w14:paraId="662CA7AC" w14:textId="77777777" w:rsidTr="00DC359B">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2B3F62D1"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内控审计报告披露情况</w:t>
            </w:r>
          </w:p>
        </w:tc>
        <w:tc>
          <w:tcPr>
            <w:tcW w:w="6662" w:type="dxa"/>
            <w:tcBorders>
              <w:top w:val="single" w:sz="2" w:space="0" w:color="auto"/>
              <w:left w:val="single" w:sz="2" w:space="0" w:color="auto"/>
              <w:bottom w:val="single" w:sz="2" w:space="0" w:color="auto"/>
              <w:right w:val="single" w:sz="2" w:space="0" w:color="auto"/>
            </w:tcBorders>
            <w:vAlign w:val="center"/>
          </w:tcPr>
          <w:p w14:paraId="39BEB58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披露</w:t>
            </w:r>
          </w:p>
        </w:tc>
      </w:tr>
      <w:tr w:rsidR="00C57E60" w14:paraId="7EF34D09" w14:textId="77777777" w:rsidTr="00DC359B">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6C2BC57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内部控制审计报告全文披露日期</w:t>
            </w:r>
          </w:p>
        </w:tc>
        <w:tc>
          <w:tcPr>
            <w:tcW w:w="6662" w:type="dxa"/>
            <w:tcBorders>
              <w:top w:val="single" w:sz="2" w:space="0" w:color="auto"/>
              <w:left w:val="single" w:sz="2" w:space="0" w:color="auto"/>
              <w:bottom w:val="single" w:sz="2" w:space="0" w:color="auto"/>
              <w:right w:val="single" w:sz="2" w:space="0" w:color="auto"/>
            </w:tcBorders>
            <w:vAlign w:val="center"/>
          </w:tcPr>
          <w:p w14:paraId="66443C6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2026</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04</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28</w:t>
            </w:r>
            <w:r w:rsidRPr="00DC359B">
              <w:rPr>
                <w:rFonts w:ascii="Times New Roman" w:eastAsia="宋体" w:hAnsi="Times New Roman" w:cs="Times New Roman"/>
                <w:sz w:val="18"/>
                <w:szCs w:val="18"/>
              </w:rPr>
              <w:t>日</w:t>
            </w:r>
          </w:p>
        </w:tc>
      </w:tr>
      <w:tr w:rsidR="00C57E60" w14:paraId="4DD97B65" w14:textId="77777777" w:rsidTr="00DC359B">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3CC124A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内部控制审计报告全文披露索引</w:t>
            </w:r>
          </w:p>
        </w:tc>
        <w:tc>
          <w:tcPr>
            <w:tcW w:w="6662" w:type="dxa"/>
            <w:tcBorders>
              <w:top w:val="single" w:sz="2" w:space="0" w:color="auto"/>
              <w:left w:val="single" w:sz="2" w:space="0" w:color="auto"/>
              <w:bottom w:val="single" w:sz="2" w:space="0" w:color="auto"/>
              <w:right w:val="single" w:sz="2" w:space="0" w:color="auto"/>
            </w:tcBorders>
            <w:vAlign w:val="center"/>
          </w:tcPr>
          <w:p w14:paraId="58A720C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详见披露于巨潮资讯网（</w:t>
            </w:r>
            <w:r w:rsidRPr="00DC359B">
              <w:rPr>
                <w:rFonts w:ascii="Times New Roman" w:eastAsia="宋体" w:hAnsi="Times New Roman" w:cs="Times New Roman"/>
                <w:sz w:val="18"/>
                <w:szCs w:val="18"/>
              </w:rPr>
              <w:t>www.cninfo.com.cn</w:t>
            </w:r>
            <w:r w:rsidRPr="00DC359B">
              <w:rPr>
                <w:rFonts w:ascii="Times New Roman" w:eastAsia="宋体" w:hAnsi="Times New Roman" w:cs="Times New Roman"/>
                <w:sz w:val="18"/>
                <w:szCs w:val="18"/>
              </w:rPr>
              <w:t>）的《</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年度内部控制审计报告》</w:t>
            </w:r>
          </w:p>
        </w:tc>
      </w:tr>
      <w:tr w:rsidR="00C57E60" w14:paraId="0FFC7551" w14:textId="77777777" w:rsidTr="00DC359B">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12E891EF"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内控审计报告意见类型</w:t>
            </w:r>
          </w:p>
        </w:tc>
        <w:tc>
          <w:tcPr>
            <w:tcW w:w="6662" w:type="dxa"/>
            <w:tcBorders>
              <w:top w:val="single" w:sz="2" w:space="0" w:color="auto"/>
              <w:left w:val="single" w:sz="2" w:space="0" w:color="auto"/>
              <w:bottom w:val="single" w:sz="2" w:space="0" w:color="auto"/>
              <w:right w:val="single" w:sz="2" w:space="0" w:color="auto"/>
            </w:tcBorders>
            <w:vAlign w:val="center"/>
          </w:tcPr>
          <w:p w14:paraId="7F33351E"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标准无保留意见</w:t>
            </w:r>
          </w:p>
        </w:tc>
      </w:tr>
      <w:tr w:rsidR="00C57E60" w14:paraId="5BB20030" w14:textId="77777777" w:rsidTr="00DC359B">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41E633D4"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非财务报告是否存在重大缺陷</w:t>
            </w:r>
          </w:p>
        </w:tc>
        <w:tc>
          <w:tcPr>
            <w:tcW w:w="6662" w:type="dxa"/>
            <w:tcBorders>
              <w:top w:val="single" w:sz="2" w:space="0" w:color="auto"/>
              <w:left w:val="single" w:sz="2" w:space="0" w:color="auto"/>
              <w:bottom w:val="single" w:sz="2" w:space="0" w:color="auto"/>
              <w:right w:val="single" w:sz="2" w:space="0" w:color="auto"/>
            </w:tcBorders>
            <w:vAlign w:val="center"/>
          </w:tcPr>
          <w:p w14:paraId="375F345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r>
    </w:tbl>
    <w:p w14:paraId="36F6C9B9"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会计师事务所是否出具非标准意见的内部控制审计报告</w:t>
      </w:r>
    </w:p>
    <w:p w14:paraId="34A5880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□是 </w:t>
      </w:r>
      <w:r w:rsidRPr="00DC359B">
        <w:rPr>
          <w:rFonts w:ascii="宋体" w:eastAsia="宋体" w:hAnsi="宋体" w:cs="宋体"/>
          <w:sz w:val="18"/>
          <w:szCs w:val="18"/>
        </w:rPr>
        <w:sym w:font="Wingdings 2" w:char="F052"/>
      </w:r>
      <w:r w:rsidRPr="00DC359B">
        <w:rPr>
          <w:rFonts w:ascii="宋体" w:eastAsia="宋体" w:hAnsi="宋体" w:cs="宋体"/>
          <w:sz w:val="18"/>
          <w:szCs w:val="18"/>
        </w:rPr>
        <w:t>否</w:t>
      </w:r>
    </w:p>
    <w:p w14:paraId="4D5FB1B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会计师事务所出具的内部控制审计报告与董事会的自我评价报告意见是否一致</w:t>
      </w:r>
    </w:p>
    <w:p w14:paraId="6B3145B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是 □否</w:t>
      </w:r>
    </w:p>
    <w:p w14:paraId="5C4B887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报告期或上年度是否被出具内部控制非标准审计意见</w:t>
      </w:r>
    </w:p>
    <w:p w14:paraId="58BE3BAE"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□是 </w:t>
      </w:r>
      <w:r w:rsidRPr="00DC359B">
        <w:rPr>
          <w:rFonts w:ascii="宋体" w:eastAsia="宋体" w:hAnsi="宋体" w:cs="宋体"/>
          <w:sz w:val="18"/>
          <w:szCs w:val="18"/>
        </w:rPr>
        <w:sym w:font="Wingdings 2" w:char="F052"/>
      </w:r>
      <w:r w:rsidRPr="00DC359B">
        <w:rPr>
          <w:rFonts w:ascii="宋体" w:eastAsia="宋体" w:hAnsi="宋体" w:cs="宋体"/>
          <w:sz w:val="18"/>
          <w:szCs w:val="18"/>
        </w:rPr>
        <w:t>否</w:t>
      </w:r>
    </w:p>
    <w:p w14:paraId="150459E1"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94" w:name="_Toc988973"/>
      <w:r w:rsidRPr="00DC359B">
        <w:rPr>
          <w:rFonts w:ascii="宋体" w:eastAsia="宋体" w:hAnsi="宋体" w:cs="宋体"/>
          <w:b/>
          <w:bCs/>
          <w:sz w:val="24"/>
          <w:szCs w:val="24"/>
        </w:rPr>
        <w:t>十六、上市公司治理专项行动自查问题整改情况</w:t>
      </w:r>
      <w:bookmarkEnd w:id="94"/>
    </w:p>
    <w:p w14:paraId="62F8D425"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严格遵守《公司法》《证券法》《上市公司治理准则》等有关法律、行政法规以及《公司章程》《公司董事会议事规则》及《公司董事会专门委员会工作细则》等内部规章制度的规定，建立健全了较为完善的法人治理结构及内部控制体系，整体运作规范。经自查，公司治理情况符合中国证监会关于上市公司治理的有关要求，不存在违规占用资金、违规担保、损害投资者权益、信息披露不及时等影响公司治理水平的重大违规情形，不存在需要整改的情况。</w:t>
      </w:r>
    </w:p>
    <w:p w14:paraId="7EEF6D40"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后续公司也将继续按照相关法律法规、规范性文件及内部规章制度的要求，加强内部监管，督促董事、高级管理人员及其他相关人员不断学习提升自我能力，持续提升公司治理质量，切实提高公司规范运作水平及公司治理有效性，维护广大投资者的合法权益。</w:t>
      </w:r>
    </w:p>
    <w:p w14:paraId="423F19F9"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95" w:name="_Toc988974"/>
      <w:r w:rsidRPr="00DC359B">
        <w:rPr>
          <w:rFonts w:ascii="宋体" w:eastAsia="宋体" w:hAnsi="宋体" w:cs="宋体"/>
          <w:b/>
          <w:bCs/>
          <w:sz w:val="24"/>
          <w:szCs w:val="24"/>
        </w:rPr>
        <w:t>十七、环境信息披露情况</w:t>
      </w:r>
      <w:bookmarkEnd w:id="95"/>
    </w:p>
    <w:p w14:paraId="09D44AB0"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上市公司及其主要子公司是否纳入环境信息依法披露企业名单</w:t>
      </w:r>
    </w:p>
    <w:p w14:paraId="304204A0"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□是 </w:t>
      </w:r>
      <w:r w:rsidRPr="00DC359B">
        <w:rPr>
          <w:rFonts w:ascii="宋体" w:eastAsia="宋体" w:hAnsi="宋体" w:cs="宋体"/>
          <w:sz w:val="18"/>
          <w:szCs w:val="18"/>
        </w:rPr>
        <w:sym w:font="Wingdings 2" w:char="F052"/>
      </w:r>
      <w:r w:rsidRPr="00DC359B">
        <w:rPr>
          <w:rFonts w:ascii="宋体" w:eastAsia="宋体" w:hAnsi="宋体" w:cs="宋体"/>
          <w:sz w:val="18"/>
          <w:szCs w:val="18"/>
        </w:rPr>
        <w:t>否</w:t>
      </w:r>
    </w:p>
    <w:p w14:paraId="6FB83AED"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96" w:name="_Toc988975"/>
      <w:r w:rsidRPr="00DC359B">
        <w:rPr>
          <w:rFonts w:ascii="宋体" w:eastAsia="宋体" w:hAnsi="宋体" w:cs="宋体"/>
          <w:b/>
          <w:bCs/>
          <w:sz w:val="24"/>
          <w:szCs w:val="24"/>
        </w:rPr>
        <w:t>十八、社会责任情况</w:t>
      </w:r>
      <w:bookmarkEnd w:id="96"/>
    </w:p>
    <w:p w14:paraId="09B976E9" w14:textId="6AFE7403" w:rsidR="00DC359B" w:rsidRPr="00DC359B" w:rsidRDefault="00757F51" w:rsidP="00DC359B">
      <w:pPr>
        <w:widowControl/>
        <w:spacing w:line="360" w:lineRule="auto"/>
        <w:ind w:firstLineChars="200" w:firstLine="420"/>
        <w:jc w:val="both"/>
        <w:rPr>
          <w:rFonts w:ascii="Times New Roman" w:eastAsia="宋体" w:hAnsi="Times New Roman" w:cs="Times New Roman"/>
          <w:kern w:val="0"/>
          <w:szCs w:val="21"/>
        </w:rPr>
      </w:pPr>
      <w:r w:rsidRPr="00757F51">
        <w:rPr>
          <w:rFonts w:ascii="Times New Roman" w:eastAsia="宋体" w:hAnsi="Times New Roman" w:cs="Times New Roman" w:hint="eastAsia"/>
          <w:kern w:val="0"/>
          <w:szCs w:val="21"/>
        </w:rPr>
        <w:t>公司始终秉承“恪守承诺、奉献健康”的企业宗旨，恪守“为爱而诺”的核心价值观，专注于推动糖尿病及慢病健康事业的发展，持续践行“因为爱，我们致力于为糖尿病及相关慢性疾病的人们提供创新、优质的产品和服务，帮助他们提高生活质量”的使命，以实现“全球领先的糖尿病数字管理专家”的最终战略愿景。在追求经济效益、实现自身发展的同时，公司始终坚持规范运作、科学管理，坚守对用户、员工、合作伙伴、社会与股东的承诺，为社会创造价值，为股东提供回报，为员工回馈关爱，努力实现企业发展与员工成长、生态环境和谐、</w:t>
      </w:r>
      <w:r w:rsidRPr="00757F51">
        <w:rPr>
          <w:rFonts w:ascii="Times New Roman" w:eastAsia="宋体" w:hAnsi="Times New Roman" w:cs="Times New Roman" w:hint="eastAsia"/>
          <w:kern w:val="0"/>
          <w:szCs w:val="21"/>
        </w:rPr>
        <w:t xml:space="preserve"> </w:t>
      </w:r>
      <w:r w:rsidRPr="00757F51">
        <w:rPr>
          <w:rFonts w:ascii="Times New Roman" w:eastAsia="宋体" w:hAnsi="Times New Roman" w:cs="Times New Roman" w:hint="eastAsia"/>
          <w:kern w:val="0"/>
          <w:szCs w:val="21"/>
        </w:rPr>
        <w:t>社会环境和谐以及可持续发展的和谐统一。报告期内公司履行社会责任情况详见公司于同日在巨潮资讯网（</w:t>
      </w:r>
      <w:r w:rsidRPr="00757F51">
        <w:rPr>
          <w:rFonts w:ascii="Times New Roman" w:eastAsia="宋体" w:hAnsi="Times New Roman" w:cs="Times New Roman"/>
          <w:kern w:val="0"/>
          <w:szCs w:val="21"/>
        </w:rPr>
        <w:t>www.cninfo.com.cn</w:t>
      </w:r>
      <w:r w:rsidRPr="00757F51">
        <w:rPr>
          <w:rFonts w:ascii="Times New Roman" w:eastAsia="宋体" w:hAnsi="Times New Roman" w:cs="Times New Roman" w:hint="eastAsia"/>
          <w:kern w:val="0"/>
          <w:szCs w:val="21"/>
        </w:rPr>
        <w:t>）披露的《</w:t>
      </w:r>
      <w:r w:rsidRPr="00757F51">
        <w:rPr>
          <w:rFonts w:ascii="Times New Roman" w:eastAsia="宋体" w:hAnsi="Times New Roman" w:cs="Times New Roman"/>
          <w:kern w:val="0"/>
          <w:szCs w:val="21"/>
        </w:rPr>
        <w:t>2025</w:t>
      </w:r>
      <w:r w:rsidRPr="00757F51">
        <w:rPr>
          <w:rFonts w:ascii="Times New Roman" w:eastAsia="宋体" w:hAnsi="Times New Roman" w:cs="Times New Roman" w:hint="eastAsia"/>
          <w:kern w:val="0"/>
          <w:szCs w:val="21"/>
        </w:rPr>
        <w:t>年度环境、社会及公司治理（</w:t>
      </w:r>
      <w:r w:rsidRPr="00757F51">
        <w:rPr>
          <w:rFonts w:ascii="Times New Roman" w:eastAsia="宋体" w:hAnsi="Times New Roman" w:cs="Times New Roman"/>
          <w:kern w:val="0"/>
          <w:szCs w:val="21"/>
        </w:rPr>
        <w:t>ESG</w:t>
      </w:r>
      <w:r w:rsidRPr="00757F51">
        <w:rPr>
          <w:rFonts w:ascii="Times New Roman" w:eastAsia="宋体" w:hAnsi="Times New Roman" w:cs="Times New Roman" w:hint="eastAsia"/>
          <w:kern w:val="0"/>
          <w:szCs w:val="21"/>
        </w:rPr>
        <w:t>）报告》。</w:t>
      </w:r>
    </w:p>
    <w:p w14:paraId="2B136FD5"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bookmarkStart w:id="97" w:name="_Toc988976"/>
      <w:r w:rsidRPr="00DC359B">
        <w:rPr>
          <w:rFonts w:ascii="宋体" w:eastAsia="宋体" w:hAnsi="宋体" w:cs="宋体"/>
          <w:b/>
          <w:bCs/>
          <w:sz w:val="24"/>
          <w:szCs w:val="24"/>
        </w:rPr>
        <w:t>十九、巩固拓展脱贫攻坚成果、乡村振兴的情况</w:t>
      </w:r>
      <w:bookmarkEnd w:id="97"/>
    </w:p>
    <w:p w14:paraId="23B61825"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积极响应国家政策，携手湖南省三诺糖尿病公益基金会平台和湖南弘慧教育发展基金会，组建员工志愿服务团队，为偏远贫困家庭提供物资和为湖南乡村提供教育支持，助力国家巩固拓展脱贫攻坚成果、推动脱贫地区发展和乡村全面振兴，具体情况详见公司于同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）披露的《</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年度环境、社会及公司治理（</w:t>
      </w:r>
      <w:r w:rsidRPr="00DC359B">
        <w:rPr>
          <w:rFonts w:ascii="Times New Roman" w:eastAsia="宋体" w:hAnsi="Times New Roman" w:cs="Times New Roman"/>
          <w:kern w:val="0"/>
          <w:szCs w:val="21"/>
        </w:rPr>
        <w:t>ESG</w:t>
      </w:r>
      <w:r w:rsidRPr="00DC359B">
        <w:rPr>
          <w:rFonts w:ascii="Times New Roman" w:eastAsia="宋体" w:hAnsi="Times New Roman" w:cs="Times New Roman" w:hint="eastAsia"/>
          <w:kern w:val="0"/>
          <w:szCs w:val="21"/>
        </w:rPr>
        <w:t>）报告》。</w:t>
      </w:r>
    </w:p>
    <w:p w14:paraId="1BC90E26"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未来，公司也将继续以履行社会责任为己任，发挥企业优势为社会创造更好的经济和公益效益，继续助力国家巩固脱贫攻坚成果，推动脱贫地区发展和乡村全面振兴的工作。</w:t>
      </w:r>
    </w:p>
    <w:p w14:paraId="0B307EF5" w14:textId="77777777" w:rsidR="00DC359B" w:rsidRPr="00DC359B" w:rsidRDefault="00DC359B" w:rsidP="00DC359B">
      <w:pPr>
        <w:rPr>
          <w:rFonts w:ascii="等线" w:eastAsia="等线" w:hAnsi="等线" w:cs="Times New Roman"/>
        </w:rPr>
      </w:pPr>
      <w:r w:rsidRPr="00DC359B">
        <w:rPr>
          <w:rFonts w:ascii="等线" w:eastAsia="等线" w:hAnsi="等线" w:cs="Times New Roman"/>
        </w:rPr>
        <w:br w:type="page"/>
      </w:r>
    </w:p>
    <w:p w14:paraId="5E83247D" w14:textId="77777777" w:rsidR="00DC359B" w:rsidRPr="00DC359B" w:rsidRDefault="00DC359B" w:rsidP="00DC359B">
      <w:pPr>
        <w:keepNext/>
        <w:keepLines/>
        <w:spacing w:before="340" w:after="330" w:line="773" w:lineRule="exact"/>
        <w:jc w:val="center"/>
        <w:outlineLvl w:val="0"/>
        <w:rPr>
          <w:rFonts w:ascii="宋体" w:eastAsia="宋体" w:hAnsi="宋体" w:cs="宋体"/>
          <w:b/>
          <w:bCs/>
          <w:kern w:val="44"/>
          <w:sz w:val="32"/>
          <w:szCs w:val="32"/>
        </w:rPr>
      </w:pPr>
      <w:bookmarkStart w:id="98" w:name="_Toc228122506"/>
      <w:r w:rsidRPr="00DC359B">
        <w:rPr>
          <w:rFonts w:ascii="宋体" w:eastAsia="宋体" w:hAnsi="宋体" w:cs="宋体"/>
          <w:b/>
          <w:bCs/>
          <w:kern w:val="44"/>
          <w:sz w:val="32"/>
          <w:szCs w:val="32"/>
        </w:rPr>
        <w:t>第五节 重要事项</w:t>
      </w:r>
      <w:bookmarkEnd w:id="98"/>
    </w:p>
    <w:p w14:paraId="681BC50C"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一、承诺事项履行情况</w:t>
      </w:r>
    </w:p>
    <w:p w14:paraId="0C633DF2" w14:textId="77777777" w:rsidR="00DC359B" w:rsidRPr="00DC359B" w:rsidRDefault="00DC359B" w:rsidP="00DC359B">
      <w:pPr>
        <w:keepNext/>
        <w:keepLines/>
        <w:spacing w:before="300" w:after="300" w:line="280" w:lineRule="exact"/>
        <w:outlineLvl w:val="2"/>
        <w:rPr>
          <w:rFonts w:ascii="宋体" w:eastAsia="宋体" w:hAnsi="宋体" w:cs="宋体"/>
          <w:b/>
          <w:bCs/>
          <w:szCs w:val="21"/>
        </w:rPr>
      </w:pPr>
      <w:r w:rsidRPr="00DC359B">
        <w:rPr>
          <w:rFonts w:ascii="宋体" w:eastAsia="宋体" w:hAnsi="宋体" w:cs="宋体"/>
          <w:b/>
          <w:bCs/>
          <w:szCs w:val="21"/>
        </w:rPr>
        <w:t>1、公司实际控制人、股东、关联方、收购人以及公司等承诺相关方在报告期内履行完毕及截至报告期末尚未履行完毕的承诺事项</w:t>
      </w:r>
    </w:p>
    <w:p w14:paraId="564C258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tbl>
      <w:tblPr>
        <w:tblW w:w="9639" w:type="dxa"/>
        <w:tblInd w:w="108" w:type="dxa"/>
        <w:tblLayout w:type="fixed"/>
        <w:tblCellMar>
          <w:left w:w="28" w:type="dxa"/>
          <w:right w:w="28" w:type="dxa"/>
        </w:tblCellMar>
        <w:tblLook w:val="0000" w:firstRow="0" w:lastRow="0" w:firstColumn="0" w:lastColumn="0" w:noHBand="0" w:noVBand="0"/>
      </w:tblPr>
      <w:tblGrid>
        <w:gridCol w:w="1196"/>
        <w:gridCol w:w="709"/>
        <w:gridCol w:w="850"/>
        <w:gridCol w:w="5103"/>
        <w:gridCol w:w="567"/>
        <w:gridCol w:w="567"/>
        <w:gridCol w:w="647"/>
      </w:tblGrid>
      <w:tr w:rsidR="00C57E60" w14:paraId="53591940" w14:textId="77777777" w:rsidTr="00DC359B">
        <w:trPr>
          <w:cantSplit/>
          <w:trHeight w:val="240"/>
          <w:tblHeader/>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4249C51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承诺事由</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31A59D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承诺方</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44F59B8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承诺类型</w:t>
            </w:r>
          </w:p>
        </w:tc>
        <w:tc>
          <w:tcPr>
            <w:tcW w:w="5103" w:type="dxa"/>
            <w:tcBorders>
              <w:top w:val="single" w:sz="2" w:space="0" w:color="auto"/>
              <w:left w:val="single" w:sz="2" w:space="0" w:color="auto"/>
              <w:bottom w:val="single" w:sz="2" w:space="0" w:color="auto"/>
              <w:right w:val="single" w:sz="2" w:space="0" w:color="auto"/>
            </w:tcBorders>
            <w:shd w:val="clear" w:color="auto" w:fill="D3D3D3"/>
            <w:vAlign w:val="center"/>
          </w:tcPr>
          <w:p w14:paraId="1D5D08C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承诺内容</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5276A21"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承诺时间</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41F3CA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承诺期限</w:t>
            </w:r>
          </w:p>
        </w:tc>
        <w:tc>
          <w:tcPr>
            <w:tcW w:w="647" w:type="dxa"/>
            <w:tcBorders>
              <w:top w:val="single" w:sz="2" w:space="0" w:color="auto"/>
              <w:left w:val="single" w:sz="2" w:space="0" w:color="auto"/>
              <w:bottom w:val="single" w:sz="2" w:space="0" w:color="auto"/>
              <w:right w:val="single" w:sz="2" w:space="0" w:color="auto"/>
            </w:tcBorders>
            <w:shd w:val="clear" w:color="auto" w:fill="D3D3D3"/>
            <w:vAlign w:val="center"/>
          </w:tcPr>
          <w:p w14:paraId="5D674D4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履行情况</w:t>
            </w:r>
          </w:p>
        </w:tc>
      </w:tr>
      <w:tr w:rsidR="00C57E60" w14:paraId="2630547D" w14:textId="77777777" w:rsidTr="00DC359B">
        <w:trPr>
          <w:cantSplit/>
          <w:trHeight w:val="240"/>
          <w:tblHeader/>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220FA24F"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4CD27D4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控股股东、实际控制人李少波</w:t>
            </w:r>
          </w:p>
        </w:tc>
        <w:tc>
          <w:tcPr>
            <w:tcW w:w="850" w:type="dxa"/>
            <w:tcBorders>
              <w:top w:val="single" w:sz="2" w:space="0" w:color="auto"/>
              <w:left w:val="single" w:sz="2" w:space="0" w:color="auto"/>
              <w:bottom w:val="single" w:sz="2" w:space="0" w:color="auto"/>
              <w:right w:val="single" w:sz="2" w:space="0" w:color="auto"/>
            </w:tcBorders>
            <w:vAlign w:val="center"/>
          </w:tcPr>
          <w:p w14:paraId="421CD8B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关于进一步避免同业竞争的承诺</w:t>
            </w:r>
          </w:p>
        </w:tc>
        <w:tc>
          <w:tcPr>
            <w:tcW w:w="5103" w:type="dxa"/>
            <w:tcBorders>
              <w:top w:val="single" w:sz="2" w:space="0" w:color="auto"/>
              <w:left w:val="single" w:sz="2" w:space="0" w:color="auto"/>
              <w:bottom w:val="single" w:sz="2" w:space="0" w:color="auto"/>
              <w:right w:val="single" w:sz="2" w:space="0" w:color="auto"/>
            </w:tcBorders>
            <w:vAlign w:val="center"/>
          </w:tcPr>
          <w:p w14:paraId="67B1FE93"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、除承诺人通过深圳市心诺健康产业投资有限公司间接控制的</w:t>
            </w:r>
            <w:r w:rsidRPr="00DC359B">
              <w:rPr>
                <w:rFonts w:ascii="Times New Roman" w:eastAsia="宋体" w:hAnsi="Times New Roman" w:cs="Times New Roman"/>
                <w:sz w:val="18"/>
                <w:szCs w:val="18"/>
              </w:rPr>
              <w:t xml:space="preserve">Trividia </w:t>
            </w:r>
            <w:r w:rsidRPr="00DC359B">
              <w:rPr>
                <w:rFonts w:ascii="Times New Roman" w:eastAsia="宋体" w:hAnsi="Times New Roman" w:cs="Times New Roman"/>
                <w:sz w:val="18"/>
                <w:szCs w:val="18"/>
              </w:rPr>
              <w:t>外，承诺人及承诺人控制的其他企业未直接或间接从事与三诺生物及其控股子公司业务构成直接或间接竞争的生产经营业务或活动；并保证将来亦不从事任何对三诺生物及其控股子公司构成直接或间接竞争的生产经营业务或活动。</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、关于</w:t>
            </w:r>
            <w:r w:rsidRPr="00DC359B">
              <w:rPr>
                <w:rFonts w:ascii="Times New Roman" w:eastAsia="宋体" w:hAnsi="Times New Roman" w:cs="Times New Roman"/>
                <w:sz w:val="18"/>
                <w:szCs w:val="18"/>
              </w:rPr>
              <w:t>Trividia</w:t>
            </w:r>
            <w:r w:rsidRPr="00DC359B">
              <w:rPr>
                <w:rFonts w:ascii="Times New Roman" w:eastAsia="宋体" w:hAnsi="Times New Roman" w:cs="Times New Roman"/>
                <w:sz w:val="18"/>
                <w:szCs w:val="18"/>
              </w:rPr>
              <w:t>，承诺人已承诺自</w:t>
            </w:r>
            <w:r w:rsidRPr="00DC359B">
              <w:rPr>
                <w:rFonts w:ascii="Times New Roman" w:eastAsia="宋体" w:hAnsi="Times New Roman" w:cs="Times New Roman"/>
                <w:sz w:val="18"/>
                <w:szCs w:val="18"/>
              </w:rPr>
              <w:t>2016</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11</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日起三年内，将承诺人间接控制的</w:t>
            </w:r>
            <w:r w:rsidRPr="00DC359B">
              <w:rPr>
                <w:rFonts w:ascii="Times New Roman" w:eastAsia="宋体" w:hAnsi="Times New Roman" w:cs="Times New Roman"/>
                <w:sz w:val="18"/>
                <w:szCs w:val="18"/>
              </w:rPr>
              <w:t>Trividia</w:t>
            </w:r>
            <w:r w:rsidRPr="00DC359B">
              <w:rPr>
                <w:rFonts w:ascii="Times New Roman" w:eastAsia="宋体" w:hAnsi="Times New Roman" w:cs="Times New Roman"/>
                <w:sz w:val="18"/>
                <w:szCs w:val="18"/>
              </w:rPr>
              <w:t>全部股权优先转让给三诺生物。如三诺生物拒绝行使前述优先受让权，承诺人同意在三诺生物出具放弃受让</w:t>
            </w:r>
            <w:r w:rsidRPr="00DC359B">
              <w:rPr>
                <w:rFonts w:ascii="Times New Roman" w:eastAsia="宋体" w:hAnsi="Times New Roman" w:cs="Times New Roman"/>
                <w:sz w:val="18"/>
                <w:szCs w:val="18"/>
              </w:rPr>
              <w:t>Trividia</w:t>
            </w:r>
            <w:r w:rsidRPr="00DC359B">
              <w:rPr>
                <w:rFonts w:ascii="Times New Roman" w:eastAsia="宋体" w:hAnsi="Times New Roman" w:cs="Times New Roman"/>
                <w:sz w:val="18"/>
                <w:szCs w:val="18"/>
              </w:rPr>
              <w:t>的函件后一年之内，将</w:t>
            </w:r>
            <w:r w:rsidRPr="00DC359B">
              <w:rPr>
                <w:rFonts w:ascii="Times New Roman" w:eastAsia="宋体" w:hAnsi="Times New Roman" w:cs="Times New Roman"/>
                <w:sz w:val="18"/>
                <w:szCs w:val="18"/>
              </w:rPr>
              <w:t>Trividia</w:t>
            </w:r>
            <w:r w:rsidRPr="00DC359B">
              <w:rPr>
                <w:rFonts w:ascii="Times New Roman" w:eastAsia="宋体" w:hAnsi="Times New Roman" w:cs="Times New Roman"/>
                <w:sz w:val="18"/>
                <w:szCs w:val="18"/>
              </w:rPr>
              <w:t>控股股权转让给其它与承诺人非关联的第三方，以解决前述同业竞争情形。</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、承诺人将对自身及相关企业的生产经营活动进行监督和约束，如果将来承诺人及相关企业的产品或业务与三诺生物及其控股子公司的产品和业务相同或类似的情况，承诺人承诺将采取以下措施解决：（</w:t>
            </w: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）三诺生物及其控股子公司认为必要时，承诺人及相关企业将进行减持直至全部转让相关企业持有的相关资产和业务；（</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）三诺生物及其控股子公司在认为必要时，可以通过适当的方式优先收购相关企业持有的有关资产和业务；（</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）如承诺人及相关企业与三诺生物及其控股子公司因同业竞争产生利益冲突，则优先考虑三诺生物及其控股子公司的利益；（</w:t>
            </w: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）有利于避免同业竞争的其他措施。</w:t>
            </w: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、承诺人自身及相关企业将不向其他与三诺生物及其控股子公司业务方面构成竞争的公司、企业、其他组织或个人提供三诺生物及其控股子公司的商业秘密。</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、承诺人承诺，如承诺人及相关企业违反本承诺，承诺人承诺将违反该承诺所得的收入全部归三诺生物所有，并向三诺生物承担相应的损害赔偿责任。</w:t>
            </w:r>
            <w:r w:rsidRPr="00DC359B">
              <w:rPr>
                <w:rFonts w:ascii="Times New Roman" w:eastAsia="宋体" w:hAnsi="Times New Roman" w:cs="Times New Roman"/>
                <w:sz w:val="18"/>
                <w:szCs w:val="18"/>
              </w:rPr>
              <w:t>6</w:t>
            </w:r>
            <w:r w:rsidRPr="00DC359B">
              <w:rPr>
                <w:rFonts w:ascii="Times New Roman" w:eastAsia="宋体" w:hAnsi="Times New Roman" w:cs="Times New Roman"/>
                <w:sz w:val="18"/>
                <w:szCs w:val="18"/>
              </w:rPr>
              <w:t>、承诺人确认本承诺函所载的每一项承诺均为可独立执行之承诺，任何一项承诺若被视为无效或终止将不影响其他各项承诺的有效性。以上声明与承诺在三诺生物合法有效存续且承诺人作为三诺生物的控股股东、实际控制人期间持续有效。</w:t>
            </w:r>
          </w:p>
        </w:tc>
        <w:tc>
          <w:tcPr>
            <w:tcW w:w="567" w:type="dxa"/>
            <w:tcBorders>
              <w:top w:val="single" w:sz="2" w:space="0" w:color="auto"/>
              <w:left w:val="single" w:sz="2" w:space="0" w:color="auto"/>
              <w:bottom w:val="single" w:sz="2" w:space="0" w:color="auto"/>
              <w:right w:val="single" w:sz="2" w:space="0" w:color="auto"/>
            </w:tcBorders>
            <w:vAlign w:val="center"/>
          </w:tcPr>
          <w:p w14:paraId="32804C6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2017</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07</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01</w:t>
            </w:r>
            <w:r w:rsidRPr="00DC359B">
              <w:rPr>
                <w:rFonts w:ascii="Times New Roman" w:eastAsia="宋体" w:hAnsi="Times New Roman" w:cs="Times New Roman"/>
                <w:sz w:val="18"/>
                <w:szCs w:val="18"/>
              </w:rPr>
              <w:t>日</w:t>
            </w:r>
          </w:p>
        </w:tc>
        <w:tc>
          <w:tcPr>
            <w:tcW w:w="567" w:type="dxa"/>
            <w:tcBorders>
              <w:top w:val="single" w:sz="2" w:space="0" w:color="auto"/>
              <w:left w:val="single" w:sz="2" w:space="0" w:color="auto"/>
              <w:bottom w:val="single" w:sz="2" w:space="0" w:color="auto"/>
              <w:right w:val="single" w:sz="2" w:space="0" w:color="auto"/>
            </w:tcBorders>
            <w:vAlign w:val="center"/>
          </w:tcPr>
          <w:p w14:paraId="7F00070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长期有效</w:t>
            </w:r>
          </w:p>
        </w:tc>
        <w:tc>
          <w:tcPr>
            <w:tcW w:w="647" w:type="dxa"/>
            <w:tcBorders>
              <w:top w:val="single" w:sz="2" w:space="0" w:color="auto"/>
              <w:left w:val="single" w:sz="2" w:space="0" w:color="auto"/>
              <w:bottom w:val="single" w:sz="2" w:space="0" w:color="auto"/>
              <w:right w:val="single" w:sz="2" w:space="0" w:color="auto"/>
            </w:tcBorders>
            <w:vAlign w:val="center"/>
          </w:tcPr>
          <w:p w14:paraId="3F1B4C5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正常履行中</w:t>
            </w:r>
          </w:p>
        </w:tc>
      </w:tr>
      <w:tr w:rsidR="00C57E60" w14:paraId="760EDE32" w14:textId="77777777" w:rsidTr="00DC359B">
        <w:trPr>
          <w:cantSplit/>
          <w:trHeight w:val="240"/>
          <w:tblHeader/>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19227136"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资产重组时所作承诺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595DDCE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控股股东、实际控制人李少波</w:t>
            </w:r>
          </w:p>
        </w:tc>
        <w:tc>
          <w:tcPr>
            <w:tcW w:w="850" w:type="dxa"/>
            <w:tcBorders>
              <w:top w:val="single" w:sz="2" w:space="0" w:color="auto"/>
              <w:left w:val="single" w:sz="2" w:space="0" w:color="auto"/>
              <w:bottom w:val="single" w:sz="2" w:space="0" w:color="auto"/>
              <w:right w:val="single" w:sz="2" w:space="0" w:color="auto"/>
            </w:tcBorders>
            <w:vAlign w:val="center"/>
          </w:tcPr>
          <w:p w14:paraId="00EFDA1E"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关于保持上市公司独立性的承诺</w:t>
            </w:r>
          </w:p>
        </w:tc>
        <w:tc>
          <w:tcPr>
            <w:tcW w:w="5103" w:type="dxa"/>
            <w:tcBorders>
              <w:top w:val="single" w:sz="2" w:space="0" w:color="auto"/>
              <w:left w:val="single" w:sz="2" w:space="0" w:color="auto"/>
              <w:bottom w:val="single" w:sz="2" w:space="0" w:color="auto"/>
              <w:right w:val="single" w:sz="2" w:space="0" w:color="auto"/>
            </w:tcBorders>
            <w:vAlign w:val="center"/>
          </w:tcPr>
          <w:p w14:paraId="0C8F68B9"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、保证在本次重大资产重组完成后与三诺生物继续保持人员独立、资产独立、业务独立、财务独立和机构独立。</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、本人保证不利用三诺生物控股股东、实际控制人地位损害三诺生物及其中小股东的利益，在遇有与本人自身利益相关的事项时，将采取必要的回避措施。</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、本人最近十二个月内不存在因违反证券法律、行政法规、规章，受到中国证监会的行政处罚，或者受到刑事处罚的情形；目前不存在尚未了结或可预见的重大诉讼、仲裁、行政处罚案件。</w:t>
            </w:r>
          </w:p>
        </w:tc>
        <w:tc>
          <w:tcPr>
            <w:tcW w:w="567" w:type="dxa"/>
            <w:tcBorders>
              <w:top w:val="single" w:sz="2" w:space="0" w:color="auto"/>
              <w:left w:val="single" w:sz="2" w:space="0" w:color="auto"/>
              <w:bottom w:val="single" w:sz="2" w:space="0" w:color="auto"/>
              <w:right w:val="single" w:sz="2" w:space="0" w:color="auto"/>
            </w:tcBorders>
            <w:vAlign w:val="center"/>
          </w:tcPr>
          <w:p w14:paraId="74B1410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2017</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07</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01</w:t>
            </w:r>
            <w:r w:rsidRPr="00DC359B">
              <w:rPr>
                <w:rFonts w:ascii="Times New Roman" w:eastAsia="宋体" w:hAnsi="Times New Roman" w:cs="Times New Roman"/>
                <w:sz w:val="18"/>
                <w:szCs w:val="18"/>
              </w:rPr>
              <w:t>日</w:t>
            </w:r>
          </w:p>
        </w:tc>
        <w:tc>
          <w:tcPr>
            <w:tcW w:w="567" w:type="dxa"/>
            <w:tcBorders>
              <w:top w:val="single" w:sz="2" w:space="0" w:color="auto"/>
              <w:left w:val="single" w:sz="2" w:space="0" w:color="auto"/>
              <w:bottom w:val="single" w:sz="2" w:space="0" w:color="auto"/>
              <w:right w:val="single" w:sz="2" w:space="0" w:color="auto"/>
            </w:tcBorders>
            <w:vAlign w:val="center"/>
          </w:tcPr>
          <w:p w14:paraId="4F19456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长期有效</w:t>
            </w:r>
          </w:p>
        </w:tc>
        <w:tc>
          <w:tcPr>
            <w:tcW w:w="647" w:type="dxa"/>
            <w:tcBorders>
              <w:top w:val="single" w:sz="2" w:space="0" w:color="auto"/>
              <w:left w:val="single" w:sz="2" w:space="0" w:color="auto"/>
              <w:bottom w:val="single" w:sz="2" w:space="0" w:color="auto"/>
              <w:right w:val="single" w:sz="2" w:space="0" w:color="auto"/>
            </w:tcBorders>
            <w:vAlign w:val="center"/>
          </w:tcPr>
          <w:p w14:paraId="1788998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正常履行中</w:t>
            </w:r>
          </w:p>
        </w:tc>
      </w:tr>
      <w:tr w:rsidR="00C57E60" w14:paraId="463E0513" w14:textId="77777777" w:rsidTr="00DC359B">
        <w:trPr>
          <w:cantSplit/>
          <w:trHeight w:val="240"/>
          <w:tblHeader/>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2BE9406A"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首次公开发行或再融资时所作承诺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2E58FA1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李少波、车宏莉及其关联方李卉华、王世敏、车宏菁</w:t>
            </w:r>
          </w:p>
        </w:tc>
        <w:tc>
          <w:tcPr>
            <w:tcW w:w="850" w:type="dxa"/>
            <w:tcBorders>
              <w:top w:val="single" w:sz="2" w:space="0" w:color="auto"/>
              <w:left w:val="single" w:sz="2" w:space="0" w:color="auto"/>
              <w:bottom w:val="single" w:sz="2" w:space="0" w:color="auto"/>
              <w:right w:val="single" w:sz="2" w:space="0" w:color="auto"/>
            </w:tcBorders>
            <w:vAlign w:val="center"/>
          </w:tcPr>
          <w:p w14:paraId="267F77E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首发限售承诺</w:t>
            </w:r>
          </w:p>
        </w:tc>
        <w:tc>
          <w:tcPr>
            <w:tcW w:w="5103" w:type="dxa"/>
            <w:tcBorders>
              <w:top w:val="single" w:sz="2" w:space="0" w:color="auto"/>
              <w:left w:val="single" w:sz="2" w:space="0" w:color="auto"/>
              <w:bottom w:val="single" w:sz="2" w:space="0" w:color="auto"/>
              <w:right w:val="single" w:sz="2" w:space="0" w:color="auto"/>
            </w:tcBorders>
            <w:vAlign w:val="center"/>
          </w:tcPr>
          <w:p w14:paraId="0326FB09"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、自三诺生物首次公开发行股票并在创业板上市之日起</w:t>
            </w:r>
            <w:r w:rsidRPr="00DC359B">
              <w:rPr>
                <w:rFonts w:ascii="Times New Roman" w:eastAsia="宋体" w:hAnsi="Times New Roman" w:cs="Times New Roman"/>
                <w:sz w:val="18"/>
                <w:szCs w:val="18"/>
              </w:rPr>
              <w:t>36</w:t>
            </w:r>
            <w:r w:rsidRPr="00DC359B">
              <w:rPr>
                <w:rFonts w:ascii="Times New Roman" w:eastAsia="宋体" w:hAnsi="Times New Roman" w:cs="Times New Roman"/>
                <w:sz w:val="18"/>
                <w:szCs w:val="18"/>
              </w:rPr>
              <w:t>个月内，不得转让或者委托他人管理本人直接或间接持有的三诺生物公开发行股票前已发行的股份，也不得由三诺生物回购其直接或间接持有的三诺生物公开发行股票前已发行的股份。</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、在其或其关联自然人担任公司董事或高级管理人员期间，每年转让的三诺生物股份不超过本人直接或间接持有三诺生物股份总数的</w:t>
            </w:r>
            <w:r w:rsidRPr="00DC359B">
              <w:rPr>
                <w:rFonts w:ascii="Times New Roman" w:eastAsia="宋体" w:hAnsi="Times New Roman" w:cs="Times New Roman"/>
                <w:sz w:val="18"/>
                <w:szCs w:val="18"/>
              </w:rPr>
              <w:t>25%</w:t>
            </w:r>
            <w:r w:rsidRPr="00DC359B">
              <w:rPr>
                <w:rFonts w:ascii="Times New Roman" w:eastAsia="宋体" w:hAnsi="Times New Roman" w:cs="Times New Roman"/>
                <w:sz w:val="18"/>
                <w:szCs w:val="18"/>
              </w:rPr>
              <w:t>；本人在三诺生物股票上市之日起</w:t>
            </w:r>
            <w:r w:rsidRPr="00DC359B">
              <w:rPr>
                <w:rFonts w:ascii="Times New Roman" w:eastAsia="宋体" w:hAnsi="Times New Roman" w:cs="Times New Roman"/>
                <w:sz w:val="18"/>
                <w:szCs w:val="18"/>
              </w:rPr>
              <w:t>6</w:t>
            </w:r>
            <w:r w:rsidRPr="00DC359B">
              <w:rPr>
                <w:rFonts w:ascii="Times New Roman" w:eastAsia="宋体" w:hAnsi="Times New Roman" w:cs="Times New Roman"/>
                <w:sz w:val="18"/>
                <w:szCs w:val="18"/>
              </w:rPr>
              <w:t>个月内申报离职的，自申报离职之日起</w:t>
            </w:r>
            <w:r w:rsidRPr="00DC359B">
              <w:rPr>
                <w:rFonts w:ascii="Times New Roman" w:eastAsia="宋体" w:hAnsi="Times New Roman" w:cs="Times New Roman"/>
                <w:sz w:val="18"/>
                <w:szCs w:val="18"/>
              </w:rPr>
              <w:t>18</w:t>
            </w:r>
            <w:r w:rsidRPr="00DC359B">
              <w:rPr>
                <w:rFonts w:ascii="Times New Roman" w:eastAsia="宋体" w:hAnsi="Times New Roman" w:cs="Times New Roman"/>
                <w:sz w:val="18"/>
                <w:szCs w:val="18"/>
              </w:rPr>
              <w:t>个月内不转让本人直接或间接持有的三诺生物股份；在股票上市之日起第</w:t>
            </w:r>
            <w:r w:rsidRPr="00DC359B">
              <w:rPr>
                <w:rFonts w:ascii="Times New Roman" w:eastAsia="宋体" w:hAnsi="Times New Roman" w:cs="Times New Roman"/>
                <w:sz w:val="18"/>
                <w:szCs w:val="18"/>
              </w:rPr>
              <w:t>7</w:t>
            </w:r>
            <w:r w:rsidRPr="00DC359B">
              <w:rPr>
                <w:rFonts w:ascii="Times New Roman" w:eastAsia="宋体" w:hAnsi="Times New Roman" w:cs="Times New Roman"/>
                <w:sz w:val="18"/>
                <w:szCs w:val="18"/>
              </w:rPr>
              <w:t>个月至第</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个月之间申报离职的，自申报离职之日起</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个月内不转让本人直接或间接持有的三诺生物股份。</w:t>
            </w:r>
          </w:p>
        </w:tc>
        <w:tc>
          <w:tcPr>
            <w:tcW w:w="567" w:type="dxa"/>
            <w:tcBorders>
              <w:top w:val="single" w:sz="2" w:space="0" w:color="auto"/>
              <w:left w:val="single" w:sz="2" w:space="0" w:color="auto"/>
              <w:bottom w:val="single" w:sz="2" w:space="0" w:color="auto"/>
              <w:right w:val="single" w:sz="2" w:space="0" w:color="auto"/>
            </w:tcBorders>
            <w:vAlign w:val="center"/>
          </w:tcPr>
          <w:p w14:paraId="09794B4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2012</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03</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19</w:t>
            </w:r>
            <w:r w:rsidRPr="00DC359B">
              <w:rPr>
                <w:rFonts w:ascii="Times New Roman" w:eastAsia="宋体" w:hAnsi="Times New Roman" w:cs="Times New Roman"/>
                <w:sz w:val="18"/>
                <w:szCs w:val="18"/>
              </w:rPr>
              <w:t>日</w:t>
            </w:r>
          </w:p>
        </w:tc>
        <w:tc>
          <w:tcPr>
            <w:tcW w:w="567" w:type="dxa"/>
            <w:tcBorders>
              <w:top w:val="single" w:sz="2" w:space="0" w:color="auto"/>
              <w:left w:val="single" w:sz="2" w:space="0" w:color="auto"/>
              <w:bottom w:val="single" w:sz="2" w:space="0" w:color="auto"/>
              <w:right w:val="single" w:sz="2" w:space="0" w:color="auto"/>
            </w:tcBorders>
            <w:vAlign w:val="center"/>
          </w:tcPr>
          <w:p w14:paraId="0D48E54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长期有效</w:t>
            </w:r>
          </w:p>
        </w:tc>
        <w:tc>
          <w:tcPr>
            <w:tcW w:w="647" w:type="dxa"/>
            <w:tcBorders>
              <w:top w:val="single" w:sz="2" w:space="0" w:color="auto"/>
              <w:left w:val="single" w:sz="2" w:space="0" w:color="auto"/>
              <w:bottom w:val="single" w:sz="2" w:space="0" w:color="auto"/>
              <w:right w:val="single" w:sz="2" w:space="0" w:color="auto"/>
            </w:tcBorders>
            <w:vAlign w:val="center"/>
          </w:tcPr>
          <w:p w14:paraId="40912F3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截至本报告期末，承诺方均严格履行了承诺事项。</w:t>
            </w:r>
          </w:p>
        </w:tc>
      </w:tr>
      <w:tr w:rsidR="00C57E60" w14:paraId="712470C0" w14:textId="77777777" w:rsidTr="00DC359B">
        <w:trPr>
          <w:cantSplit/>
          <w:trHeight w:val="240"/>
          <w:tblHeader/>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6F6E4338"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首次公开发行或再融资时所作承诺</w:t>
            </w:r>
          </w:p>
        </w:tc>
        <w:tc>
          <w:tcPr>
            <w:tcW w:w="709" w:type="dxa"/>
            <w:tcBorders>
              <w:top w:val="single" w:sz="2" w:space="0" w:color="auto"/>
              <w:left w:val="single" w:sz="2" w:space="0" w:color="auto"/>
              <w:bottom w:val="single" w:sz="2" w:space="0" w:color="auto"/>
              <w:right w:val="single" w:sz="2" w:space="0" w:color="auto"/>
            </w:tcBorders>
            <w:vAlign w:val="center"/>
          </w:tcPr>
          <w:p w14:paraId="7415A2A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李少波、车宏莉</w:t>
            </w:r>
          </w:p>
        </w:tc>
        <w:tc>
          <w:tcPr>
            <w:tcW w:w="850" w:type="dxa"/>
            <w:tcBorders>
              <w:top w:val="single" w:sz="2" w:space="0" w:color="auto"/>
              <w:left w:val="single" w:sz="2" w:space="0" w:color="auto"/>
              <w:bottom w:val="single" w:sz="2" w:space="0" w:color="auto"/>
              <w:right w:val="single" w:sz="2" w:space="0" w:color="auto"/>
            </w:tcBorders>
            <w:vAlign w:val="center"/>
          </w:tcPr>
          <w:p w14:paraId="7D0E668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关于同业竞争、关联交易、资金占用方面的承诺</w:t>
            </w:r>
          </w:p>
        </w:tc>
        <w:tc>
          <w:tcPr>
            <w:tcW w:w="5103" w:type="dxa"/>
            <w:tcBorders>
              <w:top w:val="single" w:sz="2" w:space="0" w:color="auto"/>
              <w:left w:val="single" w:sz="2" w:space="0" w:color="auto"/>
              <w:bottom w:val="single" w:sz="2" w:space="0" w:color="auto"/>
              <w:right w:val="single" w:sz="2" w:space="0" w:color="auto"/>
            </w:tcBorders>
            <w:vAlign w:val="center"/>
          </w:tcPr>
          <w:p w14:paraId="2C80B60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本人保证自本承诺函出具日起，将不在中国境内外投资、收购、兼并、经营与三诺股份生产、经营存在有相同或类似业务的公司、企业或其他经营实体，不在中国境内外从事任何与三诺股份业务直接竞争或可能竞争的任何活动，以避免对三诺股份的生产经营构成直接或间接的业务竞争。</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、本人承诺不会利用三诺股份的控股股东和实际控制人地位损害三诺股份及三诺股份其他股东的合法权益。</w:t>
            </w: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本人保证自本承诺函出具日起，若本人控制的公司、企业或其他经营实体出现与三诺股份业务有竞争的经营业务情况时，三诺股份可以采取优先收购或委托经营的方式将相关公司、企业或其他经营实体的竞争业务集中到三诺股份经营。</w:t>
            </w: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、本人保证自本承诺函出具日起，若本人控制的公司、企业或其他经营实体在出售或转让与三诺股份主营业务相关的资产、业务或权益时，在同等条件下给予三诺股份优先购买的权利。</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、如本人及其控制的公司、企业或其他经营实体有任何违反上述承诺的事项发生，本人将承担因此给三诺股份造成的一切损失（含直接损失和间接损失）。</w:t>
            </w:r>
          </w:p>
        </w:tc>
        <w:tc>
          <w:tcPr>
            <w:tcW w:w="567" w:type="dxa"/>
            <w:tcBorders>
              <w:top w:val="single" w:sz="2" w:space="0" w:color="auto"/>
              <w:left w:val="single" w:sz="2" w:space="0" w:color="auto"/>
              <w:bottom w:val="single" w:sz="2" w:space="0" w:color="auto"/>
              <w:right w:val="single" w:sz="2" w:space="0" w:color="auto"/>
            </w:tcBorders>
            <w:vAlign w:val="center"/>
          </w:tcPr>
          <w:p w14:paraId="60D48BD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2011</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03</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01</w:t>
            </w:r>
            <w:r w:rsidRPr="00DC359B">
              <w:rPr>
                <w:rFonts w:ascii="Times New Roman" w:eastAsia="宋体" w:hAnsi="Times New Roman" w:cs="Times New Roman"/>
                <w:sz w:val="18"/>
                <w:szCs w:val="18"/>
              </w:rPr>
              <w:t>日</w:t>
            </w:r>
          </w:p>
        </w:tc>
        <w:tc>
          <w:tcPr>
            <w:tcW w:w="567" w:type="dxa"/>
            <w:tcBorders>
              <w:top w:val="single" w:sz="2" w:space="0" w:color="auto"/>
              <w:left w:val="single" w:sz="2" w:space="0" w:color="auto"/>
              <w:bottom w:val="single" w:sz="2" w:space="0" w:color="auto"/>
              <w:right w:val="single" w:sz="2" w:space="0" w:color="auto"/>
            </w:tcBorders>
            <w:vAlign w:val="center"/>
          </w:tcPr>
          <w:p w14:paraId="55060B7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长期有效</w:t>
            </w:r>
          </w:p>
        </w:tc>
        <w:tc>
          <w:tcPr>
            <w:tcW w:w="647" w:type="dxa"/>
            <w:tcBorders>
              <w:top w:val="single" w:sz="2" w:space="0" w:color="auto"/>
              <w:left w:val="single" w:sz="2" w:space="0" w:color="auto"/>
              <w:bottom w:val="single" w:sz="2" w:space="0" w:color="auto"/>
              <w:right w:val="single" w:sz="2" w:space="0" w:color="auto"/>
            </w:tcBorders>
            <w:vAlign w:val="center"/>
          </w:tcPr>
          <w:p w14:paraId="63F2322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截至本报告期末，承诺方均严格履行了承诺事项。</w:t>
            </w:r>
          </w:p>
        </w:tc>
      </w:tr>
      <w:tr w:rsidR="00C57E60" w14:paraId="786C48DF" w14:textId="77777777" w:rsidTr="00DC359B">
        <w:trPr>
          <w:cantSplit/>
          <w:trHeight w:val="240"/>
          <w:tblHeader/>
        </w:trPr>
        <w:tc>
          <w:tcPr>
            <w:tcW w:w="785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8605BDA"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承诺是否按时履行</w:t>
            </w:r>
          </w:p>
        </w:tc>
        <w:tc>
          <w:tcPr>
            <w:tcW w:w="1781" w:type="dxa"/>
            <w:gridSpan w:val="3"/>
            <w:tcBorders>
              <w:top w:val="single" w:sz="2" w:space="0" w:color="auto"/>
              <w:left w:val="single" w:sz="2" w:space="0" w:color="auto"/>
              <w:bottom w:val="single" w:sz="2" w:space="0" w:color="auto"/>
              <w:right w:val="single" w:sz="2" w:space="0" w:color="auto"/>
            </w:tcBorders>
            <w:vAlign w:val="center"/>
          </w:tcPr>
          <w:p w14:paraId="63B0829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是</w:t>
            </w:r>
          </w:p>
        </w:tc>
      </w:tr>
      <w:tr w:rsidR="00C57E60" w14:paraId="12BEB0CD" w14:textId="77777777" w:rsidTr="00DC359B">
        <w:trPr>
          <w:cantSplit/>
          <w:trHeight w:val="240"/>
          <w:tblHeader/>
        </w:trPr>
        <w:tc>
          <w:tcPr>
            <w:tcW w:w="785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3A640C6B"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如承诺超期未履行完毕的，应当详细说明未完成履行的具体原因及下一步的工作计划</w:t>
            </w:r>
          </w:p>
        </w:tc>
        <w:tc>
          <w:tcPr>
            <w:tcW w:w="1781" w:type="dxa"/>
            <w:gridSpan w:val="3"/>
            <w:tcBorders>
              <w:top w:val="single" w:sz="2" w:space="0" w:color="auto"/>
              <w:left w:val="single" w:sz="2" w:space="0" w:color="auto"/>
              <w:bottom w:val="single" w:sz="2" w:space="0" w:color="auto"/>
              <w:right w:val="single" w:sz="2" w:space="0" w:color="auto"/>
            </w:tcBorders>
            <w:vAlign w:val="center"/>
          </w:tcPr>
          <w:p w14:paraId="2B3D288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bl>
    <w:p w14:paraId="5696B823"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、公司资产或项目存在盈利预测，且报告期仍处在盈利预测期间，公司就资产或项目达到原盈利预测及其原因做出说明</w:t>
      </w:r>
    </w:p>
    <w:p w14:paraId="6F22E92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2956B610"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3</w:t>
      </w:r>
      <w:r w:rsidRPr="00DC359B">
        <w:rPr>
          <w:rFonts w:ascii="Times New Roman" w:eastAsia="宋体" w:hAnsi="Times New Roman" w:cs="Times New Roman"/>
          <w:b/>
          <w:bCs/>
          <w:szCs w:val="21"/>
        </w:rPr>
        <w:t>、公司涉及业绩承诺</w:t>
      </w:r>
    </w:p>
    <w:p w14:paraId="7E934F4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7454BA2B"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二、控股股东及其他关联方对上市公司的非经营性占用资金情况</w:t>
      </w:r>
    </w:p>
    <w:p w14:paraId="7176F52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7BA720BE"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公司报告期不存在控股股东及其他关联方对上市公司的非经营性占用资金。</w:t>
      </w:r>
    </w:p>
    <w:p w14:paraId="55A021EB"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三、违规对外担保情况</w:t>
      </w:r>
    </w:p>
    <w:p w14:paraId="7B4208D0"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2F59089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公司报告期无违规对外担保情况。</w:t>
      </w:r>
    </w:p>
    <w:p w14:paraId="05ABCB4C"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四、董事会对最近一期“非标准审计报告”相关情况的说明</w:t>
      </w:r>
    </w:p>
    <w:p w14:paraId="2AA2E3CC"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4609E3FF"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五、董事会、审计委员会、独立董事（如有）对会计师事务所本报告期“非标准审计报告”的说明</w:t>
      </w:r>
    </w:p>
    <w:p w14:paraId="047C942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A4BEF23"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六、董事会关于报告期会计政策、会计估计变更或重大会计差错更正的说明</w:t>
      </w:r>
    </w:p>
    <w:p w14:paraId="0E21E530"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45622340"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七、与上年度财务报告相比，合并报表范围发生变化的情况说明</w:t>
      </w:r>
    </w:p>
    <w:p w14:paraId="60EF2CA8"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52912423"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报告期内，公司新增</w:t>
      </w:r>
      <w:r w:rsidRPr="00DC359B">
        <w:rPr>
          <w:rFonts w:ascii="Times New Roman" w:eastAsia="宋体" w:hAnsi="Times New Roman" w:cs="Times New Roman"/>
          <w:kern w:val="0"/>
          <w:szCs w:val="21"/>
        </w:rPr>
        <w:t>5</w:t>
      </w:r>
      <w:r w:rsidRPr="00DC359B">
        <w:rPr>
          <w:rFonts w:ascii="Times New Roman" w:eastAsia="宋体" w:hAnsi="Times New Roman" w:cs="Times New Roman"/>
          <w:kern w:val="0"/>
          <w:szCs w:val="21"/>
        </w:rPr>
        <w:t>家子公司：</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11</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20</w:t>
      </w:r>
      <w:r w:rsidRPr="00DC359B">
        <w:rPr>
          <w:rFonts w:ascii="Times New Roman" w:eastAsia="宋体" w:hAnsi="Times New Roman" w:cs="Times New Roman" w:hint="eastAsia"/>
          <w:kern w:val="0"/>
          <w:szCs w:val="21"/>
        </w:rPr>
        <w:t>日注册成立</w:t>
      </w:r>
      <w:r w:rsidRPr="00DC359B">
        <w:rPr>
          <w:rFonts w:ascii="Times New Roman" w:eastAsia="宋体" w:hAnsi="Times New Roman" w:cs="Times New Roman"/>
          <w:kern w:val="0"/>
          <w:szCs w:val="21"/>
        </w:rPr>
        <w:t>Sinocare Meditech Netherlands B.V.</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8</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日注册成立</w:t>
      </w:r>
      <w:r w:rsidRPr="00DC359B">
        <w:rPr>
          <w:rFonts w:ascii="Times New Roman" w:eastAsia="宋体" w:hAnsi="Times New Roman" w:cs="Times New Roman"/>
          <w:kern w:val="0"/>
          <w:szCs w:val="21"/>
        </w:rPr>
        <w:t>SINOCARE MALAYSIA SDN. BHD.</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28</w:t>
      </w:r>
      <w:r w:rsidRPr="00DC359B">
        <w:rPr>
          <w:rFonts w:ascii="Times New Roman" w:eastAsia="宋体" w:hAnsi="Times New Roman" w:cs="Times New Roman" w:hint="eastAsia"/>
          <w:kern w:val="0"/>
          <w:szCs w:val="21"/>
        </w:rPr>
        <w:t>日注册成立</w:t>
      </w:r>
      <w:r w:rsidRPr="00DC359B">
        <w:rPr>
          <w:rFonts w:ascii="Times New Roman" w:eastAsia="宋体" w:hAnsi="Times New Roman" w:cs="Times New Roman"/>
          <w:kern w:val="0"/>
          <w:szCs w:val="21"/>
        </w:rPr>
        <w:t>SINOCARE MEDITECH SINGAPORE PTE. LTD.</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日注册成立上海绮风电子商务有限公司以及</w:t>
      </w:r>
      <w:r w:rsidRPr="00DC359B">
        <w:rPr>
          <w:rFonts w:ascii="Times New Roman" w:eastAsia="宋体" w:hAnsi="Times New Roman" w:cs="Times New Roman" w:hint="eastAsia"/>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hint="eastAsia"/>
          <w:kern w:val="0"/>
          <w:szCs w:val="21"/>
        </w:rPr>
        <w:t>10</w:t>
      </w:r>
      <w:r w:rsidRPr="00DC359B">
        <w:rPr>
          <w:rFonts w:ascii="Times New Roman" w:eastAsia="宋体" w:hAnsi="Times New Roman" w:cs="Times New Roman" w:hint="eastAsia"/>
          <w:kern w:val="0"/>
          <w:szCs w:val="21"/>
        </w:rPr>
        <w:t>月非同一控制下企业合并长沙甜蜜医联网络科技有限公司。</w:t>
      </w:r>
    </w:p>
    <w:p w14:paraId="25243D44" w14:textId="3EB58A2E"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报告期内，公司注销</w:t>
      </w:r>
      <w:r w:rsidR="004A3E59">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家子公司：三伟达健康管理有限公司，三诺健康（香港）有限公司，</w:t>
      </w:r>
      <w:r w:rsidRPr="00DC359B">
        <w:rPr>
          <w:rFonts w:ascii="Times New Roman" w:eastAsia="宋体" w:hAnsi="Times New Roman" w:cs="Times New Roman"/>
          <w:kern w:val="0"/>
          <w:szCs w:val="21"/>
        </w:rPr>
        <w:t>Sinocare Medical (Singapore) Pte.Ltd</w:t>
      </w:r>
      <w:r w:rsidR="004A3E59" w:rsidRPr="004A3E59">
        <w:rPr>
          <w:rFonts w:ascii="Times New Roman" w:eastAsia="宋体" w:hAnsi="Times New Roman" w:cs="Times New Roman" w:hint="eastAsia"/>
          <w:kern w:val="0"/>
          <w:szCs w:val="21"/>
        </w:rPr>
        <w:t>，</w:t>
      </w:r>
      <w:r w:rsidR="004A3E59" w:rsidRPr="004A3E59">
        <w:rPr>
          <w:rFonts w:ascii="Times New Roman" w:eastAsia="宋体" w:hAnsi="Times New Roman" w:cs="Times New Roman"/>
          <w:kern w:val="0"/>
          <w:szCs w:val="21"/>
        </w:rPr>
        <w:t>Trividia Health Australia Pty Ltd.</w:t>
      </w:r>
      <w:r w:rsidRPr="004A3E59">
        <w:rPr>
          <w:rFonts w:ascii="Times New Roman" w:eastAsia="宋体" w:hAnsi="Times New Roman" w:cs="Times New Roman" w:hint="eastAsia"/>
          <w:kern w:val="0"/>
          <w:szCs w:val="21"/>
        </w:rPr>
        <w:t>。</w:t>
      </w:r>
    </w:p>
    <w:p w14:paraId="7A4F186A"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详见本报告第八节财务报告</w:t>
      </w:r>
      <w:r w:rsidRPr="00C707CF">
        <w:rPr>
          <w:rFonts w:ascii="宋体" w:eastAsia="宋体" w:hAnsi="宋体" w:cs="Times New Roman"/>
          <w:kern w:val="0"/>
          <w:szCs w:val="21"/>
        </w:rPr>
        <w:t>“</w:t>
      </w:r>
      <w:r w:rsidRPr="00C707CF">
        <w:rPr>
          <w:rFonts w:ascii="宋体" w:eastAsia="宋体" w:hAnsi="宋体" w:cs="Times New Roman" w:hint="eastAsia"/>
          <w:kern w:val="0"/>
          <w:szCs w:val="21"/>
        </w:rPr>
        <w:t>九、合并范围的变更</w:t>
      </w:r>
      <w:r w:rsidRPr="00C707CF">
        <w:rPr>
          <w:rFonts w:ascii="宋体" w:eastAsia="宋体" w:hAnsi="宋体" w:cs="Times New Roman"/>
          <w:kern w:val="0"/>
          <w:szCs w:val="21"/>
        </w:rPr>
        <w:t>”</w:t>
      </w:r>
      <w:r w:rsidRPr="00DC359B">
        <w:rPr>
          <w:rFonts w:ascii="Times New Roman" w:eastAsia="宋体" w:hAnsi="Times New Roman" w:cs="Times New Roman"/>
          <w:kern w:val="0"/>
          <w:szCs w:val="21"/>
        </w:rPr>
        <w:t>。</w:t>
      </w:r>
    </w:p>
    <w:p w14:paraId="47689BFC"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八、聘任、解聘会计师事务所情况</w:t>
      </w:r>
    </w:p>
    <w:p w14:paraId="1334E798"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现聘任的会计师事务所</w:t>
      </w:r>
    </w:p>
    <w:tbl>
      <w:tblPr>
        <w:tblW w:w="9639" w:type="dxa"/>
        <w:tblInd w:w="108" w:type="dxa"/>
        <w:tblLayout w:type="fixed"/>
        <w:tblLook w:val="0000" w:firstRow="0" w:lastRow="0" w:firstColumn="0" w:lastColumn="0" w:noHBand="0" w:noVBand="0"/>
      </w:tblPr>
      <w:tblGrid>
        <w:gridCol w:w="4820"/>
        <w:gridCol w:w="4819"/>
      </w:tblGrid>
      <w:tr w:rsidR="00C57E60" w14:paraId="3B30CE92" w14:textId="77777777" w:rsidTr="00DC359B">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FA56BE9"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境内会计师事务所名称</w:t>
            </w:r>
          </w:p>
        </w:tc>
        <w:tc>
          <w:tcPr>
            <w:tcW w:w="4820" w:type="dxa"/>
            <w:tcBorders>
              <w:top w:val="single" w:sz="2" w:space="0" w:color="auto"/>
              <w:left w:val="single" w:sz="2" w:space="0" w:color="auto"/>
              <w:bottom w:val="single" w:sz="2" w:space="0" w:color="auto"/>
              <w:right w:val="single" w:sz="2" w:space="0" w:color="auto"/>
            </w:tcBorders>
            <w:vAlign w:val="center"/>
          </w:tcPr>
          <w:p w14:paraId="3829C49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信永中和会计师事务所（特殊普通合伙）</w:t>
            </w:r>
          </w:p>
        </w:tc>
      </w:tr>
      <w:tr w:rsidR="00C57E60" w14:paraId="51CA19AB" w14:textId="77777777" w:rsidTr="00DC359B">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75228C6"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境内会计师事务所报酬（万元）</w:t>
            </w:r>
          </w:p>
        </w:tc>
        <w:tc>
          <w:tcPr>
            <w:tcW w:w="4820" w:type="dxa"/>
            <w:tcBorders>
              <w:top w:val="single" w:sz="2" w:space="0" w:color="auto"/>
              <w:left w:val="single" w:sz="2" w:space="0" w:color="auto"/>
              <w:bottom w:val="single" w:sz="2" w:space="0" w:color="auto"/>
              <w:right w:val="single" w:sz="2" w:space="0" w:color="auto"/>
            </w:tcBorders>
            <w:vAlign w:val="center"/>
          </w:tcPr>
          <w:p w14:paraId="25F3308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149.6</w:t>
            </w:r>
          </w:p>
        </w:tc>
      </w:tr>
      <w:tr w:rsidR="00C57E60" w14:paraId="426F3797" w14:textId="77777777" w:rsidTr="00DC359B">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1729AB1"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境内会计师事务所审计服务的连续年限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74A5309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15</w:t>
            </w:r>
          </w:p>
        </w:tc>
      </w:tr>
      <w:tr w:rsidR="00C57E60" w14:paraId="0805CB7F" w14:textId="77777777" w:rsidTr="00DC359B">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AE95045"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境内会计师事务所注册会计师姓名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63B95B3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蒋盛森、潘钊</w:t>
            </w:r>
          </w:p>
        </w:tc>
      </w:tr>
      <w:tr w:rsidR="00C57E60" w14:paraId="34572505" w14:textId="77777777" w:rsidTr="00DC359B">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FEE1D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境内会计师事务所注册会计师审计服务的连续年限</w:t>
            </w:r>
          </w:p>
        </w:tc>
        <w:tc>
          <w:tcPr>
            <w:tcW w:w="4820" w:type="dxa"/>
            <w:tcBorders>
              <w:top w:val="single" w:sz="2" w:space="0" w:color="auto"/>
              <w:left w:val="single" w:sz="2" w:space="0" w:color="auto"/>
              <w:bottom w:val="single" w:sz="2" w:space="0" w:color="auto"/>
              <w:right w:val="single" w:sz="2" w:space="0" w:color="auto"/>
            </w:tcBorders>
            <w:vAlign w:val="center"/>
          </w:tcPr>
          <w:p w14:paraId="1D2A225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蒋盛森（</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年）、潘钊（</w:t>
            </w: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年）</w:t>
            </w:r>
          </w:p>
        </w:tc>
      </w:tr>
    </w:tbl>
    <w:p w14:paraId="7E0EAEC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是否改聘会计师事务所</w:t>
      </w:r>
    </w:p>
    <w:p w14:paraId="1454833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□是 </w:t>
      </w:r>
      <w:r w:rsidRPr="00DC359B">
        <w:rPr>
          <w:rFonts w:ascii="宋体" w:eastAsia="宋体" w:hAnsi="宋体" w:cs="宋体"/>
          <w:sz w:val="18"/>
          <w:szCs w:val="18"/>
        </w:rPr>
        <w:sym w:font="Wingdings 2" w:char="F052"/>
      </w:r>
      <w:r w:rsidRPr="00DC359B">
        <w:rPr>
          <w:rFonts w:ascii="宋体" w:eastAsia="宋体" w:hAnsi="宋体" w:cs="宋体"/>
          <w:sz w:val="18"/>
          <w:szCs w:val="18"/>
        </w:rPr>
        <w:t>否</w:t>
      </w:r>
    </w:p>
    <w:p w14:paraId="093B2E0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聘请内部控制审计会计师事务所、财务顾问或保荐人情况</w:t>
      </w:r>
    </w:p>
    <w:p w14:paraId="3E62645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5FB1341A"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本年度，公司聘请信永中和会计师事务所（特殊普通合伙）为公司</w:t>
      </w:r>
      <w:r w:rsidRPr="00DC359B">
        <w:rPr>
          <w:rFonts w:ascii="Times New Roman" w:eastAsia="宋体" w:hAnsi="Times New Roman" w:cs="Times New Roman" w:hint="eastAsia"/>
          <w:kern w:val="0"/>
          <w:szCs w:val="21"/>
        </w:rPr>
        <w:t>2025</w:t>
      </w:r>
      <w:r w:rsidRPr="00DC359B">
        <w:rPr>
          <w:rFonts w:ascii="Times New Roman" w:eastAsia="宋体" w:hAnsi="Times New Roman" w:cs="Times New Roman" w:hint="eastAsia"/>
          <w:kern w:val="0"/>
          <w:szCs w:val="21"/>
        </w:rPr>
        <w:t>年度内部控制审计机构，内部控制审计费用为</w:t>
      </w:r>
      <w:r w:rsidRPr="00DC359B">
        <w:rPr>
          <w:rFonts w:ascii="Times New Roman" w:eastAsia="宋体" w:hAnsi="Times New Roman" w:cs="Times New Roman" w:hint="eastAsia"/>
          <w:kern w:val="0"/>
          <w:szCs w:val="21"/>
        </w:rPr>
        <w:t>29.80</w:t>
      </w:r>
      <w:r w:rsidRPr="00DC359B">
        <w:rPr>
          <w:rFonts w:ascii="Times New Roman" w:eastAsia="宋体" w:hAnsi="Times New Roman" w:cs="Times New Roman" w:hint="eastAsia"/>
          <w:kern w:val="0"/>
          <w:szCs w:val="21"/>
        </w:rPr>
        <w:t>万元，该费用已包含在支付给信永中和会计师事务所（特殊普通合伙）的</w:t>
      </w:r>
      <w:r w:rsidRPr="00DC359B">
        <w:rPr>
          <w:rFonts w:ascii="Times New Roman" w:eastAsia="宋体" w:hAnsi="Times New Roman" w:cs="Times New Roman" w:hint="eastAsia"/>
          <w:kern w:val="0"/>
          <w:szCs w:val="21"/>
        </w:rPr>
        <w:t>149.60</w:t>
      </w:r>
      <w:r w:rsidRPr="00DC359B">
        <w:rPr>
          <w:rFonts w:ascii="Times New Roman" w:eastAsia="宋体" w:hAnsi="Times New Roman" w:cs="Times New Roman" w:hint="eastAsia"/>
          <w:kern w:val="0"/>
          <w:szCs w:val="21"/>
        </w:rPr>
        <w:t>万元总报酬内。</w:t>
      </w:r>
    </w:p>
    <w:p w14:paraId="2C28AE00"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九、年度报告披露后面临退市情况</w:t>
      </w:r>
    </w:p>
    <w:p w14:paraId="2FA806B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C15CC8E"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十、破产重整相关事项</w:t>
      </w:r>
    </w:p>
    <w:p w14:paraId="4B55410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20AC4A10"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公司报告期未发生破产重整相关事项。</w:t>
      </w:r>
    </w:p>
    <w:p w14:paraId="0CA21B36"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十一、重大诉讼、仲裁事项</w:t>
      </w:r>
    </w:p>
    <w:p w14:paraId="41FAA076"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tbl>
      <w:tblPr>
        <w:tblW w:w="9639" w:type="dxa"/>
        <w:tblInd w:w="108" w:type="dxa"/>
        <w:tblLayout w:type="fixed"/>
        <w:tblCellMar>
          <w:left w:w="28" w:type="dxa"/>
          <w:right w:w="28" w:type="dxa"/>
        </w:tblCellMar>
        <w:tblLook w:val="0000" w:firstRow="0" w:lastRow="0" w:firstColumn="0" w:lastColumn="0" w:noHBand="0" w:noVBand="0"/>
      </w:tblPr>
      <w:tblGrid>
        <w:gridCol w:w="2047"/>
        <w:gridCol w:w="850"/>
        <w:gridCol w:w="851"/>
        <w:gridCol w:w="1842"/>
        <w:gridCol w:w="1276"/>
        <w:gridCol w:w="1134"/>
        <w:gridCol w:w="851"/>
        <w:gridCol w:w="788"/>
      </w:tblGrid>
      <w:tr w:rsidR="00C57E60" w14:paraId="794B1196"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46EAB16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诉讼</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仲裁</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基本情况</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4A46A6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涉案金额（万元）</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22939F4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是否形成预计负债</w:t>
            </w: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14:paraId="145346A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诉讼</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仲裁</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进展</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59CA7445"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诉讼</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仲裁</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审理结果及影响</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6DB61B8"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诉讼</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仲裁</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判决执行情况</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6940A3D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披露日期</w:t>
            </w:r>
          </w:p>
        </w:tc>
        <w:tc>
          <w:tcPr>
            <w:tcW w:w="788" w:type="dxa"/>
            <w:tcBorders>
              <w:top w:val="single" w:sz="2" w:space="0" w:color="auto"/>
              <w:left w:val="single" w:sz="2" w:space="0" w:color="auto"/>
              <w:bottom w:val="single" w:sz="2" w:space="0" w:color="auto"/>
              <w:right w:val="single" w:sz="2" w:space="0" w:color="auto"/>
            </w:tcBorders>
            <w:shd w:val="clear" w:color="auto" w:fill="D3D3D3"/>
            <w:vAlign w:val="center"/>
          </w:tcPr>
          <w:p w14:paraId="6FDA3A55"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披露索引</w:t>
            </w:r>
          </w:p>
        </w:tc>
      </w:tr>
      <w:tr w:rsidR="00C57E60" w14:paraId="0F4E4450"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vAlign w:val="center"/>
          </w:tcPr>
          <w:p w14:paraId="76FDD446"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公司及子公司作为原告</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申请人未达到重大诉讼仲裁披露标准的其他诉讼（仲裁）情况汇总</w:t>
            </w:r>
          </w:p>
        </w:tc>
        <w:tc>
          <w:tcPr>
            <w:tcW w:w="850" w:type="dxa"/>
            <w:tcBorders>
              <w:top w:val="single" w:sz="2" w:space="0" w:color="auto"/>
              <w:left w:val="single" w:sz="2" w:space="0" w:color="auto"/>
              <w:bottom w:val="single" w:sz="2" w:space="0" w:color="auto"/>
              <w:right w:val="single" w:sz="2" w:space="0" w:color="auto"/>
            </w:tcBorders>
            <w:vAlign w:val="center"/>
          </w:tcPr>
          <w:p w14:paraId="02C580A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3,742.56</w:t>
            </w:r>
          </w:p>
        </w:tc>
        <w:tc>
          <w:tcPr>
            <w:tcW w:w="851" w:type="dxa"/>
            <w:tcBorders>
              <w:top w:val="single" w:sz="2" w:space="0" w:color="auto"/>
              <w:left w:val="single" w:sz="2" w:space="0" w:color="auto"/>
              <w:bottom w:val="single" w:sz="2" w:space="0" w:color="auto"/>
              <w:right w:val="single" w:sz="2" w:space="0" w:color="auto"/>
            </w:tcBorders>
            <w:vAlign w:val="center"/>
          </w:tcPr>
          <w:p w14:paraId="6DE5975A"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c>
          <w:tcPr>
            <w:tcW w:w="1842" w:type="dxa"/>
            <w:tcBorders>
              <w:top w:val="single" w:sz="2" w:space="0" w:color="auto"/>
              <w:left w:val="single" w:sz="2" w:space="0" w:color="auto"/>
              <w:bottom w:val="single" w:sz="2" w:space="0" w:color="auto"/>
              <w:right w:val="single" w:sz="2" w:space="0" w:color="auto"/>
            </w:tcBorders>
            <w:vAlign w:val="center"/>
          </w:tcPr>
          <w:p w14:paraId="1BEC4E3D"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部分案件已结案并按判决</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调解结果执行，部分案件尚在审理过程中，部分案件正在执行中</w:t>
            </w:r>
          </w:p>
        </w:tc>
        <w:tc>
          <w:tcPr>
            <w:tcW w:w="1276" w:type="dxa"/>
            <w:tcBorders>
              <w:top w:val="single" w:sz="2" w:space="0" w:color="auto"/>
              <w:left w:val="single" w:sz="2" w:space="0" w:color="auto"/>
              <w:bottom w:val="single" w:sz="2" w:space="0" w:color="auto"/>
              <w:right w:val="single" w:sz="2" w:space="0" w:color="auto"/>
            </w:tcBorders>
            <w:vAlign w:val="center"/>
          </w:tcPr>
          <w:p w14:paraId="53822BFD"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预计对公司经营及财务状况无重大不利影响</w:t>
            </w:r>
          </w:p>
        </w:tc>
        <w:tc>
          <w:tcPr>
            <w:tcW w:w="1134" w:type="dxa"/>
            <w:tcBorders>
              <w:top w:val="single" w:sz="2" w:space="0" w:color="auto"/>
              <w:left w:val="single" w:sz="2" w:space="0" w:color="auto"/>
              <w:bottom w:val="single" w:sz="2" w:space="0" w:color="auto"/>
              <w:right w:val="single" w:sz="2" w:space="0" w:color="auto"/>
            </w:tcBorders>
            <w:vAlign w:val="center"/>
          </w:tcPr>
          <w:p w14:paraId="43DE5ABB"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公司根据判决或调解结果履行</w:t>
            </w:r>
          </w:p>
        </w:tc>
        <w:tc>
          <w:tcPr>
            <w:tcW w:w="851" w:type="dxa"/>
            <w:tcBorders>
              <w:top w:val="single" w:sz="2" w:space="0" w:color="auto"/>
              <w:left w:val="single" w:sz="2" w:space="0" w:color="auto"/>
              <w:bottom w:val="single" w:sz="2" w:space="0" w:color="auto"/>
              <w:right w:val="single" w:sz="2" w:space="0" w:color="auto"/>
            </w:tcBorders>
            <w:vAlign w:val="center"/>
          </w:tcPr>
          <w:p w14:paraId="444B9F4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788" w:type="dxa"/>
            <w:tcBorders>
              <w:top w:val="single" w:sz="2" w:space="0" w:color="auto"/>
              <w:left w:val="single" w:sz="2" w:space="0" w:color="auto"/>
              <w:bottom w:val="single" w:sz="2" w:space="0" w:color="auto"/>
              <w:right w:val="single" w:sz="2" w:space="0" w:color="auto"/>
            </w:tcBorders>
            <w:vAlign w:val="center"/>
          </w:tcPr>
          <w:p w14:paraId="2429935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r w:rsidR="00C57E60" w14:paraId="28D4D1CB"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vAlign w:val="center"/>
          </w:tcPr>
          <w:p w14:paraId="756428F6"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公司及子公司作为被告</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被申请人未达到重大诉讼仲裁披露标准的其他诉讼（仲裁）情况汇总</w:t>
            </w:r>
          </w:p>
        </w:tc>
        <w:tc>
          <w:tcPr>
            <w:tcW w:w="850" w:type="dxa"/>
            <w:tcBorders>
              <w:top w:val="single" w:sz="2" w:space="0" w:color="auto"/>
              <w:left w:val="single" w:sz="2" w:space="0" w:color="auto"/>
              <w:bottom w:val="single" w:sz="2" w:space="0" w:color="auto"/>
              <w:right w:val="single" w:sz="2" w:space="0" w:color="auto"/>
            </w:tcBorders>
            <w:vAlign w:val="center"/>
          </w:tcPr>
          <w:p w14:paraId="1E8469C5"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15,760.35</w:t>
            </w:r>
          </w:p>
        </w:tc>
        <w:tc>
          <w:tcPr>
            <w:tcW w:w="851" w:type="dxa"/>
            <w:tcBorders>
              <w:top w:val="single" w:sz="2" w:space="0" w:color="auto"/>
              <w:left w:val="single" w:sz="2" w:space="0" w:color="auto"/>
              <w:bottom w:val="single" w:sz="2" w:space="0" w:color="auto"/>
              <w:right w:val="single" w:sz="2" w:space="0" w:color="auto"/>
            </w:tcBorders>
            <w:vAlign w:val="center"/>
          </w:tcPr>
          <w:p w14:paraId="58DA5C8B"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c>
          <w:tcPr>
            <w:tcW w:w="1842" w:type="dxa"/>
            <w:tcBorders>
              <w:top w:val="single" w:sz="2" w:space="0" w:color="auto"/>
              <w:left w:val="single" w:sz="2" w:space="0" w:color="auto"/>
              <w:bottom w:val="single" w:sz="2" w:space="0" w:color="auto"/>
              <w:right w:val="single" w:sz="2" w:space="0" w:color="auto"/>
            </w:tcBorders>
            <w:vAlign w:val="center"/>
          </w:tcPr>
          <w:p w14:paraId="4C1D2041"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部分案件已结案并按判决</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调解结果执行，部分案件尚在审理过程中</w:t>
            </w:r>
          </w:p>
        </w:tc>
        <w:tc>
          <w:tcPr>
            <w:tcW w:w="1276" w:type="dxa"/>
            <w:tcBorders>
              <w:top w:val="single" w:sz="2" w:space="0" w:color="auto"/>
              <w:left w:val="single" w:sz="2" w:space="0" w:color="auto"/>
              <w:bottom w:val="single" w:sz="2" w:space="0" w:color="auto"/>
              <w:right w:val="single" w:sz="2" w:space="0" w:color="auto"/>
            </w:tcBorders>
            <w:vAlign w:val="center"/>
          </w:tcPr>
          <w:p w14:paraId="146B3CB3" w14:textId="5582E08D"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已结案的诉讼（仲裁）结果对公司经营及财务状况无重大影响，主要为</w:t>
            </w:r>
            <w:r w:rsidR="004A3E59" w:rsidRPr="004A3E59">
              <w:rPr>
                <w:rFonts w:ascii="Times New Roman" w:eastAsia="宋体" w:hAnsi="Times New Roman" w:cs="Times New Roman" w:hint="eastAsia"/>
                <w:sz w:val="18"/>
                <w:szCs w:val="18"/>
              </w:rPr>
              <w:t>子公司</w:t>
            </w:r>
            <w:r w:rsidR="004A3E59" w:rsidRPr="004A3E59">
              <w:rPr>
                <w:rFonts w:ascii="Times New Roman" w:eastAsia="宋体" w:hAnsi="Times New Roman" w:cs="Times New Roman"/>
                <w:sz w:val="18"/>
                <w:szCs w:val="18"/>
              </w:rPr>
              <w:t xml:space="preserve">Trividia </w:t>
            </w:r>
            <w:r w:rsidR="004A3E59" w:rsidRPr="004A3E59">
              <w:rPr>
                <w:rFonts w:ascii="Times New Roman" w:eastAsia="宋体" w:hAnsi="Times New Roman" w:cs="Times New Roman"/>
                <w:sz w:val="18"/>
                <w:szCs w:val="18"/>
              </w:rPr>
              <w:t>与罗氏专利交叉授权费用</w:t>
            </w:r>
            <w:r w:rsidRPr="00DC359B">
              <w:rPr>
                <w:rFonts w:ascii="Times New Roman" w:eastAsia="宋体" w:hAnsi="Times New Roman" w:cs="Times New Roman"/>
                <w:sz w:val="18"/>
                <w:szCs w:val="18"/>
              </w:rPr>
              <w:t>13,354.72</w:t>
            </w:r>
            <w:r w:rsidRPr="00DC359B">
              <w:rPr>
                <w:rFonts w:ascii="Times New Roman" w:eastAsia="宋体" w:hAnsi="Times New Roman" w:cs="Times New Roman"/>
                <w:sz w:val="18"/>
                <w:szCs w:val="18"/>
              </w:rPr>
              <w:t>万元</w:t>
            </w:r>
          </w:p>
        </w:tc>
        <w:tc>
          <w:tcPr>
            <w:tcW w:w="1134" w:type="dxa"/>
            <w:tcBorders>
              <w:top w:val="single" w:sz="2" w:space="0" w:color="auto"/>
              <w:left w:val="single" w:sz="2" w:space="0" w:color="auto"/>
              <w:bottom w:val="single" w:sz="2" w:space="0" w:color="auto"/>
              <w:right w:val="single" w:sz="2" w:space="0" w:color="auto"/>
            </w:tcBorders>
            <w:vAlign w:val="center"/>
          </w:tcPr>
          <w:p w14:paraId="710465C2" w14:textId="77777777" w:rsidR="00DC359B" w:rsidRPr="00DC359B" w:rsidRDefault="00DC359B" w:rsidP="00C707CF">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公司根据判决或调解结果履行</w:t>
            </w:r>
          </w:p>
        </w:tc>
        <w:tc>
          <w:tcPr>
            <w:tcW w:w="851" w:type="dxa"/>
            <w:tcBorders>
              <w:top w:val="single" w:sz="2" w:space="0" w:color="auto"/>
              <w:left w:val="single" w:sz="2" w:space="0" w:color="auto"/>
              <w:bottom w:val="single" w:sz="2" w:space="0" w:color="auto"/>
              <w:right w:val="single" w:sz="2" w:space="0" w:color="auto"/>
            </w:tcBorders>
            <w:vAlign w:val="center"/>
          </w:tcPr>
          <w:p w14:paraId="50C0AF4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788" w:type="dxa"/>
            <w:tcBorders>
              <w:top w:val="single" w:sz="2" w:space="0" w:color="auto"/>
              <w:left w:val="single" w:sz="2" w:space="0" w:color="auto"/>
              <w:bottom w:val="single" w:sz="2" w:space="0" w:color="auto"/>
              <w:right w:val="single" w:sz="2" w:space="0" w:color="auto"/>
            </w:tcBorders>
            <w:vAlign w:val="center"/>
          </w:tcPr>
          <w:p w14:paraId="0B11DF2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bl>
    <w:p w14:paraId="606C30BC" w14:textId="77777777" w:rsidR="00DC359B" w:rsidRPr="00DC359B" w:rsidRDefault="00DC359B" w:rsidP="00DC359B">
      <w:pPr>
        <w:spacing w:before="100" w:after="100" w:line="240" w:lineRule="exact"/>
        <w:ind w:firstLineChars="200" w:firstLine="360"/>
        <w:rPr>
          <w:rFonts w:ascii="Times New Roman" w:eastAsia="宋体" w:hAnsi="Times New Roman" w:cs="Times New Roman"/>
          <w:sz w:val="18"/>
          <w:szCs w:val="18"/>
        </w:rPr>
      </w:pPr>
      <w:r w:rsidRPr="00DC359B">
        <w:rPr>
          <w:rFonts w:ascii="Times New Roman" w:eastAsia="宋体" w:hAnsi="Times New Roman" w:cs="Times New Roman"/>
          <w:sz w:val="18"/>
          <w:szCs w:val="18"/>
        </w:rPr>
        <w:t>注：表格所列涉诉案件为报告期内已结案的、截至报告期末未审结的其他诉讼（仲裁）事项汇总情况。</w:t>
      </w:r>
    </w:p>
    <w:p w14:paraId="31968D97"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十二、处罚及整改情况</w:t>
      </w:r>
    </w:p>
    <w:p w14:paraId="77C2A5E8"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01639D2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公司报告期不存在处罚及整改情况。</w:t>
      </w:r>
    </w:p>
    <w:p w14:paraId="658FF1E6"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十三、公司及其控股股东、实际控制人的诚信状况</w:t>
      </w:r>
    </w:p>
    <w:p w14:paraId="5E3FE88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54C7B45E"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报告期内，公司及其控股股东、实际控制人均不存在未履行法院生效判决、所负数额较大的债务到期未清偿等情况。</w:t>
      </w:r>
    </w:p>
    <w:p w14:paraId="0C5F5EA1"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十四、重大关联交易</w:t>
      </w:r>
    </w:p>
    <w:p w14:paraId="41BE1038"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1</w:t>
      </w:r>
      <w:r w:rsidRPr="00DC359B">
        <w:rPr>
          <w:rFonts w:ascii="Times New Roman" w:eastAsia="宋体" w:hAnsi="Times New Roman" w:cs="Times New Roman"/>
          <w:b/>
          <w:bCs/>
          <w:szCs w:val="21"/>
        </w:rPr>
        <w:t>、与日常经营相关的关联交易</w:t>
      </w:r>
    </w:p>
    <w:p w14:paraId="338103FE"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77830455"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公司报告期未发生与日常经营相关的关联交易。</w:t>
      </w:r>
    </w:p>
    <w:p w14:paraId="784A21A5"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、资产或股权收购、出售发生的关联交易</w:t>
      </w:r>
    </w:p>
    <w:p w14:paraId="4EF99F04"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95641D4"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公司报告期未发生资产或股权收购、出售的关联交易。</w:t>
      </w:r>
    </w:p>
    <w:p w14:paraId="5D285900"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3</w:t>
      </w:r>
      <w:r w:rsidRPr="00DC359B">
        <w:rPr>
          <w:rFonts w:ascii="Times New Roman" w:eastAsia="宋体" w:hAnsi="Times New Roman" w:cs="Times New Roman"/>
          <w:b/>
          <w:bCs/>
          <w:szCs w:val="21"/>
        </w:rPr>
        <w:t>、共同对外投资的关联交易</w:t>
      </w:r>
    </w:p>
    <w:p w14:paraId="6FEB3FEC"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2F00224B"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公司报告期未发生共同对外投资的关联交易。</w:t>
      </w:r>
    </w:p>
    <w:p w14:paraId="33305DE8"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4</w:t>
      </w:r>
      <w:r w:rsidRPr="00DC359B">
        <w:rPr>
          <w:rFonts w:ascii="Times New Roman" w:eastAsia="宋体" w:hAnsi="Times New Roman" w:cs="Times New Roman"/>
          <w:b/>
          <w:bCs/>
          <w:szCs w:val="21"/>
        </w:rPr>
        <w:t>、关联债权债务往来</w:t>
      </w:r>
    </w:p>
    <w:p w14:paraId="618F4BC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15AB12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公司报告期不存在关联债权债务往来。</w:t>
      </w:r>
    </w:p>
    <w:p w14:paraId="1F4A6D20"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5</w:t>
      </w:r>
      <w:r w:rsidRPr="00DC359B">
        <w:rPr>
          <w:rFonts w:ascii="Times New Roman" w:eastAsia="宋体" w:hAnsi="Times New Roman" w:cs="Times New Roman"/>
          <w:b/>
          <w:bCs/>
          <w:szCs w:val="21"/>
        </w:rPr>
        <w:t>、与存在关联关系的财务公司的往来情况</w:t>
      </w:r>
    </w:p>
    <w:p w14:paraId="05491D33"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60F1E652"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公司与存在关联关系的财务公司与关联方之间不存在存款、贷款、授信或其他金融业务。</w:t>
      </w:r>
    </w:p>
    <w:p w14:paraId="3B1DCBDB"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6</w:t>
      </w:r>
      <w:r w:rsidRPr="00DC359B">
        <w:rPr>
          <w:rFonts w:ascii="Times New Roman" w:eastAsia="宋体" w:hAnsi="Times New Roman" w:cs="Times New Roman"/>
          <w:b/>
          <w:bCs/>
          <w:szCs w:val="21"/>
        </w:rPr>
        <w:t>、公司控股的财务公司与关联方的往来情况</w:t>
      </w:r>
    </w:p>
    <w:p w14:paraId="012251E6"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1CACA705"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公司控股的财务公司与关联方之间不存在存款、贷款、授信或其他金融业务。</w:t>
      </w:r>
    </w:p>
    <w:p w14:paraId="269022B7"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7</w:t>
      </w:r>
      <w:r w:rsidRPr="00DC359B">
        <w:rPr>
          <w:rFonts w:ascii="Times New Roman" w:eastAsia="宋体" w:hAnsi="Times New Roman" w:cs="Times New Roman"/>
          <w:b/>
          <w:bCs/>
          <w:szCs w:val="21"/>
        </w:rPr>
        <w:t>、其他重大关联交易</w:t>
      </w:r>
    </w:p>
    <w:p w14:paraId="029098C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00425876"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18</w:t>
      </w:r>
      <w:r w:rsidRPr="00DC359B">
        <w:rPr>
          <w:rFonts w:ascii="Times New Roman" w:eastAsia="宋体" w:hAnsi="Times New Roman" w:cs="Times New Roman" w:hint="eastAsia"/>
          <w:kern w:val="0"/>
          <w:szCs w:val="21"/>
        </w:rPr>
        <w:t>日召开第五届董事会第十七次会议、第五届监事会第十三次会议，审议并通过《关于公司</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年度日常关联交易确认和</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年度日常关联交易预计的议案》，同意公司</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年度与联营企业北京糖护发生的日常关联交易额度预计不超过</w:t>
      </w:r>
      <w:r w:rsidRPr="00DC359B">
        <w:rPr>
          <w:rFonts w:ascii="Times New Roman" w:eastAsia="宋体" w:hAnsi="Times New Roman" w:cs="Times New Roman"/>
          <w:kern w:val="0"/>
          <w:szCs w:val="21"/>
        </w:rPr>
        <w:t>2,200.00</w:t>
      </w:r>
      <w:r w:rsidRPr="00DC359B">
        <w:rPr>
          <w:rFonts w:ascii="Times New Roman" w:eastAsia="宋体" w:hAnsi="Times New Roman" w:cs="Times New Roman" w:hint="eastAsia"/>
          <w:kern w:val="0"/>
          <w:szCs w:val="21"/>
        </w:rPr>
        <w:t>万元人民币，主要系公司向关联方北京糖护销售商品和提供劳务。该事项已经公司独立董事专门会议审议通过，公司独立董事发表了明确同意的审查意见，关联董事已回避表决。</w:t>
      </w:r>
    </w:p>
    <w:p w14:paraId="0C486540"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报告期内，公司与北京糖护发生日常关联交易的实际金额合计人民币</w:t>
      </w:r>
      <w:r w:rsidRPr="00DC359B">
        <w:rPr>
          <w:rFonts w:ascii="Times New Roman" w:eastAsia="宋体" w:hAnsi="Times New Roman" w:cs="Times New Roman"/>
          <w:kern w:val="0"/>
          <w:szCs w:val="21"/>
        </w:rPr>
        <w:t>1,708.54</w:t>
      </w:r>
      <w:r w:rsidRPr="00DC359B">
        <w:rPr>
          <w:rFonts w:ascii="Times New Roman" w:eastAsia="宋体" w:hAnsi="Times New Roman" w:cs="Times New Roman" w:hint="eastAsia"/>
          <w:kern w:val="0"/>
          <w:szCs w:val="21"/>
        </w:rPr>
        <w:t>万元，未超过获批的交易额度，均是因公司生产经营需要与关联方发生的正常业务往来。公司与关联方北京糖护实际发生的日常关联交易均遵循公平、公正的原则，依据市场价格定价，不存在损害公司和股东利益的行为，相关日常关联交易占公司同类业务的比例较小，对公司日常经营及业绩不会产生重大影响。具体内容详见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21</w:t>
      </w:r>
      <w:r w:rsidRPr="00DC359B">
        <w:rPr>
          <w:rFonts w:ascii="Times New Roman" w:eastAsia="宋体" w:hAnsi="Times New Roman" w:cs="Times New Roman" w:hint="eastAsia"/>
          <w:kern w:val="0"/>
          <w:szCs w:val="21"/>
        </w:rPr>
        <w:t>日、</w:t>
      </w:r>
      <w:r w:rsidRPr="00DC359B">
        <w:rPr>
          <w:rFonts w:ascii="Times New Roman" w:eastAsia="宋体" w:hAnsi="Times New Roman" w:cs="Times New Roman"/>
          <w:kern w:val="0"/>
          <w:szCs w:val="21"/>
        </w:rPr>
        <w:t>2026</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28</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）上披露的相关公告。</w:t>
      </w:r>
    </w:p>
    <w:p w14:paraId="506107D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重大关联交易临时报告披露网站相关查询</w:t>
      </w:r>
    </w:p>
    <w:tbl>
      <w:tblPr>
        <w:tblW w:w="9639" w:type="dxa"/>
        <w:tblInd w:w="108" w:type="dxa"/>
        <w:tblLayout w:type="fixed"/>
        <w:tblCellMar>
          <w:left w:w="28" w:type="dxa"/>
          <w:right w:w="28" w:type="dxa"/>
        </w:tblCellMar>
        <w:tblLook w:val="0000" w:firstRow="0" w:lastRow="0" w:firstColumn="0" w:lastColumn="0" w:noHBand="0" w:noVBand="0"/>
      </w:tblPr>
      <w:tblGrid>
        <w:gridCol w:w="4598"/>
        <w:gridCol w:w="1701"/>
        <w:gridCol w:w="3340"/>
      </w:tblGrid>
      <w:tr w:rsidR="00C57E60" w14:paraId="00FA67A1" w14:textId="77777777" w:rsidTr="00DC359B">
        <w:trPr>
          <w:trHeight w:val="240"/>
        </w:trPr>
        <w:tc>
          <w:tcPr>
            <w:tcW w:w="4598" w:type="dxa"/>
            <w:tcBorders>
              <w:top w:val="single" w:sz="2" w:space="0" w:color="auto"/>
              <w:left w:val="single" w:sz="2" w:space="0" w:color="auto"/>
              <w:bottom w:val="single" w:sz="2" w:space="0" w:color="auto"/>
              <w:right w:val="single" w:sz="2" w:space="0" w:color="auto"/>
            </w:tcBorders>
            <w:shd w:val="clear" w:color="auto" w:fill="D3D3D3"/>
            <w:vAlign w:val="center"/>
          </w:tcPr>
          <w:p w14:paraId="3575E4B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临时公告名称</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06D52B8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临时公告披露日期</w:t>
            </w:r>
          </w:p>
        </w:tc>
        <w:tc>
          <w:tcPr>
            <w:tcW w:w="3340" w:type="dxa"/>
            <w:tcBorders>
              <w:top w:val="single" w:sz="2" w:space="0" w:color="auto"/>
              <w:left w:val="single" w:sz="2" w:space="0" w:color="auto"/>
              <w:bottom w:val="single" w:sz="2" w:space="0" w:color="auto"/>
              <w:right w:val="single" w:sz="2" w:space="0" w:color="auto"/>
            </w:tcBorders>
            <w:shd w:val="clear" w:color="auto" w:fill="D3D3D3"/>
            <w:vAlign w:val="center"/>
          </w:tcPr>
          <w:p w14:paraId="3AF2F5F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临时公告披露网站名称</w:t>
            </w:r>
          </w:p>
        </w:tc>
      </w:tr>
      <w:tr w:rsidR="00C57E60" w14:paraId="679C1D28" w14:textId="77777777" w:rsidTr="00DC359B">
        <w:trPr>
          <w:trHeight w:val="240"/>
        </w:trPr>
        <w:tc>
          <w:tcPr>
            <w:tcW w:w="4598" w:type="dxa"/>
            <w:tcBorders>
              <w:top w:val="single" w:sz="2" w:space="0" w:color="auto"/>
              <w:left w:val="single" w:sz="2" w:space="0" w:color="auto"/>
              <w:bottom w:val="single" w:sz="2" w:space="0" w:color="auto"/>
              <w:right w:val="single" w:sz="2" w:space="0" w:color="auto"/>
            </w:tcBorders>
            <w:vAlign w:val="center"/>
          </w:tcPr>
          <w:p w14:paraId="2F56127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《关于</w:t>
            </w:r>
            <w:r w:rsidRPr="00DC359B">
              <w:rPr>
                <w:rFonts w:ascii="Times New Roman" w:eastAsia="宋体" w:hAnsi="Times New Roman" w:cs="Times New Roman"/>
                <w:sz w:val="18"/>
                <w:szCs w:val="18"/>
              </w:rPr>
              <w:t>2024</w:t>
            </w:r>
            <w:r w:rsidRPr="00DC359B">
              <w:rPr>
                <w:rFonts w:ascii="Times New Roman" w:eastAsia="宋体" w:hAnsi="Times New Roman" w:cs="Times New Roman"/>
                <w:sz w:val="18"/>
                <w:szCs w:val="18"/>
              </w:rPr>
              <w:t>年度日常关联交易确认和</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年度日常关联交易预计的公告》</w:t>
            </w:r>
          </w:p>
        </w:tc>
        <w:tc>
          <w:tcPr>
            <w:tcW w:w="1701" w:type="dxa"/>
            <w:tcBorders>
              <w:top w:val="single" w:sz="2" w:space="0" w:color="auto"/>
              <w:left w:val="single" w:sz="2" w:space="0" w:color="auto"/>
              <w:bottom w:val="single" w:sz="2" w:space="0" w:color="auto"/>
              <w:right w:val="single" w:sz="2" w:space="0" w:color="auto"/>
            </w:tcBorders>
            <w:vAlign w:val="center"/>
          </w:tcPr>
          <w:p w14:paraId="14101D0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04</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21</w:t>
            </w:r>
            <w:r w:rsidRPr="00DC359B">
              <w:rPr>
                <w:rFonts w:ascii="Times New Roman" w:eastAsia="宋体" w:hAnsi="Times New Roman" w:cs="Times New Roman"/>
                <w:sz w:val="18"/>
                <w:szCs w:val="18"/>
              </w:rPr>
              <w:t>日</w:t>
            </w:r>
          </w:p>
        </w:tc>
        <w:tc>
          <w:tcPr>
            <w:tcW w:w="3340" w:type="dxa"/>
            <w:tcBorders>
              <w:top w:val="single" w:sz="2" w:space="0" w:color="auto"/>
              <w:left w:val="single" w:sz="2" w:space="0" w:color="auto"/>
              <w:bottom w:val="single" w:sz="2" w:space="0" w:color="auto"/>
              <w:right w:val="single" w:sz="2" w:space="0" w:color="auto"/>
            </w:tcBorders>
            <w:vAlign w:val="center"/>
          </w:tcPr>
          <w:p w14:paraId="49356FC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巨潮资讯网（</w:t>
            </w:r>
            <w:r w:rsidRPr="00DC359B">
              <w:rPr>
                <w:rFonts w:ascii="Times New Roman" w:eastAsia="宋体" w:hAnsi="Times New Roman" w:cs="Times New Roman"/>
                <w:sz w:val="18"/>
                <w:szCs w:val="18"/>
              </w:rPr>
              <w:t>http://www.cninfo.com.cn</w:t>
            </w:r>
            <w:r w:rsidRPr="00DC359B">
              <w:rPr>
                <w:rFonts w:ascii="Times New Roman" w:eastAsia="宋体" w:hAnsi="Times New Roman" w:cs="Times New Roman"/>
                <w:sz w:val="18"/>
                <w:szCs w:val="18"/>
              </w:rPr>
              <w:t>）</w:t>
            </w:r>
          </w:p>
        </w:tc>
      </w:tr>
      <w:tr w:rsidR="00C57E60" w14:paraId="7CDDE59C" w14:textId="77777777" w:rsidTr="00DC359B">
        <w:trPr>
          <w:trHeight w:val="240"/>
        </w:trPr>
        <w:tc>
          <w:tcPr>
            <w:tcW w:w="4598" w:type="dxa"/>
            <w:tcBorders>
              <w:top w:val="single" w:sz="2" w:space="0" w:color="auto"/>
              <w:left w:val="single" w:sz="2" w:space="0" w:color="auto"/>
              <w:bottom w:val="single" w:sz="2" w:space="0" w:color="auto"/>
              <w:right w:val="single" w:sz="2" w:space="0" w:color="auto"/>
            </w:tcBorders>
            <w:vAlign w:val="center"/>
          </w:tcPr>
          <w:p w14:paraId="31B671C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《关于</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年度日常关联交易确认和</w:t>
            </w:r>
            <w:r w:rsidRPr="00DC359B">
              <w:rPr>
                <w:rFonts w:ascii="Times New Roman" w:eastAsia="宋体" w:hAnsi="Times New Roman" w:cs="Times New Roman"/>
                <w:sz w:val="18"/>
                <w:szCs w:val="18"/>
              </w:rPr>
              <w:t>2026</w:t>
            </w:r>
            <w:r w:rsidRPr="00DC359B">
              <w:rPr>
                <w:rFonts w:ascii="Times New Roman" w:eastAsia="宋体" w:hAnsi="Times New Roman" w:cs="Times New Roman"/>
                <w:sz w:val="18"/>
                <w:szCs w:val="18"/>
              </w:rPr>
              <w:t>年度日常关联交易预计的公告》</w:t>
            </w:r>
          </w:p>
        </w:tc>
        <w:tc>
          <w:tcPr>
            <w:tcW w:w="1701" w:type="dxa"/>
            <w:tcBorders>
              <w:top w:val="single" w:sz="2" w:space="0" w:color="auto"/>
              <w:left w:val="single" w:sz="2" w:space="0" w:color="auto"/>
              <w:bottom w:val="single" w:sz="2" w:space="0" w:color="auto"/>
              <w:right w:val="single" w:sz="2" w:space="0" w:color="auto"/>
            </w:tcBorders>
            <w:vAlign w:val="center"/>
          </w:tcPr>
          <w:p w14:paraId="3F3754E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2026</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04</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28</w:t>
            </w:r>
            <w:r w:rsidRPr="00DC359B">
              <w:rPr>
                <w:rFonts w:ascii="Times New Roman" w:eastAsia="宋体" w:hAnsi="Times New Roman" w:cs="Times New Roman"/>
                <w:sz w:val="18"/>
                <w:szCs w:val="18"/>
              </w:rPr>
              <w:t>日</w:t>
            </w:r>
          </w:p>
        </w:tc>
        <w:tc>
          <w:tcPr>
            <w:tcW w:w="3340" w:type="dxa"/>
            <w:tcBorders>
              <w:top w:val="single" w:sz="2" w:space="0" w:color="auto"/>
              <w:left w:val="single" w:sz="2" w:space="0" w:color="auto"/>
              <w:bottom w:val="single" w:sz="2" w:space="0" w:color="auto"/>
              <w:right w:val="single" w:sz="2" w:space="0" w:color="auto"/>
            </w:tcBorders>
            <w:vAlign w:val="center"/>
          </w:tcPr>
          <w:p w14:paraId="48C00C1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巨潮资讯网（</w:t>
            </w:r>
            <w:r w:rsidRPr="00DC359B">
              <w:rPr>
                <w:rFonts w:ascii="Times New Roman" w:eastAsia="宋体" w:hAnsi="Times New Roman" w:cs="Times New Roman"/>
                <w:sz w:val="18"/>
                <w:szCs w:val="18"/>
              </w:rPr>
              <w:t>http://www.cninfo.com.cn</w:t>
            </w:r>
            <w:r w:rsidRPr="00DC359B">
              <w:rPr>
                <w:rFonts w:ascii="Times New Roman" w:eastAsia="宋体" w:hAnsi="Times New Roman" w:cs="Times New Roman"/>
                <w:sz w:val="18"/>
                <w:szCs w:val="18"/>
              </w:rPr>
              <w:t>）</w:t>
            </w:r>
          </w:p>
        </w:tc>
      </w:tr>
    </w:tbl>
    <w:p w14:paraId="0D1139F7"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十五、重大合同及其履行情况</w:t>
      </w:r>
    </w:p>
    <w:p w14:paraId="68E97DBD"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1</w:t>
      </w:r>
      <w:r w:rsidRPr="00DC359B">
        <w:rPr>
          <w:rFonts w:ascii="Times New Roman" w:eastAsia="宋体" w:hAnsi="Times New Roman" w:cs="Times New Roman"/>
          <w:b/>
          <w:bCs/>
          <w:szCs w:val="21"/>
        </w:rPr>
        <w:t>、托管、承包、租赁事项情况</w:t>
      </w:r>
    </w:p>
    <w:p w14:paraId="6089A0A9" w14:textId="77777777" w:rsidR="00DC359B" w:rsidRPr="00DC359B" w:rsidRDefault="00DC359B" w:rsidP="00DC359B">
      <w:pPr>
        <w:keepNext/>
        <w:keepLines/>
        <w:spacing w:before="300" w:after="300" w:line="280" w:lineRule="exact"/>
        <w:outlineLvl w:val="3"/>
        <w:rPr>
          <w:rFonts w:ascii="Times New Roman" w:eastAsia="宋体" w:hAnsi="Times New Roman" w:cs="Times New Roman"/>
          <w:b/>
          <w:bCs/>
          <w:sz w:val="18"/>
          <w:szCs w:val="18"/>
        </w:rPr>
      </w:pP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1</w:t>
      </w: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 xml:space="preserve"> </w:t>
      </w:r>
      <w:r w:rsidRPr="00DC359B">
        <w:rPr>
          <w:rFonts w:ascii="Times New Roman" w:eastAsia="宋体" w:hAnsi="Times New Roman" w:cs="Times New Roman"/>
          <w:b/>
          <w:bCs/>
          <w:sz w:val="18"/>
          <w:szCs w:val="18"/>
        </w:rPr>
        <w:t>托管情况</w:t>
      </w:r>
    </w:p>
    <w:p w14:paraId="1AE56DE8"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6EB6101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公司报告期不存在托管情况。</w:t>
      </w:r>
    </w:p>
    <w:p w14:paraId="5993D550" w14:textId="77777777" w:rsidR="00DC359B" w:rsidRPr="00DC359B" w:rsidRDefault="00DC359B" w:rsidP="00DC359B">
      <w:pPr>
        <w:keepNext/>
        <w:keepLines/>
        <w:spacing w:before="300" w:after="300" w:line="280" w:lineRule="exact"/>
        <w:outlineLvl w:val="3"/>
        <w:rPr>
          <w:rFonts w:ascii="Times New Roman" w:eastAsia="宋体" w:hAnsi="Times New Roman" w:cs="Times New Roman"/>
          <w:b/>
          <w:bCs/>
          <w:sz w:val="18"/>
          <w:szCs w:val="18"/>
        </w:rPr>
      </w:pP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2</w:t>
      </w: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 xml:space="preserve"> </w:t>
      </w:r>
      <w:r w:rsidRPr="00DC359B">
        <w:rPr>
          <w:rFonts w:ascii="Times New Roman" w:eastAsia="宋体" w:hAnsi="Times New Roman" w:cs="Times New Roman"/>
          <w:b/>
          <w:bCs/>
          <w:sz w:val="18"/>
          <w:szCs w:val="18"/>
        </w:rPr>
        <w:t>承包情况</w:t>
      </w:r>
    </w:p>
    <w:p w14:paraId="176B3642"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070D2D70"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公司报告期不存在承包情况。</w:t>
      </w:r>
    </w:p>
    <w:p w14:paraId="1F94E2A7" w14:textId="77777777" w:rsidR="00DC359B" w:rsidRPr="00DC359B" w:rsidRDefault="00DC359B" w:rsidP="00DC359B">
      <w:pPr>
        <w:keepNext/>
        <w:keepLines/>
        <w:spacing w:before="300" w:after="300" w:line="280" w:lineRule="exact"/>
        <w:outlineLvl w:val="3"/>
        <w:rPr>
          <w:rFonts w:ascii="Times New Roman" w:eastAsia="宋体" w:hAnsi="Times New Roman" w:cs="Times New Roman"/>
          <w:b/>
          <w:bCs/>
          <w:sz w:val="18"/>
          <w:szCs w:val="18"/>
        </w:rPr>
      </w:pP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3</w:t>
      </w: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 xml:space="preserve"> </w:t>
      </w:r>
      <w:r w:rsidRPr="00DC359B">
        <w:rPr>
          <w:rFonts w:ascii="Times New Roman" w:eastAsia="宋体" w:hAnsi="Times New Roman" w:cs="Times New Roman"/>
          <w:b/>
          <w:bCs/>
          <w:sz w:val="18"/>
          <w:szCs w:val="18"/>
        </w:rPr>
        <w:t>租赁情况</w:t>
      </w:r>
    </w:p>
    <w:p w14:paraId="2DC7E6A7"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68E8612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公司报告期不存在租赁情况。</w:t>
      </w:r>
    </w:p>
    <w:p w14:paraId="35E499EB"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、重大担保</w:t>
      </w:r>
    </w:p>
    <w:p w14:paraId="1DF1AA69"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5B23300C" w14:textId="77777777" w:rsidR="00DC359B" w:rsidRPr="00DC359B" w:rsidRDefault="00DC359B" w:rsidP="00DC359B">
      <w:pPr>
        <w:spacing w:before="120" w:after="120" w:line="240" w:lineRule="exact"/>
        <w:jc w:val="right"/>
        <w:rPr>
          <w:rFonts w:ascii="宋体" w:eastAsia="宋体" w:hAnsi="宋体" w:cs="宋体"/>
          <w:sz w:val="18"/>
          <w:szCs w:val="18"/>
        </w:rPr>
      </w:pPr>
      <w:r w:rsidRPr="00DC359B">
        <w:rPr>
          <w:rFonts w:ascii="宋体" w:eastAsia="宋体" w:hAnsi="宋体" w:cs="宋体"/>
          <w:sz w:val="18"/>
          <w:szCs w:val="18"/>
        </w:rPr>
        <w:t>单位：万元</w:t>
      </w:r>
    </w:p>
    <w:tbl>
      <w:tblPr>
        <w:tblW w:w="9639" w:type="dxa"/>
        <w:tblInd w:w="108" w:type="dxa"/>
        <w:tblLayout w:type="fixed"/>
        <w:tblCellMar>
          <w:left w:w="28" w:type="dxa"/>
          <w:right w:w="28" w:type="dxa"/>
        </w:tblCellMar>
        <w:tblLook w:val="0000" w:firstRow="0" w:lastRow="0" w:firstColumn="0" w:lastColumn="0" w:noHBand="0" w:noVBand="0"/>
      </w:tblPr>
      <w:tblGrid>
        <w:gridCol w:w="1338"/>
        <w:gridCol w:w="1276"/>
        <w:gridCol w:w="850"/>
        <w:gridCol w:w="992"/>
        <w:gridCol w:w="709"/>
        <w:gridCol w:w="851"/>
        <w:gridCol w:w="708"/>
        <w:gridCol w:w="993"/>
        <w:gridCol w:w="425"/>
        <w:gridCol w:w="709"/>
        <w:gridCol w:w="788"/>
      </w:tblGrid>
      <w:tr w:rsidR="00C57E60" w14:paraId="15060F17" w14:textId="77777777" w:rsidTr="00DC359B">
        <w:trPr>
          <w:cantSplit/>
          <w:trHeight w:val="240"/>
          <w:tblHead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6FF7152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公司及其子公司对外担保情况（不包括对子公司的担保）</w:t>
            </w:r>
          </w:p>
        </w:tc>
      </w:tr>
      <w:tr w:rsidR="00C57E60" w14:paraId="0326007E" w14:textId="77777777" w:rsidTr="00DC359B">
        <w:trPr>
          <w:cantSplit/>
          <w:trHeight w:val="240"/>
          <w:tblHeader/>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316BD77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担保对象名称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1351FD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担保额度相关公告披露日期</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E130C0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担保额度</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BC1B76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实际发生日期</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51A6714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实际担保金额</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79541F08"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担保类型</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2B37743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担保物（如有）</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973053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反担保情况（如有）</w:t>
            </w:r>
          </w:p>
        </w:tc>
        <w:tc>
          <w:tcPr>
            <w:tcW w:w="425" w:type="dxa"/>
            <w:tcBorders>
              <w:top w:val="single" w:sz="2" w:space="0" w:color="auto"/>
              <w:left w:val="single" w:sz="2" w:space="0" w:color="auto"/>
              <w:bottom w:val="single" w:sz="2" w:space="0" w:color="auto"/>
              <w:right w:val="single" w:sz="2" w:space="0" w:color="auto"/>
            </w:tcBorders>
            <w:shd w:val="clear" w:color="auto" w:fill="D3D3D3"/>
            <w:vAlign w:val="center"/>
          </w:tcPr>
          <w:p w14:paraId="1C9C5D5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担保期</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5B568D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是否履行完毕</w:t>
            </w:r>
          </w:p>
        </w:tc>
        <w:tc>
          <w:tcPr>
            <w:tcW w:w="788" w:type="dxa"/>
            <w:tcBorders>
              <w:top w:val="single" w:sz="2" w:space="0" w:color="auto"/>
              <w:left w:val="single" w:sz="2" w:space="0" w:color="auto"/>
              <w:bottom w:val="single" w:sz="2" w:space="0" w:color="auto"/>
              <w:right w:val="single" w:sz="2" w:space="0" w:color="auto"/>
            </w:tcBorders>
            <w:shd w:val="clear" w:color="auto" w:fill="D3D3D3"/>
            <w:vAlign w:val="center"/>
          </w:tcPr>
          <w:p w14:paraId="0B8497B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是否为关联方担保</w:t>
            </w:r>
          </w:p>
        </w:tc>
      </w:tr>
      <w:tr w:rsidR="00C57E60" w14:paraId="2BFC7001" w14:textId="77777777" w:rsidTr="00DC359B">
        <w:trPr>
          <w:cantSplit/>
          <w:trHeight w:val="240"/>
          <w:tblHead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2C8612E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公司对子公司的担保情况</w:t>
            </w:r>
          </w:p>
        </w:tc>
      </w:tr>
      <w:tr w:rsidR="00C57E60" w14:paraId="529AE49E" w14:textId="77777777" w:rsidTr="00DC359B">
        <w:trPr>
          <w:cantSplit/>
          <w:trHeight w:val="240"/>
          <w:tblHeader/>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106254A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担保对象名称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75747D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担保额度相关公告披露日期</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5A6BD88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担保额度</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65E693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实际发生日期</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1EF7495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实际担保金额</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0FC5208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担保类型</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187D2B3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担保物（如有）</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14F0A15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反担保情况（如有）</w:t>
            </w:r>
          </w:p>
        </w:tc>
        <w:tc>
          <w:tcPr>
            <w:tcW w:w="425" w:type="dxa"/>
            <w:tcBorders>
              <w:top w:val="single" w:sz="2" w:space="0" w:color="auto"/>
              <w:left w:val="single" w:sz="2" w:space="0" w:color="auto"/>
              <w:bottom w:val="single" w:sz="2" w:space="0" w:color="auto"/>
              <w:right w:val="single" w:sz="2" w:space="0" w:color="auto"/>
            </w:tcBorders>
            <w:shd w:val="clear" w:color="auto" w:fill="D3D3D3"/>
            <w:vAlign w:val="center"/>
          </w:tcPr>
          <w:p w14:paraId="6E6A932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担保期</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99CCF8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是否履行完毕</w:t>
            </w:r>
          </w:p>
        </w:tc>
        <w:tc>
          <w:tcPr>
            <w:tcW w:w="788" w:type="dxa"/>
            <w:tcBorders>
              <w:top w:val="single" w:sz="2" w:space="0" w:color="auto"/>
              <w:left w:val="single" w:sz="2" w:space="0" w:color="auto"/>
              <w:bottom w:val="single" w:sz="2" w:space="0" w:color="auto"/>
              <w:right w:val="single" w:sz="2" w:space="0" w:color="auto"/>
            </w:tcBorders>
            <w:shd w:val="clear" w:color="auto" w:fill="D3D3D3"/>
            <w:vAlign w:val="center"/>
          </w:tcPr>
          <w:p w14:paraId="5FD2786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是否为关联方担保</w:t>
            </w:r>
          </w:p>
        </w:tc>
      </w:tr>
      <w:tr w:rsidR="00C57E60" w14:paraId="352806E7" w14:textId="77777777" w:rsidTr="00DC359B">
        <w:trPr>
          <w:cantSplit/>
          <w:trHeight w:val="240"/>
          <w:tblHeader/>
        </w:trPr>
        <w:tc>
          <w:tcPr>
            <w:tcW w:w="1338" w:type="dxa"/>
            <w:tcBorders>
              <w:top w:val="single" w:sz="2" w:space="0" w:color="auto"/>
              <w:left w:val="single" w:sz="2" w:space="0" w:color="auto"/>
              <w:bottom w:val="single" w:sz="2" w:space="0" w:color="auto"/>
              <w:right w:val="single" w:sz="2" w:space="0" w:color="auto"/>
            </w:tcBorders>
            <w:vAlign w:val="center"/>
          </w:tcPr>
          <w:p w14:paraId="7EDAE07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长沙心诺健康产业投资有限公司</w:t>
            </w:r>
          </w:p>
        </w:tc>
        <w:tc>
          <w:tcPr>
            <w:tcW w:w="1276" w:type="dxa"/>
            <w:tcBorders>
              <w:top w:val="single" w:sz="2" w:space="0" w:color="auto"/>
              <w:left w:val="single" w:sz="2" w:space="0" w:color="auto"/>
              <w:bottom w:val="single" w:sz="2" w:space="0" w:color="auto"/>
              <w:right w:val="single" w:sz="2" w:space="0" w:color="auto"/>
            </w:tcBorders>
            <w:vAlign w:val="center"/>
          </w:tcPr>
          <w:p w14:paraId="2DE23669"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2022</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07</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13</w:t>
            </w:r>
            <w:r w:rsidRPr="00DC359B">
              <w:rPr>
                <w:rFonts w:ascii="Times New Roman" w:eastAsia="宋体" w:hAnsi="Times New Roman" w:cs="Times New Roman"/>
                <w:sz w:val="18"/>
                <w:szCs w:val="18"/>
              </w:rPr>
              <w:t>日</w:t>
            </w:r>
          </w:p>
        </w:tc>
        <w:tc>
          <w:tcPr>
            <w:tcW w:w="850" w:type="dxa"/>
            <w:tcBorders>
              <w:top w:val="single" w:sz="2" w:space="0" w:color="auto"/>
              <w:left w:val="single" w:sz="2" w:space="0" w:color="auto"/>
              <w:bottom w:val="single" w:sz="2" w:space="0" w:color="auto"/>
              <w:right w:val="single" w:sz="2" w:space="0" w:color="auto"/>
            </w:tcBorders>
            <w:vAlign w:val="center"/>
          </w:tcPr>
          <w:p w14:paraId="5A4E135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120,000</w:t>
            </w:r>
          </w:p>
        </w:tc>
        <w:tc>
          <w:tcPr>
            <w:tcW w:w="992" w:type="dxa"/>
            <w:tcBorders>
              <w:top w:val="single" w:sz="2" w:space="0" w:color="auto"/>
              <w:left w:val="single" w:sz="2" w:space="0" w:color="auto"/>
              <w:bottom w:val="single" w:sz="2" w:space="0" w:color="auto"/>
              <w:right w:val="single" w:sz="2" w:space="0" w:color="auto"/>
            </w:tcBorders>
            <w:vAlign w:val="center"/>
          </w:tcPr>
          <w:p w14:paraId="0047D49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2022</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30</w:t>
            </w:r>
            <w:r w:rsidRPr="00DC359B">
              <w:rPr>
                <w:rFonts w:ascii="Times New Roman" w:eastAsia="宋体" w:hAnsi="Times New Roman" w:cs="Times New Roman"/>
                <w:sz w:val="18"/>
                <w:szCs w:val="18"/>
              </w:rPr>
              <w:t>日</w:t>
            </w:r>
          </w:p>
        </w:tc>
        <w:tc>
          <w:tcPr>
            <w:tcW w:w="709" w:type="dxa"/>
            <w:tcBorders>
              <w:top w:val="single" w:sz="2" w:space="0" w:color="auto"/>
              <w:left w:val="single" w:sz="2" w:space="0" w:color="auto"/>
              <w:bottom w:val="single" w:sz="2" w:space="0" w:color="auto"/>
              <w:right w:val="single" w:sz="2" w:space="0" w:color="auto"/>
            </w:tcBorders>
            <w:vAlign w:val="center"/>
          </w:tcPr>
          <w:p w14:paraId="5EB4116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10,150</w:t>
            </w:r>
          </w:p>
        </w:tc>
        <w:tc>
          <w:tcPr>
            <w:tcW w:w="851" w:type="dxa"/>
            <w:tcBorders>
              <w:top w:val="single" w:sz="2" w:space="0" w:color="auto"/>
              <w:left w:val="single" w:sz="2" w:space="0" w:color="auto"/>
              <w:bottom w:val="single" w:sz="2" w:space="0" w:color="auto"/>
              <w:right w:val="single" w:sz="2" w:space="0" w:color="auto"/>
            </w:tcBorders>
            <w:vAlign w:val="center"/>
          </w:tcPr>
          <w:p w14:paraId="3D0C871E"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连带责任保证</w:t>
            </w:r>
          </w:p>
        </w:tc>
        <w:tc>
          <w:tcPr>
            <w:tcW w:w="708" w:type="dxa"/>
            <w:tcBorders>
              <w:top w:val="single" w:sz="2" w:space="0" w:color="auto"/>
              <w:left w:val="single" w:sz="2" w:space="0" w:color="auto"/>
              <w:bottom w:val="single" w:sz="2" w:space="0" w:color="auto"/>
              <w:right w:val="single" w:sz="2" w:space="0" w:color="auto"/>
            </w:tcBorders>
            <w:vAlign w:val="center"/>
          </w:tcPr>
          <w:p w14:paraId="24A864F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无</w:t>
            </w:r>
          </w:p>
        </w:tc>
        <w:tc>
          <w:tcPr>
            <w:tcW w:w="993" w:type="dxa"/>
            <w:tcBorders>
              <w:top w:val="single" w:sz="2" w:space="0" w:color="auto"/>
              <w:left w:val="single" w:sz="2" w:space="0" w:color="auto"/>
              <w:bottom w:val="single" w:sz="2" w:space="0" w:color="auto"/>
              <w:right w:val="single" w:sz="2" w:space="0" w:color="auto"/>
            </w:tcBorders>
            <w:vAlign w:val="center"/>
          </w:tcPr>
          <w:p w14:paraId="6B35194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有</w:t>
            </w:r>
          </w:p>
        </w:tc>
        <w:tc>
          <w:tcPr>
            <w:tcW w:w="425" w:type="dxa"/>
            <w:tcBorders>
              <w:top w:val="single" w:sz="2" w:space="0" w:color="auto"/>
              <w:left w:val="single" w:sz="2" w:space="0" w:color="auto"/>
              <w:bottom w:val="single" w:sz="2" w:space="0" w:color="auto"/>
              <w:right w:val="single" w:sz="2" w:space="0" w:color="auto"/>
            </w:tcBorders>
            <w:vAlign w:val="center"/>
          </w:tcPr>
          <w:p w14:paraId="6F17038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年</w:t>
            </w:r>
          </w:p>
        </w:tc>
        <w:tc>
          <w:tcPr>
            <w:tcW w:w="709" w:type="dxa"/>
            <w:tcBorders>
              <w:top w:val="single" w:sz="2" w:space="0" w:color="auto"/>
              <w:left w:val="single" w:sz="2" w:space="0" w:color="auto"/>
              <w:bottom w:val="single" w:sz="2" w:space="0" w:color="auto"/>
              <w:right w:val="single" w:sz="2" w:space="0" w:color="auto"/>
            </w:tcBorders>
            <w:vAlign w:val="center"/>
          </w:tcPr>
          <w:p w14:paraId="60EED99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是</w:t>
            </w:r>
          </w:p>
        </w:tc>
        <w:tc>
          <w:tcPr>
            <w:tcW w:w="788" w:type="dxa"/>
            <w:tcBorders>
              <w:top w:val="single" w:sz="2" w:space="0" w:color="auto"/>
              <w:left w:val="single" w:sz="2" w:space="0" w:color="auto"/>
              <w:bottom w:val="single" w:sz="2" w:space="0" w:color="auto"/>
              <w:right w:val="single" w:sz="2" w:space="0" w:color="auto"/>
            </w:tcBorders>
            <w:vAlign w:val="center"/>
          </w:tcPr>
          <w:p w14:paraId="461F1CD9"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r>
      <w:tr w:rsidR="00C57E60" w14:paraId="483DA88C" w14:textId="77777777" w:rsidTr="00DC359B">
        <w:trPr>
          <w:cantSplit/>
          <w:trHeight w:val="240"/>
          <w:tblHeader/>
        </w:trPr>
        <w:tc>
          <w:tcPr>
            <w:tcW w:w="1338" w:type="dxa"/>
            <w:tcBorders>
              <w:top w:val="single" w:sz="2" w:space="0" w:color="auto"/>
              <w:left w:val="single" w:sz="2" w:space="0" w:color="auto"/>
              <w:bottom w:val="single" w:sz="2" w:space="0" w:color="auto"/>
              <w:right w:val="single" w:sz="2" w:space="0" w:color="auto"/>
            </w:tcBorders>
            <w:vAlign w:val="center"/>
          </w:tcPr>
          <w:p w14:paraId="215E124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长沙心诺健康产业投资有限公司</w:t>
            </w:r>
          </w:p>
        </w:tc>
        <w:tc>
          <w:tcPr>
            <w:tcW w:w="1276" w:type="dxa"/>
            <w:tcBorders>
              <w:top w:val="single" w:sz="2" w:space="0" w:color="auto"/>
              <w:left w:val="single" w:sz="2" w:space="0" w:color="auto"/>
              <w:bottom w:val="single" w:sz="2" w:space="0" w:color="auto"/>
              <w:right w:val="single" w:sz="2" w:space="0" w:color="auto"/>
            </w:tcBorders>
            <w:vAlign w:val="center"/>
          </w:tcPr>
          <w:p w14:paraId="30EFA54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2022</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07</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13</w:t>
            </w:r>
            <w:r w:rsidRPr="00DC359B">
              <w:rPr>
                <w:rFonts w:ascii="Times New Roman" w:eastAsia="宋体" w:hAnsi="Times New Roman" w:cs="Times New Roman"/>
                <w:sz w:val="18"/>
                <w:szCs w:val="18"/>
              </w:rPr>
              <w:t>日</w:t>
            </w:r>
          </w:p>
        </w:tc>
        <w:tc>
          <w:tcPr>
            <w:tcW w:w="850" w:type="dxa"/>
            <w:tcBorders>
              <w:top w:val="single" w:sz="2" w:space="0" w:color="auto"/>
              <w:left w:val="single" w:sz="2" w:space="0" w:color="auto"/>
              <w:bottom w:val="single" w:sz="2" w:space="0" w:color="auto"/>
              <w:right w:val="single" w:sz="2" w:space="0" w:color="auto"/>
            </w:tcBorders>
            <w:vAlign w:val="center"/>
          </w:tcPr>
          <w:p w14:paraId="74A36D5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120,000</w:t>
            </w:r>
          </w:p>
        </w:tc>
        <w:tc>
          <w:tcPr>
            <w:tcW w:w="992" w:type="dxa"/>
            <w:tcBorders>
              <w:top w:val="single" w:sz="2" w:space="0" w:color="auto"/>
              <w:left w:val="single" w:sz="2" w:space="0" w:color="auto"/>
              <w:bottom w:val="single" w:sz="2" w:space="0" w:color="auto"/>
              <w:right w:val="single" w:sz="2" w:space="0" w:color="auto"/>
            </w:tcBorders>
            <w:vAlign w:val="center"/>
          </w:tcPr>
          <w:p w14:paraId="3CA60AA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2023</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01</w:t>
            </w:r>
            <w:r w:rsidRPr="00DC359B">
              <w:rPr>
                <w:rFonts w:ascii="Times New Roman" w:eastAsia="宋体" w:hAnsi="Times New Roman" w:cs="Times New Roman"/>
                <w:sz w:val="18"/>
                <w:szCs w:val="18"/>
              </w:rPr>
              <w:t>日</w:t>
            </w:r>
          </w:p>
        </w:tc>
        <w:tc>
          <w:tcPr>
            <w:tcW w:w="709" w:type="dxa"/>
            <w:tcBorders>
              <w:top w:val="single" w:sz="2" w:space="0" w:color="auto"/>
              <w:left w:val="single" w:sz="2" w:space="0" w:color="auto"/>
              <w:bottom w:val="single" w:sz="2" w:space="0" w:color="auto"/>
              <w:right w:val="single" w:sz="2" w:space="0" w:color="auto"/>
            </w:tcBorders>
            <w:vAlign w:val="center"/>
          </w:tcPr>
          <w:p w14:paraId="48F2978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11,500</w:t>
            </w:r>
          </w:p>
        </w:tc>
        <w:tc>
          <w:tcPr>
            <w:tcW w:w="851" w:type="dxa"/>
            <w:tcBorders>
              <w:top w:val="single" w:sz="2" w:space="0" w:color="auto"/>
              <w:left w:val="single" w:sz="2" w:space="0" w:color="auto"/>
              <w:bottom w:val="single" w:sz="2" w:space="0" w:color="auto"/>
              <w:right w:val="single" w:sz="2" w:space="0" w:color="auto"/>
            </w:tcBorders>
            <w:vAlign w:val="center"/>
          </w:tcPr>
          <w:p w14:paraId="1DAC1C7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连带责任保证、抵押</w:t>
            </w:r>
          </w:p>
        </w:tc>
        <w:tc>
          <w:tcPr>
            <w:tcW w:w="708" w:type="dxa"/>
            <w:tcBorders>
              <w:top w:val="single" w:sz="2" w:space="0" w:color="auto"/>
              <w:left w:val="single" w:sz="2" w:space="0" w:color="auto"/>
              <w:bottom w:val="single" w:sz="2" w:space="0" w:color="auto"/>
              <w:right w:val="single" w:sz="2" w:space="0" w:color="auto"/>
            </w:tcBorders>
            <w:vAlign w:val="center"/>
          </w:tcPr>
          <w:p w14:paraId="6ECCD5D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土地、房产</w:t>
            </w:r>
          </w:p>
        </w:tc>
        <w:tc>
          <w:tcPr>
            <w:tcW w:w="993" w:type="dxa"/>
            <w:tcBorders>
              <w:top w:val="single" w:sz="2" w:space="0" w:color="auto"/>
              <w:left w:val="single" w:sz="2" w:space="0" w:color="auto"/>
              <w:bottom w:val="single" w:sz="2" w:space="0" w:color="auto"/>
              <w:right w:val="single" w:sz="2" w:space="0" w:color="auto"/>
            </w:tcBorders>
            <w:vAlign w:val="center"/>
          </w:tcPr>
          <w:p w14:paraId="4333DC4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有</w:t>
            </w:r>
          </w:p>
        </w:tc>
        <w:tc>
          <w:tcPr>
            <w:tcW w:w="425" w:type="dxa"/>
            <w:tcBorders>
              <w:top w:val="single" w:sz="2" w:space="0" w:color="auto"/>
              <w:left w:val="single" w:sz="2" w:space="0" w:color="auto"/>
              <w:bottom w:val="single" w:sz="2" w:space="0" w:color="auto"/>
              <w:right w:val="single" w:sz="2" w:space="0" w:color="auto"/>
            </w:tcBorders>
            <w:vAlign w:val="center"/>
          </w:tcPr>
          <w:p w14:paraId="3795E3A9"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年</w:t>
            </w:r>
          </w:p>
        </w:tc>
        <w:tc>
          <w:tcPr>
            <w:tcW w:w="709" w:type="dxa"/>
            <w:tcBorders>
              <w:top w:val="single" w:sz="2" w:space="0" w:color="auto"/>
              <w:left w:val="single" w:sz="2" w:space="0" w:color="auto"/>
              <w:bottom w:val="single" w:sz="2" w:space="0" w:color="auto"/>
              <w:right w:val="single" w:sz="2" w:space="0" w:color="auto"/>
            </w:tcBorders>
            <w:vAlign w:val="center"/>
          </w:tcPr>
          <w:p w14:paraId="0C4BA4C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是</w:t>
            </w:r>
          </w:p>
        </w:tc>
        <w:tc>
          <w:tcPr>
            <w:tcW w:w="788" w:type="dxa"/>
            <w:tcBorders>
              <w:top w:val="single" w:sz="2" w:space="0" w:color="auto"/>
              <w:left w:val="single" w:sz="2" w:space="0" w:color="auto"/>
              <w:bottom w:val="single" w:sz="2" w:space="0" w:color="auto"/>
              <w:right w:val="single" w:sz="2" w:space="0" w:color="auto"/>
            </w:tcBorders>
            <w:vAlign w:val="center"/>
          </w:tcPr>
          <w:p w14:paraId="4CFC829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r>
      <w:tr w:rsidR="00C57E60" w14:paraId="11F009FA" w14:textId="77777777" w:rsidTr="00DC359B">
        <w:trPr>
          <w:cantSplit/>
          <w:trHeight w:val="240"/>
          <w:tblHeader/>
        </w:trPr>
        <w:tc>
          <w:tcPr>
            <w:tcW w:w="1338" w:type="dxa"/>
            <w:tcBorders>
              <w:top w:val="single" w:sz="2" w:space="0" w:color="auto"/>
              <w:left w:val="single" w:sz="2" w:space="0" w:color="auto"/>
              <w:bottom w:val="single" w:sz="2" w:space="0" w:color="auto"/>
              <w:right w:val="single" w:sz="2" w:space="0" w:color="auto"/>
            </w:tcBorders>
            <w:vAlign w:val="center"/>
          </w:tcPr>
          <w:p w14:paraId="7080823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长沙心诺健康产业投资有限公司</w:t>
            </w:r>
          </w:p>
        </w:tc>
        <w:tc>
          <w:tcPr>
            <w:tcW w:w="1276" w:type="dxa"/>
            <w:tcBorders>
              <w:top w:val="single" w:sz="2" w:space="0" w:color="auto"/>
              <w:left w:val="single" w:sz="2" w:space="0" w:color="auto"/>
              <w:bottom w:val="single" w:sz="2" w:space="0" w:color="auto"/>
              <w:right w:val="single" w:sz="2" w:space="0" w:color="auto"/>
            </w:tcBorders>
            <w:vAlign w:val="center"/>
          </w:tcPr>
          <w:p w14:paraId="0D0F6B4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04</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21</w:t>
            </w:r>
            <w:r w:rsidRPr="00DC359B">
              <w:rPr>
                <w:rFonts w:ascii="Times New Roman" w:eastAsia="宋体" w:hAnsi="Times New Roman" w:cs="Times New Roman"/>
                <w:sz w:val="18"/>
                <w:szCs w:val="18"/>
              </w:rPr>
              <w:t>日</w:t>
            </w:r>
          </w:p>
        </w:tc>
        <w:tc>
          <w:tcPr>
            <w:tcW w:w="850" w:type="dxa"/>
            <w:tcBorders>
              <w:top w:val="single" w:sz="2" w:space="0" w:color="auto"/>
              <w:left w:val="single" w:sz="2" w:space="0" w:color="auto"/>
              <w:bottom w:val="single" w:sz="2" w:space="0" w:color="auto"/>
              <w:right w:val="single" w:sz="2" w:space="0" w:color="auto"/>
            </w:tcBorders>
            <w:vAlign w:val="center"/>
          </w:tcPr>
          <w:p w14:paraId="2392E50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20,000</w:t>
            </w:r>
          </w:p>
        </w:tc>
        <w:tc>
          <w:tcPr>
            <w:tcW w:w="992" w:type="dxa"/>
            <w:tcBorders>
              <w:top w:val="single" w:sz="2" w:space="0" w:color="auto"/>
              <w:left w:val="single" w:sz="2" w:space="0" w:color="auto"/>
              <w:bottom w:val="single" w:sz="2" w:space="0" w:color="auto"/>
              <w:right w:val="single" w:sz="2" w:space="0" w:color="auto"/>
            </w:tcBorders>
            <w:vAlign w:val="center"/>
          </w:tcPr>
          <w:p w14:paraId="5569D2E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03</w:t>
            </w:r>
            <w:r w:rsidRPr="00DC359B">
              <w:rPr>
                <w:rFonts w:ascii="Times New Roman" w:eastAsia="宋体" w:hAnsi="Times New Roman" w:cs="Times New Roman"/>
                <w:sz w:val="18"/>
                <w:szCs w:val="18"/>
              </w:rPr>
              <w:t>日</w:t>
            </w:r>
          </w:p>
        </w:tc>
        <w:tc>
          <w:tcPr>
            <w:tcW w:w="709" w:type="dxa"/>
            <w:tcBorders>
              <w:top w:val="single" w:sz="2" w:space="0" w:color="auto"/>
              <w:left w:val="single" w:sz="2" w:space="0" w:color="auto"/>
              <w:bottom w:val="single" w:sz="2" w:space="0" w:color="auto"/>
              <w:right w:val="single" w:sz="2" w:space="0" w:color="auto"/>
            </w:tcBorders>
            <w:vAlign w:val="center"/>
          </w:tcPr>
          <w:p w14:paraId="57CDB89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c>
          <w:tcPr>
            <w:tcW w:w="851" w:type="dxa"/>
            <w:tcBorders>
              <w:top w:val="single" w:sz="2" w:space="0" w:color="auto"/>
              <w:left w:val="single" w:sz="2" w:space="0" w:color="auto"/>
              <w:bottom w:val="single" w:sz="2" w:space="0" w:color="auto"/>
              <w:right w:val="single" w:sz="2" w:space="0" w:color="auto"/>
            </w:tcBorders>
            <w:vAlign w:val="center"/>
          </w:tcPr>
          <w:p w14:paraId="0A2E972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连带责任保证</w:t>
            </w:r>
          </w:p>
        </w:tc>
        <w:tc>
          <w:tcPr>
            <w:tcW w:w="708" w:type="dxa"/>
            <w:tcBorders>
              <w:top w:val="single" w:sz="2" w:space="0" w:color="auto"/>
              <w:left w:val="single" w:sz="2" w:space="0" w:color="auto"/>
              <w:bottom w:val="single" w:sz="2" w:space="0" w:color="auto"/>
              <w:right w:val="single" w:sz="2" w:space="0" w:color="auto"/>
            </w:tcBorders>
            <w:vAlign w:val="center"/>
          </w:tcPr>
          <w:p w14:paraId="38696C0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无</w:t>
            </w:r>
          </w:p>
        </w:tc>
        <w:tc>
          <w:tcPr>
            <w:tcW w:w="993" w:type="dxa"/>
            <w:tcBorders>
              <w:top w:val="single" w:sz="2" w:space="0" w:color="auto"/>
              <w:left w:val="single" w:sz="2" w:space="0" w:color="auto"/>
              <w:bottom w:val="single" w:sz="2" w:space="0" w:color="auto"/>
              <w:right w:val="single" w:sz="2" w:space="0" w:color="auto"/>
            </w:tcBorders>
            <w:vAlign w:val="center"/>
          </w:tcPr>
          <w:p w14:paraId="3F62904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有</w:t>
            </w:r>
          </w:p>
        </w:tc>
        <w:tc>
          <w:tcPr>
            <w:tcW w:w="425" w:type="dxa"/>
            <w:tcBorders>
              <w:top w:val="single" w:sz="2" w:space="0" w:color="auto"/>
              <w:left w:val="single" w:sz="2" w:space="0" w:color="auto"/>
              <w:bottom w:val="single" w:sz="2" w:space="0" w:color="auto"/>
              <w:right w:val="single" w:sz="2" w:space="0" w:color="auto"/>
            </w:tcBorders>
            <w:vAlign w:val="center"/>
          </w:tcPr>
          <w:p w14:paraId="4346BD8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年</w:t>
            </w:r>
          </w:p>
        </w:tc>
        <w:tc>
          <w:tcPr>
            <w:tcW w:w="709" w:type="dxa"/>
            <w:tcBorders>
              <w:top w:val="single" w:sz="2" w:space="0" w:color="auto"/>
              <w:left w:val="single" w:sz="2" w:space="0" w:color="auto"/>
              <w:bottom w:val="single" w:sz="2" w:space="0" w:color="auto"/>
              <w:right w:val="single" w:sz="2" w:space="0" w:color="auto"/>
            </w:tcBorders>
            <w:vAlign w:val="center"/>
          </w:tcPr>
          <w:p w14:paraId="0BE2B36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c>
          <w:tcPr>
            <w:tcW w:w="788" w:type="dxa"/>
            <w:tcBorders>
              <w:top w:val="single" w:sz="2" w:space="0" w:color="auto"/>
              <w:left w:val="single" w:sz="2" w:space="0" w:color="auto"/>
              <w:bottom w:val="single" w:sz="2" w:space="0" w:color="auto"/>
              <w:right w:val="single" w:sz="2" w:space="0" w:color="auto"/>
            </w:tcBorders>
            <w:vAlign w:val="center"/>
          </w:tcPr>
          <w:p w14:paraId="130A10F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r>
      <w:tr w:rsidR="00C57E60" w14:paraId="73F9B924" w14:textId="77777777" w:rsidTr="00DC359B">
        <w:trPr>
          <w:cantSplit/>
          <w:trHeight w:val="240"/>
          <w:tblHeader/>
        </w:trPr>
        <w:tc>
          <w:tcPr>
            <w:tcW w:w="261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13297B"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报告期内审批对子公司担保额度合计（</w:t>
            </w:r>
            <w:r w:rsidRPr="00DC359B">
              <w:rPr>
                <w:rFonts w:ascii="Times New Roman" w:eastAsia="宋体" w:hAnsi="Times New Roman" w:cs="Times New Roman"/>
                <w:sz w:val="18"/>
                <w:szCs w:val="18"/>
              </w:rPr>
              <w:t>B1</w:t>
            </w:r>
            <w:r w:rsidRPr="00DC359B">
              <w:rPr>
                <w:rFonts w:ascii="Times New Roman" w:eastAsia="宋体" w:hAnsi="Times New Roman" w:cs="Times New Roman"/>
                <w:sz w:val="18"/>
                <w:szCs w:val="18"/>
              </w:rPr>
              <w:t>）</w:t>
            </w:r>
          </w:p>
        </w:tc>
        <w:tc>
          <w:tcPr>
            <w:tcW w:w="1842" w:type="dxa"/>
            <w:gridSpan w:val="2"/>
            <w:tcBorders>
              <w:top w:val="single" w:sz="2" w:space="0" w:color="auto"/>
              <w:left w:val="single" w:sz="2" w:space="0" w:color="auto"/>
              <w:bottom w:val="single" w:sz="2" w:space="0" w:color="auto"/>
              <w:right w:val="single" w:sz="2" w:space="0" w:color="auto"/>
            </w:tcBorders>
            <w:vAlign w:val="center"/>
          </w:tcPr>
          <w:p w14:paraId="5D2B266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20,000</w:t>
            </w:r>
          </w:p>
        </w:tc>
        <w:tc>
          <w:tcPr>
            <w:tcW w:w="326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B6D2BA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报告期内对子公司担保实际发生额合计（</w:t>
            </w:r>
            <w:r w:rsidRPr="00DC359B">
              <w:rPr>
                <w:rFonts w:ascii="Times New Roman" w:eastAsia="宋体" w:hAnsi="Times New Roman" w:cs="Times New Roman"/>
                <w:sz w:val="18"/>
                <w:szCs w:val="18"/>
              </w:rPr>
              <w:t>B2</w:t>
            </w:r>
            <w:r w:rsidRPr="00DC359B">
              <w:rPr>
                <w:rFonts w:ascii="Times New Roman" w:eastAsia="宋体" w:hAnsi="Times New Roman" w:cs="Times New Roman"/>
                <w:sz w:val="18"/>
                <w:szCs w:val="18"/>
              </w:rPr>
              <w:t>）</w:t>
            </w:r>
          </w:p>
        </w:tc>
        <w:tc>
          <w:tcPr>
            <w:tcW w:w="1922" w:type="dxa"/>
            <w:gridSpan w:val="3"/>
            <w:tcBorders>
              <w:top w:val="single" w:sz="2" w:space="0" w:color="auto"/>
              <w:left w:val="single" w:sz="2" w:space="0" w:color="auto"/>
              <w:bottom w:val="single" w:sz="2" w:space="0" w:color="auto"/>
              <w:right w:val="single" w:sz="2" w:space="0" w:color="auto"/>
            </w:tcBorders>
            <w:vAlign w:val="center"/>
          </w:tcPr>
          <w:p w14:paraId="062FED7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r>
      <w:tr w:rsidR="00C57E60" w14:paraId="1B0D604A" w14:textId="77777777" w:rsidTr="00DC359B">
        <w:trPr>
          <w:cantSplit/>
          <w:trHeight w:val="240"/>
          <w:tblHeader/>
        </w:trPr>
        <w:tc>
          <w:tcPr>
            <w:tcW w:w="261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DF5770B"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报告期末已审批的对子公司担保额度合计（</w:t>
            </w:r>
            <w:r w:rsidRPr="00DC359B">
              <w:rPr>
                <w:rFonts w:ascii="Times New Roman" w:eastAsia="宋体" w:hAnsi="Times New Roman" w:cs="Times New Roman"/>
                <w:sz w:val="18"/>
                <w:szCs w:val="18"/>
              </w:rPr>
              <w:t>B3</w:t>
            </w:r>
            <w:r w:rsidRPr="00DC359B">
              <w:rPr>
                <w:rFonts w:ascii="Times New Roman" w:eastAsia="宋体" w:hAnsi="Times New Roman" w:cs="Times New Roman"/>
                <w:sz w:val="18"/>
                <w:szCs w:val="18"/>
              </w:rPr>
              <w:t>）</w:t>
            </w:r>
          </w:p>
        </w:tc>
        <w:tc>
          <w:tcPr>
            <w:tcW w:w="1842" w:type="dxa"/>
            <w:gridSpan w:val="2"/>
            <w:tcBorders>
              <w:top w:val="single" w:sz="2" w:space="0" w:color="auto"/>
              <w:left w:val="single" w:sz="2" w:space="0" w:color="auto"/>
              <w:bottom w:val="single" w:sz="2" w:space="0" w:color="auto"/>
              <w:right w:val="single" w:sz="2" w:space="0" w:color="auto"/>
            </w:tcBorders>
            <w:vAlign w:val="center"/>
          </w:tcPr>
          <w:p w14:paraId="6CE4ADF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50,000</w:t>
            </w:r>
          </w:p>
        </w:tc>
        <w:tc>
          <w:tcPr>
            <w:tcW w:w="326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BF20BA9"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报告期末对子公司实际担保余额合计（</w:t>
            </w:r>
            <w:r w:rsidRPr="00DC359B">
              <w:rPr>
                <w:rFonts w:ascii="Times New Roman" w:eastAsia="宋体" w:hAnsi="Times New Roman" w:cs="Times New Roman"/>
                <w:sz w:val="18"/>
                <w:szCs w:val="18"/>
              </w:rPr>
              <w:t>B4</w:t>
            </w:r>
            <w:r w:rsidRPr="00DC359B">
              <w:rPr>
                <w:rFonts w:ascii="Times New Roman" w:eastAsia="宋体" w:hAnsi="Times New Roman" w:cs="Times New Roman"/>
                <w:sz w:val="18"/>
                <w:szCs w:val="18"/>
              </w:rPr>
              <w:t>）</w:t>
            </w:r>
          </w:p>
        </w:tc>
        <w:tc>
          <w:tcPr>
            <w:tcW w:w="1922" w:type="dxa"/>
            <w:gridSpan w:val="3"/>
            <w:tcBorders>
              <w:top w:val="single" w:sz="2" w:space="0" w:color="auto"/>
              <w:left w:val="single" w:sz="2" w:space="0" w:color="auto"/>
              <w:bottom w:val="single" w:sz="2" w:space="0" w:color="auto"/>
              <w:right w:val="single" w:sz="2" w:space="0" w:color="auto"/>
            </w:tcBorders>
            <w:vAlign w:val="center"/>
          </w:tcPr>
          <w:p w14:paraId="2FB617D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r>
      <w:tr w:rsidR="00C57E60" w14:paraId="38E773EA" w14:textId="77777777" w:rsidTr="00DC359B">
        <w:trPr>
          <w:cantSplit/>
          <w:trHeight w:val="240"/>
          <w:tblHead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4C7911B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子公司对子公司的担保情况</w:t>
            </w:r>
          </w:p>
        </w:tc>
      </w:tr>
      <w:tr w:rsidR="00C57E60" w14:paraId="6F488DA9" w14:textId="77777777" w:rsidTr="00DC359B">
        <w:trPr>
          <w:cantSplit/>
          <w:trHeight w:val="240"/>
          <w:tblHeader/>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1A789B3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担保对象名称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FE64BE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担保额度相关公告披露日期</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60FA404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担保额度</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B816E9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实际发生日期</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F7D500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实际担保金额</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75750CD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担保类型</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26797EB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担保物（如有）</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1DFE6BA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反担保情况（如有）</w:t>
            </w:r>
          </w:p>
        </w:tc>
        <w:tc>
          <w:tcPr>
            <w:tcW w:w="425" w:type="dxa"/>
            <w:tcBorders>
              <w:top w:val="single" w:sz="2" w:space="0" w:color="auto"/>
              <w:left w:val="single" w:sz="2" w:space="0" w:color="auto"/>
              <w:bottom w:val="single" w:sz="2" w:space="0" w:color="auto"/>
              <w:right w:val="single" w:sz="2" w:space="0" w:color="auto"/>
            </w:tcBorders>
            <w:shd w:val="clear" w:color="auto" w:fill="D3D3D3"/>
            <w:vAlign w:val="center"/>
          </w:tcPr>
          <w:p w14:paraId="44758CB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担保期</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6CA4EDA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是否履行完毕</w:t>
            </w:r>
          </w:p>
        </w:tc>
        <w:tc>
          <w:tcPr>
            <w:tcW w:w="788" w:type="dxa"/>
            <w:tcBorders>
              <w:top w:val="single" w:sz="2" w:space="0" w:color="auto"/>
              <w:left w:val="single" w:sz="2" w:space="0" w:color="auto"/>
              <w:bottom w:val="single" w:sz="2" w:space="0" w:color="auto"/>
              <w:right w:val="single" w:sz="2" w:space="0" w:color="auto"/>
            </w:tcBorders>
            <w:shd w:val="clear" w:color="auto" w:fill="D3D3D3"/>
            <w:vAlign w:val="center"/>
          </w:tcPr>
          <w:p w14:paraId="0E3ED67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是否为关联方担保</w:t>
            </w:r>
          </w:p>
        </w:tc>
      </w:tr>
      <w:tr w:rsidR="00C57E60" w14:paraId="4B7D1AD0" w14:textId="77777777" w:rsidTr="00DC359B">
        <w:trPr>
          <w:cantSplit/>
          <w:trHeight w:val="240"/>
          <w:tblHead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48D23D8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公司担保总额（即前三大项的合计）</w:t>
            </w:r>
          </w:p>
        </w:tc>
      </w:tr>
      <w:tr w:rsidR="00C57E60" w14:paraId="08C52D4B" w14:textId="77777777" w:rsidTr="00DC359B">
        <w:trPr>
          <w:cantSplit/>
          <w:trHeight w:val="240"/>
          <w:tblHeader/>
        </w:trPr>
        <w:tc>
          <w:tcPr>
            <w:tcW w:w="261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C614300"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报告期内审批担保额度合计（</w:t>
            </w:r>
            <w:r w:rsidRPr="00DC359B">
              <w:rPr>
                <w:rFonts w:ascii="Times New Roman" w:eastAsia="宋体" w:hAnsi="Times New Roman" w:cs="Times New Roman"/>
                <w:sz w:val="18"/>
                <w:szCs w:val="18"/>
              </w:rPr>
              <w:t>A1+B1+C1</w:t>
            </w:r>
            <w:r w:rsidRPr="00DC359B">
              <w:rPr>
                <w:rFonts w:ascii="Times New Roman" w:eastAsia="宋体" w:hAnsi="Times New Roman" w:cs="Times New Roman"/>
                <w:sz w:val="18"/>
                <w:szCs w:val="18"/>
              </w:rPr>
              <w:t>）</w:t>
            </w:r>
          </w:p>
        </w:tc>
        <w:tc>
          <w:tcPr>
            <w:tcW w:w="1842" w:type="dxa"/>
            <w:gridSpan w:val="2"/>
            <w:tcBorders>
              <w:top w:val="single" w:sz="2" w:space="0" w:color="auto"/>
              <w:left w:val="single" w:sz="2" w:space="0" w:color="auto"/>
              <w:bottom w:val="single" w:sz="2" w:space="0" w:color="auto"/>
              <w:right w:val="single" w:sz="2" w:space="0" w:color="auto"/>
            </w:tcBorders>
            <w:vAlign w:val="center"/>
          </w:tcPr>
          <w:p w14:paraId="2A54257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20,000</w:t>
            </w:r>
          </w:p>
        </w:tc>
        <w:tc>
          <w:tcPr>
            <w:tcW w:w="326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92D8D6F"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报告期内担保实际发生额合计（</w:t>
            </w:r>
            <w:r w:rsidRPr="00DC359B">
              <w:rPr>
                <w:rFonts w:ascii="Times New Roman" w:eastAsia="宋体" w:hAnsi="Times New Roman" w:cs="Times New Roman"/>
                <w:sz w:val="18"/>
                <w:szCs w:val="18"/>
              </w:rPr>
              <w:t>A2+B2+C2</w:t>
            </w:r>
            <w:r w:rsidRPr="00DC359B">
              <w:rPr>
                <w:rFonts w:ascii="Times New Roman" w:eastAsia="宋体" w:hAnsi="Times New Roman" w:cs="Times New Roman"/>
                <w:sz w:val="18"/>
                <w:szCs w:val="18"/>
              </w:rPr>
              <w:t>）</w:t>
            </w:r>
          </w:p>
        </w:tc>
        <w:tc>
          <w:tcPr>
            <w:tcW w:w="1922" w:type="dxa"/>
            <w:gridSpan w:val="3"/>
            <w:tcBorders>
              <w:top w:val="single" w:sz="2" w:space="0" w:color="auto"/>
              <w:left w:val="single" w:sz="2" w:space="0" w:color="auto"/>
              <w:bottom w:val="single" w:sz="2" w:space="0" w:color="auto"/>
              <w:right w:val="single" w:sz="2" w:space="0" w:color="auto"/>
            </w:tcBorders>
            <w:vAlign w:val="center"/>
          </w:tcPr>
          <w:p w14:paraId="6397C14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r>
      <w:tr w:rsidR="00C57E60" w14:paraId="0A195DA6" w14:textId="77777777" w:rsidTr="00DC359B">
        <w:trPr>
          <w:cantSplit/>
          <w:trHeight w:val="240"/>
          <w:tblHeader/>
        </w:trPr>
        <w:tc>
          <w:tcPr>
            <w:tcW w:w="261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D99AF0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报告期末已审批的担保额度合计（</w:t>
            </w:r>
            <w:r w:rsidRPr="00DC359B">
              <w:rPr>
                <w:rFonts w:ascii="Times New Roman" w:eastAsia="宋体" w:hAnsi="Times New Roman" w:cs="Times New Roman"/>
                <w:sz w:val="18"/>
                <w:szCs w:val="18"/>
              </w:rPr>
              <w:t>A3+B3+C3</w:t>
            </w:r>
            <w:r w:rsidRPr="00DC359B">
              <w:rPr>
                <w:rFonts w:ascii="Times New Roman" w:eastAsia="宋体" w:hAnsi="Times New Roman" w:cs="Times New Roman"/>
                <w:sz w:val="18"/>
                <w:szCs w:val="18"/>
              </w:rPr>
              <w:t>）</w:t>
            </w:r>
          </w:p>
        </w:tc>
        <w:tc>
          <w:tcPr>
            <w:tcW w:w="1842" w:type="dxa"/>
            <w:gridSpan w:val="2"/>
            <w:tcBorders>
              <w:top w:val="single" w:sz="2" w:space="0" w:color="auto"/>
              <w:left w:val="single" w:sz="2" w:space="0" w:color="auto"/>
              <w:bottom w:val="single" w:sz="2" w:space="0" w:color="auto"/>
              <w:right w:val="single" w:sz="2" w:space="0" w:color="auto"/>
            </w:tcBorders>
            <w:vAlign w:val="center"/>
          </w:tcPr>
          <w:p w14:paraId="1BDBC02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50,000</w:t>
            </w:r>
          </w:p>
        </w:tc>
        <w:tc>
          <w:tcPr>
            <w:tcW w:w="326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867B5F7"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报告期末实际担保余额合计（</w:t>
            </w:r>
            <w:r w:rsidRPr="00DC359B">
              <w:rPr>
                <w:rFonts w:ascii="Times New Roman" w:eastAsia="宋体" w:hAnsi="Times New Roman" w:cs="Times New Roman"/>
                <w:sz w:val="18"/>
                <w:szCs w:val="18"/>
              </w:rPr>
              <w:t>A4+B4+C4</w:t>
            </w:r>
            <w:r w:rsidRPr="00DC359B">
              <w:rPr>
                <w:rFonts w:ascii="Times New Roman" w:eastAsia="宋体" w:hAnsi="Times New Roman" w:cs="Times New Roman"/>
                <w:sz w:val="18"/>
                <w:szCs w:val="18"/>
              </w:rPr>
              <w:t>）</w:t>
            </w:r>
          </w:p>
        </w:tc>
        <w:tc>
          <w:tcPr>
            <w:tcW w:w="1922" w:type="dxa"/>
            <w:gridSpan w:val="3"/>
            <w:tcBorders>
              <w:top w:val="single" w:sz="2" w:space="0" w:color="auto"/>
              <w:left w:val="single" w:sz="2" w:space="0" w:color="auto"/>
              <w:bottom w:val="single" w:sz="2" w:space="0" w:color="auto"/>
              <w:right w:val="single" w:sz="2" w:space="0" w:color="auto"/>
            </w:tcBorders>
            <w:vAlign w:val="center"/>
          </w:tcPr>
          <w:p w14:paraId="1DBCB31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r>
      <w:tr w:rsidR="00C57E60" w14:paraId="154D60CE"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04A2D8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全部担保余额（即</w:t>
            </w:r>
            <w:r w:rsidRPr="00DC359B">
              <w:rPr>
                <w:rFonts w:ascii="Times New Roman" w:eastAsia="宋体" w:hAnsi="Times New Roman" w:cs="Times New Roman"/>
                <w:sz w:val="18"/>
                <w:szCs w:val="18"/>
              </w:rPr>
              <w:t>A4+B4+C4</w:t>
            </w:r>
            <w:r w:rsidRPr="00DC359B">
              <w:rPr>
                <w:rFonts w:ascii="Times New Roman" w:eastAsia="宋体" w:hAnsi="Times New Roman" w:cs="Times New Roman"/>
                <w:sz w:val="18"/>
                <w:szCs w:val="18"/>
              </w:rPr>
              <w:t>）占公司净资产的比例</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58C23C15"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1.28%</w:t>
            </w:r>
          </w:p>
        </w:tc>
      </w:tr>
      <w:tr w:rsidR="00C57E60" w14:paraId="6F2FEB14" w14:textId="77777777" w:rsidTr="00DC359B">
        <w:trPr>
          <w:cantSplit/>
          <w:trHeight w:val="240"/>
          <w:tblHeader/>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2E64006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其中：</w:t>
            </w:r>
          </w:p>
        </w:tc>
      </w:tr>
      <w:tr w:rsidR="00C57E60" w14:paraId="524B8EE3"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7C029AF"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为股东、实际控制人及其关联方提供担保的余额（</w:t>
            </w:r>
            <w:r w:rsidRPr="00DC359B">
              <w:rPr>
                <w:rFonts w:ascii="Times New Roman" w:eastAsia="宋体" w:hAnsi="Times New Roman" w:cs="Times New Roman"/>
                <w:sz w:val="18"/>
                <w:szCs w:val="18"/>
              </w:rPr>
              <w:t>D</w:t>
            </w:r>
            <w:r w:rsidRPr="00DC359B">
              <w:rPr>
                <w:rFonts w:ascii="Times New Roman" w:eastAsia="宋体" w:hAnsi="Times New Roman" w:cs="Times New Roman"/>
                <w:sz w:val="18"/>
                <w:szCs w:val="18"/>
              </w:rPr>
              <w:t>）</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720BE5C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r>
      <w:tr w:rsidR="00C57E60" w14:paraId="4AA29ED2"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E39DB66"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直接或间接为资产负债率超过</w:t>
            </w:r>
            <w:r w:rsidRPr="00DC359B">
              <w:rPr>
                <w:rFonts w:ascii="Times New Roman" w:eastAsia="宋体" w:hAnsi="Times New Roman" w:cs="Times New Roman"/>
                <w:sz w:val="18"/>
                <w:szCs w:val="18"/>
              </w:rPr>
              <w:t>70%</w:t>
            </w:r>
            <w:r w:rsidRPr="00DC359B">
              <w:rPr>
                <w:rFonts w:ascii="Times New Roman" w:eastAsia="宋体" w:hAnsi="Times New Roman" w:cs="Times New Roman"/>
                <w:sz w:val="18"/>
                <w:szCs w:val="18"/>
              </w:rPr>
              <w:t>的被担保对象提供的债务担保余额（</w:t>
            </w:r>
            <w:r w:rsidRPr="00DC359B">
              <w:rPr>
                <w:rFonts w:ascii="Times New Roman" w:eastAsia="宋体" w:hAnsi="Times New Roman" w:cs="Times New Roman"/>
                <w:sz w:val="18"/>
                <w:szCs w:val="18"/>
              </w:rPr>
              <w:t>E</w:t>
            </w:r>
            <w:r w:rsidRPr="00DC359B">
              <w:rPr>
                <w:rFonts w:ascii="Times New Roman" w:eastAsia="宋体" w:hAnsi="Times New Roman" w:cs="Times New Roman"/>
                <w:sz w:val="18"/>
                <w:szCs w:val="18"/>
              </w:rPr>
              <w:t>）</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6CA2C30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1B325E90"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16C003B7"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担保总额超过净资产</w:t>
            </w:r>
            <w:r w:rsidRPr="00DC359B">
              <w:rPr>
                <w:rFonts w:ascii="Times New Roman" w:eastAsia="宋体" w:hAnsi="Times New Roman" w:cs="Times New Roman"/>
                <w:sz w:val="18"/>
                <w:szCs w:val="18"/>
              </w:rPr>
              <w:t>50%</w:t>
            </w:r>
            <w:r w:rsidRPr="00DC359B">
              <w:rPr>
                <w:rFonts w:ascii="Times New Roman" w:eastAsia="宋体" w:hAnsi="Times New Roman" w:cs="Times New Roman"/>
                <w:sz w:val="18"/>
                <w:szCs w:val="18"/>
              </w:rPr>
              <w:t>部分的金额（</w:t>
            </w:r>
            <w:r w:rsidRPr="00DC359B">
              <w:rPr>
                <w:rFonts w:ascii="Times New Roman" w:eastAsia="宋体" w:hAnsi="Times New Roman" w:cs="Times New Roman"/>
                <w:sz w:val="18"/>
                <w:szCs w:val="18"/>
              </w:rPr>
              <w:t>F</w:t>
            </w:r>
            <w:r w:rsidRPr="00DC359B">
              <w:rPr>
                <w:rFonts w:ascii="Times New Roman" w:eastAsia="宋体" w:hAnsi="Times New Roman" w:cs="Times New Roman"/>
                <w:sz w:val="18"/>
                <w:szCs w:val="18"/>
              </w:rPr>
              <w:t>）</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5F5B3B6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3DCF19DE"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00AFBC9"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上述三项担保金额合计（</w:t>
            </w:r>
            <w:r w:rsidRPr="00DC359B">
              <w:rPr>
                <w:rFonts w:ascii="Times New Roman" w:eastAsia="宋体" w:hAnsi="Times New Roman" w:cs="Times New Roman"/>
                <w:sz w:val="18"/>
                <w:szCs w:val="18"/>
              </w:rPr>
              <w:t>D+E+F</w:t>
            </w:r>
            <w:r w:rsidRPr="00DC359B">
              <w:rPr>
                <w:rFonts w:ascii="Times New Roman" w:eastAsia="宋体" w:hAnsi="Times New Roman" w:cs="Times New Roman"/>
                <w:sz w:val="18"/>
                <w:szCs w:val="18"/>
              </w:rPr>
              <w:t>）</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006A325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w:t>
            </w:r>
          </w:p>
        </w:tc>
      </w:tr>
      <w:tr w:rsidR="00C57E60" w14:paraId="67475560"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0412D4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对未到期担保合同，报告期内发生担保责任或有证据表明有可能承担连带清偿责任的情况说明（如有）</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3F73CAC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r w:rsidR="00C57E60" w14:paraId="2B13C304" w14:textId="77777777" w:rsidTr="00DC359B">
        <w:trPr>
          <w:cantSplit/>
          <w:trHeight w:val="240"/>
          <w:tblHeader/>
        </w:trPr>
        <w:tc>
          <w:tcPr>
            <w:tcW w:w="445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8B2002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违反规定程序对外提供担保的说明（如有）</w:t>
            </w:r>
          </w:p>
        </w:tc>
        <w:tc>
          <w:tcPr>
            <w:tcW w:w="5183" w:type="dxa"/>
            <w:gridSpan w:val="7"/>
            <w:tcBorders>
              <w:top w:val="single" w:sz="2" w:space="0" w:color="auto"/>
              <w:left w:val="single" w:sz="2" w:space="0" w:color="auto"/>
              <w:bottom w:val="single" w:sz="2" w:space="0" w:color="auto"/>
              <w:right w:val="single" w:sz="2" w:space="0" w:color="auto"/>
            </w:tcBorders>
            <w:vAlign w:val="center"/>
          </w:tcPr>
          <w:p w14:paraId="3FBC158F"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bl>
    <w:p w14:paraId="1B961EB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采用复合方式担保的具体情况说明</w:t>
      </w:r>
    </w:p>
    <w:p w14:paraId="69261E4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hint="eastAsia"/>
          <w:sz w:val="18"/>
          <w:szCs w:val="18"/>
        </w:rPr>
        <w:t>不适用</w:t>
      </w:r>
    </w:p>
    <w:p w14:paraId="7663D5DD"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3</w:t>
      </w:r>
      <w:r w:rsidRPr="00DC359B">
        <w:rPr>
          <w:rFonts w:ascii="Times New Roman" w:eastAsia="宋体" w:hAnsi="Times New Roman" w:cs="Times New Roman"/>
          <w:b/>
          <w:bCs/>
          <w:szCs w:val="21"/>
        </w:rPr>
        <w:t>、委托他人进行现金资产管理情况</w:t>
      </w:r>
    </w:p>
    <w:p w14:paraId="6F108435" w14:textId="77777777" w:rsidR="00DC359B" w:rsidRPr="00DC359B" w:rsidRDefault="00DC359B" w:rsidP="00DC359B">
      <w:pPr>
        <w:keepNext/>
        <w:keepLines/>
        <w:spacing w:before="300" w:after="300" w:line="280" w:lineRule="exact"/>
        <w:outlineLvl w:val="3"/>
        <w:rPr>
          <w:rFonts w:ascii="Times New Roman" w:eastAsia="宋体" w:hAnsi="Times New Roman" w:cs="Times New Roman"/>
          <w:b/>
          <w:bCs/>
          <w:sz w:val="18"/>
          <w:szCs w:val="18"/>
        </w:rPr>
      </w:pP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1</w:t>
      </w: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 xml:space="preserve"> </w:t>
      </w:r>
      <w:r w:rsidRPr="00DC359B">
        <w:rPr>
          <w:rFonts w:ascii="Times New Roman" w:eastAsia="宋体" w:hAnsi="Times New Roman" w:cs="Times New Roman"/>
          <w:b/>
          <w:bCs/>
          <w:sz w:val="18"/>
          <w:szCs w:val="18"/>
        </w:rPr>
        <w:t>委托理财情况</w:t>
      </w:r>
    </w:p>
    <w:p w14:paraId="67ACC815"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6A84BDF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报告期内委托理财概况</w:t>
      </w:r>
    </w:p>
    <w:p w14:paraId="0177D179" w14:textId="77777777" w:rsidR="00DC359B" w:rsidRPr="00DC359B" w:rsidRDefault="00DC359B" w:rsidP="00DC359B">
      <w:pPr>
        <w:spacing w:before="120" w:after="120" w:line="240" w:lineRule="exact"/>
        <w:jc w:val="right"/>
        <w:rPr>
          <w:rFonts w:ascii="宋体" w:eastAsia="宋体" w:hAnsi="宋体" w:cs="宋体"/>
          <w:sz w:val="18"/>
          <w:szCs w:val="18"/>
        </w:rPr>
      </w:pPr>
      <w:r w:rsidRPr="00DC359B">
        <w:rPr>
          <w:rFonts w:ascii="宋体" w:eastAsia="宋体" w:hAnsi="宋体" w:cs="宋体"/>
          <w:sz w:val="18"/>
          <w:szCs w:val="18"/>
        </w:rPr>
        <w:t>单位：万元</w:t>
      </w:r>
    </w:p>
    <w:tbl>
      <w:tblPr>
        <w:tblW w:w="9639" w:type="dxa"/>
        <w:tblInd w:w="108" w:type="dxa"/>
        <w:tblLayout w:type="fixed"/>
        <w:tblLook w:val="0000" w:firstRow="0" w:lastRow="0" w:firstColumn="0" w:lastColumn="0" w:noHBand="0" w:noVBand="0"/>
      </w:tblPr>
      <w:tblGrid>
        <w:gridCol w:w="2409"/>
        <w:gridCol w:w="2410"/>
        <w:gridCol w:w="2410"/>
        <w:gridCol w:w="2410"/>
      </w:tblGrid>
      <w:tr w:rsidR="00C57E60" w14:paraId="51F2CEAA"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ABB94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产品类别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2F03DC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风险特征</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57EBDE8"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报告期内委托理财的余额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A48331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逾期未收回的金额</w:t>
            </w:r>
          </w:p>
        </w:tc>
      </w:tr>
      <w:tr w:rsidR="00C57E60" w14:paraId="725B386D"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CC6D66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银行理财产品</w:t>
            </w:r>
          </w:p>
        </w:tc>
        <w:tc>
          <w:tcPr>
            <w:tcW w:w="2410" w:type="dxa"/>
            <w:tcBorders>
              <w:top w:val="single" w:sz="2" w:space="0" w:color="auto"/>
              <w:left w:val="single" w:sz="2" w:space="0" w:color="auto"/>
              <w:bottom w:val="single" w:sz="2" w:space="0" w:color="auto"/>
              <w:right w:val="single" w:sz="2" w:space="0" w:color="auto"/>
            </w:tcBorders>
            <w:vAlign w:val="center"/>
          </w:tcPr>
          <w:p w14:paraId="231C311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低风险</w:t>
            </w:r>
          </w:p>
        </w:tc>
        <w:tc>
          <w:tcPr>
            <w:tcW w:w="2410" w:type="dxa"/>
            <w:tcBorders>
              <w:top w:val="single" w:sz="2" w:space="0" w:color="auto"/>
              <w:left w:val="single" w:sz="2" w:space="0" w:color="auto"/>
              <w:bottom w:val="single" w:sz="2" w:space="0" w:color="auto"/>
              <w:right w:val="single" w:sz="2" w:space="0" w:color="auto"/>
            </w:tcBorders>
            <w:vAlign w:val="center"/>
          </w:tcPr>
          <w:p w14:paraId="0B93389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2,500</w:t>
            </w:r>
          </w:p>
        </w:tc>
        <w:tc>
          <w:tcPr>
            <w:tcW w:w="2410" w:type="dxa"/>
            <w:tcBorders>
              <w:top w:val="single" w:sz="2" w:space="0" w:color="auto"/>
              <w:left w:val="single" w:sz="2" w:space="0" w:color="auto"/>
              <w:bottom w:val="single" w:sz="2" w:space="0" w:color="auto"/>
              <w:right w:val="single" w:sz="2" w:space="0" w:color="auto"/>
            </w:tcBorders>
            <w:vAlign w:val="center"/>
          </w:tcPr>
          <w:p w14:paraId="29EDA88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37F873C6"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04389AF"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券商理财产品</w:t>
            </w:r>
          </w:p>
        </w:tc>
        <w:tc>
          <w:tcPr>
            <w:tcW w:w="2410" w:type="dxa"/>
            <w:tcBorders>
              <w:top w:val="single" w:sz="2" w:space="0" w:color="auto"/>
              <w:left w:val="single" w:sz="2" w:space="0" w:color="auto"/>
              <w:bottom w:val="single" w:sz="2" w:space="0" w:color="auto"/>
              <w:right w:val="single" w:sz="2" w:space="0" w:color="auto"/>
            </w:tcBorders>
            <w:vAlign w:val="center"/>
          </w:tcPr>
          <w:p w14:paraId="7A05D24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低风险</w:t>
            </w:r>
          </w:p>
        </w:tc>
        <w:tc>
          <w:tcPr>
            <w:tcW w:w="2410" w:type="dxa"/>
            <w:tcBorders>
              <w:top w:val="single" w:sz="2" w:space="0" w:color="auto"/>
              <w:left w:val="single" w:sz="2" w:space="0" w:color="auto"/>
              <w:bottom w:val="single" w:sz="2" w:space="0" w:color="auto"/>
              <w:right w:val="single" w:sz="2" w:space="0" w:color="auto"/>
            </w:tcBorders>
            <w:vAlign w:val="center"/>
          </w:tcPr>
          <w:p w14:paraId="4C6076C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18,800</w:t>
            </w:r>
          </w:p>
        </w:tc>
        <w:tc>
          <w:tcPr>
            <w:tcW w:w="2410" w:type="dxa"/>
            <w:tcBorders>
              <w:top w:val="single" w:sz="2" w:space="0" w:color="auto"/>
              <w:left w:val="single" w:sz="2" w:space="0" w:color="auto"/>
              <w:bottom w:val="single" w:sz="2" w:space="0" w:color="auto"/>
              <w:right w:val="single" w:sz="2" w:space="0" w:color="auto"/>
            </w:tcBorders>
            <w:vAlign w:val="center"/>
          </w:tcPr>
          <w:p w14:paraId="2BB9CF1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bl>
    <w:p w14:paraId="2BE7A6F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公司作为单一委托人委托金融机构开展资产管理，或投资安全性较低、流动性较差的高风险委托理财具体情况</w:t>
      </w:r>
    </w:p>
    <w:p w14:paraId="70FDB8C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0A7BDEE" w14:textId="77777777" w:rsidR="00DC359B" w:rsidRPr="00DC359B" w:rsidRDefault="00DC359B" w:rsidP="00DC359B">
      <w:pPr>
        <w:keepNext/>
        <w:keepLines/>
        <w:spacing w:before="300" w:after="300" w:line="280" w:lineRule="exact"/>
        <w:outlineLvl w:val="3"/>
        <w:rPr>
          <w:rFonts w:ascii="Times New Roman" w:eastAsia="宋体" w:hAnsi="Times New Roman" w:cs="Times New Roman"/>
          <w:b/>
          <w:bCs/>
          <w:sz w:val="18"/>
          <w:szCs w:val="18"/>
        </w:rPr>
      </w:pP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2</w:t>
      </w:r>
      <w:r w:rsidRPr="00DC359B">
        <w:rPr>
          <w:rFonts w:ascii="Times New Roman" w:eastAsia="宋体" w:hAnsi="Times New Roman" w:cs="Times New Roman"/>
          <w:b/>
          <w:bCs/>
          <w:sz w:val="18"/>
          <w:szCs w:val="18"/>
        </w:rPr>
        <w:t>）</w:t>
      </w:r>
      <w:r w:rsidRPr="00DC359B">
        <w:rPr>
          <w:rFonts w:ascii="Times New Roman" w:eastAsia="宋体" w:hAnsi="Times New Roman" w:cs="Times New Roman"/>
          <w:b/>
          <w:bCs/>
          <w:sz w:val="18"/>
          <w:szCs w:val="18"/>
        </w:rPr>
        <w:t xml:space="preserve"> </w:t>
      </w:r>
      <w:r w:rsidRPr="00DC359B">
        <w:rPr>
          <w:rFonts w:ascii="Times New Roman" w:eastAsia="宋体" w:hAnsi="Times New Roman" w:cs="Times New Roman"/>
          <w:b/>
          <w:bCs/>
          <w:sz w:val="18"/>
          <w:szCs w:val="18"/>
        </w:rPr>
        <w:t>委托贷款情况</w:t>
      </w:r>
    </w:p>
    <w:p w14:paraId="4E2E407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F6C9389"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公司报告期不存在委托贷款。</w:t>
      </w:r>
    </w:p>
    <w:p w14:paraId="6364DB57"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4</w:t>
      </w:r>
      <w:r w:rsidRPr="00DC359B">
        <w:rPr>
          <w:rFonts w:ascii="Times New Roman" w:eastAsia="宋体" w:hAnsi="Times New Roman" w:cs="Times New Roman"/>
          <w:b/>
          <w:bCs/>
          <w:szCs w:val="21"/>
        </w:rPr>
        <w:t>、其他重大合同</w:t>
      </w:r>
    </w:p>
    <w:p w14:paraId="2F3F7A03"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138A406"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公司报告期不存在其他重大合同。</w:t>
      </w:r>
    </w:p>
    <w:p w14:paraId="64F95956"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十六、募集资金使用情况</w:t>
      </w:r>
    </w:p>
    <w:p w14:paraId="4CE52C4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0EE1940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公司报告期无募集资金使用情况。</w:t>
      </w:r>
    </w:p>
    <w:p w14:paraId="7EF90617"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十七、其他重大事项的说明</w:t>
      </w:r>
    </w:p>
    <w:p w14:paraId="326BA4F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66A4F823" w14:textId="77777777" w:rsidR="00DC359B" w:rsidRPr="00DC359B" w:rsidRDefault="00DC359B" w:rsidP="00DC359B">
      <w:pPr>
        <w:widowControl/>
        <w:spacing w:before="120" w:after="120" w:line="360" w:lineRule="auto"/>
        <w:ind w:firstLine="422"/>
        <w:rPr>
          <w:rFonts w:ascii="Times New Roman" w:eastAsia="宋体" w:hAnsi="Times New Roman" w:cs="Times New Roman"/>
          <w:b/>
          <w:bCs/>
          <w:kern w:val="0"/>
          <w:szCs w:val="21"/>
        </w:rPr>
      </w:pPr>
      <w:r w:rsidRPr="00DC359B">
        <w:rPr>
          <w:rFonts w:ascii="Times New Roman" w:eastAsia="宋体" w:hAnsi="Times New Roman" w:cs="Times New Roman" w:hint="eastAsia"/>
          <w:b/>
          <w:bCs/>
          <w:kern w:val="0"/>
          <w:szCs w:val="21"/>
        </w:rPr>
        <w:t>1</w:t>
      </w:r>
      <w:r w:rsidRPr="00DC359B">
        <w:rPr>
          <w:rFonts w:ascii="Times New Roman" w:eastAsia="宋体" w:hAnsi="Times New Roman" w:cs="Times New Roman" w:hint="eastAsia"/>
          <w:b/>
          <w:bCs/>
          <w:kern w:val="0"/>
          <w:szCs w:val="21"/>
        </w:rPr>
        <w:t>、副董事长增持公司股份</w:t>
      </w:r>
    </w:p>
    <w:p w14:paraId="61D05771"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报告期内，基于对公司持续稳定发展的信心以及对公司股票长期投资价值的认可，公司副董事长、总经理李心一女士于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日以其自有资金通过深圳证券交易所交易系统以集中竞价交易方式累计增持公司股份</w:t>
      </w:r>
      <w:r w:rsidRPr="00DC359B">
        <w:rPr>
          <w:rFonts w:ascii="Times New Roman" w:eastAsia="宋体" w:hAnsi="Times New Roman" w:cs="Times New Roman"/>
          <w:kern w:val="0"/>
          <w:szCs w:val="21"/>
        </w:rPr>
        <w:t>62,600</w:t>
      </w:r>
      <w:r w:rsidRPr="00DC359B">
        <w:rPr>
          <w:rFonts w:ascii="Times New Roman" w:eastAsia="宋体" w:hAnsi="Times New Roman" w:cs="Times New Roman" w:hint="eastAsia"/>
          <w:kern w:val="0"/>
          <w:szCs w:val="21"/>
        </w:rPr>
        <w:t>股，增持均价约为</w:t>
      </w:r>
      <w:r w:rsidRPr="00DC359B">
        <w:rPr>
          <w:rFonts w:ascii="Times New Roman" w:eastAsia="宋体" w:hAnsi="Times New Roman" w:cs="Times New Roman"/>
          <w:kern w:val="0"/>
          <w:szCs w:val="21"/>
        </w:rPr>
        <w:t>24.72</w:t>
      </w:r>
      <w:r w:rsidRPr="00DC359B">
        <w:rPr>
          <w:rFonts w:ascii="Times New Roman" w:eastAsia="宋体" w:hAnsi="Times New Roman" w:cs="Times New Roman" w:hint="eastAsia"/>
          <w:kern w:val="0"/>
          <w:szCs w:val="21"/>
        </w:rPr>
        <w:t>元</w:t>
      </w:r>
      <w:r w:rsidRPr="00DC359B">
        <w:rPr>
          <w:rFonts w:ascii="Times New Roman" w:eastAsia="宋体" w:hAnsi="Times New Roman" w:cs="Times New Roman"/>
          <w:kern w:val="0"/>
          <w:szCs w:val="21"/>
        </w:rPr>
        <w:t>/</w:t>
      </w:r>
      <w:r w:rsidRPr="00DC359B">
        <w:rPr>
          <w:rFonts w:ascii="Times New Roman" w:eastAsia="宋体" w:hAnsi="Times New Roman" w:cs="Times New Roman" w:hint="eastAsia"/>
          <w:kern w:val="0"/>
          <w:szCs w:val="21"/>
        </w:rPr>
        <w:t>股，增持金额</w:t>
      </w:r>
      <w:r w:rsidRPr="00DC359B">
        <w:rPr>
          <w:rFonts w:ascii="Times New Roman" w:eastAsia="宋体" w:hAnsi="Times New Roman" w:cs="Times New Roman"/>
          <w:kern w:val="0"/>
          <w:szCs w:val="21"/>
        </w:rPr>
        <w:t>154.78</w:t>
      </w:r>
      <w:r w:rsidRPr="00DC359B">
        <w:rPr>
          <w:rFonts w:ascii="Times New Roman" w:eastAsia="宋体" w:hAnsi="Times New Roman" w:cs="Times New Roman" w:hint="eastAsia"/>
          <w:kern w:val="0"/>
          <w:szCs w:val="21"/>
        </w:rPr>
        <w:t>万元（不含交易税费），增持股份数量合计占公司当时总股本的比例为</w:t>
      </w:r>
      <w:r w:rsidRPr="00DC359B">
        <w:rPr>
          <w:rFonts w:ascii="Times New Roman" w:eastAsia="宋体" w:hAnsi="Times New Roman" w:cs="Times New Roman"/>
          <w:kern w:val="0"/>
          <w:szCs w:val="21"/>
        </w:rPr>
        <w:t>0.01%</w:t>
      </w:r>
      <w:r w:rsidRPr="00DC359B">
        <w:rPr>
          <w:rFonts w:ascii="Times New Roman" w:eastAsia="宋体" w:hAnsi="Times New Roman" w:cs="Times New Roman" w:hint="eastAsia"/>
          <w:kern w:val="0"/>
          <w:szCs w:val="21"/>
        </w:rPr>
        <w:t>，占公司当时总股本剔除公司回购专用证券账户中股份后的</w:t>
      </w:r>
      <w:r w:rsidRPr="00DC359B">
        <w:rPr>
          <w:rFonts w:ascii="Times New Roman" w:eastAsia="宋体" w:hAnsi="Times New Roman" w:cs="Times New Roman"/>
          <w:kern w:val="0"/>
          <w:szCs w:val="21"/>
        </w:rPr>
        <w:t>0.01%</w:t>
      </w:r>
      <w:r w:rsidRPr="00DC359B">
        <w:rPr>
          <w:rFonts w:ascii="Times New Roman" w:eastAsia="宋体" w:hAnsi="Times New Roman" w:cs="Times New Roman" w:hint="eastAsia"/>
          <w:kern w:val="0"/>
          <w:szCs w:val="21"/>
        </w:rPr>
        <w:t>。本次增持后，李心一女士直接持有公司股份</w:t>
      </w:r>
      <w:r w:rsidRPr="00DC359B">
        <w:rPr>
          <w:rFonts w:ascii="Times New Roman" w:eastAsia="宋体" w:hAnsi="Times New Roman" w:cs="Times New Roman"/>
          <w:kern w:val="0"/>
          <w:szCs w:val="21"/>
        </w:rPr>
        <w:t>815,800</w:t>
      </w:r>
      <w:r w:rsidRPr="00DC359B">
        <w:rPr>
          <w:rFonts w:ascii="Times New Roman" w:eastAsia="宋体" w:hAnsi="Times New Roman" w:cs="Times New Roman" w:hint="eastAsia"/>
          <w:kern w:val="0"/>
          <w:szCs w:val="21"/>
        </w:rPr>
        <w:t>股，占公司当时总股本的比例为</w:t>
      </w:r>
      <w:r w:rsidRPr="00DC359B">
        <w:rPr>
          <w:rFonts w:ascii="Times New Roman" w:eastAsia="宋体" w:hAnsi="Times New Roman" w:cs="Times New Roman"/>
          <w:kern w:val="0"/>
          <w:szCs w:val="21"/>
        </w:rPr>
        <w:t>0.14%</w:t>
      </w:r>
      <w:r w:rsidRPr="00DC359B">
        <w:rPr>
          <w:rFonts w:ascii="Times New Roman" w:eastAsia="宋体" w:hAnsi="Times New Roman" w:cs="Times New Roman" w:hint="eastAsia"/>
          <w:kern w:val="0"/>
          <w:szCs w:val="21"/>
        </w:rPr>
        <w:t>，占公司当时总股本剔除公司回购专用证券账户中股份后的</w:t>
      </w:r>
      <w:r w:rsidRPr="00DC359B">
        <w:rPr>
          <w:rFonts w:ascii="Times New Roman" w:eastAsia="宋体" w:hAnsi="Times New Roman" w:cs="Times New Roman"/>
          <w:kern w:val="0"/>
          <w:szCs w:val="21"/>
        </w:rPr>
        <w:t>0.15%</w:t>
      </w:r>
      <w:r w:rsidRPr="00DC359B">
        <w:rPr>
          <w:rFonts w:ascii="Times New Roman" w:eastAsia="宋体" w:hAnsi="Times New Roman" w:cs="Times New Roman" w:hint="eastAsia"/>
          <w:kern w:val="0"/>
          <w:szCs w:val="21"/>
        </w:rPr>
        <w:t>；李心一女士及其一致行动人李少波先生合计持有公司股份</w:t>
      </w:r>
      <w:r w:rsidRPr="00DC359B">
        <w:rPr>
          <w:rFonts w:ascii="Times New Roman" w:eastAsia="宋体" w:hAnsi="Times New Roman" w:cs="Times New Roman"/>
          <w:kern w:val="0"/>
          <w:szCs w:val="21"/>
        </w:rPr>
        <w:t>143,501,448</w:t>
      </w:r>
      <w:r w:rsidRPr="00DC359B">
        <w:rPr>
          <w:rFonts w:ascii="Times New Roman" w:eastAsia="宋体" w:hAnsi="Times New Roman" w:cs="Times New Roman" w:hint="eastAsia"/>
          <w:kern w:val="0"/>
          <w:szCs w:val="21"/>
        </w:rPr>
        <w:t>股，占公司当时总股本的比例为</w:t>
      </w:r>
      <w:r w:rsidRPr="00DC359B">
        <w:rPr>
          <w:rFonts w:ascii="Times New Roman" w:eastAsia="宋体" w:hAnsi="Times New Roman" w:cs="Times New Roman"/>
          <w:kern w:val="0"/>
          <w:szCs w:val="21"/>
        </w:rPr>
        <w:t>25.43%</w:t>
      </w:r>
      <w:r w:rsidRPr="00DC359B">
        <w:rPr>
          <w:rFonts w:ascii="Times New Roman" w:eastAsia="宋体" w:hAnsi="Times New Roman" w:cs="Times New Roman" w:hint="eastAsia"/>
          <w:kern w:val="0"/>
          <w:szCs w:val="21"/>
        </w:rPr>
        <w:t>，占公司当时总股本剔除公司回购专用证券账户中股份后的</w:t>
      </w:r>
      <w:r w:rsidRPr="00DC359B">
        <w:rPr>
          <w:rFonts w:ascii="Times New Roman" w:eastAsia="宋体" w:hAnsi="Times New Roman" w:cs="Times New Roman"/>
          <w:kern w:val="0"/>
          <w:szCs w:val="21"/>
        </w:rPr>
        <w:t>25.77%</w:t>
      </w:r>
      <w:r w:rsidRPr="00DC359B">
        <w:rPr>
          <w:rFonts w:ascii="Times New Roman" w:eastAsia="宋体" w:hAnsi="Times New Roman" w:cs="Times New Roman" w:hint="eastAsia"/>
          <w:kern w:val="0"/>
          <w:szCs w:val="21"/>
        </w:rPr>
        <w:t>。具体内容详见公司于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13</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hint="eastAsia"/>
          <w:kern w:val="0"/>
          <w:szCs w:val="21"/>
        </w:rPr>
        <w:t>www.cninfo.com.cn</w:t>
      </w:r>
      <w:r w:rsidRPr="00DC359B">
        <w:rPr>
          <w:rFonts w:ascii="Times New Roman" w:eastAsia="宋体" w:hAnsi="Times New Roman" w:cs="Times New Roman" w:hint="eastAsia"/>
          <w:kern w:val="0"/>
          <w:szCs w:val="21"/>
        </w:rPr>
        <w:t>）上披露的《关于副董事长增持公司股份的公告》（公告编号：</w:t>
      </w:r>
      <w:r w:rsidRPr="00DC359B">
        <w:rPr>
          <w:rFonts w:ascii="Times New Roman" w:eastAsia="宋体" w:hAnsi="Times New Roman" w:cs="Times New Roman"/>
          <w:kern w:val="0"/>
          <w:szCs w:val="21"/>
        </w:rPr>
        <w:t>2025-013</w:t>
      </w:r>
      <w:r w:rsidRPr="00DC359B">
        <w:rPr>
          <w:rFonts w:ascii="Times New Roman" w:eastAsia="宋体" w:hAnsi="Times New Roman" w:cs="Times New Roman" w:hint="eastAsia"/>
          <w:kern w:val="0"/>
          <w:szCs w:val="21"/>
        </w:rPr>
        <w:t>）。</w:t>
      </w:r>
    </w:p>
    <w:p w14:paraId="10B76624" w14:textId="77777777" w:rsidR="00DC359B" w:rsidRPr="00DC359B" w:rsidRDefault="00DC359B" w:rsidP="00DC359B">
      <w:pPr>
        <w:widowControl/>
        <w:spacing w:before="120" w:after="120" w:line="360" w:lineRule="auto"/>
        <w:ind w:firstLine="422"/>
        <w:rPr>
          <w:rFonts w:ascii="Times New Roman" w:eastAsia="宋体" w:hAnsi="Times New Roman" w:cs="Times New Roman"/>
          <w:b/>
          <w:bCs/>
          <w:kern w:val="0"/>
          <w:szCs w:val="21"/>
        </w:rPr>
      </w:pPr>
      <w:r w:rsidRPr="00DC359B">
        <w:rPr>
          <w:rFonts w:ascii="Times New Roman" w:eastAsia="宋体" w:hAnsi="Times New Roman" w:cs="Times New Roman" w:hint="eastAsia"/>
          <w:b/>
          <w:bCs/>
          <w:kern w:val="0"/>
          <w:szCs w:val="21"/>
        </w:rPr>
        <w:t>2</w:t>
      </w:r>
      <w:r w:rsidRPr="00DC359B">
        <w:rPr>
          <w:rFonts w:ascii="Times New Roman" w:eastAsia="宋体" w:hAnsi="Times New Roman" w:cs="Times New Roman" w:hint="eastAsia"/>
          <w:b/>
          <w:bCs/>
          <w:kern w:val="0"/>
          <w:szCs w:val="21"/>
        </w:rPr>
        <w:t>、注销部分回购股份及完成工商变更登记事宜</w:t>
      </w:r>
    </w:p>
    <w:p w14:paraId="66D62F9E"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公司分别于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18</w:t>
      </w:r>
      <w:r w:rsidRPr="00DC359B">
        <w:rPr>
          <w:rFonts w:ascii="Times New Roman" w:eastAsia="宋体" w:hAnsi="Times New Roman" w:cs="Times New Roman" w:hint="eastAsia"/>
          <w:kern w:val="0"/>
          <w:szCs w:val="21"/>
        </w:rPr>
        <w:t>日、</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14</w:t>
      </w:r>
      <w:r w:rsidRPr="00DC359B">
        <w:rPr>
          <w:rFonts w:ascii="Times New Roman" w:eastAsia="宋体" w:hAnsi="Times New Roman" w:cs="Times New Roman" w:hint="eastAsia"/>
          <w:kern w:val="0"/>
          <w:szCs w:val="21"/>
        </w:rPr>
        <w:t>日召开五届董事会第十七次会议和</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年年度股东大会，审议并通过《关于注销部分回购股份的议案》《关于变更注册资本暨修订〈公司章程〉部分条款的议案》，同意公司注销回购专用证券账户股份</w:t>
      </w:r>
      <w:r w:rsidRPr="00DC359B">
        <w:rPr>
          <w:rFonts w:ascii="Times New Roman" w:eastAsia="宋体" w:hAnsi="Times New Roman" w:cs="Times New Roman"/>
          <w:kern w:val="0"/>
          <w:szCs w:val="21"/>
        </w:rPr>
        <w:t>3,999,287</w:t>
      </w:r>
      <w:r w:rsidRPr="00DC359B">
        <w:rPr>
          <w:rFonts w:ascii="Times New Roman" w:eastAsia="宋体" w:hAnsi="Times New Roman" w:cs="Times New Roman" w:hint="eastAsia"/>
          <w:kern w:val="0"/>
          <w:szCs w:val="21"/>
        </w:rPr>
        <w:t>股，同意公司注册资本由人民币</w:t>
      </w:r>
      <w:r w:rsidRPr="00DC359B">
        <w:rPr>
          <w:rFonts w:ascii="Times New Roman" w:eastAsia="宋体" w:hAnsi="Times New Roman" w:cs="Times New Roman"/>
          <w:kern w:val="0"/>
          <w:szCs w:val="21"/>
        </w:rPr>
        <w:t>564,221,835</w:t>
      </w:r>
      <w:r w:rsidRPr="00DC359B">
        <w:rPr>
          <w:rFonts w:ascii="Times New Roman" w:eastAsia="宋体" w:hAnsi="Times New Roman" w:cs="Times New Roman" w:hint="eastAsia"/>
          <w:kern w:val="0"/>
          <w:szCs w:val="21"/>
        </w:rPr>
        <w:t>元变更为人民币</w:t>
      </w:r>
      <w:r w:rsidRPr="00DC359B">
        <w:rPr>
          <w:rFonts w:ascii="Times New Roman" w:eastAsia="宋体" w:hAnsi="Times New Roman" w:cs="Times New Roman"/>
          <w:kern w:val="0"/>
          <w:szCs w:val="21"/>
        </w:rPr>
        <w:t>560,266,088</w:t>
      </w:r>
      <w:r w:rsidRPr="00DC359B">
        <w:rPr>
          <w:rFonts w:ascii="Times New Roman" w:eastAsia="宋体" w:hAnsi="Times New Roman" w:cs="Times New Roman" w:hint="eastAsia"/>
          <w:kern w:val="0"/>
          <w:szCs w:val="21"/>
        </w:rPr>
        <w:t>元。具体内容详见公司分别于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21</w:t>
      </w:r>
      <w:r w:rsidRPr="00DC359B">
        <w:rPr>
          <w:rFonts w:ascii="Times New Roman" w:eastAsia="宋体" w:hAnsi="Times New Roman" w:cs="Times New Roman" w:hint="eastAsia"/>
          <w:kern w:val="0"/>
          <w:szCs w:val="21"/>
        </w:rPr>
        <w:t>日、</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14</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）上披露的《关于注销部分回购股份的公告》（公告编号：</w:t>
      </w:r>
      <w:r w:rsidRPr="00DC359B">
        <w:rPr>
          <w:rFonts w:ascii="Times New Roman" w:eastAsia="宋体" w:hAnsi="Times New Roman" w:cs="Times New Roman"/>
          <w:kern w:val="0"/>
          <w:szCs w:val="21"/>
        </w:rPr>
        <w:t>2025-025</w:t>
      </w:r>
      <w:r w:rsidRPr="00DC359B">
        <w:rPr>
          <w:rFonts w:ascii="Times New Roman" w:eastAsia="宋体" w:hAnsi="Times New Roman" w:cs="Times New Roman" w:hint="eastAsia"/>
          <w:kern w:val="0"/>
          <w:szCs w:val="21"/>
        </w:rPr>
        <w:t>）、《关于变更注册资本暨修订〈公司章程〉的公告》（公告编号：</w:t>
      </w:r>
      <w:r w:rsidRPr="00DC359B">
        <w:rPr>
          <w:rFonts w:ascii="Times New Roman" w:eastAsia="宋体" w:hAnsi="Times New Roman" w:cs="Times New Roman"/>
          <w:kern w:val="0"/>
          <w:szCs w:val="21"/>
        </w:rPr>
        <w:t>2025-026</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年年度股东大会决议公告》（公告编号：</w:t>
      </w:r>
      <w:r w:rsidRPr="00DC359B">
        <w:rPr>
          <w:rFonts w:ascii="Times New Roman" w:eastAsia="宋体" w:hAnsi="Times New Roman" w:cs="Times New Roman"/>
          <w:kern w:val="0"/>
          <w:szCs w:val="21"/>
        </w:rPr>
        <w:t>2025-036</w:t>
      </w:r>
      <w:r w:rsidRPr="00DC359B">
        <w:rPr>
          <w:rFonts w:ascii="Times New Roman" w:eastAsia="宋体" w:hAnsi="Times New Roman" w:cs="Times New Roman" w:hint="eastAsia"/>
          <w:kern w:val="0"/>
          <w:szCs w:val="21"/>
        </w:rPr>
        <w:t>）。</w:t>
      </w:r>
    </w:p>
    <w:p w14:paraId="41EDB79C"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日，公司在中国证券登记结算有限责任公司深圳分公司办理完成上述回购股份的注销事宜，本次注销的回购股份数量为</w:t>
      </w:r>
      <w:r w:rsidRPr="00DC359B">
        <w:rPr>
          <w:rFonts w:ascii="Times New Roman" w:eastAsia="宋体" w:hAnsi="Times New Roman" w:cs="Times New Roman"/>
          <w:kern w:val="0"/>
          <w:szCs w:val="21"/>
        </w:rPr>
        <w:t>3,999,287</w:t>
      </w:r>
      <w:r w:rsidRPr="00DC359B">
        <w:rPr>
          <w:rFonts w:ascii="Times New Roman" w:eastAsia="宋体" w:hAnsi="Times New Roman" w:cs="Times New Roman" w:hint="eastAsia"/>
          <w:kern w:val="0"/>
          <w:szCs w:val="21"/>
        </w:rPr>
        <w:t>股，实际回购注销金额为人民币</w:t>
      </w:r>
      <w:r w:rsidRPr="00DC359B">
        <w:rPr>
          <w:rFonts w:ascii="Times New Roman" w:eastAsia="宋体" w:hAnsi="Times New Roman" w:cs="Times New Roman"/>
          <w:kern w:val="0"/>
          <w:szCs w:val="21"/>
        </w:rPr>
        <w:t>96,327,030.98</w:t>
      </w:r>
      <w:r w:rsidRPr="00DC359B">
        <w:rPr>
          <w:rFonts w:ascii="Times New Roman" w:eastAsia="宋体" w:hAnsi="Times New Roman" w:cs="Times New Roman" w:hint="eastAsia"/>
          <w:kern w:val="0"/>
          <w:szCs w:val="21"/>
        </w:rPr>
        <w:t>元。本次注销完成后，公司总股本由</w:t>
      </w:r>
      <w:r w:rsidRPr="00DC359B">
        <w:rPr>
          <w:rFonts w:ascii="Times New Roman" w:eastAsia="宋体" w:hAnsi="Times New Roman" w:cs="Times New Roman"/>
          <w:kern w:val="0"/>
          <w:szCs w:val="21"/>
        </w:rPr>
        <w:t>564,265,375</w:t>
      </w:r>
      <w:r w:rsidRPr="00DC359B">
        <w:rPr>
          <w:rFonts w:ascii="Times New Roman" w:eastAsia="宋体" w:hAnsi="Times New Roman" w:cs="Times New Roman" w:hint="eastAsia"/>
          <w:kern w:val="0"/>
          <w:szCs w:val="21"/>
        </w:rPr>
        <w:t>变更为</w:t>
      </w:r>
      <w:r w:rsidRPr="00DC359B">
        <w:rPr>
          <w:rFonts w:ascii="Times New Roman" w:eastAsia="宋体" w:hAnsi="Times New Roman" w:cs="Times New Roman"/>
          <w:kern w:val="0"/>
          <w:szCs w:val="21"/>
        </w:rPr>
        <w:t>560,266,088</w:t>
      </w:r>
      <w:r w:rsidRPr="00DC359B">
        <w:rPr>
          <w:rFonts w:ascii="Times New Roman" w:eastAsia="宋体" w:hAnsi="Times New Roman" w:cs="Times New Roman" w:hint="eastAsia"/>
          <w:kern w:val="0"/>
          <w:szCs w:val="21"/>
        </w:rPr>
        <w:t>股。本次注销回购股份的数量、完成日期、注销期限均符合相关法律法规、规范性文件的要求。公司已及时完成了上述注册资本及《公司章程》的工商变更登记及备案等相关手续，并取得了长沙市市场监督管理局换发的新《营业执照》。具体内容详见公司分别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11</w:t>
      </w:r>
      <w:r w:rsidRPr="00DC359B">
        <w:rPr>
          <w:rFonts w:ascii="Times New Roman" w:eastAsia="宋体" w:hAnsi="Times New Roman" w:cs="Times New Roman" w:hint="eastAsia"/>
          <w:kern w:val="0"/>
          <w:szCs w:val="21"/>
        </w:rPr>
        <w:t>日、</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15</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）上披露的《关于部分回购股份注销完成暨股份变动的公告》（公告编号：</w:t>
      </w:r>
      <w:r w:rsidRPr="00DC359B">
        <w:rPr>
          <w:rFonts w:ascii="Times New Roman" w:eastAsia="宋体" w:hAnsi="Times New Roman" w:cs="Times New Roman"/>
          <w:kern w:val="0"/>
          <w:szCs w:val="21"/>
        </w:rPr>
        <w:t>2025-063</w:t>
      </w:r>
      <w:r w:rsidRPr="00DC359B">
        <w:rPr>
          <w:rFonts w:ascii="Times New Roman" w:eastAsia="宋体" w:hAnsi="Times New Roman" w:cs="Times New Roman" w:hint="eastAsia"/>
          <w:kern w:val="0"/>
          <w:szCs w:val="21"/>
        </w:rPr>
        <w:t>）、《关于完成工商变更登记的公告》（公告编号：</w:t>
      </w:r>
      <w:r w:rsidRPr="00DC359B">
        <w:rPr>
          <w:rFonts w:ascii="Times New Roman" w:eastAsia="宋体" w:hAnsi="Times New Roman" w:cs="Times New Roman"/>
          <w:kern w:val="0"/>
          <w:szCs w:val="21"/>
        </w:rPr>
        <w:t>2025-065</w:t>
      </w:r>
      <w:r w:rsidRPr="00DC359B">
        <w:rPr>
          <w:rFonts w:ascii="Times New Roman" w:eastAsia="宋体" w:hAnsi="Times New Roman" w:cs="Times New Roman" w:hint="eastAsia"/>
          <w:kern w:val="0"/>
          <w:szCs w:val="21"/>
        </w:rPr>
        <w:t>）。</w:t>
      </w:r>
    </w:p>
    <w:p w14:paraId="57A9B523" w14:textId="77777777" w:rsidR="00DC359B" w:rsidRPr="00DC359B" w:rsidRDefault="00DC359B" w:rsidP="00DC359B">
      <w:pPr>
        <w:widowControl/>
        <w:spacing w:before="120" w:after="120" w:line="360" w:lineRule="auto"/>
        <w:ind w:firstLine="422"/>
        <w:rPr>
          <w:rFonts w:ascii="Times New Roman" w:eastAsia="宋体" w:hAnsi="Times New Roman" w:cs="Times New Roman"/>
          <w:kern w:val="0"/>
          <w:sz w:val="24"/>
          <w:szCs w:val="24"/>
        </w:rPr>
      </w:pPr>
      <w:r w:rsidRPr="00DC359B">
        <w:rPr>
          <w:rFonts w:ascii="Times New Roman" w:eastAsia="宋体" w:hAnsi="Times New Roman" w:cs="Times New Roman"/>
          <w:b/>
          <w:bCs/>
          <w:kern w:val="0"/>
          <w:szCs w:val="21"/>
        </w:rPr>
        <w:t>3</w:t>
      </w:r>
      <w:r w:rsidRPr="00DC359B">
        <w:rPr>
          <w:rFonts w:ascii="Times New Roman" w:eastAsia="宋体" w:hAnsi="Times New Roman" w:cs="Times New Roman"/>
          <w:b/>
          <w:bCs/>
          <w:kern w:val="0"/>
          <w:szCs w:val="21"/>
        </w:rPr>
        <w:t>、公司治理制度的制定、修订和废止</w:t>
      </w:r>
    </w:p>
    <w:p w14:paraId="2496D4E9" w14:textId="18ED52E6"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为全面贯彻落实最新法律法规和监管规定要求，根据《公司法》《上市公司章程指引》《关于新〈公司法〉配套制度规则实施相关过渡期安排》《深圳证券交易所创业板股票上市规则》《深圳证券交易所上市公司自律监管指引第</w:t>
      </w: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号——创业板上市公司规范运作》等最新法律法规、规范性文件的相关规定，公司分别于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15</w:t>
      </w:r>
      <w:r w:rsidRPr="00DC359B">
        <w:rPr>
          <w:rFonts w:ascii="Times New Roman" w:eastAsia="宋体" w:hAnsi="Times New Roman" w:cs="Times New Roman" w:hint="eastAsia"/>
          <w:kern w:val="0"/>
          <w:szCs w:val="21"/>
        </w:rPr>
        <w:t>日、</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31</w:t>
      </w:r>
      <w:r w:rsidRPr="00DC359B">
        <w:rPr>
          <w:rFonts w:ascii="Times New Roman" w:eastAsia="宋体" w:hAnsi="Times New Roman" w:cs="Times New Roman" w:hint="eastAsia"/>
          <w:kern w:val="0"/>
          <w:szCs w:val="21"/>
        </w:rPr>
        <w:t>日召开董事会第二十二次会议、</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第一次临时股东会，审议并通过《关于修订〈公司章程〉并调整公司治理结构的议案》《关于修订和制定部分公司治理制度的议案》，为进一步规范公司运作机制、提升公司治理水平，结合公司实际情况，公司不再设置监事会和监事，由公司董事会审计委员会行使《公司法》规定的监事会职权，《公司章程》及其他相关制度中有关监事、监事会的表述及条款进行相应修订，《公司监事会议事规则》相应废止。鉴于前述原因，结合最新法律法规、规范性文件的要求和公司实际发展情况，公司对《公司章程》以及其他</w:t>
      </w:r>
      <w:r w:rsidR="00185C1E" w:rsidRPr="00DC359B">
        <w:rPr>
          <w:rFonts w:ascii="Times New Roman" w:eastAsia="宋体" w:hAnsi="Times New Roman" w:cs="Times New Roman"/>
          <w:kern w:val="0"/>
          <w:szCs w:val="21"/>
        </w:rPr>
        <w:t>2</w:t>
      </w:r>
      <w:r w:rsidR="00185C1E">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项现行治理制度进行同步修订，同时新增制定</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项治理制度。具体内容详见公司于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16</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）上披露的《关于修订〈公司章程〉及制定、修订和废止部分公司治理制度的公告》（公告编号：</w:t>
      </w:r>
      <w:r w:rsidRPr="00DC359B">
        <w:rPr>
          <w:rFonts w:ascii="Times New Roman" w:eastAsia="宋体" w:hAnsi="Times New Roman" w:cs="Times New Roman"/>
          <w:kern w:val="0"/>
          <w:szCs w:val="21"/>
        </w:rPr>
        <w:t>2025-091</w:t>
      </w:r>
      <w:r w:rsidRPr="00DC359B">
        <w:rPr>
          <w:rFonts w:ascii="Times New Roman" w:eastAsia="宋体" w:hAnsi="Times New Roman" w:cs="Times New Roman" w:hint="eastAsia"/>
          <w:kern w:val="0"/>
          <w:szCs w:val="21"/>
        </w:rPr>
        <w:t>）及相关治理制度全文。</w:t>
      </w:r>
    </w:p>
    <w:p w14:paraId="4972B647" w14:textId="77777777" w:rsidR="00DC359B" w:rsidRPr="00DC359B" w:rsidRDefault="00DC359B" w:rsidP="00DC359B">
      <w:pPr>
        <w:widowControl/>
        <w:spacing w:before="120" w:after="120" w:line="360" w:lineRule="auto"/>
        <w:ind w:firstLine="422"/>
        <w:rPr>
          <w:rFonts w:ascii="Times New Roman" w:eastAsia="宋体" w:hAnsi="Times New Roman" w:cs="Times New Roman"/>
          <w:kern w:val="0"/>
          <w:sz w:val="24"/>
          <w:szCs w:val="24"/>
        </w:rPr>
      </w:pPr>
      <w:r w:rsidRPr="00DC359B">
        <w:rPr>
          <w:rFonts w:ascii="Times New Roman" w:eastAsia="宋体" w:hAnsi="Times New Roman" w:cs="Times New Roman"/>
          <w:b/>
          <w:bCs/>
          <w:kern w:val="0"/>
          <w:szCs w:val="21"/>
        </w:rPr>
        <w:t>4</w:t>
      </w:r>
      <w:r w:rsidRPr="00DC359B">
        <w:rPr>
          <w:rFonts w:ascii="Times New Roman" w:eastAsia="宋体" w:hAnsi="Times New Roman" w:cs="Times New Roman"/>
          <w:b/>
          <w:bCs/>
          <w:kern w:val="0"/>
          <w:szCs w:val="21"/>
        </w:rPr>
        <w:t>、公司董事换届选举暨聘任高级管理人员</w:t>
      </w:r>
    </w:p>
    <w:p w14:paraId="50C78E25"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24</w:t>
      </w:r>
      <w:r w:rsidRPr="00DC359B">
        <w:rPr>
          <w:rFonts w:ascii="Times New Roman" w:eastAsia="宋体" w:hAnsi="Times New Roman" w:cs="Times New Roman" w:hint="eastAsia"/>
          <w:kern w:val="0"/>
          <w:szCs w:val="21"/>
        </w:rPr>
        <w:t>日召开职工代表大会，选举产生了公司第六届董事会职工代表董事；于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31</w:t>
      </w:r>
      <w:r w:rsidRPr="00DC359B">
        <w:rPr>
          <w:rFonts w:ascii="Times New Roman" w:eastAsia="宋体" w:hAnsi="Times New Roman" w:cs="Times New Roman" w:hint="eastAsia"/>
          <w:kern w:val="0"/>
          <w:szCs w:val="21"/>
        </w:rPr>
        <w:t>日召开</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年第一次临时股东会，选举产生了公司第六届董事会非独立董事、独立董事，与职工代表董事共同组成公司第六届董事会，任期自公司</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年第一次临时股东会选举通过之日起三年。同时，公司于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31</w:t>
      </w:r>
      <w:r w:rsidRPr="00DC359B">
        <w:rPr>
          <w:rFonts w:ascii="Times New Roman" w:eastAsia="宋体" w:hAnsi="Times New Roman" w:cs="Times New Roman" w:hint="eastAsia"/>
          <w:kern w:val="0"/>
          <w:szCs w:val="21"/>
        </w:rPr>
        <w:t>日召开第六届董事会第一次会议，选举产生了公司第六届董事会董事长、副董事长、各专门委员会委员，并聘任了公司第六届高级管理人员、证券事务代表，公司董事会换届选举已顺利完成。具体内容详见公司于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31</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）上披露的《关于董事会完成换届选举暨聘任高级管理人员、证券事务代表的公告》（公告编号：</w:t>
      </w:r>
      <w:r w:rsidRPr="00DC359B">
        <w:rPr>
          <w:rFonts w:ascii="Times New Roman" w:eastAsia="宋体" w:hAnsi="Times New Roman" w:cs="Times New Roman"/>
          <w:kern w:val="0"/>
          <w:szCs w:val="21"/>
        </w:rPr>
        <w:t>2025-101</w:t>
      </w:r>
      <w:r w:rsidRPr="00DC359B">
        <w:rPr>
          <w:rFonts w:ascii="Times New Roman" w:eastAsia="宋体" w:hAnsi="Times New Roman" w:cs="Times New Roman" w:hint="eastAsia"/>
          <w:kern w:val="0"/>
          <w:szCs w:val="21"/>
        </w:rPr>
        <w:t>）。</w:t>
      </w:r>
    </w:p>
    <w:p w14:paraId="12A4FECE" w14:textId="77777777" w:rsidR="00DC359B" w:rsidRPr="00DC359B" w:rsidRDefault="00DC359B" w:rsidP="00DC359B">
      <w:pPr>
        <w:widowControl/>
        <w:spacing w:before="120" w:after="120" w:line="360" w:lineRule="auto"/>
        <w:ind w:firstLine="422"/>
        <w:rPr>
          <w:rFonts w:ascii="Times New Roman" w:eastAsia="宋体" w:hAnsi="Times New Roman" w:cs="Times New Roman"/>
          <w:kern w:val="0"/>
          <w:sz w:val="24"/>
          <w:szCs w:val="24"/>
        </w:rPr>
      </w:pPr>
      <w:r w:rsidRPr="00DC359B">
        <w:rPr>
          <w:rFonts w:ascii="Times New Roman" w:eastAsia="宋体" w:hAnsi="Times New Roman" w:cs="Times New Roman"/>
          <w:b/>
          <w:bCs/>
          <w:kern w:val="0"/>
          <w:szCs w:val="21"/>
        </w:rPr>
        <w:t>5</w:t>
      </w:r>
      <w:r w:rsidRPr="00DC359B">
        <w:rPr>
          <w:rFonts w:ascii="Times New Roman" w:eastAsia="宋体" w:hAnsi="Times New Roman" w:cs="Times New Roman"/>
          <w:b/>
          <w:bCs/>
          <w:kern w:val="0"/>
          <w:szCs w:val="21"/>
        </w:rPr>
        <w:t>、雅培诉讼</w:t>
      </w:r>
    </w:p>
    <w:p w14:paraId="14397ADB" w14:textId="77777777" w:rsidR="004A3E59" w:rsidRPr="004A3E59" w:rsidRDefault="004A3E59" w:rsidP="00C707CF">
      <w:pPr>
        <w:widowControl/>
        <w:spacing w:line="360" w:lineRule="auto"/>
        <w:ind w:firstLineChars="200" w:firstLine="420"/>
        <w:jc w:val="both"/>
        <w:rPr>
          <w:rFonts w:ascii="Times New Roman" w:eastAsia="宋体" w:hAnsi="Times New Roman" w:cs="Times New Roman"/>
          <w:kern w:val="0"/>
          <w:szCs w:val="21"/>
        </w:rPr>
      </w:pP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7</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4</w:t>
      </w:r>
      <w:r w:rsidRPr="004A3E59">
        <w:rPr>
          <w:rFonts w:ascii="Times New Roman" w:eastAsia="宋体" w:hAnsi="Times New Roman" w:cs="Times New Roman"/>
          <w:kern w:val="0"/>
          <w:szCs w:val="21"/>
        </w:rPr>
        <w:t>日，</w:t>
      </w:r>
      <w:r w:rsidRPr="004A3E59">
        <w:rPr>
          <w:rFonts w:ascii="Times New Roman" w:eastAsia="宋体" w:hAnsi="Times New Roman" w:cs="Times New Roman"/>
          <w:kern w:val="0"/>
          <w:szCs w:val="21"/>
        </w:rPr>
        <w:t>Abbott Diabetes Care Inc.</w:t>
      </w:r>
      <w:r w:rsidRPr="004A3E59">
        <w:rPr>
          <w:rFonts w:ascii="Times New Roman" w:eastAsia="宋体" w:hAnsi="Times New Roman" w:cs="Times New Roman"/>
          <w:kern w:val="0"/>
          <w:szCs w:val="21"/>
        </w:rPr>
        <w:t>（以下简称</w:t>
      </w:r>
      <w:r w:rsidRPr="00C707CF">
        <w:rPr>
          <w:rFonts w:ascii="宋体" w:eastAsia="宋体" w:hAnsi="宋体" w:cs="Times New Roman"/>
          <w:kern w:val="0"/>
          <w:szCs w:val="21"/>
        </w:rPr>
        <w:t>“</w:t>
      </w:r>
      <w:r w:rsidRPr="00C707CF">
        <w:rPr>
          <w:rFonts w:ascii="宋体" w:eastAsia="宋体" w:hAnsi="宋体" w:cs="Times New Roman" w:hint="eastAsia"/>
          <w:kern w:val="0"/>
          <w:szCs w:val="21"/>
        </w:rPr>
        <w:t>雅培</w:t>
      </w:r>
      <w:r w:rsidRPr="00C707CF">
        <w:rPr>
          <w:rFonts w:ascii="宋体" w:eastAsia="宋体" w:hAnsi="宋体" w:cs="Times New Roman"/>
          <w:kern w:val="0"/>
          <w:szCs w:val="21"/>
        </w:rPr>
        <w:t>”</w:t>
      </w:r>
      <w:r w:rsidRPr="004A3E59">
        <w:rPr>
          <w:rFonts w:ascii="Times New Roman" w:eastAsia="宋体" w:hAnsi="Times New Roman" w:cs="Times New Roman"/>
          <w:kern w:val="0"/>
          <w:szCs w:val="21"/>
        </w:rPr>
        <w:t>）在海牙</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分院，就其两项欧洲</w:t>
      </w:r>
      <w:r w:rsidRPr="004A3E59">
        <w:rPr>
          <w:rFonts w:ascii="Times New Roman" w:eastAsia="宋体" w:hAnsi="Times New Roman" w:cs="Times New Roman"/>
          <w:kern w:val="0"/>
          <w:szCs w:val="21"/>
        </w:rPr>
        <w:t>EPO</w:t>
      </w:r>
      <w:r w:rsidRPr="004A3E59">
        <w:rPr>
          <w:rFonts w:ascii="Times New Roman" w:eastAsia="宋体" w:hAnsi="Times New Roman" w:cs="Times New Roman"/>
          <w:kern w:val="0"/>
          <w:szCs w:val="21"/>
        </w:rPr>
        <w:t>专利</w:t>
      </w:r>
      <w:r w:rsidRPr="004A3E59">
        <w:rPr>
          <w:rFonts w:ascii="Times New Roman" w:eastAsia="宋体" w:hAnsi="Times New Roman" w:cs="Times New Roman"/>
          <w:kern w:val="0"/>
          <w:szCs w:val="21"/>
        </w:rPr>
        <w:t>EP4344633</w:t>
      </w:r>
      <w:r w:rsidRPr="004A3E59">
        <w:rPr>
          <w:rFonts w:ascii="Times New Roman" w:eastAsia="宋体" w:hAnsi="Times New Roman" w:cs="Times New Roman"/>
          <w:kern w:val="0"/>
          <w:szCs w:val="21"/>
        </w:rPr>
        <w:t>和</w:t>
      </w:r>
      <w:r w:rsidRPr="004A3E59">
        <w:rPr>
          <w:rFonts w:ascii="Times New Roman" w:eastAsia="宋体" w:hAnsi="Times New Roman" w:cs="Times New Roman"/>
          <w:kern w:val="0"/>
          <w:szCs w:val="21"/>
        </w:rPr>
        <w:t>EP3988471</w:t>
      </w:r>
      <w:r w:rsidRPr="004A3E59">
        <w:rPr>
          <w:rFonts w:ascii="Times New Roman" w:eastAsia="宋体" w:hAnsi="Times New Roman" w:cs="Times New Roman"/>
          <w:kern w:val="0"/>
          <w:szCs w:val="21"/>
        </w:rPr>
        <w:t>，针对</w:t>
      </w:r>
      <w:r w:rsidRPr="004A3E59">
        <w:rPr>
          <w:rFonts w:ascii="Times New Roman" w:eastAsia="宋体" w:hAnsi="Times New Roman" w:cs="Times New Roman"/>
          <w:kern w:val="0"/>
          <w:szCs w:val="21"/>
        </w:rPr>
        <w:t>Sinocare Inc.</w:t>
      </w:r>
      <w:r w:rsidRPr="004A3E59">
        <w:rPr>
          <w:rFonts w:ascii="Times New Roman" w:eastAsia="宋体" w:hAnsi="Times New Roman" w:cs="Times New Roman"/>
          <w:kern w:val="0"/>
          <w:szCs w:val="21"/>
        </w:rPr>
        <w:t>（以下简称</w:t>
      </w:r>
      <w:r w:rsidRPr="00C707CF">
        <w:rPr>
          <w:rFonts w:ascii="宋体" w:eastAsia="宋体" w:hAnsi="宋体" w:cs="Times New Roman"/>
          <w:kern w:val="0"/>
          <w:szCs w:val="21"/>
        </w:rPr>
        <w:t>“</w:t>
      </w:r>
      <w:r w:rsidRPr="00C707CF">
        <w:rPr>
          <w:rFonts w:ascii="宋体" w:eastAsia="宋体" w:hAnsi="宋体" w:cs="Times New Roman" w:hint="eastAsia"/>
          <w:kern w:val="0"/>
          <w:szCs w:val="21"/>
        </w:rPr>
        <w:t>公司</w:t>
      </w:r>
      <w:r w:rsidRPr="00C707CF">
        <w:rPr>
          <w:rFonts w:ascii="宋体" w:eastAsia="宋体" w:hAnsi="宋体" w:cs="Times New Roman"/>
          <w:kern w:val="0"/>
          <w:szCs w:val="21"/>
        </w:rPr>
        <w:t>”</w:t>
      </w:r>
      <w:r w:rsidRPr="004A3E59">
        <w:rPr>
          <w:rFonts w:ascii="Times New Roman" w:eastAsia="宋体" w:hAnsi="Times New Roman" w:cs="Times New Roman"/>
          <w:kern w:val="0"/>
          <w:szCs w:val="21"/>
        </w:rPr>
        <w:t>）和</w:t>
      </w:r>
      <w:r w:rsidRPr="004A3E59">
        <w:rPr>
          <w:rFonts w:ascii="Times New Roman" w:eastAsia="宋体" w:hAnsi="Times New Roman" w:cs="Times New Roman"/>
          <w:kern w:val="0"/>
          <w:szCs w:val="21"/>
        </w:rPr>
        <w:t>A Menarini Diagnostics S.r.l.</w:t>
      </w:r>
      <w:r w:rsidRPr="004A3E59">
        <w:rPr>
          <w:rFonts w:ascii="Times New Roman" w:eastAsia="宋体" w:hAnsi="Times New Roman" w:cs="Times New Roman"/>
          <w:kern w:val="0"/>
          <w:szCs w:val="21"/>
        </w:rPr>
        <w:t>（以下简称</w:t>
      </w:r>
      <w:r w:rsidRPr="00C707CF">
        <w:rPr>
          <w:rFonts w:ascii="宋体" w:eastAsia="宋体" w:hAnsi="宋体" w:cs="Times New Roman"/>
          <w:kern w:val="0"/>
          <w:szCs w:val="21"/>
        </w:rPr>
        <w:t>“</w:t>
      </w:r>
      <w:r w:rsidRPr="004A3E59">
        <w:rPr>
          <w:rFonts w:ascii="Times New Roman" w:eastAsia="宋体" w:hAnsi="Times New Roman" w:cs="Times New Roman"/>
          <w:kern w:val="0"/>
          <w:szCs w:val="21"/>
        </w:rPr>
        <w:t>Menarini</w:t>
      </w:r>
      <w:r w:rsidRPr="004A3E59">
        <w:rPr>
          <w:rFonts w:ascii="Times New Roman" w:eastAsia="宋体" w:hAnsi="Times New Roman" w:cs="Times New Roman"/>
          <w:kern w:val="0"/>
          <w:szCs w:val="21"/>
        </w:rPr>
        <w:t>公司</w:t>
      </w:r>
      <w:r w:rsidRPr="00C707CF">
        <w:rPr>
          <w:rFonts w:ascii="宋体" w:eastAsia="宋体" w:hAnsi="宋体" w:cs="Times New Roman"/>
          <w:kern w:val="0"/>
          <w:szCs w:val="21"/>
        </w:rPr>
        <w:t>”</w:t>
      </w:r>
      <w:r w:rsidRPr="004A3E59">
        <w:rPr>
          <w:rFonts w:ascii="Times New Roman" w:eastAsia="宋体" w:hAnsi="Times New Roman" w:cs="Times New Roman"/>
          <w:kern w:val="0"/>
          <w:szCs w:val="21"/>
        </w:rPr>
        <w:t>）提起了临时禁令申请（</w:t>
      </w:r>
      <w:r w:rsidRPr="004A3E59">
        <w:rPr>
          <w:rFonts w:ascii="Times New Roman" w:eastAsia="宋体" w:hAnsi="Times New Roman" w:cs="Times New Roman"/>
          <w:kern w:val="0"/>
          <w:szCs w:val="21"/>
        </w:rPr>
        <w:t>Preliminary Injunction, PI</w:t>
      </w:r>
      <w:r w:rsidRPr="004A3E59">
        <w:rPr>
          <w:rFonts w:ascii="Times New Roman" w:eastAsia="宋体" w:hAnsi="Times New Roman" w:cs="Times New Roman"/>
          <w:kern w:val="0"/>
          <w:szCs w:val="21"/>
        </w:rPr>
        <w:t>）。雅培宣称公司生产的</w:t>
      </w:r>
      <w:r w:rsidRPr="004A3E59">
        <w:rPr>
          <w:rFonts w:ascii="Times New Roman" w:eastAsia="宋体" w:hAnsi="Times New Roman" w:cs="Times New Roman"/>
          <w:kern w:val="0"/>
          <w:szCs w:val="21"/>
        </w:rPr>
        <w:t>GlucoMen iCan CGM</w:t>
      </w:r>
      <w:r w:rsidRPr="004A3E59">
        <w:rPr>
          <w:rFonts w:ascii="Times New Roman" w:eastAsia="宋体" w:hAnsi="Times New Roman" w:cs="Times New Roman"/>
          <w:kern w:val="0"/>
          <w:szCs w:val="21"/>
        </w:rPr>
        <w:t>产品侵犯其专利权。</w:t>
      </w: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9</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3</w:t>
      </w:r>
      <w:r w:rsidRPr="004A3E59">
        <w:rPr>
          <w:rFonts w:ascii="Times New Roman" w:eastAsia="宋体" w:hAnsi="Times New Roman" w:cs="Times New Roman"/>
          <w:kern w:val="0"/>
          <w:szCs w:val="21"/>
        </w:rPr>
        <w:t>日，海牙</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分院开庭审理了两项申</w:t>
      </w:r>
      <w:r w:rsidRPr="004A3E59">
        <w:rPr>
          <w:rFonts w:ascii="Times New Roman" w:eastAsia="宋体" w:hAnsi="Times New Roman" w:cs="Times New Roman" w:hint="eastAsia"/>
          <w:kern w:val="0"/>
          <w:szCs w:val="21"/>
        </w:rPr>
        <w:t>请，公司向</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法庭递交了相关证据资料，否认有任何侵权行为并提出了不侵权和雅培该两项专利无效的抗辩。</w:t>
      </w: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10</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17</w:t>
      </w:r>
      <w:r w:rsidRPr="004A3E59">
        <w:rPr>
          <w:rFonts w:ascii="Times New Roman" w:eastAsia="宋体" w:hAnsi="Times New Roman" w:cs="Times New Roman"/>
          <w:kern w:val="0"/>
          <w:szCs w:val="21"/>
        </w:rPr>
        <w:t>日，海牙</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分院批准了雅培针对</w:t>
      </w:r>
      <w:r w:rsidRPr="004A3E59">
        <w:rPr>
          <w:rFonts w:ascii="Times New Roman" w:eastAsia="宋体" w:hAnsi="Times New Roman" w:cs="Times New Roman"/>
          <w:kern w:val="0"/>
          <w:szCs w:val="21"/>
        </w:rPr>
        <w:t>EP4344633</w:t>
      </w:r>
      <w:r w:rsidRPr="004A3E59">
        <w:rPr>
          <w:rFonts w:ascii="Times New Roman" w:eastAsia="宋体" w:hAnsi="Times New Roman" w:cs="Times New Roman"/>
          <w:kern w:val="0"/>
          <w:szCs w:val="21"/>
        </w:rPr>
        <w:t>的临时禁令申请。</w:t>
      </w: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10</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22</w:t>
      </w:r>
      <w:r w:rsidRPr="004A3E59">
        <w:rPr>
          <w:rFonts w:ascii="Times New Roman" w:eastAsia="宋体" w:hAnsi="Times New Roman" w:cs="Times New Roman"/>
          <w:kern w:val="0"/>
          <w:szCs w:val="21"/>
        </w:rPr>
        <w:t>日，海牙</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分院全面驳回了雅培针对</w:t>
      </w:r>
      <w:r w:rsidRPr="004A3E59">
        <w:rPr>
          <w:rFonts w:ascii="Times New Roman" w:eastAsia="宋体" w:hAnsi="Times New Roman" w:cs="Times New Roman"/>
          <w:kern w:val="0"/>
          <w:szCs w:val="21"/>
        </w:rPr>
        <w:t>EP3988471</w:t>
      </w:r>
      <w:r w:rsidRPr="004A3E59">
        <w:rPr>
          <w:rFonts w:ascii="Times New Roman" w:eastAsia="宋体" w:hAnsi="Times New Roman" w:cs="Times New Roman"/>
          <w:kern w:val="0"/>
          <w:szCs w:val="21"/>
        </w:rPr>
        <w:t>的临时禁令申请。</w:t>
      </w: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10</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31</w:t>
      </w:r>
      <w:r w:rsidRPr="004A3E59">
        <w:rPr>
          <w:rFonts w:ascii="Times New Roman" w:eastAsia="宋体" w:hAnsi="Times New Roman" w:cs="Times New Roman"/>
          <w:kern w:val="0"/>
          <w:szCs w:val="21"/>
        </w:rPr>
        <w:t>日，公司针对</w:t>
      </w:r>
      <w:r w:rsidRPr="004A3E59">
        <w:rPr>
          <w:rFonts w:ascii="Times New Roman" w:eastAsia="宋体" w:hAnsi="Times New Roman" w:cs="Times New Roman"/>
          <w:kern w:val="0"/>
          <w:szCs w:val="21"/>
        </w:rPr>
        <w:t>EP4344633</w:t>
      </w:r>
      <w:r w:rsidRPr="004A3E59">
        <w:rPr>
          <w:rFonts w:ascii="Times New Roman" w:eastAsia="宋体" w:hAnsi="Times New Roman" w:cs="Times New Roman"/>
          <w:kern w:val="0"/>
          <w:szCs w:val="21"/>
        </w:rPr>
        <w:t>的临时禁令判决正式向</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上诉法院提起了上诉，申请撤销针对</w:t>
      </w:r>
      <w:r w:rsidRPr="004A3E59">
        <w:rPr>
          <w:rFonts w:ascii="Times New Roman" w:eastAsia="宋体" w:hAnsi="Times New Roman" w:cs="Times New Roman"/>
          <w:kern w:val="0"/>
          <w:szCs w:val="21"/>
        </w:rPr>
        <w:t>EP4344633</w:t>
      </w:r>
      <w:r w:rsidRPr="004A3E59">
        <w:rPr>
          <w:rFonts w:ascii="Times New Roman" w:eastAsia="宋体" w:hAnsi="Times New Roman" w:cs="Times New Roman"/>
          <w:kern w:val="0"/>
          <w:szCs w:val="21"/>
        </w:rPr>
        <w:t>的临时禁令。</w:t>
      </w: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11</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17</w:t>
      </w:r>
      <w:r w:rsidRPr="004A3E59">
        <w:rPr>
          <w:rFonts w:ascii="Times New Roman" w:eastAsia="宋体" w:hAnsi="Times New Roman" w:cs="Times New Roman"/>
          <w:kern w:val="0"/>
          <w:szCs w:val="21"/>
        </w:rPr>
        <w:t>日，雅培在海牙</w:t>
      </w:r>
      <w:r w:rsidRPr="004A3E59">
        <w:rPr>
          <w:rFonts w:ascii="Times New Roman" w:eastAsia="宋体" w:hAnsi="Times New Roman" w:cs="Times New Roman"/>
          <w:kern w:val="0"/>
          <w:szCs w:val="21"/>
        </w:rPr>
        <w:t>UPC</w:t>
      </w:r>
      <w:r w:rsidRPr="004A3E59">
        <w:rPr>
          <w:rFonts w:ascii="Times New Roman" w:eastAsia="宋体" w:hAnsi="Times New Roman" w:cs="Times New Roman"/>
          <w:kern w:val="0"/>
          <w:szCs w:val="21"/>
        </w:rPr>
        <w:t>分院提起了针对</w:t>
      </w:r>
      <w:r w:rsidRPr="004A3E59">
        <w:rPr>
          <w:rFonts w:ascii="Times New Roman" w:eastAsia="宋体" w:hAnsi="Times New Roman" w:cs="Times New Roman"/>
          <w:kern w:val="0"/>
          <w:szCs w:val="21"/>
        </w:rPr>
        <w:t>EP4344633</w:t>
      </w:r>
      <w:r w:rsidRPr="004A3E59">
        <w:rPr>
          <w:rFonts w:ascii="Times New Roman" w:eastAsia="宋体" w:hAnsi="Times New Roman" w:cs="Times New Roman"/>
          <w:kern w:val="0"/>
          <w:szCs w:val="21"/>
        </w:rPr>
        <w:t>的主诉。截至本报告期末，前</w:t>
      </w:r>
      <w:r w:rsidRPr="004A3E59">
        <w:rPr>
          <w:rFonts w:ascii="Times New Roman" w:eastAsia="宋体" w:hAnsi="Times New Roman" w:cs="Times New Roman" w:hint="eastAsia"/>
          <w:kern w:val="0"/>
          <w:szCs w:val="21"/>
        </w:rPr>
        <w:t>述案件均尚未开庭审理。</w:t>
      </w:r>
    </w:p>
    <w:p w14:paraId="5ECFE4C0" w14:textId="551748E5" w:rsidR="00DC359B" w:rsidRPr="00DC359B" w:rsidRDefault="004A3E59" w:rsidP="004A3E59">
      <w:pPr>
        <w:widowControl/>
        <w:spacing w:line="360" w:lineRule="auto"/>
        <w:ind w:firstLineChars="200" w:firstLine="420"/>
        <w:jc w:val="both"/>
        <w:rPr>
          <w:rFonts w:ascii="Times New Roman" w:eastAsia="宋体" w:hAnsi="Times New Roman" w:cs="Times New Roman"/>
          <w:kern w:val="0"/>
          <w:szCs w:val="21"/>
        </w:rPr>
      </w:pP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7</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10</w:t>
      </w:r>
      <w:r w:rsidRPr="004A3E59">
        <w:rPr>
          <w:rFonts w:ascii="Times New Roman" w:eastAsia="宋体" w:hAnsi="Times New Roman" w:cs="Times New Roman"/>
          <w:kern w:val="0"/>
          <w:szCs w:val="21"/>
        </w:rPr>
        <w:t>日雅培在英国专利法院，就其</w:t>
      </w:r>
      <w:r w:rsidRPr="004A3E59">
        <w:rPr>
          <w:rFonts w:ascii="Times New Roman" w:eastAsia="宋体" w:hAnsi="Times New Roman" w:cs="Times New Roman"/>
          <w:kern w:val="0"/>
          <w:szCs w:val="21"/>
        </w:rPr>
        <w:t>European Patent (UK) 4344633B1</w:t>
      </w:r>
      <w:r w:rsidRPr="004A3E59">
        <w:rPr>
          <w:rFonts w:ascii="Times New Roman" w:eastAsia="宋体" w:hAnsi="Times New Roman" w:cs="Times New Roman"/>
          <w:kern w:val="0"/>
          <w:szCs w:val="21"/>
        </w:rPr>
        <w:t>和</w:t>
      </w:r>
      <w:r w:rsidRPr="004A3E59">
        <w:rPr>
          <w:rFonts w:ascii="Times New Roman" w:eastAsia="宋体" w:hAnsi="Times New Roman" w:cs="Times New Roman"/>
          <w:kern w:val="0"/>
          <w:szCs w:val="21"/>
        </w:rPr>
        <w:t>European Patent (UK) 3988471B1</w:t>
      </w:r>
      <w:r w:rsidRPr="004A3E59">
        <w:rPr>
          <w:rFonts w:ascii="Times New Roman" w:eastAsia="宋体" w:hAnsi="Times New Roman" w:cs="Times New Roman"/>
          <w:kern w:val="0"/>
          <w:szCs w:val="21"/>
        </w:rPr>
        <w:t>针对公司提起了诉讼，</w:t>
      </w:r>
      <w:r w:rsidRPr="004A3E59">
        <w:rPr>
          <w:rFonts w:ascii="Times New Roman" w:eastAsia="宋体" w:hAnsi="Times New Roman" w:cs="Times New Roman"/>
          <w:kern w:val="0"/>
          <w:szCs w:val="21"/>
        </w:rPr>
        <w:t>2025</w:t>
      </w:r>
      <w:r w:rsidRPr="004A3E59">
        <w:rPr>
          <w:rFonts w:ascii="Times New Roman" w:eastAsia="宋体" w:hAnsi="Times New Roman" w:cs="Times New Roman"/>
          <w:kern w:val="0"/>
          <w:szCs w:val="21"/>
        </w:rPr>
        <w:t>年</w:t>
      </w:r>
      <w:r w:rsidRPr="004A3E59">
        <w:rPr>
          <w:rFonts w:ascii="Times New Roman" w:eastAsia="宋体" w:hAnsi="Times New Roman" w:cs="Times New Roman"/>
          <w:kern w:val="0"/>
          <w:szCs w:val="21"/>
        </w:rPr>
        <w:t>9</w:t>
      </w:r>
      <w:r w:rsidRPr="004A3E59">
        <w:rPr>
          <w:rFonts w:ascii="Times New Roman" w:eastAsia="宋体" w:hAnsi="Times New Roman" w:cs="Times New Roman"/>
          <w:kern w:val="0"/>
          <w:szCs w:val="21"/>
        </w:rPr>
        <w:t>月</w:t>
      </w:r>
      <w:r w:rsidRPr="004A3E59">
        <w:rPr>
          <w:rFonts w:ascii="Times New Roman" w:eastAsia="宋体" w:hAnsi="Times New Roman" w:cs="Times New Roman"/>
          <w:kern w:val="0"/>
          <w:szCs w:val="21"/>
        </w:rPr>
        <w:t>5</w:t>
      </w:r>
      <w:r w:rsidRPr="004A3E59">
        <w:rPr>
          <w:rFonts w:ascii="Times New Roman" w:eastAsia="宋体" w:hAnsi="Times New Roman" w:cs="Times New Roman"/>
          <w:kern w:val="0"/>
          <w:szCs w:val="21"/>
        </w:rPr>
        <w:t>日双方达成一致，雅培撤回了临时禁令申请，诉讼仍在进展中，目前该案件尚未开庭审理。</w:t>
      </w:r>
    </w:p>
    <w:p w14:paraId="68877144"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十八、公司子公司重大事项</w:t>
      </w:r>
    </w:p>
    <w:p w14:paraId="2F111D8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3EA6F6D3" w14:textId="77777777" w:rsidR="00DC359B" w:rsidRPr="00DC359B" w:rsidRDefault="00DC359B" w:rsidP="00DC359B">
      <w:pPr>
        <w:widowControl/>
        <w:spacing w:before="120" w:after="120" w:line="360" w:lineRule="auto"/>
        <w:ind w:firstLine="422"/>
        <w:rPr>
          <w:rFonts w:ascii="宋体" w:eastAsia="宋体" w:hAnsi="宋体" w:cs="宋体"/>
          <w:kern w:val="0"/>
          <w:sz w:val="24"/>
          <w:szCs w:val="24"/>
        </w:rPr>
      </w:pPr>
      <w:r w:rsidRPr="00DC359B">
        <w:rPr>
          <w:rFonts w:ascii="宋体" w:eastAsia="宋体" w:hAnsi="宋体" w:cs="宋体" w:hint="eastAsia"/>
          <w:b/>
          <w:bCs/>
          <w:kern w:val="0"/>
          <w:szCs w:val="21"/>
        </w:rPr>
        <w:t>1、THI与罗氏交叉专利许可</w:t>
      </w:r>
    </w:p>
    <w:p w14:paraId="2657BF44" w14:textId="634F1C09"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日，</w:t>
      </w:r>
      <w:r w:rsidRPr="00DC359B">
        <w:rPr>
          <w:rFonts w:ascii="Times New Roman" w:eastAsia="宋体" w:hAnsi="Times New Roman" w:cs="Times New Roman"/>
          <w:kern w:val="0"/>
          <w:szCs w:val="21"/>
        </w:rPr>
        <w:t>Roche Diabetes Care, Inc.</w:t>
      </w:r>
      <w:r w:rsidRPr="00DC359B">
        <w:rPr>
          <w:rFonts w:ascii="Times New Roman" w:eastAsia="宋体" w:hAnsi="Times New Roman" w:cs="Times New Roman" w:hint="eastAsia"/>
          <w:kern w:val="0"/>
          <w:szCs w:val="21"/>
        </w:rPr>
        <w:t>（以下简称</w:t>
      </w:r>
      <w:r w:rsidR="004A3E59">
        <w:rPr>
          <w:rFonts w:ascii="Times New Roman" w:eastAsia="宋体" w:hAnsi="Times New Roman" w:cs="Times New Roman" w:hint="eastAsia"/>
          <w:kern w:val="0"/>
          <w:szCs w:val="21"/>
        </w:rPr>
        <w:t>“</w:t>
      </w:r>
      <w:r w:rsidRPr="00DC359B">
        <w:rPr>
          <w:rFonts w:ascii="Times New Roman" w:eastAsia="宋体" w:hAnsi="Times New Roman" w:cs="Times New Roman" w:hint="eastAsia"/>
          <w:kern w:val="0"/>
          <w:szCs w:val="21"/>
        </w:rPr>
        <w:t>罗氏</w:t>
      </w:r>
      <w:r w:rsidR="004A3E59">
        <w:rPr>
          <w:rFonts w:ascii="Times New Roman" w:eastAsia="宋体" w:hAnsi="Times New Roman" w:cs="Times New Roman" w:hint="eastAsia"/>
          <w:kern w:val="0"/>
          <w:szCs w:val="21"/>
        </w:rPr>
        <w:t>”</w:t>
      </w:r>
      <w:r w:rsidRPr="00DC359B">
        <w:rPr>
          <w:rFonts w:ascii="Times New Roman" w:eastAsia="宋体" w:hAnsi="Times New Roman" w:cs="Times New Roman" w:hint="eastAsia"/>
          <w:kern w:val="0"/>
          <w:szCs w:val="21"/>
        </w:rPr>
        <w:t>）在美国特拉华州联邦地区法院向本公司之孙公司</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提起专利侵权诉讼。罗氏认为</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销售的</w:t>
      </w:r>
      <w:r w:rsidRPr="00DC359B">
        <w:rPr>
          <w:rFonts w:ascii="Times New Roman" w:eastAsia="宋体" w:hAnsi="Times New Roman" w:cs="Times New Roman"/>
          <w:kern w:val="0"/>
          <w:szCs w:val="21"/>
        </w:rPr>
        <w:t>TRUE METRIX</w:t>
      </w:r>
      <w:r w:rsidRPr="00DC359B">
        <w:rPr>
          <w:rFonts w:ascii="Times New Roman" w:eastAsia="宋体" w:hAnsi="Times New Roman" w:cs="Times New Roman" w:hint="eastAsia"/>
          <w:kern w:val="0"/>
          <w:szCs w:val="21"/>
        </w:rPr>
        <w:t>和</w:t>
      </w:r>
      <w:r w:rsidRPr="00DC359B">
        <w:rPr>
          <w:rFonts w:ascii="Times New Roman" w:eastAsia="宋体" w:hAnsi="Times New Roman" w:cs="Times New Roman"/>
          <w:kern w:val="0"/>
          <w:szCs w:val="21"/>
        </w:rPr>
        <w:t>TRUE METRIX PRO</w:t>
      </w:r>
      <w:r w:rsidRPr="00DC359B">
        <w:rPr>
          <w:rFonts w:ascii="Times New Roman" w:eastAsia="宋体" w:hAnsi="Times New Roman" w:cs="Times New Roman" w:hint="eastAsia"/>
          <w:kern w:val="0"/>
          <w:szCs w:val="21"/>
        </w:rPr>
        <w:t>试条侵犯了其</w:t>
      </w:r>
      <w:r w:rsidRPr="00DC359B">
        <w:rPr>
          <w:rFonts w:ascii="Times New Roman" w:eastAsia="宋体" w:hAnsi="Times New Roman" w:cs="Times New Roman"/>
          <w:kern w:val="0"/>
          <w:szCs w:val="21"/>
        </w:rPr>
        <w:t>7,727,467</w:t>
      </w:r>
      <w:r w:rsidRPr="00DC359B">
        <w:rPr>
          <w:rFonts w:ascii="Times New Roman" w:eastAsia="宋体" w:hAnsi="Times New Roman" w:cs="Times New Roman" w:hint="eastAsia"/>
          <w:kern w:val="0"/>
          <w:szCs w:val="21"/>
        </w:rPr>
        <w:t>号和</w:t>
      </w:r>
      <w:r w:rsidRPr="00DC359B">
        <w:rPr>
          <w:rFonts w:ascii="Times New Roman" w:eastAsia="宋体" w:hAnsi="Times New Roman" w:cs="Times New Roman"/>
          <w:kern w:val="0"/>
          <w:szCs w:val="21"/>
        </w:rPr>
        <w:t>7,892,849</w:t>
      </w:r>
      <w:r w:rsidRPr="00DC359B">
        <w:rPr>
          <w:rFonts w:ascii="Times New Roman" w:eastAsia="宋体" w:hAnsi="Times New Roman" w:cs="Times New Roman" w:hint="eastAsia"/>
          <w:kern w:val="0"/>
          <w:szCs w:val="21"/>
        </w:rPr>
        <w:t>号两项美国专利。</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已于</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26</w:t>
      </w:r>
      <w:r w:rsidRPr="00DC359B">
        <w:rPr>
          <w:rFonts w:ascii="Times New Roman" w:eastAsia="宋体" w:hAnsi="Times New Roman" w:cs="Times New Roman" w:hint="eastAsia"/>
          <w:kern w:val="0"/>
          <w:szCs w:val="21"/>
        </w:rPr>
        <w:t>日回复起诉书，否认有任何侵权行为，并反诉罗氏所主张的专利因已存在现有技术而无效，且因其在美国专利局存在不当行为而不可执行，并反诉罗氏侵犯了</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所拥有的</w:t>
      </w:r>
      <w:r w:rsidRPr="00DC359B">
        <w:rPr>
          <w:rFonts w:ascii="Times New Roman" w:eastAsia="宋体" w:hAnsi="Times New Roman" w:cs="Times New Roman"/>
          <w:kern w:val="0"/>
          <w:szCs w:val="21"/>
        </w:rPr>
        <w:t>No. 8,128,981</w:t>
      </w:r>
      <w:r w:rsidRPr="00DC359B">
        <w:rPr>
          <w:rFonts w:ascii="Times New Roman" w:eastAsia="宋体" w:hAnsi="Times New Roman" w:cs="Times New Roman" w:hint="eastAsia"/>
          <w:kern w:val="0"/>
          <w:szCs w:val="21"/>
        </w:rPr>
        <w:t>专利。</w:t>
      </w:r>
    </w:p>
    <w:p w14:paraId="0F51598A" w14:textId="79546F80"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自</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月法院发布权利要求解释令后，案件进入事实证据开示阶段。在事实证据开示即将结束、专家证据开示将于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年底启动之前，庭审定于</w:t>
      </w:r>
      <w:r w:rsidRPr="00DC359B">
        <w:rPr>
          <w:rFonts w:ascii="Times New Roman" w:eastAsia="宋体" w:hAnsi="Times New Roman" w:cs="Times New Roman"/>
          <w:kern w:val="0"/>
          <w:szCs w:val="21"/>
        </w:rPr>
        <w:t>2026</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9</w:t>
      </w:r>
      <w:r w:rsidRPr="00DC359B">
        <w:rPr>
          <w:rFonts w:ascii="Times New Roman" w:eastAsia="宋体" w:hAnsi="Times New Roman" w:cs="Times New Roman" w:hint="eastAsia"/>
          <w:kern w:val="0"/>
          <w:szCs w:val="21"/>
        </w:rPr>
        <w:t>月进行，考虑到</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在此诉讼上已投入了大量的资金成本和时间成本，为避免因长期专利纠纷所造成的后续诉讼成本增加、企业资源浪费，更好地专注于核心业务，为糖尿病患者提供服务，最终决定与罗氏进行和解协商。经友好协商，</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日与罗氏就</w:t>
      </w:r>
      <w:r w:rsidRPr="00DC359B">
        <w:rPr>
          <w:rFonts w:ascii="Times New Roman" w:eastAsia="宋体" w:hAnsi="Times New Roman" w:cs="Times New Roman"/>
          <w:kern w:val="0"/>
          <w:szCs w:val="21"/>
        </w:rPr>
        <w:t>BGM</w:t>
      </w:r>
      <w:r w:rsidRPr="00DC359B">
        <w:rPr>
          <w:rFonts w:ascii="Times New Roman" w:eastAsia="宋体" w:hAnsi="Times New Roman" w:cs="Times New Roman" w:hint="eastAsia"/>
          <w:kern w:val="0"/>
          <w:szCs w:val="21"/>
        </w:rPr>
        <w:t>产品签订了交叉专利许可和解协议。该协议生效后，</w:t>
      </w:r>
      <w:r w:rsidRPr="00DC359B">
        <w:rPr>
          <w:rFonts w:ascii="Times New Roman" w:eastAsia="宋体" w:hAnsi="Times New Roman" w:cs="Times New Roman"/>
          <w:kern w:val="0"/>
          <w:szCs w:val="21"/>
        </w:rPr>
        <w:t>Trividia</w:t>
      </w:r>
      <w:r w:rsidRPr="00DC359B">
        <w:rPr>
          <w:rFonts w:ascii="Times New Roman" w:eastAsia="宋体" w:hAnsi="Times New Roman" w:cs="Times New Roman" w:hint="eastAsia"/>
          <w:kern w:val="0"/>
          <w:szCs w:val="21"/>
        </w:rPr>
        <w:t>获得罗氏专利授权（涵盖至少</w:t>
      </w:r>
      <w:r w:rsidRPr="00DC359B">
        <w:rPr>
          <w:rFonts w:ascii="Times New Roman" w:eastAsia="宋体" w:hAnsi="Times New Roman" w:cs="Times New Roman"/>
          <w:kern w:val="0"/>
          <w:szCs w:val="21"/>
        </w:rPr>
        <w:t>39</w:t>
      </w:r>
      <w:r w:rsidRPr="00DC359B">
        <w:rPr>
          <w:rFonts w:ascii="Times New Roman" w:eastAsia="宋体" w:hAnsi="Times New Roman" w:cs="Times New Roman" w:hint="eastAsia"/>
          <w:kern w:val="0"/>
          <w:szCs w:val="21"/>
        </w:rPr>
        <w:t>项美国专利及专利申请以及境外对应专利），以用于实施</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产品；同时，罗氏则获得</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专利授权（涵盖至少</w:t>
      </w: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项美国专利及境外对应专利）。</w:t>
      </w:r>
      <w:r w:rsidRPr="00DC359B">
        <w:rPr>
          <w:rFonts w:ascii="Times New Roman" w:eastAsia="宋体" w:hAnsi="Times New Roman" w:cs="Times New Roman"/>
          <w:kern w:val="0"/>
          <w:szCs w:val="21"/>
        </w:rPr>
        <w:t>THI</w:t>
      </w:r>
      <w:r w:rsidRPr="00DC359B">
        <w:rPr>
          <w:rFonts w:ascii="Times New Roman" w:eastAsia="宋体" w:hAnsi="Times New Roman" w:cs="Times New Roman" w:hint="eastAsia"/>
          <w:kern w:val="0"/>
          <w:szCs w:val="21"/>
        </w:rPr>
        <w:t>需根据协议向罗氏净额支付</w:t>
      </w:r>
      <w:r w:rsidRPr="00DC359B">
        <w:rPr>
          <w:rFonts w:ascii="Times New Roman" w:eastAsia="宋体" w:hAnsi="Times New Roman" w:cs="Times New Roman"/>
          <w:kern w:val="0"/>
          <w:szCs w:val="21"/>
        </w:rPr>
        <w:t>1,900</w:t>
      </w:r>
      <w:r w:rsidRPr="00DC359B">
        <w:rPr>
          <w:rFonts w:ascii="Times New Roman" w:eastAsia="宋体" w:hAnsi="Times New Roman" w:cs="Times New Roman" w:hint="eastAsia"/>
          <w:kern w:val="0"/>
          <w:szCs w:val="21"/>
        </w:rPr>
        <w:t>万美元。相关诉讼已于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17</w:t>
      </w:r>
      <w:r w:rsidRPr="00DC359B">
        <w:rPr>
          <w:rFonts w:ascii="Times New Roman" w:eastAsia="宋体" w:hAnsi="Times New Roman" w:cs="Times New Roman" w:hint="eastAsia"/>
          <w:kern w:val="0"/>
          <w:szCs w:val="21"/>
        </w:rPr>
        <w:t>日以“有偏见驳回”方式终结。上述事项对公司</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年归属于上市公司股东的净利润影响金额为人民币</w:t>
      </w:r>
      <w:r w:rsidRPr="00DC359B">
        <w:rPr>
          <w:rFonts w:ascii="Times New Roman" w:eastAsia="宋体" w:hAnsi="Times New Roman" w:cs="Times New Roman"/>
          <w:kern w:val="0"/>
          <w:szCs w:val="21"/>
        </w:rPr>
        <w:t>7,</w:t>
      </w:r>
      <w:r w:rsidR="004A3E59" w:rsidRPr="004A3E59">
        <w:rPr>
          <w:rFonts w:ascii="Times New Roman" w:eastAsia="宋体" w:hAnsi="Times New Roman" w:cs="Times New Roman"/>
          <w:kern w:val="0"/>
          <w:szCs w:val="21"/>
        </w:rPr>
        <w:t>463.07</w:t>
      </w:r>
      <w:r w:rsidRPr="00DC359B">
        <w:rPr>
          <w:rFonts w:ascii="Times New Roman" w:eastAsia="宋体" w:hAnsi="Times New Roman" w:cs="Times New Roman" w:hint="eastAsia"/>
          <w:kern w:val="0"/>
          <w:szCs w:val="21"/>
        </w:rPr>
        <w:t>万元。</w:t>
      </w:r>
    </w:p>
    <w:p w14:paraId="3EE4C1B3" w14:textId="77777777" w:rsidR="00DC359B" w:rsidRPr="00DC359B" w:rsidRDefault="00DC359B" w:rsidP="00DC359B">
      <w:pPr>
        <w:rPr>
          <w:rFonts w:ascii="等线" w:eastAsia="等线" w:hAnsi="等线" w:cs="Times New Roman"/>
        </w:rPr>
      </w:pPr>
      <w:r w:rsidRPr="00DC359B">
        <w:rPr>
          <w:rFonts w:ascii="等线" w:eastAsia="等线" w:hAnsi="等线" w:cs="Times New Roman"/>
        </w:rPr>
        <w:br w:type="page"/>
      </w:r>
    </w:p>
    <w:p w14:paraId="68E7BD34" w14:textId="77777777" w:rsidR="00DC359B" w:rsidRPr="00DC359B" w:rsidRDefault="00DC359B" w:rsidP="00DC359B">
      <w:pPr>
        <w:keepNext/>
        <w:keepLines/>
        <w:spacing w:before="340" w:after="330" w:line="773" w:lineRule="exact"/>
        <w:jc w:val="center"/>
        <w:outlineLvl w:val="0"/>
        <w:rPr>
          <w:rFonts w:ascii="宋体" w:eastAsia="宋体" w:hAnsi="宋体" w:cs="宋体"/>
          <w:b/>
          <w:bCs/>
          <w:kern w:val="44"/>
          <w:sz w:val="32"/>
          <w:szCs w:val="32"/>
        </w:rPr>
      </w:pPr>
      <w:bookmarkStart w:id="99" w:name="_Toc228122507"/>
      <w:r w:rsidRPr="00DC359B">
        <w:rPr>
          <w:rFonts w:ascii="宋体" w:eastAsia="宋体" w:hAnsi="宋体" w:cs="宋体"/>
          <w:b/>
          <w:bCs/>
          <w:kern w:val="44"/>
          <w:sz w:val="32"/>
          <w:szCs w:val="32"/>
        </w:rPr>
        <w:t>第六节 股份变动及股东情况</w:t>
      </w:r>
      <w:bookmarkEnd w:id="99"/>
    </w:p>
    <w:p w14:paraId="1D52512E"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一、股份变动情况</w:t>
      </w:r>
    </w:p>
    <w:p w14:paraId="7A010AA7" w14:textId="77777777" w:rsidR="00DC359B" w:rsidRPr="00DC359B" w:rsidRDefault="00DC359B" w:rsidP="00DC359B">
      <w:pPr>
        <w:keepNext/>
        <w:keepLines/>
        <w:spacing w:before="300" w:after="300" w:line="280" w:lineRule="exact"/>
        <w:outlineLvl w:val="2"/>
        <w:rPr>
          <w:rFonts w:ascii="宋体" w:eastAsia="宋体" w:hAnsi="宋体" w:cs="宋体"/>
          <w:b/>
          <w:bCs/>
          <w:szCs w:val="21"/>
        </w:rPr>
      </w:pPr>
      <w:r w:rsidRPr="00DC359B">
        <w:rPr>
          <w:rFonts w:ascii="宋体" w:eastAsia="宋体" w:hAnsi="宋体" w:cs="宋体"/>
          <w:b/>
          <w:bCs/>
          <w:szCs w:val="21"/>
        </w:rPr>
        <w:t>1、股份变动情况</w:t>
      </w:r>
    </w:p>
    <w:p w14:paraId="1502AAAC" w14:textId="77777777" w:rsidR="00DC359B" w:rsidRPr="00DC359B" w:rsidRDefault="00DC359B" w:rsidP="00DC359B">
      <w:pPr>
        <w:spacing w:before="40" w:after="40" w:line="240" w:lineRule="exact"/>
        <w:jc w:val="right"/>
        <w:rPr>
          <w:rFonts w:ascii="宋体" w:eastAsia="宋体" w:hAnsi="宋体" w:cs="宋体"/>
          <w:sz w:val="18"/>
          <w:szCs w:val="18"/>
        </w:rPr>
      </w:pPr>
      <w:r w:rsidRPr="00DC359B">
        <w:rPr>
          <w:rFonts w:ascii="宋体" w:eastAsia="宋体" w:hAnsi="宋体" w:cs="宋体"/>
          <w:sz w:val="18"/>
          <w:szCs w:val="18"/>
        </w:rPr>
        <w:t>单位：股</w:t>
      </w:r>
    </w:p>
    <w:tbl>
      <w:tblPr>
        <w:tblW w:w="9639" w:type="dxa"/>
        <w:tblInd w:w="108" w:type="dxa"/>
        <w:tblLayout w:type="fixed"/>
        <w:tblCellMar>
          <w:left w:w="28" w:type="dxa"/>
          <w:right w:w="28" w:type="dxa"/>
        </w:tblCellMar>
        <w:tblLook w:val="0000" w:firstRow="0" w:lastRow="0" w:firstColumn="0" w:lastColumn="0" w:noHBand="0" w:noVBand="0"/>
      </w:tblPr>
      <w:tblGrid>
        <w:gridCol w:w="2047"/>
        <w:gridCol w:w="992"/>
        <w:gridCol w:w="709"/>
        <w:gridCol w:w="850"/>
        <w:gridCol w:w="567"/>
        <w:gridCol w:w="992"/>
        <w:gridCol w:w="851"/>
        <w:gridCol w:w="850"/>
        <w:gridCol w:w="993"/>
        <w:gridCol w:w="788"/>
      </w:tblGrid>
      <w:tr w:rsidR="00C57E60" w14:paraId="74DE188A" w14:textId="77777777" w:rsidTr="00DC359B">
        <w:trPr>
          <w:trHeight w:val="240"/>
        </w:trPr>
        <w:tc>
          <w:tcPr>
            <w:tcW w:w="204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25A41A8" w14:textId="77777777" w:rsidR="00DC359B" w:rsidRPr="00DC359B" w:rsidRDefault="00DC359B" w:rsidP="00DC359B">
            <w:pPr>
              <w:spacing w:line="360" w:lineRule="auto"/>
              <w:rPr>
                <w:rFonts w:ascii="Times New Roman" w:eastAsia="等线" w:hAnsi="Times New Roman" w:cs="Times New Roman"/>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B959435"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本次变动前</w:t>
            </w:r>
          </w:p>
        </w:tc>
        <w:tc>
          <w:tcPr>
            <w:tcW w:w="4110"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3463AEB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本次变动增减（＋，－）</w:t>
            </w:r>
          </w:p>
        </w:tc>
        <w:tc>
          <w:tcPr>
            <w:tcW w:w="178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F3266E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本次变动后</w:t>
            </w:r>
          </w:p>
        </w:tc>
      </w:tr>
      <w:tr w:rsidR="00C57E60" w14:paraId="14C4CB23" w14:textId="77777777" w:rsidTr="00DC359B">
        <w:trPr>
          <w:trHeight w:val="240"/>
        </w:trPr>
        <w:tc>
          <w:tcPr>
            <w:tcW w:w="204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2C46688" w14:textId="77777777" w:rsidR="00DC359B" w:rsidRPr="00DC359B" w:rsidRDefault="00DC359B" w:rsidP="00DC359B">
            <w:pPr>
              <w:spacing w:line="360" w:lineRule="auto"/>
              <w:rPr>
                <w:rFonts w:ascii="Times New Roman" w:eastAsia="等线" w:hAnsi="Times New Roman" w:cs="Times New Roman"/>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139E1F4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数量</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4230FF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比例</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4028EF91"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发行新股</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D7B704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送股</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38F557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公积金转股</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2CCFACC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其他</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624E8C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小计</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4102C58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数量</w:t>
            </w:r>
          </w:p>
        </w:tc>
        <w:tc>
          <w:tcPr>
            <w:tcW w:w="788" w:type="dxa"/>
            <w:tcBorders>
              <w:top w:val="single" w:sz="2" w:space="0" w:color="auto"/>
              <w:left w:val="single" w:sz="2" w:space="0" w:color="auto"/>
              <w:bottom w:val="single" w:sz="2" w:space="0" w:color="auto"/>
              <w:right w:val="single" w:sz="2" w:space="0" w:color="auto"/>
            </w:tcBorders>
            <w:shd w:val="clear" w:color="auto" w:fill="D3D3D3"/>
            <w:vAlign w:val="center"/>
          </w:tcPr>
          <w:p w14:paraId="22609E7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比例</w:t>
            </w:r>
          </w:p>
        </w:tc>
      </w:tr>
      <w:tr w:rsidR="00C57E60" w14:paraId="2A2EFC39"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3691B225"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一、有限售条件股份</w:t>
            </w:r>
          </w:p>
        </w:tc>
        <w:tc>
          <w:tcPr>
            <w:tcW w:w="992" w:type="dxa"/>
            <w:tcBorders>
              <w:top w:val="single" w:sz="2" w:space="0" w:color="auto"/>
              <w:left w:val="single" w:sz="2" w:space="0" w:color="auto"/>
              <w:bottom w:val="single" w:sz="2" w:space="0" w:color="auto"/>
              <w:right w:val="single" w:sz="2" w:space="0" w:color="auto"/>
            </w:tcBorders>
            <w:vAlign w:val="center"/>
          </w:tcPr>
          <w:p w14:paraId="0E6C051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108,919,658</w:t>
            </w:r>
          </w:p>
        </w:tc>
        <w:tc>
          <w:tcPr>
            <w:tcW w:w="709" w:type="dxa"/>
            <w:tcBorders>
              <w:top w:val="single" w:sz="2" w:space="0" w:color="auto"/>
              <w:left w:val="single" w:sz="2" w:space="0" w:color="auto"/>
              <w:bottom w:val="single" w:sz="2" w:space="0" w:color="auto"/>
              <w:right w:val="single" w:sz="2" w:space="0" w:color="auto"/>
            </w:tcBorders>
            <w:vAlign w:val="center"/>
          </w:tcPr>
          <w:p w14:paraId="610C206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19.30%</w:t>
            </w:r>
          </w:p>
        </w:tc>
        <w:tc>
          <w:tcPr>
            <w:tcW w:w="850" w:type="dxa"/>
            <w:tcBorders>
              <w:top w:val="single" w:sz="2" w:space="0" w:color="auto"/>
              <w:left w:val="single" w:sz="2" w:space="0" w:color="auto"/>
              <w:bottom w:val="single" w:sz="2" w:space="0" w:color="auto"/>
              <w:right w:val="single" w:sz="2" w:space="0" w:color="auto"/>
            </w:tcBorders>
            <w:vAlign w:val="center"/>
          </w:tcPr>
          <w:p w14:paraId="2944734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42072C6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840564C"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473B6F6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850" w:type="dxa"/>
            <w:tcBorders>
              <w:top w:val="single" w:sz="2" w:space="0" w:color="auto"/>
              <w:left w:val="single" w:sz="2" w:space="0" w:color="auto"/>
              <w:bottom w:val="single" w:sz="2" w:space="0" w:color="auto"/>
              <w:right w:val="single" w:sz="2" w:space="0" w:color="auto"/>
            </w:tcBorders>
            <w:vAlign w:val="center"/>
          </w:tcPr>
          <w:p w14:paraId="4E2CF145"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993" w:type="dxa"/>
            <w:tcBorders>
              <w:top w:val="single" w:sz="2" w:space="0" w:color="auto"/>
              <w:left w:val="single" w:sz="2" w:space="0" w:color="auto"/>
              <w:bottom w:val="single" w:sz="2" w:space="0" w:color="auto"/>
              <w:right w:val="single" w:sz="2" w:space="0" w:color="auto"/>
            </w:tcBorders>
            <w:vAlign w:val="center"/>
          </w:tcPr>
          <w:p w14:paraId="2D30C8C6"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108,966,608</w:t>
            </w:r>
          </w:p>
        </w:tc>
        <w:tc>
          <w:tcPr>
            <w:tcW w:w="788" w:type="dxa"/>
            <w:tcBorders>
              <w:top w:val="single" w:sz="2" w:space="0" w:color="auto"/>
              <w:left w:val="single" w:sz="2" w:space="0" w:color="auto"/>
              <w:bottom w:val="single" w:sz="2" w:space="0" w:color="auto"/>
              <w:right w:val="single" w:sz="2" w:space="0" w:color="auto"/>
            </w:tcBorders>
            <w:vAlign w:val="center"/>
          </w:tcPr>
          <w:p w14:paraId="43930C3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19.45%</w:t>
            </w:r>
          </w:p>
        </w:tc>
      </w:tr>
      <w:tr w:rsidR="00C57E60" w14:paraId="6CFA92B7"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10EF9E89"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、国家持股</w:t>
            </w:r>
          </w:p>
        </w:tc>
        <w:tc>
          <w:tcPr>
            <w:tcW w:w="992" w:type="dxa"/>
            <w:tcBorders>
              <w:top w:val="single" w:sz="2" w:space="0" w:color="auto"/>
              <w:left w:val="single" w:sz="2" w:space="0" w:color="auto"/>
              <w:bottom w:val="single" w:sz="2" w:space="0" w:color="auto"/>
              <w:right w:val="single" w:sz="2" w:space="0" w:color="auto"/>
            </w:tcBorders>
            <w:vAlign w:val="center"/>
          </w:tcPr>
          <w:p w14:paraId="53A1ADAF"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7C90EA16"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E71543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3CB79B9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AD7D34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74D04CB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761AE15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0042B12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1991E43B"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75620986"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0AF43E74"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、国有法人持股</w:t>
            </w:r>
          </w:p>
        </w:tc>
        <w:tc>
          <w:tcPr>
            <w:tcW w:w="992" w:type="dxa"/>
            <w:tcBorders>
              <w:top w:val="single" w:sz="2" w:space="0" w:color="auto"/>
              <w:left w:val="single" w:sz="2" w:space="0" w:color="auto"/>
              <w:bottom w:val="single" w:sz="2" w:space="0" w:color="auto"/>
              <w:right w:val="single" w:sz="2" w:space="0" w:color="auto"/>
            </w:tcBorders>
            <w:vAlign w:val="center"/>
          </w:tcPr>
          <w:p w14:paraId="570C989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19471B4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7EE3BD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697AD17D"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7C3AA9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18731D5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3399A4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23E153F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165E0178"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1DACC8C0"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3C9A9398"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、其他内资持股</w:t>
            </w:r>
          </w:p>
        </w:tc>
        <w:tc>
          <w:tcPr>
            <w:tcW w:w="992" w:type="dxa"/>
            <w:tcBorders>
              <w:top w:val="single" w:sz="2" w:space="0" w:color="auto"/>
              <w:left w:val="single" w:sz="2" w:space="0" w:color="auto"/>
              <w:bottom w:val="single" w:sz="2" w:space="0" w:color="auto"/>
              <w:right w:val="single" w:sz="2" w:space="0" w:color="auto"/>
            </w:tcBorders>
            <w:vAlign w:val="center"/>
          </w:tcPr>
          <w:p w14:paraId="111D054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108,919,658</w:t>
            </w:r>
          </w:p>
        </w:tc>
        <w:tc>
          <w:tcPr>
            <w:tcW w:w="709" w:type="dxa"/>
            <w:tcBorders>
              <w:top w:val="single" w:sz="2" w:space="0" w:color="auto"/>
              <w:left w:val="single" w:sz="2" w:space="0" w:color="auto"/>
              <w:bottom w:val="single" w:sz="2" w:space="0" w:color="auto"/>
              <w:right w:val="single" w:sz="2" w:space="0" w:color="auto"/>
            </w:tcBorders>
            <w:vAlign w:val="center"/>
          </w:tcPr>
          <w:p w14:paraId="21609DE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19.30%</w:t>
            </w:r>
          </w:p>
        </w:tc>
        <w:tc>
          <w:tcPr>
            <w:tcW w:w="850" w:type="dxa"/>
            <w:tcBorders>
              <w:top w:val="single" w:sz="2" w:space="0" w:color="auto"/>
              <w:left w:val="single" w:sz="2" w:space="0" w:color="auto"/>
              <w:bottom w:val="single" w:sz="2" w:space="0" w:color="auto"/>
              <w:right w:val="single" w:sz="2" w:space="0" w:color="auto"/>
            </w:tcBorders>
            <w:vAlign w:val="center"/>
          </w:tcPr>
          <w:p w14:paraId="1296A5B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385F8464"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366CB4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5991C35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850" w:type="dxa"/>
            <w:tcBorders>
              <w:top w:val="single" w:sz="2" w:space="0" w:color="auto"/>
              <w:left w:val="single" w:sz="2" w:space="0" w:color="auto"/>
              <w:bottom w:val="single" w:sz="2" w:space="0" w:color="auto"/>
              <w:right w:val="single" w:sz="2" w:space="0" w:color="auto"/>
            </w:tcBorders>
            <w:vAlign w:val="center"/>
          </w:tcPr>
          <w:p w14:paraId="48003BF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993" w:type="dxa"/>
            <w:tcBorders>
              <w:top w:val="single" w:sz="2" w:space="0" w:color="auto"/>
              <w:left w:val="single" w:sz="2" w:space="0" w:color="auto"/>
              <w:bottom w:val="single" w:sz="2" w:space="0" w:color="auto"/>
              <w:right w:val="single" w:sz="2" w:space="0" w:color="auto"/>
            </w:tcBorders>
            <w:vAlign w:val="center"/>
          </w:tcPr>
          <w:p w14:paraId="4C0A797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108,966,608</w:t>
            </w:r>
          </w:p>
        </w:tc>
        <w:tc>
          <w:tcPr>
            <w:tcW w:w="788" w:type="dxa"/>
            <w:tcBorders>
              <w:top w:val="single" w:sz="2" w:space="0" w:color="auto"/>
              <w:left w:val="single" w:sz="2" w:space="0" w:color="auto"/>
              <w:bottom w:val="single" w:sz="2" w:space="0" w:color="auto"/>
              <w:right w:val="single" w:sz="2" w:space="0" w:color="auto"/>
            </w:tcBorders>
            <w:vAlign w:val="center"/>
          </w:tcPr>
          <w:p w14:paraId="48E3475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19.45%</w:t>
            </w:r>
          </w:p>
        </w:tc>
      </w:tr>
      <w:tr w:rsidR="00C57E60" w14:paraId="360B98A1"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47ADF8C3" w14:textId="77777777" w:rsidR="00DC359B" w:rsidRPr="00DC359B" w:rsidRDefault="00DC359B" w:rsidP="00DC359B">
            <w:pPr>
              <w:spacing w:before="40" w:after="40" w:line="360" w:lineRule="auto"/>
              <w:ind w:firstLineChars="200" w:firstLine="360"/>
              <w:rPr>
                <w:rFonts w:ascii="Times New Roman" w:eastAsia="宋体" w:hAnsi="Times New Roman" w:cs="Times New Roman"/>
                <w:sz w:val="18"/>
                <w:szCs w:val="18"/>
              </w:rPr>
            </w:pPr>
            <w:r w:rsidRPr="00DC359B">
              <w:rPr>
                <w:rFonts w:ascii="Times New Roman" w:eastAsia="宋体" w:hAnsi="Times New Roman" w:cs="Times New Roman"/>
                <w:sz w:val="18"/>
                <w:szCs w:val="18"/>
              </w:rPr>
              <w:t>其中：境内法人持股</w:t>
            </w:r>
          </w:p>
        </w:tc>
        <w:tc>
          <w:tcPr>
            <w:tcW w:w="992" w:type="dxa"/>
            <w:tcBorders>
              <w:top w:val="single" w:sz="2" w:space="0" w:color="auto"/>
              <w:left w:val="single" w:sz="2" w:space="0" w:color="auto"/>
              <w:bottom w:val="single" w:sz="2" w:space="0" w:color="auto"/>
              <w:right w:val="single" w:sz="2" w:space="0" w:color="auto"/>
            </w:tcBorders>
            <w:vAlign w:val="center"/>
          </w:tcPr>
          <w:p w14:paraId="782D29C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77A8A86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C528EF5"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2642FE6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325C3F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0ADC278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AE4906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6D8481A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0F6ED364"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5B6C6CE2"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6C01F9E3" w14:textId="77777777" w:rsidR="00DC359B" w:rsidRPr="00DC359B" w:rsidRDefault="00DC359B" w:rsidP="00DC359B">
            <w:pPr>
              <w:spacing w:before="40" w:after="40" w:line="360" w:lineRule="auto"/>
              <w:ind w:firstLineChars="200" w:firstLine="360"/>
              <w:rPr>
                <w:rFonts w:ascii="Times New Roman" w:eastAsia="宋体" w:hAnsi="Times New Roman" w:cs="Times New Roman"/>
                <w:sz w:val="18"/>
                <w:szCs w:val="18"/>
              </w:rPr>
            </w:pPr>
            <w:r w:rsidRPr="00DC359B">
              <w:rPr>
                <w:rFonts w:ascii="Times New Roman" w:eastAsia="宋体" w:hAnsi="Times New Roman" w:cs="Times New Roman"/>
                <w:sz w:val="18"/>
                <w:szCs w:val="18"/>
              </w:rPr>
              <w:t>境内自然人持股</w:t>
            </w:r>
          </w:p>
        </w:tc>
        <w:tc>
          <w:tcPr>
            <w:tcW w:w="992" w:type="dxa"/>
            <w:tcBorders>
              <w:top w:val="single" w:sz="2" w:space="0" w:color="auto"/>
              <w:left w:val="single" w:sz="2" w:space="0" w:color="auto"/>
              <w:bottom w:val="single" w:sz="2" w:space="0" w:color="auto"/>
              <w:right w:val="single" w:sz="2" w:space="0" w:color="auto"/>
            </w:tcBorders>
            <w:vAlign w:val="center"/>
          </w:tcPr>
          <w:p w14:paraId="22DC643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108,919,658</w:t>
            </w:r>
          </w:p>
        </w:tc>
        <w:tc>
          <w:tcPr>
            <w:tcW w:w="709" w:type="dxa"/>
            <w:tcBorders>
              <w:top w:val="single" w:sz="2" w:space="0" w:color="auto"/>
              <w:left w:val="single" w:sz="2" w:space="0" w:color="auto"/>
              <w:bottom w:val="single" w:sz="2" w:space="0" w:color="auto"/>
              <w:right w:val="single" w:sz="2" w:space="0" w:color="auto"/>
            </w:tcBorders>
            <w:vAlign w:val="center"/>
          </w:tcPr>
          <w:p w14:paraId="7BFE4BD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19.30%</w:t>
            </w:r>
          </w:p>
        </w:tc>
        <w:tc>
          <w:tcPr>
            <w:tcW w:w="850" w:type="dxa"/>
            <w:tcBorders>
              <w:top w:val="single" w:sz="2" w:space="0" w:color="auto"/>
              <w:left w:val="single" w:sz="2" w:space="0" w:color="auto"/>
              <w:bottom w:val="single" w:sz="2" w:space="0" w:color="auto"/>
              <w:right w:val="single" w:sz="2" w:space="0" w:color="auto"/>
            </w:tcBorders>
            <w:vAlign w:val="center"/>
          </w:tcPr>
          <w:p w14:paraId="65B0E646"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4E7F03D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9C324F8"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4E6E447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850" w:type="dxa"/>
            <w:tcBorders>
              <w:top w:val="single" w:sz="2" w:space="0" w:color="auto"/>
              <w:left w:val="single" w:sz="2" w:space="0" w:color="auto"/>
              <w:bottom w:val="single" w:sz="2" w:space="0" w:color="auto"/>
              <w:right w:val="single" w:sz="2" w:space="0" w:color="auto"/>
            </w:tcBorders>
            <w:vAlign w:val="center"/>
          </w:tcPr>
          <w:p w14:paraId="774470C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993" w:type="dxa"/>
            <w:tcBorders>
              <w:top w:val="single" w:sz="2" w:space="0" w:color="auto"/>
              <w:left w:val="single" w:sz="2" w:space="0" w:color="auto"/>
              <w:bottom w:val="single" w:sz="2" w:space="0" w:color="auto"/>
              <w:right w:val="single" w:sz="2" w:space="0" w:color="auto"/>
            </w:tcBorders>
            <w:vAlign w:val="center"/>
          </w:tcPr>
          <w:p w14:paraId="17A65D7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108,966,608</w:t>
            </w:r>
          </w:p>
        </w:tc>
        <w:tc>
          <w:tcPr>
            <w:tcW w:w="788" w:type="dxa"/>
            <w:tcBorders>
              <w:top w:val="single" w:sz="2" w:space="0" w:color="auto"/>
              <w:left w:val="single" w:sz="2" w:space="0" w:color="auto"/>
              <w:bottom w:val="single" w:sz="2" w:space="0" w:color="auto"/>
              <w:right w:val="single" w:sz="2" w:space="0" w:color="auto"/>
            </w:tcBorders>
            <w:vAlign w:val="center"/>
          </w:tcPr>
          <w:p w14:paraId="645BED9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19.45%</w:t>
            </w:r>
          </w:p>
        </w:tc>
      </w:tr>
      <w:tr w:rsidR="00C57E60" w14:paraId="558E8F6D"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4A35B710"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、外资持股</w:t>
            </w:r>
          </w:p>
        </w:tc>
        <w:tc>
          <w:tcPr>
            <w:tcW w:w="992" w:type="dxa"/>
            <w:tcBorders>
              <w:top w:val="single" w:sz="2" w:space="0" w:color="auto"/>
              <w:left w:val="single" w:sz="2" w:space="0" w:color="auto"/>
              <w:bottom w:val="single" w:sz="2" w:space="0" w:color="auto"/>
              <w:right w:val="single" w:sz="2" w:space="0" w:color="auto"/>
            </w:tcBorders>
            <w:vAlign w:val="center"/>
          </w:tcPr>
          <w:p w14:paraId="09BCAD3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264EE17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B2D5A9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55F8449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06B4AFD"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1F289D5C"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742996E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7A8F1CD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5F5361B7"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65D44423"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39C26BFF" w14:textId="77777777" w:rsidR="00DC359B" w:rsidRPr="00DC359B" w:rsidRDefault="00DC359B" w:rsidP="00DC359B">
            <w:pPr>
              <w:spacing w:before="40" w:after="40" w:line="360" w:lineRule="auto"/>
              <w:ind w:firstLineChars="200" w:firstLine="360"/>
              <w:rPr>
                <w:rFonts w:ascii="Times New Roman" w:eastAsia="宋体" w:hAnsi="Times New Roman" w:cs="Times New Roman"/>
                <w:sz w:val="18"/>
                <w:szCs w:val="18"/>
              </w:rPr>
            </w:pPr>
            <w:r w:rsidRPr="00DC359B">
              <w:rPr>
                <w:rFonts w:ascii="Times New Roman" w:eastAsia="宋体" w:hAnsi="Times New Roman" w:cs="Times New Roman"/>
                <w:sz w:val="18"/>
                <w:szCs w:val="18"/>
              </w:rPr>
              <w:t>其中：境外法人持股</w:t>
            </w:r>
          </w:p>
        </w:tc>
        <w:tc>
          <w:tcPr>
            <w:tcW w:w="992" w:type="dxa"/>
            <w:tcBorders>
              <w:top w:val="single" w:sz="2" w:space="0" w:color="auto"/>
              <w:left w:val="single" w:sz="2" w:space="0" w:color="auto"/>
              <w:bottom w:val="single" w:sz="2" w:space="0" w:color="auto"/>
              <w:right w:val="single" w:sz="2" w:space="0" w:color="auto"/>
            </w:tcBorders>
            <w:vAlign w:val="center"/>
          </w:tcPr>
          <w:p w14:paraId="72B5E0C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467D865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897933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49F890F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FDED6C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02E1A7B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25EB1BA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478F994D"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6AF8F716"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06AC2F0E"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6DDDF4C6" w14:textId="77777777" w:rsidR="00DC359B" w:rsidRPr="00DC359B" w:rsidRDefault="00DC359B" w:rsidP="00DC359B">
            <w:pPr>
              <w:spacing w:before="40" w:after="40" w:line="360" w:lineRule="auto"/>
              <w:ind w:firstLineChars="200" w:firstLine="360"/>
              <w:rPr>
                <w:rFonts w:ascii="Times New Roman" w:eastAsia="宋体" w:hAnsi="Times New Roman" w:cs="Times New Roman"/>
                <w:sz w:val="18"/>
                <w:szCs w:val="18"/>
              </w:rPr>
            </w:pPr>
            <w:r w:rsidRPr="00DC359B">
              <w:rPr>
                <w:rFonts w:ascii="Times New Roman" w:eastAsia="宋体" w:hAnsi="Times New Roman" w:cs="Times New Roman"/>
                <w:sz w:val="18"/>
                <w:szCs w:val="18"/>
              </w:rPr>
              <w:t>境外自然人持股</w:t>
            </w:r>
          </w:p>
        </w:tc>
        <w:tc>
          <w:tcPr>
            <w:tcW w:w="992" w:type="dxa"/>
            <w:tcBorders>
              <w:top w:val="single" w:sz="2" w:space="0" w:color="auto"/>
              <w:left w:val="single" w:sz="2" w:space="0" w:color="auto"/>
              <w:bottom w:val="single" w:sz="2" w:space="0" w:color="auto"/>
              <w:right w:val="single" w:sz="2" w:space="0" w:color="auto"/>
            </w:tcBorders>
            <w:vAlign w:val="center"/>
          </w:tcPr>
          <w:p w14:paraId="770442F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798910D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A58A4C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55B5826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F58F17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0234AE6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A13CADC"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245A362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33DCA461"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0DB7341C"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7A149954"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二、无限售条件股份</w:t>
            </w:r>
          </w:p>
        </w:tc>
        <w:tc>
          <w:tcPr>
            <w:tcW w:w="992" w:type="dxa"/>
            <w:tcBorders>
              <w:top w:val="single" w:sz="2" w:space="0" w:color="auto"/>
              <w:left w:val="single" w:sz="2" w:space="0" w:color="auto"/>
              <w:bottom w:val="single" w:sz="2" w:space="0" w:color="auto"/>
              <w:right w:val="single" w:sz="2" w:space="0" w:color="auto"/>
            </w:tcBorders>
            <w:vAlign w:val="center"/>
          </w:tcPr>
          <w:p w14:paraId="034B1FF5"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455,345,717</w:t>
            </w:r>
          </w:p>
        </w:tc>
        <w:tc>
          <w:tcPr>
            <w:tcW w:w="709" w:type="dxa"/>
            <w:tcBorders>
              <w:top w:val="single" w:sz="2" w:space="0" w:color="auto"/>
              <w:left w:val="single" w:sz="2" w:space="0" w:color="auto"/>
              <w:bottom w:val="single" w:sz="2" w:space="0" w:color="auto"/>
              <w:right w:val="single" w:sz="2" w:space="0" w:color="auto"/>
            </w:tcBorders>
            <w:vAlign w:val="center"/>
          </w:tcPr>
          <w:p w14:paraId="7415B7F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80.70%</w:t>
            </w:r>
          </w:p>
        </w:tc>
        <w:tc>
          <w:tcPr>
            <w:tcW w:w="850" w:type="dxa"/>
            <w:tcBorders>
              <w:top w:val="single" w:sz="2" w:space="0" w:color="auto"/>
              <w:left w:val="single" w:sz="2" w:space="0" w:color="auto"/>
              <w:bottom w:val="single" w:sz="2" w:space="0" w:color="auto"/>
              <w:right w:val="single" w:sz="2" w:space="0" w:color="auto"/>
            </w:tcBorders>
            <w:vAlign w:val="center"/>
          </w:tcPr>
          <w:p w14:paraId="003F874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2034913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1BB3EB9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6060A97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-4,045,019</w:t>
            </w:r>
          </w:p>
        </w:tc>
        <w:tc>
          <w:tcPr>
            <w:tcW w:w="850" w:type="dxa"/>
            <w:tcBorders>
              <w:top w:val="single" w:sz="2" w:space="0" w:color="auto"/>
              <w:left w:val="single" w:sz="2" w:space="0" w:color="auto"/>
              <w:bottom w:val="single" w:sz="2" w:space="0" w:color="auto"/>
              <w:right w:val="single" w:sz="2" w:space="0" w:color="auto"/>
            </w:tcBorders>
            <w:vAlign w:val="center"/>
          </w:tcPr>
          <w:p w14:paraId="7752E065"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-4,045,019</w:t>
            </w:r>
          </w:p>
        </w:tc>
        <w:tc>
          <w:tcPr>
            <w:tcW w:w="993" w:type="dxa"/>
            <w:tcBorders>
              <w:top w:val="single" w:sz="2" w:space="0" w:color="auto"/>
              <w:left w:val="single" w:sz="2" w:space="0" w:color="auto"/>
              <w:bottom w:val="single" w:sz="2" w:space="0" w:color="auto"/>
              <w:right w:val="single" w:sz="2" w:space="0" w:color="auto"/>
            </w:tcBorders>
            <w:vAlign w:val="center"/>
          </w:tcPr>
          <w:p w14:paraId="4177878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451,300,698</w:t>
            </w:r>
          </w:p>
        </w:tc>
        <w:tc>
          <w:tcPr>
            <w:tcW w:w="788" w:type="dxa"/>
            <w:tcBorders>
              <w:top w:val="single" w:sz="2" w:space="0" w:color="auto"/>
              <w:left w:val="single" w:sz="2" w:space="0" w:color="auto"/>
              <w:bottom w:val="single" w:sz="2" w:space="0" w:color="auto"/>
              <w:right w:val="single" w:sz="2" w:space="0" w:color="auto"/>
            </w:tcBorders>
            <w:vAlign w:val="center"/>
          </w:tcPr>
          <w:p w14:paraId="219794E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80.55%</w:t>
            </w:r>
          </w:p>
        </w:tc>
      </w:tr>
      <w:tr w:rsidR="00C57E60" w14:paraId="45D027FA"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55468889"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、人民币普通股</w:t>
            </w:r>
          </w:p>
        </w:tc>
        <w:tc>
          <w:tcPr>
            <w:tcW w:w="992" w:type="dxa"/>
            <w:tcBorders>
              <w:top w:val="single" w:sz="2" w:space="0" w:color="auto"/>
              <w:left w:val="single" w:sz="2" w:space="0" w:color="auto"/>
              <w:bottom w:val="single" w:sz="2" w:space="0" w:color="auto"/>
              <w:right w:val="single" w:sz="2" w:space="0" w:color="auto"/>
            </w:tcBorders>
            <w:vAlign w:val="center"/>
          </w:tcPr>
          <w:p w14:paraId="0DF0C7B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455,345,717</w:t>
            </w:r>
          </w:p>
        </w:tc>
        <w:tc>
          <w:tcPr>
            <w:tcW w:w="709" w:type="dxa"/>
            <w:tcBorders>
              <w:top w:val="single" w:sz="2" w:space="0" w:color="auto"/>
              <w:left w:val="single" w:sz="2" w:space="0" w:color="auto"/>
              <w:bottom w:val="single" w:sz="2" w:space="0" w:color="auto"/>
              <w:right w:val="single" w:sz="2" w:space="0" w:color="auto"/>
            </w:tcBorders>
            <w:vAlign w:val="center"/>
          </w:tcPr>
          <w:p w14:paraId="692B5A9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80.70%</w:t>
            </w:r>
          </w:p>
        </w:tc>
        <w:tc>
          <w:tcPr>
            <w:tcW w:w="850" w:type="dxa"/>
            <w:tcBorders>
              <w:top w:val="single" w:sz="2" w:space="0" w:color="auto"/>
              <w:left w:val="single" w:sz="2" w:space="0" w:color="auto"/>
              <w:bottom w:val="single" w:sz="2" w:space="0" w:color="auto"/>
              <w:right w:val="single" w:sz="2" w:space="0" w:color="auto"/>
            </w:tcBorders>
            <w:vAlign w:val="center"/>
          </w:tcPr>
          <w:p w14:paraId="3F3EAD18"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6283369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ED1A2D5"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2B60A1C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-4,045,019</w:t>
            </w:r>
          </w:p>
        </w:tc>
        <w:tc>
          <w:tcPr>
            <w:tcW w:w="850" w:type="dxa"/>
            <w:tcBorders>
              <w:top w:val="single" w:sz="2" w:space="0" w:color="auto"/>
              <w:left w:val="single" w:sz="2" w:space="0" w:color="auto"/>
              <w:bottom w:val="single" w:sz="2" w:space="0" w:color="auto"/>
              <w:right w:val="single" w:sz="2" w:space="0" w:color="auto"/>
            </w:tcBorders>
            <w:vAlign w:val="center"/>
          </w:tcPr>
          <w:p w14:paraId="352AB49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-4,045,019</w:t>
            </w:r>
          </w:p>
        </w:tc>
        <w:tc>
          <w:tcPr>
            <w:tcW w:w="993" w:type="dxa"/>
            <w:tcBorders>
              <w:top w:val="single" w:sz="2" w:space="0" w:color="auto"/>
              <w:left w:val="single" w:sz="2" w:space="0" w:color="auto"/>
              <w:bottom w:val="single" w:sz="2" w:space="0" w:color="auto"/>
              <w:right w:val="single" w:sz="2" w:space="0" w:color="auto"/>
            </w:tcBorders>
            <w:vAlign w:val="center"/>
          </w:tcPr>
          <w:p w14:paraId="425FF82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451,300,698</w:t>
            </w:r>
          </w:p>
        </w:tc>
        <w:tc>
          <w:tcPr>
            <w:tcW w:w="788" w:type="dxa"/>
            <w:tcBorders>
              <w:top w:val="single" w:sz="2" w:space="0" w:color="auto"/>
              <w:left w:val="single" w:sz="2" w:space="0" w:color="auto"/>
              <w:bottom w:val="single" w:sz="2" w:space="0" w:color="auto"/>
              <w:right w:val="single" w:sz="2" w:space="0" w:color="auto"/>
            </w:tcBorders>
            <w:vAlign w:val="center"/>
          </w:tcPr>
          <w:p w14:paraId="76BEBE96"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80.55%</w:t>
            </w:r>
          </w:p>
        </w:tc>
      </w:tr>
      <w:tr w:rsidR="00C57E60" w14:paraId="07CF335E"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08615EBF"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、境内上市的外资股</w:t>
            </w:r>
          </w:p>
        </w:tc>
        <w:tc>
          <w:tcPr>
            <w:tcW w:w="992" w:type="dxa"/>
            <w:tcBorders>
              <w:top w:val="single" w:sz="2" w:space="0" w:color="auto"/>
              <w:left w:val="single" w:sz="2" w:space="0" w:color="auto"/>
              <w:bottom w:val="single" w:sz="2" w:space="0" w:color="auto"/>
              <w:right w:val="single" w:sz="2" w:space="0" w:color="auto"/>
            </w:tcBorders>
            <w:vAlign w:val="center"/>
          </w:tcPr>
          <w:p w14:paraId="1A7C79D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345AE64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E40FBF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3E0F528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CDED5E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3BC18B6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0B0D27E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12C0F26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0F2054AE"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14F4DCD6"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22DF00EF"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3</w:t>
            </w:r>
            <w:r w:rsidRPr="00DC359B">
              <w:rPr>
                <w:rFonts w:ascii="Times New Roman" w:eastAsia="宋体" w:hAnsi="Times New Roman" w:cs="Times New Roman"/>
                <w:sz w:val="18"/>
                <w:szCs w:val="18"/>
              </w:rPr>
              <w:t>、境外上市的外资股</w:t>
            </w:r>
          </w:p>
        </w:tc>
        <w:tc>
          <w:tcPr>
            <w:tcW w:w="992" w:type="dxa"/>
            <w:tcBorders>
              <w:top w:val="single" w:sz="2" w:space="0" w:color="auto"/>
              <w:left w:val="single" w:sz="2" w:space="0" w:color="auto"/>
              <w:bottom w:val="single" w:sz="2" w:space="0" w:color="auto"/>
              <w:right w:val="single" w:sz="2" w:space="0" w:color="auto"/>
            </w:tcBorders>
            <w:vAlign w:val="center"/>
          </w:tcPr>
          <w:p w14:paraId="6033865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33B4EC2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ED4716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770E6E9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FB50385"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5E550AE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7F9087C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66B4BB4C"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3E8237D7"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7D634D19"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6776398C" w14:textId="77777777" w:rsidR="00DC359B" w:rsidRPr="00DC359B" w:rsidRDefault="00DC359B" w:rsidP="00DC359B">
            <w:pPr>
              <w:spacing w:before="40" w:after="40" w:line="360" w:lineRule="auto"/>
              <w:ind w:firstLineChars="100" w:firstLine="180"/>
              <w:rPr>
                <w:rFonts w:ascii="Times New Roman" w:eastAsia="宋体" w:hAnsi="Times New Roman" w:cs="Times New Roman"/>
                <w:sz w:val="18"/>
                <w:szCs w:val="18"/>
              </w:rPr>
            </w:pP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、其他</w:t>
            </w:r>
          </w:p>
        </w:tc>
        <w:tc>
          <w:tcPr>
            <w:tcW w:w="992" w:type="dxa"/>
            <w:tcBorders>
              <w:top w:val="single" w:sz="2" w:space="0" w:color="auto"/>
              <w:left w:val="single" w:sz="2" w:space="0" w:color="auto"/>
              <w:bottom w:val="single" w:sz="2" w:space="0" w:color="auto"/>
              <w:right w:val="single" w:sz="2" w:space="0" w:color="auto"/>
            </w:tcBorders>
            <w:vAlign w:val="center"/>
          </w:tcPr>
          <w:p w14:paraId="3D8A90A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07DCBDAD"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A65494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5AB7E6F4"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C23FC26"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6B8D3204"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22C4B918"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6FFD8816"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788" w:type="dxa"/>
            <w:tcBorders>
              <w:top w:val="single" w:sz="2" w:space="0" w:color="auto"/>
              <w:left w:val="single" w:sz="2" w:space="0" w:color="auto"/>
              <w:bottom w:val="single" w:sz="2" w:space="0" w:color="auto"/>
              <w:right w:val="single" w:sz="2" w:space="0" w:color="auto"/>
            </w:tcBorders>
            <w:vAlign w:val="center"/>
          </w:tcPr>
          <w:p w14:paraId="6C5AA0F0"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247401F4" w14:textId="77777777" w:rsidTr="00DC359B">
        <w:trPr>
          <w:trHeight w:val="240"/>
        </w:trPr>
        <w:tc>
          <w:tcPr>
            <w:tcW w:w="2047" w:type="dxa"/>
            <w:tcBorders>
              <w:top w:val="single" w:sz="2" w:space="0" w:color="auto"/>
              <w:left w:val="single" w:sz="2" w:space="0" w:color="auto"/>
              <w:bottom w:val="single" w:sz="2" w:space="0" w:color="auto"/>
              <w:right w:val="single" w:sz="2" w:space="0" w:color="auto"/>
            </w:tcBorders>
            <w:shd w:val="clear" w:color="auto" w:fill="D3D3D3"/>
            <w:vAlign w:val="center"/>
          </w:tcPr>
          <w:p w14:paraId="16B8640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三、股份总数</w:t>
            </w:r>
          </w:p>
        </w:tc>
        <w:tc>
          <w:tcPr>
            <w:tcW w:w="992" w:type="dxa"/>
            <w:tcBorders>
              <w:top w:val="single" w:sz="2" w:space="0" w:color="auto"/>
              <w:left w:val="single" w:sz="2" w:space="0" w:color="auto"/>
              <w:bottom w:val="single" w:sz="2" w:space="0" w:color="auto"/>
              <w:right w:val="single" w:sz="2" w:space="0" w:color="auto"/>
            </w:tcBorders>
            <w:vAlign w:val="center"/>
          </w:tcPr>
          <w:p w14:paraId="3AE3003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564,265,375</w:t>
            </w:r>
          </w:p>
        </w:tc>
        <w:tc>
          <w:tcPr>
            <w:tcW w:w="709" w:type="dxa"/>
            <w:tcBorders>
              <w:top w:val="single" w:sz="2" w:space="0" w:color="auto"/>
              <w:left w:val="single" w:sz="2" w:space="0" w:color="auto"/>
              <w:bottom w:val="single" w:sz="2" w:space="0" w:color="auto"/>
              <w:right w:val="single" w:sz="2" w:space="0" w:color="auto"/>
            </w:tcBorders>
            <w:vAlign w:val="center"/>
          </w:tcPr>
          <w:p w14:paraId="318B3DD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100.00%</w:t>
            </w:r>
          </w:p>
        </w:tc>
        <w:tc>
          <w:tcPr>
            <w:tcW w:w="850" w:type="dxa"/>
            <w:tcBorders>
              <w:top w:val="single" w:sz="2" w:space="0" w:color="auto"/>
              <w:left w:val="single" w:sz="2" w:space="0" w:color="auto"/>
              <w:bottom w:val="single" w:sz="2" w:space="0" w:color="auto"/>
              <w:right w:val="single" w:sz="2" w:space="0" w:color="auto"/>
            </w:tcBorders>
            <w:vAlign w:val="center"/>
          </w:tcPr>
          <w:p w14:paraId="45D0BD2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67" w:type="dxa"/>
            <w:tcBorders>
              <w:top w:val="single" w:sz="2" w:space="0" w:color="auto"/>
              <w:left w:val="single" w:sz="2" w:space="0" w:color="auto"/>
              <w:bottom w:val="single" w:sz="2" w:space="0" w:color="auto"/>
              <w:right w:val="single" w:sz="2" w:space="0" w:color="auto"/>
            </w:tcBorders>
            <w:vAlign w:val="center"/>
          </w:tcPr>
          <w:p w14:paraId="73F606D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07064DB"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32D9F2D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-3,998,069</w:t>
            </w:r>
          </w:p>
        </w:tc>
        <w:tc>
          <w:tcPr>
            <w:tcW w:w="850" w:type="dxa"/>
            <w:tcBorders>
              <w:top w:val="single" w:sz="2" w:space="0" w:color="auto"/>
              <w:left w:val="single" w:sz="2" w:space="0" w:color="auto"/>
              <w:bottom w:val="single" w:sz="2" w:space="0" w:color="auto"/>
              <w:right w:val="single" w:sz="2" w:space="0" w:color="auto"/>
            </w:tcBorders>
            <w:vAlign w:val="center"/>
          </w:tcPr>
          <w:p w14:paraId="6E44D37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-3,998,069</w:t>
            </w:r>
          </w:p>
        </w:tc>
        <w:tc>
          <w:tcPr>
            <w:tcW w:w="993" w:type="dxa"/>
            <w:tcBorders>
              <w:top w:val="single" w:sz="2" w:space="0" w:color="auto"/>
              <w:left w:val="single" w:sz="2" w:space="0" w:color="auto"/>
              <w:bottom w:val="single" w:sz="2" w:space="0" w:color="auto"/>
              <w:right w:val="single" w:sz="2" w:space="0" w:color="auto"/>
            </w:tcBorders>
            <w:vAlign w:val="center"/>
          </w:tcPr>
          <w:p w14:paraId="6170E45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560,267,306</w:t>
            </w:r>
          </w:p>
        </w:tc>
        <w:tc>
          <w:tcPr>
            <w:tcW w:w="788" w:type="dxa"/>
            <w:tcBorders>
              <w:top w:val="single" w:sz="2" w:space="0" w:color="auto"/>
              <w:left w:val="single" w:sz="2" w:space="0" w:color="auto"/>
              <w:bottom w:val="single" w:sz="2" w:space="0" w:color="auto"/>
              <w:right w:val="single" w:sz="2" w:space="0" w:color="auto"/>
            </w:tcBorders>
            <w:vAlign w:val="center"/>
          </w:tcPr>
          <w:p w14:paraId="42F4469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100.00%</w:t>
            </w:r>
          </w:p>
        </w:tc>
      </w:tr>
    </w:tbl>
    <w:p w14:paraId="713AD00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股份变动的原因</w:t>
      </w:r>
    </w:p>
    <w:p w14:paraId="784C0F75"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18F9F737"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报告期内，公司股份数量较期初减少</w:t>
      </w:r>
      <w:r w:rsidRPr="00DC359B">
        <w:rPr>
          <w:rFonts w:ascii="Times New Roman" w:eastAsia="宋体" w:hAnsi="Times New Roman" w:cs="Times New Roman"/>
          <w:kern w:val="0"/>
          <w:szCs w:val="21"/>
        </w:rPr>
        <w:t>3,998,069</w:t>
      </w:r>
      <w:r w:rsidRPr="00DC359B">
        <w:rPr>
          <w:rFonts w:ascii="Times New Roman" w:eastAsia="宋体" w:hAnsi="Times New Roman" w:cs="Times New Roman" w:hint="eastAsia"/>
          <w:kern w:val="0"/>
          <w:szCs w:val="21"/>
        </w:rPr>
        <w:t>股，公司总股本由</w:t>
      </w:r>
      <w:r w:rsidRPr="00DC359B">
        <w:rPr>
          <w:rFonts w:ascii="Times New Roman" w:eastAsia="宋体" w:hAnsi="Times New Roman" w:cs="Times New Roman"/>
          <w:kern w:val="0"/>
          <w:szCs w:val="21"/>
        </w:rPr>
        <w:t>564,265,375</w:t>
      </w:r>
      <w:r w:rsidRPr="00DC359B">
        <w:rPr>
          <w:rFonts w:ascii="Times New Roman" w:eastAsia="宋体" w:hAnsi="Times New Roman" w:cs="Times New Roman" w:hint="eastAsia"/>
          <w:kern w:val="0"/>
          <w:szCs w:val="21"/>
        </w:rPr>
        <w:t>股减少至</w:t>
      </w:r>
      <w:r w:rsidRPr="00DC359B">
        <w:rPr>
          <w:rFonts w:ascii="Times New Roman" w:eastAsia="宋体" w:hAnsi="Times New Roman" w:cs="Times New Roman"/>
          <w:kern w:val="0"/>
          <w:szCs w:val="21"/>
        </w:rPr>
        <w:t>560,267,306</w:t>
      </w:r>
      <w:r w:rsidRPr="00DC359B">
        <w:rPr>
          <w:rFonts w:ascii="Times New Roman" w:eastAsia="宋体" w:hAnsi="Times New Roman" w:cs="Times New Roman" w:hint="eastAsia"/>
          <w:kern w:val="0"/>
          <w:szCs w:val="21"/>
        </w:rPr>
        <w:t>股，具体情况如下：</w:t>
      </w:r>
    </w:p>
    <w:p w14:paraId="488DA843"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日，基于对公司持续稳定发展的信心以及对公司股票长期投资价值的认可，公司副董事长、总经理李心一女士以其自有资金通过深圳证券交易所交易系统以集中竞价交易方式共增持公司股份</w:t>
      </w:r>
      <w:r w:rsidRPr="00DC359B">
        <w:rPr>
          <w:rFonts w:ascii="Times New Roman" w:eastAsia="宋体" w:hAnsi="Times New Roman" w:cs="Times New Roman"/>
          <w:kern w:val="0"/>
          <w:szCs w:val="21"/>
        </w:rPr>
        <w:t>62,600</w:t>
      </w:r>
      <w:r w:rsidRPr="00DC359B">
        <w:rPr>
          <w:rFonts w:ascii="Times New Roman" w:eastAsia="宋体" w:hAnsi="Times New Roman" w:cs="Times New Roman" w:hint="eastAsia"/>
          <w:kern w:val="0"/>
          <w:szCs w:val="21"/>
        </w:rPr>
        <w:t>股，相应增加了有限售条件流通股</w:t>
      </w:r>
      <w:r w:rsidRPr="00DC359B">
        <w:rPr>
          <w:rFonts w:ascii="Times New Roman" w:eastAsia="宋体" w:hAnsi="Times New Roman" w:cs="Times New Roman"/>
          <w:kern w:val="0"/>
          <w:szCs w:val="21"/>
        </w:rPr>
        <w:t>46,950</w:t>
      </w:r>
      <w:r w:rsidRPr="00DC359B">
        <w:rPr>
          <w:rFonts w:ascii="Times New Roman" w:eastAsia="宋体" w:hAnsi="Times New Roman" w:cs="Times New Roman" w:hint="eastAsia"/>
          <w:kern w:val="0"/>
          <w:szCs w:val="21"/>
        </w:rPr>
        <w:t>股、减少了无限售条件流通股</w:t>
      </w:r>
      <w:r w:rsidRPr="00DC359B">
        <w:rPr>
          <w:rFonts w:ascii="Times New Roman" w:eastAsia="宋体" w:hAnsi="Times New Roman" w:cs="Times New Roman"/>
          <w:kern w:val="0"/>
          <w:szCs w:val="21"/>
        </w:rPr>
        <w:t>46,950</w:t>
      </w:r>
      <w:r w:rsidRPr="00DC359B">
        <w:rPr>
          <w:rFonts w:ascii="Times New Roman" w:eastAsia="宋体" w:hAnsi="Times New Roman" w:cs="Times New Roman" w:hint="eastAsia"/>
          <w:kern w:val="0"/>
          <w:szCs w:val="21"/>
        </w:rPr>
        <w:t>股。具体内容详见公司于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13</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）上披露的《关于副董事长增持公司股份的公告》（公告编号：</w:t>
      </w:r>
      <w:r w:rsidRPr="00DC359B">
        <w:rPr>
          <w:rFonts w:ascii="Times New Roman" w:eastAsia="宋体" w:hAnsi="Times New Roman" w:cs="Times New Roman"/>
          <w:kern w:val="0"/>
          <w:szCs w:val="21"/>
        </w:rPr>
        <w:t>2025-013</w:t>
      </w:r>
      <w:r w:rsidRPr="00DC359B">
        <w:rPr>
          <w:rFonts w:ascii="Times New Roman" w:eastAsia="宋体" w:hAnsi="Times New Roman" w:cs="Times New Roman" w:hint="eastAsia"/>
          <w:kern w:val="0"/>
          <w:szCs w:val="21"/>
        </w:rPr>
        <w:t>）。</w:t>
      </w:r>
    </w:p>
    <w:p w14:paraId="7D7CDD6A"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日，公司在中国证券登记结算有限责任公司深圳分公司办理完成部分回购股份注销事宜，本次注销的回购股份数量为</w:t>
      </w:r>
      <w:r w:rsidRPr="00DC359B">
        <w:rPr>
          <w:rFonts w:ascii="Times New Roman" w:eastAsia="宋体" w:hAnsi="Times New Roman" w:cs="Times New Roman"/>
          <w:kern w:val="0"/>
          <w:szCs w:val="21"/>
        </w:rPr>
        <w:t>3,999,287</w:t>
      </w:r>
      <w:r w:rsidRPr="00DC359B">
        <w:rPr>
          <w:rFonts w:ascii="Times New Roman" w:eastAsia="宋体" w:hAnsi="Times New Roman" w:cs="Times New Roman" w:hint="eastAsia"/>
          <w:kern w:val="0"/>
          <w:szCs w:val="21"/>
        </w:rPr>
        <w:t>股，公司总股本由</w:t>
      </w:r>
      <w:r w:rsidRPr="00DC359B">
        <w:rPr>
          <w:rFonts w:ascii="Times New Roman" w:eastAsia="宋体" w:hAnsi="Times New Roman" w:cs="Times New Roman"/>
          <w:kern w:val="0"/>
          <w:szCs w:val="21"/>
        </w:rPr>
        <w:t>564,265,375</w:t>
      </w:r>
      <w:r w:rsidRPr="00DC359B">
        <w:rPr>
          <w:rFonts w:ascii="Times New Roman" w:eastAsia="宋体" w:hAnsi="Times New Roman" w:cs="Times New Roman" w:hint="eastAsia"/>
          <w:kern w:val="0"/>
          <w:szCs w:val="21"/>
        </w:rPr>
        <w:t>股减少至</w:t>
      </w:r>
      <w:r w:rsidRPr="00DC359B">
        <w:rPr>
          <w:rFonts w:ascii="Times New Roman" w:eastAsia="宋体" w:hAnsi="Times New Roman" w:cs="Times New Roman"/>
          <w:kern w:val="0"/>
          <w:szCs w:val="21"/>
        </w:rPr>
        <w:t>560,266,088</w:t>
      </w:r>
      <w:r w:rsidRPr="00DC359B">
        <w:rPr>
          <w:rFonts w:ascii="Times New Roman" w:eastAsia="宋体" w:hAnsi="Times New Roman" w:cs="Times New Roman" w:hint="eastAsia"/>
          <w:kern w:val="0"/>
          <w:szCs w:val="21"/>
        </w:rPr>
        <w:t>股。具体内容详见公司分别于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11</w:t>
      </w:r>
      <w:r w:rsidRPr="00DC359B">
        <w:rPr>
          <w:rFonts w:ascii="Times New Roman" w:eastAsia="宋体" w:hAnsi="Times New Roman" w:cs="Times New Roman" w:hint="eastAsia"/>
          <w:kern w:val="0"/>
          <w:szCs w:val="21"/>
        </w:rPr>
        <w:t>日在中国证监会指定的创业板信息披露网站巨潮资讯网（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）上披露的《关于部分回购股份注销完成暨股份变动的公告》（公告编号：</w:t>
      </w:r>
      <w:r w:rsidRPr="00DC359B">
        <w:rPr>
          <w:rFonts w:ascii="Times New Roman" w:eastAsia="宋体" w:hAnsi="Times New Roman" w:cs="Times New Roman"/>
          <w:kern w:val="0"/>
          <w:szCs w:val="21"/>
        </w:rPr>
        <w:t>2025-063</w:t>
      </w:r>
      <w:r w:rsidRPr="00DC359B">
        <w:rPr>
          <w:rFonts w:ascii="Times New Roman" w:eastAsia="宋体" w:hAnsi="Times New Roman" w:cs="Times New Roman" w:hint="eastAsia"/>
          <w:kern w:val="0"/>
          <w:szCs w:val="21"/>
        </w:rPr>
        <w:t>）。</w:t>
      </w:r>
    </w:p>
    <w:p w14:paraId="3A472BDC"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3</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年第三季度，公司因可转换公司债券转股减少可转债票面金额</w:t>
      </w:r>
      <w:r w:rsidRPr="00DC359B">
        <w:rPr>
          <w:rFonts w:ascii="Times New Roman" w:eastAsia="宋体" w:hAnsi="Times New Roman" w:cs="Times New Roman"/>
          <w:kern w:val="0"/>
          <w:szCs w:val="21"/>
        </w:rPr>
        <w:t>42,000</w:t>
      </w:r>
      <w:r w:rsidRPr="00DC359B">
        <w:rPr>
          <w:rFonts w:ascii="Times New Roman" w:eastAsia="宋体" w:hAnsi="Times New Roman" w:cs="Times New Roman" w:hint="eastAsia"/>
          <w:kern w:val="0"/>
          <w:szCs w:val="21"/>
        </w:rPr>
        <w:t>元人民币（</w:t>
      </w:r>
      <w:r w:rsidRPr="00DC359B">
        <w:rPr>
          <w:rFonts w:ascii="Times New Roman" w:eastAsia="宋体" w:hAnsi="Times New Roman" w:cs="Times New Roman"/>
          <w:kern w:val="0"/>
          <w:szCs w:val="21"/>
        </w:rPr>
        <w:t>420</w:t>
      </w:r>
      <w:r w:rsidRPr="00DC359B">
        <w:rPr>
          <w:rFonts w:ascii="Times New Roman" w:eastAsia="宋体" w:hAnsi="Times New Roman" w:cs="Times New Roman" w:hint="eastAsia"/>
          <w:kern w:val="0"/>
          <w:szCs w:val="21"/>
        </w:rPr>
        <w:t>张），转股数量为</w:t>
      </w:r>
      <w:r w:rsidRPr="00DC359B">
        <w:rPr>
          <w:rFonts w:ascii="Times New Roman" w:eastAsia="宋体" w:hAnsi="Times New Roman" w:cs="Times New Roman"/>
          <w:kern w:val="0"/>
          <w:szCs w:val="21"/>
        </w:rPr>
        <w:t>1,218</w:t>
      </w:r>
      <w:r w:rsidRPr="00DC359B">
        <w:rPr>
          <w:rFonts w:ascii="Times New Roman" w:eastAsia="宋体" w:hAnsi="Times New Roman" w:cs="Times New Roman" w:hint="eastAsia"/>
          <w:kern w:val="0"/>
          <w:szCs w:val="21"/>
        </w:rPr>
        <w:t>股，公司总股本由</w:t>
      </w:r>
      <w:r w:rsidRPr="00DC359B">
        <w:rPr>
          <w:rFonts w:ascii="Times New Roman" w:eastAsia="宋体" w:hAnsi="Times New Roman" w:cs="Times New Roman"/>
          <w:kern w:val="0"/>
          <w:szCs w:val="21"/>
        </w:rPr>
        <w:t>560,266,088</w:t>
      </w:r>
      <w:r w:rsidRPr="00DC359B">
        <w:rPr>
          <w:rFonts w:ascii="Times New Roman" w:eastAsia="宋体" w:hAnsi="Times New Roman" w:cs="Times New Roman" w:hint="eastAsia"/>
          <w:kern w:val="0"/>
          <w:szCs w:val="21"/>
        </w:rPr>
        <w:t>股增加至</w:t>
      </w:r>
      <w:r w:rsidRPr="00DC359B">
        <w:rPr>
          <w:rFonts w:ascii="Times New Roman" w:eastAsia="宋体" w:hAnsi="Times New Roman" w:cs="Times New Roman"/>
          <w:kern w:val="0"/>
          <w:szCs w:val="21"/>
        </w:rPr>
        <w:t>560,267,306</w:t>
      </w:r>
      <w:r w:rsidRPr="00DC359B">
        <w:rPr>
          <w:rFonts w:ascii="Times New Roman" w:eastAsia="宋体" w:hAnsi="Times New Roman" w:cs="Times New Roman" w:hint="eastAsia"/>
          <w:kern w:val="0"/>
          <w:szCs w:val="21"/>
        </w:rPr>
        <w:t>股。具体内容详见公司于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）上披露的《关于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年第三季度可转换公司债券转股情况的公告》（公告编号：</w:t>
      </w:r>
      <w:r w:rsidRPr="00DC359B">
        <w:rPr>
          <w:rFonts w:ascii="Times New Roman" w:eastAsia="宋体" w:hAnsi="Times New Roman" w:cs="Times New Roman"/>
          <w:kern w:val="0"/>
          <w:szCs w:val="21"/>
        </w:rPr>
        <w:t>2025-075</w:t>
      </w:r>
      <w:r w:rsidRPr="00DC359B">
        <w:rPr>
          <w:rFonts w:ascii="Times New Roman" w:eastAsia="宋体" w:hAnsi="Times New Roman" w:cs="Times New Roman" w:hint="eastAsia"/>
          <w:kern w:val="0"/>
          <w:szCs w:val="21"/>
        </w:rPr>
        <w:t>）。</w:t>
      </w:r>
    </w:p>
    <w:p w14:paraId="576A769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股份变动的批准情况</w:t>
      </w:r>
    </w:p>
    <w:p w14:paraId="2A54F06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17985074"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、经中国证券监督管理委员会于</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11</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9</w:t>
      </w:r>
      <w:r w:rsidRPr="00DC359B">
        <w:rPr>
          <w:rFonts w:ascii="Times New Roman" w:eastAsia="宋体" w:hAnsi="Times New Roman" w:cs="Times New Roman" w:hint="eastAsia"/>
          <w:kern w:val="0"/>
          <w:szCs w:val="21"/>
        </w:rPr>
        <w:t>日出具的《关于同意三诺生物传感股份有限公司向不特定对象发行可转换公司债券注册的批复》（证监许可</w:t>
      </w:r>
      <w:r w:rsidRPr="00DC359B">
        <w:rPr>
          <w:rFonts w:ascii="Times New Roman" w:eastAsia="宋体" w:hAnsi="Times New Roman" w:cs="Times New Roman"/>
          <w:kern w:val="0"/>
          <w:szCs w:val="21"/>
        </w:rPr>
        <w:t>[2020]2951</w:t>
      </w:r>
      <w:r w:rsidRPr="00DC359B">
        <w:rPr>
          <w:rFonts w:ascii="Times New Roman" w:eastAsia="宋体" w:hAnsi="Times New Roman" w:cs="Times New Roman" w:hint="eastAsia"/>
          <w:kern w:val="0"/>
          <w:szCs w:val="21"/>
        </w:rPr>
        <w:t>号），公司于</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21</w:t>
      </w:r>
      <w:r w:rsidRPr="00DC359B">
        <w:rPr>
          <w:rFonts w:ascii="Times New Roman" w:eastAsia="宋体" w:hAnsi="Times New Roman" w:cs="Times New Roman" w:hint="eastAsia"/>
          <w:kern w:val="0"/>
          <w:szCs w:val="21"/>
        </w:rPr>
        <w:t>日向不特定对象共发行</w:t>
      </w:r>
      <w:r w:rsidRPr="00DC359B">
        <w:rPr>
          <w:rFonts w:ascii="Times New Roman" w:eastAsia="宋体" w:hAnsi="Times New Roman" w:cs="Times New Roman"/>
          <w:kern w:val="0"/>
          <w:szCs w:val="21"/>
        </w:rPr>
        <w:t>500.00</w:t>
      </w:r>
      <w:r w:rsidRPr="00DC359B">
        <w:rPr>
          <w:rFonts w:ascii="Times New Roman" w:eastAsia="宋体" w:hAnsi="Times New Roman" w:cs="Times New Roman" w:hint="eastAsia"/>
          <w:kern w:val="0"/>
          <w:szCs w:val="21"/>
        </w:rPr>
        <w:t>万张可转换公司债券，每张面值人民币</w:t>
      </w:r>
      <w:r w:rsidRPr="00DC359B">
        <w:rPr>
          <w:rFonts w:ascii="Times New Roman" w:eastAsia="宋体" w:hAnsi="Times New Roman" w:cs="Times New Roman"/>
          <w:kern w:val="0"/>
          <w:szCs w:val="21"/>
        </w:rPr>
        <w:t>100</w:t>
      </w:r>
      <w:r w:rsidRPr="00DC359B">
        <w:rPr>
          <w:rFonts w:ascii="Times New Roman" w:eastAsia="宋体" w:hAnsi="Times New Roman" w:cs="Times New Roman" w:hint="eastAsia"/>
          <w:kern w:val="0"/>
          <w:szCs w:val="21"/>
        </w:rPr>
        <w:t>元，发行总额</w:t>
      </w:r>
      <w:r w:rsidRPr="00DC359B">
        <w:rPr>
          <w:rFonts w:ascii="Times New Roman" w:eastAsia="宋体" w:hAnsi="Times New Roman" w:cs="Times New Roman"/>
          <w:kern w:val="0"/>
          <w:szCs w:val="21"/>
        </w:rPr>
        <w:t>50,000.00</w:t>
      </w:r>
      <w:r w:rsidRPr="00DC359B">
        <w:rPr>
          <w:rFonts w:ascii="Times New Roman" w:eastAsia="宋体" w:hAnsi="Times New Roman" w:cs="Times New Roman" w:hint="eastAsia"/>
          <w:kern w:val="0"/>
          <w:szCs w:val="21"/>
        </w:rPr>
        <w:t>万元，可转换公司债券已于</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日起在深交所挂牌交易，债券简称“三诺转债”，债券代码“</w:t>
      </w:r>
      <w:r w:rsidRPr="00DC359B">
        <w:rPr>
          <w:rFonts w:ascii="Times New Roman" w:eastAsia="宋体" w:hAnsi="Times New Roman" w:cs="Times New Roman"/>
          <w:kern w:val="0"/>
          <w:szCs w:val="21"/>
        </w:rPr>
        <w:t>123090</w:t>
      </w:r>
      <w:r w:rsidRPr="00DC359B">
        <w:rPr>
          <w:rFonts w:ascii="Times New Roman" w:eastAsia="宋体" w:hAnsi="Times New Roman" w:cs="Times New Roman" w:hint="eastAsia"/>
          <w:kern w:val="0"/>
          <w:szCs w:val="21"/>
        </w:rPr>
        <w:t>”。根据《深圳证券交易所创业板股票上市规则》及《三诺生物传感股份有限公司向不特定对象发行可转换公司债券募集说明书》的规定，本次发行的可转换公司债券转股的起止日期为：自可转债发行结束之日</w:t>
      </w:r>
      <w:r w:rsidRPr="00DC359B">
        <w:rPr>
          <w:rFonts w:ascii="Times New Roman" w:eastAsia="宋体" w:hAnsi="Times New Roman" w:cs="Times New Roman"/>
          <w:kern w:val="0"/>
          <w:szCs w:val="21"/>
        </w:rPr>
        <w:t xml:space="preserve"> </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25</w:t>
      </w:r>
      <w:r w:rsidRPr="00DC359B">
        <w:rPr>
          <w:rFonts w:ascii="Times New Roman" w:eastAsia="宋体" w:hAnsi="Times New Roman" w:cs="Times New Roman" w:hint="eastAsia"/>
          <w:kern w:val="0"/>
          <w:szCs w:val="21"/>
        </w:rPr>
        <w:t>日）满六个月后的第一个交易日（</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25</w:t>
      </w:r>
      <w:r w:rsidRPr="00DC359B">
        <w:rPr>
          <w:rFonts w:ascii="Times New Roman" w:eastAsia="宋体" w:hAnsi="Times New Roman" w:cs="Times New Roman" w:hint="eastAsia"/>
          <w:kern w:val="0"/>
          <w:szCs w:val="21"/>
        </w:rPr>
        <w:t>日）起至</w:t>
      </w:r>
      <w:r w:rsidRPr="00DC359B">
        <w:rPr>
          <w:rFonts w:ascii="Times New Roman" w:eastAsia="宋体" w:hAnsi="Times New Roman" w:cs="Times New Roman"/>
          <w:kern w:val="0"/>
          <w:szCs w:val="21"/>
        </w:rPr>
        <w:t>2026</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20</w:t>
      </w:r>
      <w:r w:rsidRPr="00DC359B">
        <w:rPr>
          <w:rFonts w:ascii="Times New Roman" w:eastAsia="宋体" w:hAnsi="Times New Roman" w:cs="Times New Roman" w:hint="eastAsia"/>
          <w:kern w:val="0"/>
          <w:szCs w:val="21"/>
        </w:rPr>
        <w:t>日止（如遇法定节假日或休息日延至其后的第</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个工作日；顺延期间付息款项不另计息）。报告期内，公司可转债共计转股</w:t>
      </w:r>
      <w:r w:rsidRPr="00DC359B">
        <w:rPr>
          <w:rFonts w:ascii="Times New Roman" w:eastAsia="宋体" w:hAnsi="Times New Roman" w:cs="Times New Roman"/>
          <w:kern w:val="0"/>
          <w:szCs w:val="21"/>
        </w:rPr>
        <w:t>1,218</w:t>
      </w:r>
      <w:r w:rsidRPr="00DC359B">
        <w:rPr>
          <w:rFonts w:ascii="Times New Roman" w:eastAsia="宋体" w:hAnsi="Times New Roman" w:cs="Times New Roman" w:hint="eastAsia"/>
          <w:kern w:val="0"/>
          <w:szCs w:val="21"/>
        </w:rPr>
        <w:t>股；截至</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31</w:t>
      </w:r>
      <w:r w:rsidRPr="00DC359B">
        <w:rPr>
          <w:rFonts w:ascii="Times New Roman" w:eastAsia="宋体" w:hAnsi="Times New Roman" w:cs="Times New Roman" w:hint="eastAsia"/>
          <w:kern w:val="0"/>
          <w:szCs w:val="21"/>
        </w:rPr>
        <w:t>日，公司可转债累计转股</w:t>
      </w:r>
      <w:r w:rsidRPr="00DC359B">
        <w:rPr>
          <w:rFonts w:ascii="Times New Roman" w:eastAsia="宋体" w:hAnsi="Times New Roman" w:cs="Times New Roman"/>
          <w:kern w:val="0"/>
          <w:szCs w:val="21"/>
        </w:rPr>
        <w:t>46,259</w:t>
      </w:r>
      <w:r w:rsidRPr="00DC359B">
        <w:rPr>
          <w:rFonts w:ascii="Times New Roman" w:eastAsia="宋体" w:hAnsi="Times New Roman" w:cs="Times New Roman" w:hint="eastAsia"/>
          <w:kern w:val="0"/>
          <w:szCs w:val="21"/>
        </w:rPr>
        <w:t>股。</w:t>
      </w:r>
    </w:p>
    <w:p w14:paraId="49533739"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4</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18</w:t>
      </w:r>
      <w:r w:rsidRPr="00DC359B">
        <w:rPr>
          <w:rFonts w:ascii="Times New Roman" w:eastAsia="宋体" w:hAnsi="Times New Roman" w:cs="Times New Roman" w:hint="eastAsia"/>
          <w:kern w:val="0"/>
          <w:szCs w:val="21"/>
        </w:rPr>
        <w:t>日召开五届董事会第十七次会议和第五届监事会第十三次会议，于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5</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14</w:t>
      </w:r>
      <w:r w:rsidRPr="00DC359B">
        <w:rPr>
          <w:rFonts w:ascii="Times New Roman" w:eastAsia="宋体" w:hAnsi="Times New Roman" w:cs="Times New Roman" w:hint="eastAsia"/>
          <w:kern w:val="0"/>
          <w:szCs w:val="21"/>
        </w:rPr>
        <w:t>日召开</w:t>
      </w:r>
      <w:r w:rsidRPr="00DC359B">
        <w:rPr>
          <w:rFonts w:ascii="Times New Roman" w:eastAsia="宋体" w:hAnsi="Times New Roman" w:cs="Times New Roman"/>
          <w:kern w:val="0"/>
          <w:szCs w:val="21"/>
        </w:rPr>
        <w:t>2024</w:t>
      </w:r>
      <w:r w:rsidRPr="00DC359B">
        <w:rPr>
          <w:rFonts w:ascii="Times New Roman" w:eastAsia="宋体" w:hAnsi="Times New Roman" w:cs="Times New Roman" w:hint="eastAsia"/>
          <w:kern w:val="0"/>
          <w:szCs w:val="21"/>
        </w:rPr>
        <w:t>年年度股东大会，审议并通过《关于注销部分回购股份的议案》，鉴于公司部分回购股份存续时间即将期满三年，同意公司注销回购专用证券账户股份</w:t>
      </w:r>
      <w:r w:rsidRPr="00DC359B">
        <w:rPr>
          <w:rFonts w:ascii="Times New Roman" w:eastAsia="宋体" w:hAnsi="Times New Roman" w:cs="Times New Roman"/>
          <w:kern w:val="0"/>
          <w:szCs w:val="21"/>
        </w:rPr>
        <w:t>3,999,287</w:t>
      </w:r>
      <w:r w:rsidRPr="00DC359B">
        <w:rPr>
          <w:rFonts w:ascii="Times New Roman" w:eastAsia="宋体" w:hAnsi="Times New Roman" w:cs="Times New Roman" w:hint="eastAsia"/>
          <w:kern w:val="0"/>
          <w:szCs w:val="21"/>
        </w:rPr>
        <w:t>股。</w:t>
      </w:r>
    </w:p>
    <w:p w14:paraId="187A71A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股份变动的过户情况</w:t>
      </w:r>
    </w:p>
    <w:p w14:paraId="2C67F03C"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2A780756"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21</w:t>
      </w:r>
      <w:r w:rsidRPr="00DC359B">
        <w:rPr>
          <w:rFonts w:ascii="Times New Roman" w:eastAsia="宋体" w:hAnsi="Times New Roman" w:cs="Times New Roman" w:hint="eastAsia"/>
          <w:kern w:val="0"/>
          <w:szCs w:val="21"/>
        </w:rPr>
        <w:t>日，公司向不特定对象共发行</w:t>
      </w:r>
      <w:r w:rsidRPr="00DC359B">
        <w:rPr>
          <w:rFonts w:ascii="Times New Roman" w:eastAsia="宋体" w:hAnsi="Times New Roman" w:cs="Times New Roman"/>
          <w:kern w:val="0"/>
          <w:szCs w:val="21"/>
        </w:rPr>
        <w:t>500.00</w:t>
      </w:r>
      <w:r w:rsidRPr="00DC359B">
        <w:rPr>
          <w:rFonts w:ascii="Times New Roman" w:eastAsia="宋体" w:hAnsi="Times New Roman" w:cs="Times New Roman" w:hint="eastAsia"/>
          <w:kern w:val="0"/>
          <w:szCs w:val="21"/>
        </w:rPr>
        <w:t>万张可转换公司债券，每张面值人民币</w:t>
      </w:r>
      <w:r w:rsidRPr="00DC359B">
        <w:rPr>
          <w:rFonts w:ascii="Times New Roman" w:eastAsia="宋体" w:hAnsi="Times New Roman" w:cs="Times New Roman"/>
          <w:kern w:val="0"/>
          <w:szCs w:val="21"/>
        </w:rPr>
        <w:t>100</w:t>
      </w:r>
      <w:r w:rsidRPr="00DC359B">
        <w:rPr>
          <w:rFonts w:ascii="Times New Roman" w:eastAsia="宋体" w:hAnsi="Times New Roman" w:cs="Times New Roman" w:hint="eastAsia"/>
          <w:kern w:val="0"/>
          <w:szCs w:val="21"/>
        </w:rPr>
        <w:t>元，发行总额</w:t>
      </w:r>
      <w:r w:rsidRPr="00DC359B">
        <w:rPr>
          <w:rFonts w:ascii="Times New Roman" w:eastAsia="宋体" w:hAnsi="Times New Roman" w:cs="Times New Roman"/>
          <w:kern w:val="0"/>
          <w:szCs w:val="21"/>
        </w:rPr>
        <w:t>50,000.00</w:t>
      </w:r>
      <w:r w:rsidRPr="00DC359B">
        <w:rPr>
          <w:rFonts w:ascii="Times New Roman" w:eastAsia="宋体" w:hAnsi="Times New Roman" w:cs="Times New Roman" w:hint="eastAsia"/>
          <w:kern w:val="0"/>
          <w:szCs w:val="21"/>
        </w:rPr>
        <w:t>万元。本次可转换公司债券已于</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日起在深交所挂牌交易，债券简称“三诺转债”，债券代码“</w:t>
      </w:r>
      <w:r w:rsidRPr="00DC359B">
        <w:rPr>
          <w:rFonts w:ascii="Times New Roman" w:eastAsia="宋体" w:hAnsi="Times New Roman" w:cs="Times New Roman"/>
          <w:kern w:val="0"/>
          <w:szCs w:val="21"/>
        </w:rPr>
        <w:t>123090</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25</w:t>
      </w:r>
      <w:r w:rsidRPr="00DC359B">
        <w:rPr>
          <w:rFonts w:ascii="Times New Roman" w:eastAsia="宋体" w:hAnsi="Times New Roman" w:cs="Times New Roman" w:hint="eastAsia"/>
          <w:kern w:val="0"/>
          <w:szCs w:val="21"/>
        </w:rPr>
        <w:t>日起公司可转债可转换为公司股份。报告期内，“三诺转债”共计转股</w:t>
      </w:r>
      <w:r w:rsidRPr="00DC359B">
        <w:rPr>
          <w:rFonts w:ascii="Times New Roman" w:eastAsia="宋体" w:hAnsi="Times New Roman" w:cs="Times New Roman"/>
          <w:kern w:val="0"/>
          <w:szCs w:val="21"/>
        </w:rPr>
        <w:t>1,218</w:t>
      </w:r>
      <w:r w:rsidRPr="00DC359B">
        <w:rPr>
          <w:rFonts w:ascii="Times New Roman" w:eastAsia="宋体" w:hAnsi="Times New Roman" w:cs="Times New Roman" w:hint="eastAsia"/>
          <w:kern w:val="0"/>
          <w:szCs w:val="21"/>
        </w:rPr>
        <w:t>股。</w:t>
      </w:r>
    </w:p>
    <w:p w14:paraId="59BE4A67"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kern w:val="0"/>
          <w:szCs w:val="21"/>
        </w:rPr>
        <w:t>2</w:t>
      </w:r>
      <w:r w:rsidRPr="00DC359B">
        <w:rPr>
          <w:rFonts w:ascii="Times New Roman" w:eastAsia="宋体" w:hAnsi="Times New Roman" w:cs="Times New Roman" w:hint="eastAsia"/>
          <w:kern w:val="0"/>
          <w:szCs w:val="21"/>
        </w:rPr>
        <w:t>、公司于</w:t>
      </w:r>
      <w:r w:rsidRPr="00DC359B">
        <w:rPr>
          <w:rFonts w:ascii="Times New Roman" w:eastAsia="宋体" w:hAnsi="Times New Roman" w:cs="Times New Roman"/>
          <w:kern w:val="0"/>
          <w:szCs w:val="21"/>
        </w:rPr>
        <w:t>2025</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7</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10</w:t>
      </w:r>
      <w:r w:rsidRPr="00DC359B">
        <w:rPr>
          <w:rFonts w:ascii="Times New Roman" w:eastAsia="宋体" w:hAnsi="Times New Roman" w:cs="Times New Roman" w:hint="eastAsia"/>
          <w:kern w:val="0"/>
          <w:szCs w:val="21"/>
        </w:rPr>
        <w:t>日在中国证券登记结算有限责任公司深圳分公司办理完成部分回购股份的注销事宜，本次注销的回购股份数量为</w:t>
      </w:r>
      <w:r w:rsidRPr="00DC359B">
        <w:rPr>
          <w:rFonts w:ascii="Times New Roman" w:eastAsia="宋体" w:hAnsi="Times New Roman" w:cs="Times New Roman"/>
          <w:kern w:val="0"/>
          <w:szCs w:val="21"/>
        </w:rPr>
        <w:t>3,999,287</w:t>
      </w:r>
      <w:r w:rsidRPr="00DC359B">
        <w:rPr>
          <w:rFonts w:ascii="Times New Roman" w:eastAsia="宋体" w:hAnsi="Times New Roman" w:cs="Times New Roman" w:hint="eastAsia"/>
          <w:kern w:val="0"/>
          <w:szCs w:val="21"/>
        </w:rPr>
        <w:t>股，实际回购注销金额为人民币</w:t>
      </w:r>
      <w:r w:rsidRPr="00DC359B">
        <w:rPr>
          <w:rFonts w:ascii="Times New Roman" w:eastAsia="宋体" w:hAnsi="Times New Roman" w:cs="Times New Roman"/>
          <w:kern w:val="0"/>
          <w:szCs w:val="21"/>
        </w:rPr>
        <w:t>96,327,030.98</w:t>
      </w:r>
      <w:r w:rsidRPr="00DC359B">
        <w:rPr>
          <w:rFonts w:ascii="Times New Roman" w:eastAsia="宋体" w:hAnsi="Times New Roman" w:cs="Times New Roman" w:hint="eastAsia"/>
          <w:kern w:val="0"/>
          <w:szCs w:val="21"/>
        </w:rPr>
        <w:t>元。</w:t>
      </w:r>
    </w:p>
    <w:p w14:paraId="74393B4A"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股份变动对最近一年和最近一期基本每股收益和稀释每股收益、归属于公司普通股股东的每股净资产等财务指标的影响</w:t>
      </w:r>
    </w:p>
    <w:p w14:paraId="52A478F9"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0AC1C24D"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股份变动对最近一年和最近一期基本每股收益和稀释每股收益、归属于公司普通股股东的每股净资产等财务指标的影响详见本报告“第二节</w:t>
      </w:r>
      <w:r w:rsidRPr="00DC359B">
        <w:rPr>
          <w:rFonts w:ascii="Times New Roman" w:eastAsia="宋体" w:hAnsi="Times New Roman" w:cs="Times New Roman" w:hint="eastAsia"/>
          <w:kern w:val="0"/>
          <w:szCs w:val="21"/>
        </w:rPr>
        <w:t xml:space="preserve"> </w:t>
      </w:r>
      <w:r w:rsidRPr="00DC359B">
        <w:rPr>
          <w:rFonts w:ascii="Times New Roman" w:eastAsia="宋体" w:hAnsi="Times New Roman" w:cs="Times New Roman" w:hint="eastAsia"/>
          <w:kern w:val="0"/>
          <w:szCs w:val="21"/>
        </w:rPr>
        <w:t>公司简介和主要财务指标”之“五、主要会计数据和财务指标”相关内容。</w:t>
      </w:r>
    </w:p>
    <w:p w14:paraId="4647AF48"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公司认为必要或证券监管机构要求披露的其他内容</w:t>
      </w:r>
    </w:p>
    <w:p w14:paraId="471C368C"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20656716"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、限售股份变动情况</w:t>
      </w:r>
    </w:p>
    <w:p w14:paraId="6D3082B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7914A55C" w14:textId="77777777" w:rsidR="00DC359B" w:rsidRPr="00DC359B" w:rsidRDefault="00DC359B" w:rsidP="00DC359B">
      <w:pPr>
        <w:spacing w:before="120" w:after="120" w:line="240" w:lineRule="exact"/>
        <w:jc w:val="right"/>
        <w:rPr>
          <w:rFonts w:ascii="宋体" w:eastAsia="宋体" w:hAnsi="宋体" w:cs="宋体"/>
          <w:sz w:val="18"/>
          <w:szCs w:val="18"/>
        </w:rPr>
      </w:pPr>
      <w:r w:rsidRPr="00DC359B">
        <w:rPr>
          <w:rFonts w:ascii="宋体" w:eastAsia="宋体" w:hAnsi="宋体" w:cs="宋体"/>
          <w:sz w:val="18"/>
          <w:szCs w:val="18"/>
        </w:rPr>
        <w:t>单位：股</w:t>
      </w:r>
    </w:p>
    <w:tbl>
      <w:tblPr>
        <w:tblW w:w="9639" w:type="dxa"/>
        <w:tblInd w:w="108" w:type="dxa"/>
        <w:tblLayout w:type="fixed"/>
        <w:tblCellMar>
          <w:left w:w="28" w:type="dxa"/>
          <w:right w:w="28" w:type="dxa"/>
        </w:tblCellMar>
        <w:tblLook w:val="0000" w:firstRow="0" w:lastRow="0" w:firstColumn="0" w:lastColumn="0" w:noHBand="0" w:noVBand="0"/>
      </w:tblPr>
      <w:tblGrid>
        <w:gridCol w:w="913"/>
        <w:gridCol w:w="1275"/>
        <w:gridCol w:w="851"/>
        <w:gridCol w:w="850"/>
        <w:gridCol w:w="1276"/>
        <w:gridCol w:w="992"/>
        <w:gridCol w:w="3482"/>
      </w:tblGrid>
      <w:tr w:rsidR="00C57E60" w14:paraId="547B2D09"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2818C1D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股东名称</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58D05175"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期初限售股数</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4AD1C9D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本期增加限售股数</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6D3A5E1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本期解除限售股数</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73381EF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期末限售股数</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4B08298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限售原因</w:t>
            </w:r>
          </w:p>
        </w:tc>
        <w:tc>
          <w:tcPr>
            <w:tcW w:w="3482" w:type="dxa"/>
            <w:tcBorders>
              <w:top w:val="single" w:sz="2" w:space="0" w:color="auto"/>
              <w:left w:val="single" w:sz="2" w:space="0" w:color="auto"/>
              <w:bottom w:val="single" w:sz="2" w:space="0" w:color="auto"/>
              <w:right w:val="single" w:sz="2" w:space="0" w:color="auto"/>
            </w:tcBorders>
            <w:shd w:val="clear" w:color="auto" w:fill="D3D3D3"/>
            <w:vAlign w:val="center"/>
          </w:tcPr>
          <w:p w14:paraId="132D93A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解除限售日期</w:t>
            </w:r>
          </w:p>
        </w:tc>
      </w:tr>
      <w:tr w:rsidR="00C57E60" w14:paraId="64F1265D"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vAlign w:val="center"/>
          </w:tcPr>
          <w:p w14:paraId="20DB667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w:t>
            </w:r>
          </w:p>
        </w:tc>
        <w:tc>
          <w:tcPr>
            <w:tcW w:w="1275" w:type="dxa"/>
            <w:tcBorders>
              <w:top w:val="single" w:sz="2" w:space="0" w:color="auto"/>
              <w:left w:val="single" w:sz="2" w:space="0" w:color="auto"/>
              <w:bottom w:val="single" w:sz="2" w:space="0" w:color="auto"/>
              <w:right w:val="single" w:sz="2" w:space="0" w:color="auto"/>
            </w:tcBorders>
            <w:vAlign w:val="center"/>
          </w:tcPr>
          <w:p w14:paraId="1BF6587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107,014,236</w:t>
            </w:r>
          </w:p>
        </w:tc>
        <w:tc>
          <w:tcPr>
            <w:tcW w:w="851" w:type="dxa"/>
            <w:tcBorders>
              <w:top w:val="single" w:sz="2" w:space="0" w:color="auto"/>
              <w:left w:val="single" w:sz="2" w:space="0" w:color="auto"/>
              <w:bottom w:val="single" w:sz="2" w:space="0" w:color="auto"/>
              <w:right w:val="single" w:sz="2" w:space="0" w:color="auto"/>
            </w:tcBorders>
            <w:vAlign w:val="center"/>
          </w:tcPr>
          <w:p w14:paraId="54ABBAE5"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5B2DC6D8"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06323CA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107,014,236</w:t>
            </w:r>
          </w:p>
        </w:tc>
        <w:tc>
          <w:tcPr>
            <w:tcW w:w="992" w:type="dxa"/>
            <w:tcBorders>
              <w:top w:val="single" w:sz="2" w:space="0" w:color="auto"/>
              <w:left w:val="single" w:sz="2" w:space="0" w:color="auto"/>
              <w:bottom w:val="single" w:sz="2" w:space="0" w:color="auto"/>
              <w:right w:val="single" w:sz="2" w:space="0" w:color="auto"/>
            </w:tcBorders>
            <w:vAlign w:val="center"/>
          </w:tcPr>
          <w:p w14:paraId="504D0FD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高管锁定股</w:t>
            </w:r>
          </w:p>
        </w:tc>
        <w:tc>
          <w:tcPr>
            <w:tcW w:w="3482" w:type="dxa"/>
            <w:tcBorders>
              <w:top w:val="single" w:sz="2" w:space="0" w:color="auto"/>
              <w:left w:val="single" w:sz="2" w:space="0" w:color="auto"/>
              <w:bottom w:val="single" w:sz="2" w:space="0" w:color="auto"/>
              <w:right w:val="single" w:sz="2" w:space="0" w:color="auto"/>
            </w:tcBorders>
            <w:vAlign w:val="center"/>
          </w:tcPr>
          <w:p w14:paraId="37653752"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在公司就任时确定的任职期间，每年转让股份不超过所持公司股份总数</w:t>
            </w:r>
            <w:r w:rsidRPr="00DC359B">
              <w:rPr>
                <w:rFonts w:ascii="Times New Roman" w:eastAsia="宋体" w:hAnsi="Times New Roman" w:cs="Times New Roman"/>
                <w:sz w:val="18"/>
                <w:szCs w:val="18"/>
              </w:rPr>
              <w:t>25%</w:t>
            </w:r>
            <w:r w:rsidRPr="00DC359B">
              <w:rPr>
                <w:rFonts w:ascii="Times New Roman" w:eastAsia="宋体" w:hAnsi="Times New Roman" w:cs="Times New Roman"/>
                <w:sz w:val="18"/>
                <w:szCs w:val="18"/>
              </w:rPr>
              <w:t>，在本人离职后半年内，不得转让所持公司股份。</w:t>
            </w:r>
          </w:p>
        </w:tc>
      </w:tr>
      <w:tr w:rsidR="00C57E60" w14:paraId="16DA9018"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vAlign w:val="center"/>
          </w:tcPr>
          <w:p w14:paraId="6D4A122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李心一</w:t>
            </w:r>
          </w:p>
        </w:tc>
        <w:tc>
          <w:tcPr>
            <w:tcW w:w="1275" w:type="dxa"/>
            <w:tcBorders>
              <w:top w:val="single" w:sz="2" w:space="0" w:color="auto"/>
              <w:left w:val="single" w:sz="2" w:space="0" w:color="auto"/>
              <w:bottom w:val="single" w:sz="2" w:space="0" w:color="auto"/>
              <w:right w:val="single" w:sz="2" w:space="0" w:color="auto"/>
            </w:tcBorders>
            <w:vAlign w:val="center"/>
          </w:tcPr>
          <w:p w14:paraId="4DA7524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564,900</w:t>
            </w:r>
          </w:p>
        </w:tc>
        <w:tc>
          <w:tcPr>
            <w:tcW w:w="851" w:type="dxa"/>
            <w:tcBorders>
              <w:top w:val="single" w:sz="2" w:space="0" w:color="auto"/>
              <w:left w:val="single" w:sz="2" w:space="0" w:color="auto"/>
              <w:bottom w:val="single" w:sz="2" w:space="0" w:color="auto"/>
              <w:right w:val="single" w:sz="2" w:space="0" w:color="auto"/>
            </w:tcBorders>
            <w:vAlign w:val="center"/>
          </w:tcPr>
          <w:p w14:paraId="270BA3F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850" w:type="dxa"/>
            <w:tcBorders>
              <w:top w:val="single" w:sz="2" w:space="0" w:color="auto"/>
              <w:left w:val="single" w:sz="2" w:space="0" w:color="auto"/>
              <w:bottom w:val="single" w:sz="2" w:space="0" w:color="auto"/>
              <w:right w:val="single" w:sz="2" w:space="0" w:color="auto"/>
            </w:tcBorders>
            <w:vAlign w:val="center"/>
          </w:tcPr>
          <w:p w14:paraId="049EFDF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628203D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611,850</w:t>
            </w:r>
          </w:p>
        </w:tc>
        <w:tc>
          <w:tcPr>
            <w:tcW w:w="992" w:type="dxa"/>
            <w:tcBorders>
              <w:top w:val="single" w:sz="2" w:space="0" w:color="auto"/>
              <w:left w:val="single" w:sz="2" w:space="0" w:color="auto"/>
              <w:bottom w:val="single" w:sz="2" w:space="0" w:color="auto"/>
              <w:right w:val="single" w:sz="2" w:space="0" w:color="auto"/>
            </w:tcBorders>
            <w:vAlign w:val="center"/>
          </w:tcPr>
          <w:p w14:paraId="30DAF6E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高管锁定股</w:t>
            </w:r>
          </w:p>
        </w:tc>
        <w:tc>
          <w:tcPr>
            <w:tcW w:w="3482" w:type="dxa"/>
            <w:tcBorders>
              <w:top w:val="single" w:sz="2" w:space="0" w:color="auto"/>
              <w:left w:val="single" w:sz="2" w:space="0" w:color="auto"/>
              <w:bottom w:val="single" w:sz="2" w:space="0" w:color="auto"/>
              <w:right w:val="single" w:sz="2" w:space="0" w:color="auto"/>
            </w:tcBorders>
            <w:vAlign w:val="center"/>
          </w:tcPr>
          <w:p w14:paraId="5B3F9A11"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在公司就任时确定的任职期间，每年转让股份不超过所持公司股份总数</w:t>
            </w:r>
            <w:r w:rsidRPr="00DC359B">
              <w:rPr>
                <w:rFonts w:ascii="Times New Roman" w:eastAsia="宋体" w:hAnsi="Times New Roman" w:cs="Times New Roman"/>
                <w:sz w:val="18"/>
                <w:szCs w:val="18"/>
              </w:rPr>
              <w:t>25%</w:t>
            </w:r>
            <w:r w:rsidRPr="00DC359B">
              <w:rPr>
                <w:rFonts w:ascii="Times New Roman" w:eastAsia="宋体" w:hAnsi="Times New Roman" w:cs="Times New Roman"/>
                <w:sz w:val="18"/>
                <w:szCs w:val="18"/>
              </w:rPr>
              <w:t>，在本人离职后半年内，不得转让所持公司股份。</w:t>
            </w:r>
          </w:p>
        </w:tc>
      </w:tr>
      <w:tr w:rsidR="00C57E60" w14:paraId="1C5AB77F"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vAlign w:val="center"/>
          </w:tcPr>
          <w:p w14:paraId="3C5C55B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车宏菁</w:t>
            </w:r>
          </w:p>
        </w:tc>
        <w:tc>
          <w:tcPr>
            <w:tcW w:w="1275" w:type="dxa"/>
            <w:tcBorders>
              <w:top w:val="single" w:sz="2" w:space="0" w:color="auto"/>
              <w:left w:val="single" w:sz="2" w:space="0" w:color="auto"/>
              <w:bottom w:val="single" w:sz="2" w:space="0" w:color="auto"/>
              <w:right w:val="single" w:sz="2" w:space="0" w:color="auto"/>
            </w:tcBorders>
            <w:vAlign w:val="center"/>
          </w:tcPr>
          <w:p w14:paraId="3D51CBA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212,844</w:t>
            </w:r>
          </w:p>
        </w:tc>
        <w:tc>
          <w:tcPr>
            <w:tcW w:w="851" w:type="dxa"/>
            <w:tcBorders>
              <w:top w:val="single" w:sz="2" w:space="0" w:color="auto"/>
              <w:left w:val="single" w:sz="2" w:space="0" w:color="auto"/>
              <w:bottom w:val="single" w:sz="2" w:space="0" w:color="auto"/>
              <w:right w:val="single" w:sz="2" w:space="0" w:color="auto"/>
            </w:tcBorders>
            <w:vAlign w:val="center"/>
          </w:tcPr>
          <w:p w14:paraId="05FE0AD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7DF3107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70CC1CD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212,844</w:t>
            </w:r>
          </w:p>
        </w:tc>
        <w:tc>
          <w:tcPr>
            <w:tcW w:w="992" w:type="dxa"/>
            <w:tcBorders>
              <w:top w:val="single" w:sz="2" w:space="0" w:color="auto"/>
              <w:left w:val="single" w:sz="2" w:space="0" w:color="auto"/>
              <w:bottom w:val="single" w:sz="2" w:space="0" w:color="auto"/>
              <w:right w:val="single" w:sz="2" w:space="0" w:color="auto"/>
            </w:tcBorders>
            <w:vAlign w:val="center"/>
          </w:tcPr>
          <w:p w14:paraId="617C56E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高管锁定股</w:t>
            </w:r>
          </w:p>
        </w:tc>
        <w:tc>
          <w:tcPr>
            <w:tcW w:w="3482" w:type="dxa"/>
            <w:tcBorders>
              <w:top w:val="single" w:sz="2" w:space="0" w:color="auto"/>
              <w:left w:val="single" w:sz="2" w:space="0" w:color="auto"/>
              <w:bottom w:val="single" w:sz="2" w:space="0" w:color="auto"/>
              <w:right w:val="single" w:sz="2" w:space="0" w:color="auto"/>
            </w:tcBorders>
            <w:vAlign w:val="center"/>
          </w:tcPr>
          <w:p w14:paraId="7A1F99B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在公司就任时确定的任职期间，每年转让股份不超过所持公司股份总数</w:t>
            </w:r>
            <w:r w:rsidRPr="00DC359B">
              <w:rPr>
                <w:rFonts w:ascii="Times New Roman" w:eastAsia="宋体" w:hAnsi="Times New Roman" w:cs="Times New Roman"/>
                <w:sz w:val="18"/>
                <w:szCs w:val="18"/>
              </w:rPr>
              <w:t>25%</w:t>
            </w:r>
            <w:r w:rsidRPr="00DC359B">
              <w:rPr>
                <w:rFonts w:ascii="Times New Roman" w:eastAsia="宋体" w:hAnsi="Times New Roman" w:cs="Times New Roman"/>
                <w:sz w:val="18"/>
                <w:szCs w:val="18"/>
              </w:rPr>
              <w:t>，在本人离职后半年内，不得转让所持公司股份。</w:t>
            </w:r>
          </w:p>
        </w:tc>
      </w:tr>
      <w:tr w:rsidR="00C57E60" w14:paraId="755F618D"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vAlign w:val="center"/>
          </w:tcPr>
          <w:p w14:paraId="2A95C39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王世敏</w:t>
            </w:r>
          </w:p>
        </w:tc>
        <w:tc>
          <w:tcPr>
            <w:tcW w:w="1275" w:type="dxa"/>
            <w:tcBorders>
              <w:top w:val="single" w:sz="2" w:space="0" w:color="auto"/>
              <w:left w:val="single" w:sz="2" w:space="0" w:color="auto"/>
              <w:bottom w:val="single" w:sz="2" w:space="0" w:color="auto"/>
              <w:right w:val="single" w:sz="2" w:space="0" w:color="auto"/>
            </w:tcBorders>
            <w:vAlign w:val="center"/>
          </w:tcPr>
          <w:p w14:paraId="4E7D613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577,054</w:t>
            </w:r>
          </w:p>
        </w:tc>
        <w:tc>
          <w:tcPr>
            <w:tcW w:w="851" w:type="dxa"/>
            <w:tcBorders>
              <w:top w:val="single" w:sz="2" w:space="0" w:color="auto"/>
              <w:left w:val="single" w:sz="2" w:space="0" w:color="auto"/>
              <w:bottom w:val="single" w:sz="2" w:space="0" w:color="auto"/>
              <w:right w:val="single" w:sz="2" w:space="0" w:color="auto"/>
            </w:tcBorders>
            <w:vAlign w:val="center"/>
          </w:tcPr>
          <w:p w14:paraId="3B06F091"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1447BB0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1EDDBE0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577,054</w:t>
            </w:r>
          </w:p>
        </w:tc>
        <w:tc>
          <w:tcPr>
            <w:tcW w:w="992" w:type="dxa"/>
            <w:tcBorders>
              <w:top w:val="single" w:sz="2" w:space="0" w:color="auto"/>
              <w:left w:val="single" w:sz="2" w:space="0" w:color="auto"/>
              <w:bottom w:val="single" w:sz="2" w:space="0" w:color="auto"/>
              <w:right w:val="single" w:sz="2" w:space="0" w:color="auto"/>
            </w:tcBorders>
            <w:vAlign w:val="center"/>
          </w:tcPr>
          <w:p w14:paraId="3BD0C46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高管锁定股</w:t>
            </w:r>
          </w:p>
        </w:tc>
        <w:tc>
          <w:tcPr>
            <w:tcW w:w="3482" w:type="dxa"/>
            <w:tcBorders>
              <w:top w:val="single" w:sz="2" w:space="0" w:color="auto"/>
              <w:left w:val="single" w:sz="2" w:space="0" w:color="auto"/>
              <w:bottom w:val="single" w:sz="2" w:space="0" w:color="auto"/>
              <w:right w:val="single" w:sz="2" w:space="0" w:color="auto"/>
            </w:tcBorders>
            <w:vAlign w:val="center"/>
          </w:tcPr>
          <w:p w14:paraId="530B686D"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在公司就任时确定的任职期间，每年转让股份不超过所持公司股份总数</w:t>
            </w:r>
            <w:r w:rsidRPr="00DC359B">
              <w:rPr>
                <w:rFonts w:ascii="Times New Roman" w:eastAsia="宋体" w:hAnsi="Times New Roman" w:cs="Times New Roman"/>
                <w:sz w:val="18"/>
                <w:szCs w:val="18"/>
              </w:rPr>
              <w:t>25%</w:t>
            </w:r>
            <w:r w:rsidRPr="00DC359B">
              <w:rPr>
                <w:rFonts w:ascii="Times New Roman" w:eastAsia="宋体" w:hAnsi="Times New Roman" w:cs="Times New Roman"/>
                <w:sz w:val="18"/>
                <w:szCs w:val="18"/>
              </w:rPr>
              <w:t>，在本人离职后半年内，不得转让所持公司股份。</w:t>
            </w:r>
          </w:p>
        </w:tc>
      </w:tr>
      <w:tr w:rsidR="00C57E60" w14:paraId="77FAB800"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vAlign w:val="center"/>
          </w:tcPr>
          <w:p w14:paraId="031AA21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黄安国</w:t>
            </w:r>
          </w:p>
        </w:tc>
        <w:tc>
          <w:tcPr>
            <w:tcW w:w="1275" w:type="dxa"/>
            <w:tcBorders>
              <w:top w:val="single" w:sz="2" w:space="0" w:color="auto"/>
              <w:left w:val="single" w:sz="2" w:space="0" w:color="auto"/>
              <w:bottom w:val="single" w:sz="2" w:space="0" w:color="auto"/>
              <w:right w:val="single" w:sz="2" w:space="0" w:color="auto"/>
            </w:tcBorders>
            <w:vAlign w:val="center"/>
          </w:tcPr>
          <w:p w14:paraId="2FC9259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550,624</w:t>
            </w:r>
          </w:p>
        </w:tc>
        <w:tc>
          <w:tcPr>
            <w:tcW w:w="851" w:type="dxa"/>
            <w:tcBorders>
              <w:top w:val="single" w:sz="2" w:space="0" w:color="auto"/>
              <w:left w:val="single" w:sz="2" w:space="0" w:color="auto"/>
              <w:bottom w:val="single" w:sz="2" w:space="0" w:color="auto"/>
              <w:right w:val="single" w:sz="2" w:space="0" w:color="auto"/>
            </w:tcBorders>
            <w:vAlign w:val="center"/>
          </w:tcPr>
          <w:p w14:paraId="52B41EDF"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63113C0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738014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550,624</w:t>
            </w:r>
          </w:p>
        </w:tc>
        <w:tc>
          <w:tcPr>
            <w:tcW w:w="992" w:type="dxa"/>
            <w:tcBorders>
              <w:top w:val="single" w:sz="2" w:space="0" w:color="auto"/>
              <w:left w:val="single" w:sz="2" w:space="0" w:color="auto"/>
              <w:bottom w:val="single" w:sz="2" w:space="0" w:color="auto"/>
              <w:right w:val="single" w:sz="2" w:space="0" w:color="auto"/>
            </w:tcBorders>
            <w:vAlign w:val="center"/>
          </w:tcPr>
          <w:p w14:paraId="2A94DD0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高管锁定股</w:t>
            </w:r>
          </w:p>
        </w:tc>
        <w:tc>
          <w:tcPr>
            <w:tcW w:w="3482" w:type="dxa"/>
            <w:tcBorders>
              <w:top w:val="single" w:sz="2" w:space="0" w:color="auto"/>
              <w:left w:val="single" w:sz="2" w:space="0" w:color="auto"/>
              <w:bottom w:val="single" w:sz="2" w:space="0" w:color="auto"/>
              <w:right w:val="single" w:sz="2" w:space="0" w:color="auto"/>
            </w:tcBorders>
            <w:vAlign w:val="center"/>
          </w:tcPr>
          <w:p w14:paraId="2BEF204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hint="eastAsia"/>
                <w:sz w:val="18"/>
                <w:szCs w:val="18"/>
              </w:rPr>
              <w:t>2</w:t>
            </w:r>
            <w:r w:rsidRPr="00DC359B">
              <w:rPr>
                <w:rFonts w:ascii="Times New Roman" w:eastAsia="宋体" w:hAnsi="Times New Roman" w:cs="Times New Roman"/>
                <w:sz w:val="18"/>
                <w:szCs w:val="18"/>
              </w:rPr>
              <w:t>026</w:t>
            </w:r>
            <w:r w:rsidRPr="00DC359B">
              <w:rPr>
                <w:rFonts w:ascii="Times New Roman" w:eastAsia="宋体" w:hAnsi="Times New Roman" w:cs="Times New Roman" w:hint="eastAsia"/>
                <w:sz w:val="18"/>
                <w:szCs w:val="18"/>
              </w:rPr>
              <w:t>年</w:t>
            </w:r>
            <w:r w:rsidRPr="00DC359B">
              <w:rPr>
                <w:rFonts w:ascii="Times New Roman" w:eastAsia="宋体" w:hAnsi="Times New Roman" w:cs="Times New Roman"/>
                <w:sz w:val="18"/>
                <w:szCs w:val="18"/>
              </w:rPr>
              <w:t>7</w:t>
            </w:r>
            <w:r w:rsidRPr="00DC359B">
              <w:rPr>
                <w:rFonts w:ascii="Times New Roman" w:eastAsia="宋体" w:hAnsi="Times New Roman" w:cs="Times New Roman" w:hint="eastAsia"/>
                <w:sz w:val="18"/>
                <w:szCs w:val="18"/>
              </w:rPr>
              <w:t>月</w:t>
            </w:r>
            <w:r w:rsidRPr="00DC359B">
              <w:rPr>
                <w:rFonts w:ascii="Times New Roman" w:eastAsia="宋体" w:hAnsi="Times New Roman" w:cs="Times New Roman"/>
                <w:sz w:val="18"/>
                <w:szCs w:val="18"/>
              </w:rPr>
              <w:t>1</w:t>
            </w:r>
            <w:r w:rsidRPr="00DC359B">
              <w:rPr>
                <w:rFonts w:ascii="Times New Roman" w:eastAsia="宋体" w:hAnsi="Times New Roman" w:cs="Times New Roman" w:hint="eastAsia"/>
                <w:sz w:val="18"/>
                <w:szCs w:val="18"/>
              </w:rPr>
              <w:t>日</w:t>
            </w:r>
          </w:p>
        </w:tc>
      </w:tr>
      <w:tr w:rsidR="00C57E60" w14:paraId="71F33B0C" w14:textId="77777777" w:rsidTr="00DC359B">
        <w:trPr>
          <w:cantSplit/>
          <w:trHeight w:val="240"/>
          <w:tblHeader/>
        </w:trPr>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6D5E9266"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合计</w:t>
            </w:r>
          </w:p>
        </w:tc>
        <w:tc>
          <w:tcPr>
            <w:tcW w:w="1275" w:type="dxa"/>
            <w:tcBorders>
              <w:top w:val="single" w:sz="2" w:space="0" w:color="auto"/>
              <w:left w:val="single" w:sz="2" w:space="0" w:color="auto"/>
              <w:bottom w:val="single" w:sz="2" w:space="0" w:color="auto"/>
              <w:right w:val="single" w:sz="2" w:space="0" w:color="auto"/>
            </w:tcBorders>
            <w:vAlign w:val="center"/>
          </w:tcPr>
          <w:p w14:paraId="60233AE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108,919,658</w:t>
            </w:r>
          </w:p>
        </w:tc>
        <w:tc>
          <w:tcPr>
            <w:tcW w:w="851" w:type="dxa"/>
            <w:tcBorders>
              <w:top w:val="single" w:sz="2" w:space="0" w:color="auto"/>
              <w:left w:val="single" w:sz="2" w:space="0" w:color="auto"/>
              <w:bottom w:val="single" w:sz="2" w:space="0" w:color="auto"/>
              <w:right w:val="single" w:sz="2" w:space="0" w:color="auto"/>
            </w:tcBorders>
            <w:vAlign w:val="center"/>
          </w:tcPr>
          <w:p w14:paraId="4297A6D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46,950</w:t>
            </w:r>
          </w:p>
        </w:tc>
        <w:tc>
          <w:tcPr>
            <w:tcW w:w="850" w:type="dxa"/>
            <w:tcBorders>
              <w:top w:val="single" w:sz="2" w:space="0" w:color="auto"/>
              <w:left w:val="single" w:sz="2" w:space="0" w:color="auto"/>
              <w:bottom w:val="single" w:sz="2" w:space="0" w:color="auto"/>
              <w:right w:val="single" w:sz="2" w:space="0" w:color="auto"/>
            </w:tcBorders>
            <w:vAlign w:val="center"/>
          </w:tcPr>
          <w:p w14:paraId="4EE7F6F8"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33FA6DC6"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108,966,608</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9520B1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w:t>
            </w:r>
          </w:p>
        </w:tc>
        <w:tc>
          <w:tcPr>
            <w:tcW w:w="3482" w:type="dxa"/>
            <w:tcBorders>
              <w:top w:val="single" w:sz="2" w:space="0" w:color="auto"/>
              <w:left w:val="single" w:sz="2" w:space="0" w:color="auto"/>
              <w:bottom w:val="single" w:sz="2" w:space="0" w:color="auto"/>
              <w:right w:val="single" w:sz="2" w:space="0" w:color="auto"/>
            </w:tcBorders>
            <w:shd w:val="clear" w:color="auto" w:fill="D3D3D3"/>
            <w:vAlign w:val="center"/>
          </w:tcPr>
          <w:p w14:paraId="4B7F3F4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w:t>
            </w:r>
          </w:p>
        </w:tc>
      </w:tr>
    </w:tbl>
    <w:p w14:paraId="01CA5820"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二、证券发行与上市情况</w:t>
      </w:r>
    </w:p>
    <w:p w14:paraId="4AA36E8F"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1</w:t>
      </w:r>
      <w:r w:rsidRPr="00DC359B">
        <w:rPr>
          <w:rFonts w:ascii="Times New Roman" w:eastAsia="宋体" w:hAnsi="Times New Roman" w:cs="Times New Roman"/>
          <w:b/>
          <w:bCs/>
          <w:szCs w:val="21"/>
        </w:rPr>
        <w:t>、报告期内证券发行（不含优先股）情况</w:t>
      </w:r>
    </w:p>
    <w:p w14:paraId="7AD540DC"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tbl>
      <w:tblPr>
        <w:tblW w:w="9639" w:type="dxa"/>
        <w:tblInd w:w="108" w:type="dxa"/>
        <w:tblLayout w:type="fixed"/>
        <w:tblCellMar>
          <w:left w:w="28" w:type="dxa"/>
          <w:right w:w="28" w:type="dxa"/>
        </w:tblCellMar>
        <w:tblLook w:val="0000" w:firstRow="0" w:lastRow="0" w:firstColumn="0" w:lastColumn="0" w:noHBand="0" w:noVBand="0"/>
      </w:tblPr>
      <w:tblGrid>
        <w:gridCol w:w="1276"/>
        <w:gridCol w:w="1134"/>
        <w:gridCol w:w="1134"/>
        <w:gridCol w:w="992"/>
        <w:gridCol w:w="1054"/>
        <w:gridCol w:w="851"/>
        <w:gridCol w:w="1276"/>
        <w:gridCol w:w="992"/>
        <w:gridCol w:w="930"/>
      </w:tblGrid>
      <w:tr w:rsidR="00C57E60" w14:paraId="2F1C8E9D" w14:textId="77777777" w:rsidTr="00DC359B">
        <w:trPr>
          <w:cantSplit/>
          <w:trHeight w:val="240"/>
          <w:tblHeader/>
        </w:trPr>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622631C1"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股票及其衍生证券名称</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E4FA07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发行日期</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FCAD508"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发行价格（或利率）</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35B86EC"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发行数量</w:t>
            </w:r>
          </w:p>
        </w:tc>
        <w:tc>
          <w:tcPr>
            <w:tcW w:w="1054" w:type="dxa"/>
            <w:tcBorders>
              <w:top w:val="single" w:sz="2" w:space="0" w:color="auto"/>
              <w:left w:val="single" w:sz="2" w:space="0" w:color="auto"/>
              <w:bottom w:val="single" w:sz="2" w:space="0" w:color="auto"/>
              <w:right w:val="single" w:sz="2" w:space="0" w:color="auto"/>
            </w:tcBorders>
            <w:shd w:val="clear" w:color="auto" w:fill="D3D3D3"/>
            <w:vAlign w:val="center"/>
          </w:tcPr>
          <w:p w14:paraId="0953DEA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上市日期</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719295F8"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获准上市交易数量</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F90465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交易终止日期</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CE7BCE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披露索引</w:t>
            </w:r>
          </w:p>
        </w:tc>
        <w:tc>
          <w:tcPr>
            <w:tcW w:w="930" w:type="dxa"/>
            <w:tcBorders>
              <w:top w:val="single" w:sz="2" w:space="0" w:color="auto"/>
              <w:left w:val="single" w:sz="2" w:space="0" w:color="auto"/>
              <w:bottom w:val="single" w:sz="2" w:space="0" w:color="auto"/>
              <w:right w:val="single" w:sz="2" w:space="0" w:color="auto"/>
            </w:tcBorders>
            <w:shd w:val="clear" w:color="auto" w:fill="D3D3D3"/>
            <w:vAlign w:val="center"/>
          </w:tcPr>
          <w:p w14:paraId="61465AA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披露日期</w:t>
            </w:r>
          </w:p>
        </w:tc>
      </w:tr>
      <w:tr w:rsidR="00C57E60" w14:paraId="5F1B013F" w14:textId="77777777" w:rsidTr="00DC359B">
        <w:trPr>
          <w:cantSplit/>
          <w:trHeight w:val="240"/>
          <w:tblHeader/>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70C22597"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股票类</w:t>
            </w:r>
          </w:p>
        </w:tc>
      </w:tr>
      <w:tr w:rsidR="00C57E60" w14:paraId="206CEB5C" w14:textId="77777777" w:rsidTr="00DC359B">
        <w:trPr>
          <w:cantSplit/>
          <w:trHeight w:val="240"/>
          <w:tblHeader/>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39A0DB75"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可转换公司债券、分离交易的可转换公司债券、公司债类</w:t>
            </w:r>
          </w:p>
        </w:tc>
      </w:tr>
      <w:tr w:rsidR="00C57E60" w14:paraId="186D3EE2" w14:textId="77777777" w:rsidTr="00DC359B">
        <w:trPr>
          <w:cantSplit/>
          <w:trHeight w:val="240"/>
          <w:tblHeader/>
        </w:trPr>
        <w:tc>
          <w:tcPr>
            <w:tcW w:w="1276" w:type="dxa"/>
            <w:tcBorders>
              <w:top w:val="single" w:sz="2" w:space="0" w:color="auto"/>
              <w:left w:val="single" w:sz="2" w:space="0" w:color="auto"/>
              <w:bottom w:val="single" w:sz="2" w:space="0" w:color="auto"/>
              <w:right w:val="single" w:sz="2" w:space="0" w:color="auto"/>
            </w:tcBorders>
            <w:vAlign w:val="center"/>
          </w:tcPr>
          <w:p w14:paraId="5A21176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三诺转债</w:t>
            </w:r>
          </w:p>
        </w:tc>
        <w:tc>
          <w:tcPr>
            <w:tcW w:w="1134" w:type="dxa"/>
            <w:tcBorders>
              <w:top w:val="single" w:sz="2" w:space="0" w:color="auto"/>
              <w:left w:val="single" w:sz="2" w:space="0" w:color="auto"/>
              <w:bottom w:val="single" w:sz="2" w:space="0" w:color="auto"/>
              <w:right w:val="single" w:sz="2" w:space="0" w:color="auto"/>
            </w:tcBorders>
            <w:vAlign w:val="center"/>
          </w:tcPr>
          <w:p w14:paraId="428AB77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2020</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21</w:t>
            </w:r>
            <w:r w:rsidRPr="00DC359B">
              <w:rPr>
                <w:rFonts w:ascii="Times New Roman" w:eastAsia="宋体" w:hAnsi="Times New Roman" w:cs="Times New Roman"/>
                <w:sz w:val="18"/>
                <w:szCs w:val="18"/>
              </w:rPr>
              <w:t>日</w:t>
            </w:r>
          </w:p>
        </w:tc>
        <w:tc>
          <w:tcPr>
            <w:tcW w:w="1134" w:type="dxa"/>
            <w:tcBorders>
              <w:top w:val="single" w:sz="2" w:space="0" w:color="auto"/>
              <w:left w:val="single" w:sz="2" w:space="0" w:color="auto"/>
              <w:bottom w:val="single" w:sz="2" w:space="0" w:color="auto"/>
              <w:right w:val="single" w:sz="2" w:space="0" w:color="auto"/>
            </w:tcBorders>
            <w:vAlign w:val="center"/>
          </w:tcPr>
          <w:p w14:paraId="5EADE25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100</w:t>
            </w:r>
            <w:r w:rsidRPr="00DC359B">
              <w:rPr>
                <w:rFonts w:ascii="Times New Roman" w:eastAsia="宋体" w:hAnsi="Times New Roman" w:cs="Times New Roman"/>
                <w:sz w:val="18"/>
                <w:szCs w:val="18"/>
              </w:rPr>
              <w:t>元</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张</w:t>
            </w:r>
          </w:p>
        </w:tc>
        <w:tc>
          <w:tcPr>
            <w:tcW w:w="992" w:type="dxa"/>
            <w:tcBorders>
              <w:top w:val="single" w:sz="2" w:space="0" w:color="auto"/>
              <w:left w:val="single" w:sz="2" w:space="0" w:color="auto"/>
              <w:bottom w:val="single" w:sz="2" w:space="0" w:color="auto"/>
              <w:right w:val="single" w:sz="2" w:space="0" w:color="auto"/>
            </w:tcBorders>
            <w:vAlign w:val="center"/>
          </w:tcPr>
          <w:p w14:paraId="4FD0283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5,000,000</w:t>
            </w:r>
          </w:p>
        </w:tc>
        <w:tc>
          <w:tcPr>
            <w:tcW w:w="1054" w:type="dxa"/>
            <w:tcBorders>
              <w:top w:val="single" w:sz="2" w:space="0" w:color="auto"/>
              <w:left w:val="single" w:sz="2" w:space="0" w:color="auto"/>
              <w:bottom w:val="single" w:sz="2" w:space="0" w:color="auto"/>
              <w:right w:val="single" w:sz="2" w:space="0" w:color="auto"/>
            </w:tcBorders>
            <w:vAlign w:val="center"/>
          </w:tcPr>
          <w:p w14:paraId="7FA3002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2021</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01</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日</w:t>
            </w:r>
          </w:p>
        </w:tc>
        <w:tc>
          <w:tcPr>
            <w:tcW w:w="851" w:type="dxa"/>
            <w:tcBorders>
              <w:top w:val="single" w:sz="2" w:space="0" w:color="auto"/>
              <w:left w:val="single" w:sz="2" w:space="0" w:color="auto"/>
              <w:bottom w:val="single" w:sz="2" w:space="0" w:color="auto"/>
              <w:right w:val="single" w:sz="2" w:space="0" w:color="auto"/>
            </w:tcBorders>
            <w:vAlign w:val="center"/>
          </w:tcPr>
          <w:p w14:paraId="2B49808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5,000,000</w:t>
            </w:r>
          </w:p>
        </w:tc>
        <w:tc>
          <w:tcPr>
            <w:tcW w:w="1276" w:type="dxa"/>
            <w:tcBorders>
              <w:top w:val="single" w:sz="2" w:space="0" w:color="auto"/>
              <w:left w:val="single" w:sz="2" w:space="0" w:color="auto"/>
              <w:bottom w:val="single" w:sz="2" w:space="0" w:color="auto"/>
              <w:right w:val="single" w:sz="2" w:space="0" w:color="auto"/>
            </w:tcBorders>
            <w:vAlign w:val="center"/>
          </w:tcPr>
          <w:p w14:paraId="3DD59DD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2026</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20</w:t>
            </w:r>
            <w:r w:rsidRPr="00DC359B">
              <w:rPr>
                <w:rFonts w:ascii="Times New Roman" w:eastAsia="宋体" w:hAnsi="Times New Roman" w:cs="Times New Roman"/>
                <w:sz w:val="18"/>
                <w:szCs w:val="18"/>
              </w:rPr>
              <w:t>日</w:t>
            </w:r>
          </w:p>
        </w:tc>
        <w:tc>
          <w:tcPr>
            <w:tcW w:w="992" w:type="dxa"/>
            <w:tcBorders>
              <w:top w:val="single" w:sz="2" w:space="0" w:color="auto"/>
              <w:left w:val="single" w:sz="2" w:space="0" w:color="auto"/>
              <w:bottom w:val="single" w:sz="2" w:space="0" w:color="auto"/>
              <w:right w:val="single" w:sz="2" w:space="0" w:color="auto"/>
            </w:tcBorders>
            <w:vAlign w:val="center"/>
          </w:tcPr>
          <w:p w14:paraId="4714AA7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公告编号：</w:t>
            </w:r>
            <w:r w:rsidRPr="00DC359B">
              <w:rPr>
                <w:rFonts w:ascii="Times New Roman" w:eastAsia="宋体" w:hAnsi="Times New Roman" w:cs="Times New Roman"/>
                <w:sz w:val="18"/>
                <w:szCs w:val="18"/>
              </w:rPr>
              <w:t>2021-002</w:t>
            </w:r>
          </w:p>
        </w:tc>
        <w:tc>
          <w:tcPr>
            <w:tcW w:w="930" w:type="dxa"/>
            <w:tcBorders>
              <w:top w:val="single" w:sz="2" w:space="0" w:color="auto"/>
              <w:left w:val="single" w:sz="2" w:space="0" w:color="auto"/>
              <w:bottom w:val="single" w:sz="2" w:space="0" w:color="auto"/>
              <w:right w:val="single" w:sz="2" w:space="0" w:color="auto"/>
            </w:tcBorders>
            <w:vAlign w:val="center"/>
          </w:tcPr>
          <w:p w14:paraId="7EDCE9B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2021</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01</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08</w:t>
            </w:r>
            <w:r w:rsidRPr="00DC359B">
              <w:rPr>
                <w:rFonts w:ascii="Times New Roman" w:eastAsia="宋体" w:hAnsi="Times New Roman" w:cs="Times New Roman"/>
                <w:sz w:val="18"/>
                <w:szCs w:val="18"/>
              </w:rPr>
              <w:t>日</w:t>
            </w:r>
          </w:p>
        </w:tc>
      </w:tr>
      <w:tr w:rsidR="00C57E60" w14:paraId="7ABD9ED5" w14:textId="77777777" w:rsidTr="00DC359B">
        <w:trPr>
          <w:cantSplit/>
          <w:trHeight w:val="240"/>
          <w:tblHeader/>
        </w:trPr>
        <w:tc>
          <w:tcPr>
            <w:tcW w:w="9639" w:type="dxa"/>
            <w:gridSpan w:val="9"/>
            <w:tcBorders>
              <w:top w:val="single" w:sz="2" w:space="0" w:color="auto"/>
              <w:left w:val="single" w:sz="2" w:space="0" w:color="auto"/>
              <w:bottom w:val="single" w:sz="2" w:space="0" w:color="auto"/>
              <w:right w:val="single" w:sz="2" w:space="0" w:color="auto"/>
            </w:tcBorders>
            <w:shd w:val="clear" w:color="auto" w:fill="D3D3D3"/>
            <w:vAlign w:val="center"/>
          </w:tcPr>
          <w:p w14:paraId="6DA791F9"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其他衍生证券类</w:t>
            </w:r>
          </w:p>
        </w:tc>
      </w:tr>
    </w:tbl>
    <w:p w14:paraId="6E98346B"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报告期内证券发行（不含优先股）情况的说明</w:t>
      </w:r>
    </w:p>
    <w:p w14:paraId="601FEBCC" w14:textId="77777777" w:rsidR="00DC359B" w:rsidRPr="00DC359B" w:rsidRDefault="00DC359B" w:rsidP="00DC359B">
      <w:pPr>
        <w:widowControl/>
        <w:spacing w:line="360" w:lineRule="auto"/>
        <w:ind w:firstLineChars="200" w:firstLine="420"/>
        <w:jc w:val="both"/>
        <w:rPr>
          <w:rFonts w:ascii="Times New Roman" w:eastAsia="宋体" w:hAnsi="Times New Roman" w:cs="Times New Roman"/>
          <w:kern w:val="0"/>
          <w:szCs w:val="21"/>
        </w:rPr>
      </w:pPr>
      <w:r w:rsidRPr="00DC359B">
        <w:rPr>
          <w:rFonts w:ascii="Times New Roman" w:eastAsia="宋体" w:hAnsi="Times New Roman" w:cs="Times New Roman" w:hint="eastAsia"/>
          <w:kern w:val="0"/>
          <w:szCs w:val="21"/>
        </w:rPr>
        <w:t>公司向不特定对象发行可转换公司债券事项经中国证监会“证监许可</w:t>
      </w:r>
      <w:r w:rsidRPr="00DC359B">
        <w:rPr>
          <w:rFonts w:ascii="Times New Roman" w:eastAsia="宋体" w:hAnsi="Times New Roman" w:cs="Times New Roman"/>
          <w:kern w:val="0"/>
          <w:szCs w:val="21"/>
        </w:rPr>
        <w:t>[2020]2951</w:t>
      </w:r>
      <w:r w:rsidRPr="00DC359B">
        <w:rPr>
          <w:rFonts w:ascii="Times New Roman" w:eastAsia="宋体" w:hAnsi="Times New Roman" w:cs="Times New Roman" w:hint="eastAsia"/>
          <w:kern w:val="0"/>
          <w:szCs w:val="21"/>
        </w:rPr>
        <w:t>号”文同意注册，公司于</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21</w:t>
      </w:r>
      <w:r w:rsidRPr="00DC359B">
        <w:rPr>
          <w:rFonts w:ascii="Times New Roman" w:eastAsia="宋体" w:hAnsi="Times New Roman" w:cs="Times New Roman" w:hint="eastAsia"/>
          <w:kern w:val="0"/>
          <w:szCs w:val="21"/>
        </w:rPr>
        <w:t>日向不特定对象共发行</w:t>
      </w:r>
      <w:r w:rsidRPr="00DC359B">
        <w:rPr>
          <w:rFonts w:ascii="Times New Roman" w:eastAsia="宋体" w:hAnsi="Times New Roman" w:cs="Times New Roman"/>
          <w:kern w:val="0"/>
          <w:szCs w:val="21"/>
        </w:rPr>
        <w:t>500.00</w:t>
      </w:r>
      <w:r w:rsidRPr="00DC359B">
        <w:rPr>
          <w:rFonts w:ascii="Times New Roman" w:eastAsia="宋体" w:hAnsi="Times New Roman" w:cs="Times New Roman" w:hint="eastAsia"/>
          <w:kern w:val="0"/>
          <w:szCs w:val="21"/>
        </w:rPr>
        <w:t>万张可转换公司债券，每张面值人民币</w:t>
      </w:r>
      <w:r w:rsidRPr="00DC359B">
        <w:rPr>
          <w:rFonts w:ascii="Times New Roman" w:eastAsia="宋体" w:hAnsi="Times New Roman" w:cs="Times New Roman"/>
          <w:kern w:val="0"/>
          <w:szCs w:val="21"/>
        </w:rPr>
        <w:t>100</w:t>
      </w:r>
      <w:r w:rsidRPr="00DC359B">
        <w:rPr>
          <w:rFonts w:ascii="Times New Roman" w:eastAsia="宋体" w:hAnsi="Times New Roman" w:cs="Times New Roman" w:hint="eastAsia"/>
          <w:kern w:val="0"/>
          <w:szCs w:val="21"/>
        </w:rPr>
        <w:t>元，发行总额</w:t>
      </w:r>
      <w:r w:rsidRPr="00DC359B">
        <w:rPr>
          <w:rFonts w:ascii="Times New Roman" w:eastAsia="宋体" w:hAnsi="Times New Roman" w:cs="Times New Roman"/>
          <w:kern w:val="0"/>
          <w:szCs w:val="21"/>
        </w:rPr>
        <w:t>50,000.00</w:t>
      </w:r>
      <w:r w:rsidRPr="00DC359B">
        <w:rPr>
          <w:rFonts w:ascii="Times New Roman" w:eastAsia="宋体" w:hAnsi="Times New Roman" w:cs="Times New Roman" w:hint="eastAsia"/>
          <w:kern w:val="0"/>
          <w:szCs w:val="21"/>
        </w:rPr>
        <w:t>万元，本次可转换公司债券已于</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日起在深交所挂牌交易，债券简称“三诺转债”，债券代码“</w:t>
      </w:r>
      <w:r w:rsidRPr="00DC359B">
        <w:rPr>
          <w:rFonts w:ascii="Times New Roman" w:eastAsia="宋体" w:hAnsi="Times New Roman" w:cs="Times New Roman"/>
          <w:kern w:val="0"/>
          <w:szCs w:val="21"/>
        </w:rPr>
        <w:t>123090</w:t>
      </w:r>
      <w:r w:rsidRPr="00DC359B">
        <w:rPr>
          <w:rFonts w:ascii="Times New Roman" w:eastAsia="宋体" w:hAnsi="Times New Roman" w:cs="Times New Roman" w:hint="eastAsia"/>
          <w:kern w:val="0"/>
          <w:szCs w:val="21"/>
        </w:rPr>
        <w:t>”。转债存续期限为自发行之日起六年，即</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21</w:t>
      </w:r>
      <w:r w:rsidRPr="00DC359B">
        <w:rPr>
          <w:rFonts w:ascii="Times New Roman" w:eastAsia="宋体" w:hAnsi="Times New Roman" w:cs="Times New Roman" w:hint="eastAsia"/>
          <w:kern w:val="0"/>
          <w:szCs w:val="21"/>
        </w:rPr>
        <w:t>日至</w:t>
      </w:r>
      <w:r w:rsidRPr="00DC359B">
        <w:rPr>
          <w:rFonts w:ascii="Times New Roman" w:eastAsia="宋体" w:hAnsi="Times New Roman" w:cs="Times New Roman"/>
          <w:kern w:val="0"/>
          <w:szCs w:val="21"/>
        </w:rPr>
        <w:t>2026</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20</w:t>
      </w:r>
      <w:r w:rsidRPr="00DC359B">
        <w:rPr>
          <w:rFonts w:ascii="Times New Roman" w:eastAsia="宋体" w:hAnsi="Times New Roman" w:cs="Times New Roman" w:hint="eastAsia"/>
          <w:kern w:val="0"/>
          <w:szCs w:val="21"/>
        </w:rPr>
        <w:t>日（如遇法定节假日或休息日延至其后的第</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个工作日；顺延期间付息款项不另计息），转股期限自可转债发行结束之日（</w:t>
      </w:r>
      <w:r w:rsidRPr="00DC359B">
        <w:rPr>
          <w:rFonts w:ascii="Times New Roman" w:eastAsia="宋体" w:hAnsi="Times New Roman" w:cs="Times New Roman"/>
          <w:kern w:val="0"/>
          <w:szCs w:val="21"/>
        </w:rPr>
        <w:t>2020</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25</w:t>
      </w:r>
      <w:r w:rsidRPr="00DC359B">
        <w:rPr>
          <w:rFonts w:ascii="Times New Roman" w:eastAsia="宋体" w:hAnsi="Times New Roman" w:cs="Times New Roman" w:hint="eastAsia"/>
          <w:kern w:val="0"/>
          <w:szCs w:val="21"/>
        </w:rPr>
        <w:t>日）满六个月后的第一个交易日（</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6</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25</w:t>
      </w:r>
      <w:r w:rsidRPr="00DC359B">
        <w:rPr>
          <w:rFonts w:ascii="Times New Roman" w:eastAsia="宋体" w:hAnsi="Times New Roman" w:cs="Times New Roman" w:hint="eastAsia"/>
          <w:kern w:val="0"/>
          <w:szCs w:val="21"/>
        </w:rPr>
        <w:t>日）起至可转债到期日（</w:t>
      </w:r>
      <w:r w:rsidRPr="00DC359B">
        <w:rPr>
          <w:rFonts w:ascii="Times New Roman" w:eastAsia="宋体" w:hAnsi="Times New Roman" w:cs="Times New Roman"/>
          <w:kern w:val="0"/>
          <w:szCs w:val="21"/>
        </w:rPr>
        <w:t>2026</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12</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20</w:t>
      </w:r>
      <w:r w:rsidRPr="00DC359B">
        <w:rPr>
          <w:rFonts w:ascii="Times New Roman" w:eastAsia="宋体" w:hAnsi="Times New Roman" w:cs="Times New Roman" w:hint="eastAsia"/>
          <w:kern w:val="0"/>
          <w:szCs w:val="21"/>
        </w:rPr>
        <w:t>日）止，票面利率为第一年</w:t>
      </w:r>
      <w:r w:rsidRPr="00DC359B">
        <w:rPr>
          <w:rFonts w:ascii="Times New Roman" w:eastAsia="宋体" w:hAnsi="Times New Roman" w:cs="Times New Roman"/>
          <w:kern w:val="0"/>
          <w:szCs w:val="21"/>
        </w:rPr>
        <w:t>0.30%</w:t>
      </w:r>
      <w:r w:rsidRPr="00DC359B">
        <w:rPr>
          <w:rFonts w:ascii="Times New Roman" w:eastAsia="宋体" w:hAnsi="Times New Roman" w:cs="Times New Roman" w:hint="eastAsia"/>
          <w:kern w:val="0"/>
          <w:szCs w:val="21"/>
        </w:rPr>
        <w:t>、第二年</w:t>
      </w:r>
      <w:r w:rsidRPr="00DC359B">
        <w:rPr>
          <w:rFonts w:ascii="Times New Roman" w:eastAsia="宋体" w:hAnsi="Times New Roman" w:cs="Times New Roman"/>
          <w:kern w:val="0"/>
          <w:szCs w:val="21"/>
        </w:rPr>
        <w:t>0.50%</w:t>
      </w:r>
      <w:r w:rsidRPr="00DC359B">
        <w:rPr>
          <w:rFonts w:ascii="Times New Roman" w:eastAsia="宋体" w:hAnsi="Times New Roman" w:cs="Times New Roman" w:hint="eastAsia"/>
          <w:kern w:val="0"/>
          <w:szCs w:val="21"/>
        </w:rPr>
        <w:t>、第三年</w:t>
      </w:r>
      <w:r w:rsidRPr="00DC359B">
        <w:rPr>
          <w:rFonts w:ascii="Times New Roman" w:eastAsia="宋体" w:hAnsi="Times New Roman" w:cs="Times New Roman"/>
          <w:kern w:val="0"/>
          <w:szCs w:val="21"/>
        </w:rPr>
        <w:t>1.00%</w:t>
      </w:r>
      <w:r w:rsidRPr="00DC359B">
        <w:rPr>
          <w:rFonts w:ascii="Times New Roman" w:eastAsia="宋体" w:hAnsi="Times New Roman" w:cs="Times New Roman" w:hint="eastAsia"/>
          <w:kern w:val="0"/>
          <w:szCs w:val="21"/>
        </w:rPr>
        <w:t>、第四年</w:t>
      </w:r>
      <w:r w:rsidRPr="00DC359B">
        <w:rPr>
          <w:rFonts w:ascii="Times New Roman" w:eastAsia="宋体" w:hAnsi="Times New Roman" w:cs="Times New Roman"/>
          <w:kern w:val="0"/>
          <w:szCs w:val="21"/>
        </w:rPr>
        <w:t>1.50%</w:t>
      </w:r>
      <w:r w:rsidRPr="00DC359B">
        <w:rPr>
          <w:rFonts w:ascii="Times New Roman" w:eastAsia="宋体" w:hAnsi="Times New Roman" w:cs="Times New Roman" w:hint="eastAsia"/>
          <w:kern w:val="0"/>
          <w:szCs w:val="21"/>
        </w:rPr>
        <w:t>、</w:t>
      </w:r>
      <w:r w:rsidRPr="00DC359B">
        <w:rPr>
          <w:rFonts w:ascii="Times New Roman" w:eastAsia="宋体" w:hAnsi="Times New Roman" w:cs="Times New Roman"/>
          <w:kern w:val="0"/>
          <w:szCs w:val="21"/>
        </w:rPr>
        <w:t xml:space="preserve"> </w:t>
      </w:r>
      <w:r w:rsidRPr="00DC359B">
        <w:rPr>
          <w:rFonts w:ascii="Times New Roman" w:eastAsia="宋体" w:hAnsi="Times New Roman" w:cs="Times New Roman" w:hint="eastAsia"/>
          <w:kern w:val="0"/>
          <w:szCs w:val="21"/>
        </w:rPr>
        <w:t>第五年</w:t>
      </w:r>
      <w:r w:rsidRPr="00DC359B">
        <w:rPr>
          <w:rFonts w:ascii="Times New Roman" w:eastAsia="宋体" w:hAnsi="Times New Roman" w:cs="Times New Roman"/>
          <w:kern w:val="0"/>
          <w:szCs w:val="21"/>
        </w:rPr>
        <w:t>1.80%</w:t>
      </w:r>
      <w:r w:rsidRPr="00DC359B">
        <w:rPr>
          <w:rFonts w:ascii="Times New Roman" w:eastAsia="宋体" w:hAnsi="Times New Roman" w:cs="Times New Roman" w:hint="eastAsia"/>
          <w:kern w:val="0"/>
          <w:szCs w:val="21"/>
        </w:rPr>
        <w:t>、第六年</w:t>
      </w:r>
      <w:r w:rsidRPr="00DC359B">
        <w:rPr>
          <w:rFonts w:ascii="Times New Roman" w:eastAsia="宋体" w:hAnsi="Times New Roman" w:cs="Times New Roman"/>
          <w:kern w:val="0"/>
          <w:szCs w:val="21"/>
        </w:rPr>
        <w:t>2.00%</w:t>
      </w:r>
      <w:r w:rsidRPr="00DC359B">
        <w:rPr>
          <w:rFonts w:ascii="Times New Roman" w:eastAsia="宋体" w:hAnsi="Times New Roman" w:cs="Times New Roman" w:hint="eastAsia"/>
          <w:kern w:val="0"/>
          <w:szCs w:val="21"/>
        </w:rPr>
        <w:t>。具体详见公司</w:t>
      </w:r>
      <w:r w:rsidRPr="00DC359B">
        <w:rPr>
          <w:rFonts w:ascii="Times New Roman" w:eastAsia="宋体" w:hAnsi="Times New Roman" w:cs="Times New Roman"/>
          <w:kern w:val="0"/>
          <w:szCs w:val="21"/>
        </w:rPr>
        <w:t>2021</w:t>
      </w:r>
      <w:r w:rsidRPr="00DC359B">
        <w:rPr>
          <w:rFonts w:ascii="Times New Roman" w:eastAsia="宋体" w:hAnsi="Times New Roman" w:cs="Times New Roman" w:hint="eastAsia"/>
          <w:kern w:val="0"/>
          <w:szCs w:val="21"/>
        </w:rPr>
        <w:t>年</w:t>
      </w:r>
      <w:r w:rsidRPr="00DC359B">
        <w:rPr>
          <w:rFonts w:ascii="Times New Roman" w:eastAsia="宋体" w:hAnsi="Times New Roman" w:cs="Times New Roman"/>
          <w:kern w:val="0"/>
          <w:szCs w:val="21"/>
        </w:rPr>
        <w:t>1</w:t>
      </w:r>
      <w:r w:rsidRPr="00DC359B">
        <w:rPr>
          <w:rFonts w:ascii="Times New Roman" w:eastAsia="宋体" w:hAnsi="Times New Roman" w:cs="Times New Roman" w:hint="eastAsia"/>
          <w:kern w:val="0"/>
          <w:szCs w:val="21"/>
        </w:rPr>
        <w:t>月</w:t>
      </w:r>
      <w:r w:rsidRPr="00DC359B">
        <w:rPr>
          <w:rFonts w:ascii="Times New Roman" w:eastAsia="宋体" w:hAnsi="Times New Roman" w:cs="Times New Roman"/>
          <w:kern w:val="0"/>
          <w:szCs w:val="21"/>
        </w:rPr>
        <w:t>8</w:t>
      </w:r>
      <w:r w:rsidRPr="00DC359B">
        <w:rPr>
          <w:rFonts w:ascii="Times New Roman" w:eastAsia="宋体" w:hAnsi="Times New Roman" w:cs="Times New Roman" w:hint="eastAsia"/>
          <w:kern w:val="0"/>
          <w:szCs w:val="21"/>
        </w:rPr>
        <w:t>日在巨潮资讯网（</w:t>
      </w:r>
      <w:r w:rsidRPr="00DC359B">
        <w:rPr>
          <w:rFonts w:ascii="Times New Roman" w:eastAsia="宋体" w:hAnsi="Times New Roman" w:cs="Times New Roman"/>
          <w:kern w:val="0"/>
          <w:szCs w:val="21"/>
        </w:rPr>
        <w:t>www.cninfo.com.cn</w:t>
      </w:r>
      <w:r w:rsidRPr="00DC359B">
        <w:rPr>
          <w:rFonts w:ascii="Times New Roman" w:eastAsia="宋体" w:hAnsi="Times New Roman" w:cs="Times New Roman" w:hint="eastAsia"/>
          <w:kern w:val="0"/>
          <w:szCs w:val="21"/>
        </w:rPr>
        <w:t>）上披露的《三诺生物传感股份有限公司创业板向不特定对象发行可转换公司债券上市公告书》。</w:t>
      </w:r>
    </w:p>
    <w:p w14:paraId="43A5E5EC" w14:textId="77777777" w:rsidR="00DC359B" w:rsidRPr="00DC359B" w:rsidRDefault="00DC359B" w:rsidP="00DC359B">
      <w:pPr>
        <w:keepNext/>
        <w:keepLines/>
        <w:spacing w:before="300" w:after="300" w:line="280" w:lineRule="exact"/>
        <w:outlineLvl w:val="2"/>
        <w:rPr>
          <w:rFonts w:ascii="宋体" w:eastAsia="宋体" w:hAnsi="宋体" w:cs="宋体"/>
          <w:b/>
          <w:bCs/>
          <w:szCs w:val="21"/>
        </w:rPr>
      </w:pPr>
      <w:r w:rsidRPr="00DC359B">
        <w:rPr>
          <w:rFonts w:ascii="宋体" w:eastAsia="宋体" w:hAnsi="宋体" w:cs="宋体"/>
          <w:b/>
          <w:bCs/>
          <w:szCs w:val="21"/>
        </w:rPr>
        <w:t>2、公司股份总数及股东结构的变动、公司资产和负债结构的变动情况说明</w:t>
      </w:r>
    </w:p>
    <w:p w14:paraId="4E726F64"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p w14:paraId="1728354F" w14:textId="77777777" w:rsidR="00DC359B" w:rsidRPr="00DC359B" w:rsidRDefault="00DC359B" w:rsidP="00DC359B">
      <w:pPr>
        <w:widowControl/>
        <w:spacing w:line="360" w:lineRule="auto"/>
        <w:ind w:firstLineChars="200" w:firstLine="420"/>
        <w:jc w:val="both"/>
        <w:rPr>
          <w:rFonts w:ascii="宋体" w:eastAsia="宋体" w:hAnsi="宋体" w:cs="宋体"/>
          <w:kern w:val="0"/>
          <w:sz w:val="24"/>
          <w:szCs w:val="24"/>
        </w:rPr>
      </w:pPr>
      <w:r w:rsidRPr="00DC359B">
        <w:rPr>
          <w:rFonts w:ascii="Times New Roman" w:eastAsia="宋体" w:hAnsi="Times New Roman" w:cs="Times New Roman" w:hint="eastAsia"/>
          <w:kern w:val="0"/>
          <w:szCs w:val="21"/>
        </w:rPr>
        <w:t>公司股份总数及股东结构变动情况详见本报告“第六节</w:t>
      </w:r>
      <w:r w:rsidRPr="00DC359B">
        <w:rPr>
          <w:rFonts w:ascii="Times New Roman" w:eastAsia="宋体" w:hAnsi="Times New Roman" w:cs="Times New Roman" w:hint="eastAsia"/>
          <w:kern w:val="0"/>
          <w:szCs w:val="21"/>
        </w:rPr>
        <w:t xml:space="preserve"> </w:t>
      </w:r>
      <w:r w:rsidRPr="00DC359B">
        <w:rPr>
          <w:rFonts w:ascii="Times New Roman" w:eastAsia="宋体" w:hAnsi="Times New Roman" w:cs="Times New Roman" w:hint="eastAsia"/>
          <w:kern w:val="0"/>
          <w:szCs w:val="21"/>
        </w:rPr>
        <w:t>股份变动及股东情况”之“一、股份变动</w:t>
      </w:r>
      <w:r w:rsidRPr="00DC359B">
        <w:rPr>
          <w:rFonts w:ascii="宋体" w:eastAsia="宋体" w:hAnsi="宋体" w:cs="宋体" w:hint="eastAsia"/>
          <w:kern w:val="0"/>
          <w:szCs w:val="21"/>
        </w:rPr>
        <w:t>情况”相关内容；公司资产和负债结构的变动情况详见本报告“第二节 公司简介和主要财务指标”之“五、主要会计数据和财务指标”相关内容。</w:t>
      </w:r>
    </w:p>
    <w:p w14:paraId="7C91D357" w14:textId="77777777" w:rsidR="00DC359B" w:rsidRPr="00DC359B" w:rsidRDefault="00DC359B" w:rsidP="00DC359B">
      <w:pPr>
        <w:keepNext/>
        <w:keepLines/>
        <w:spacing w:before="300" w:after="300" w:line="280" w:lineRule="exact"/>
        <w:outlineLvl w:val="2"/>
        <w:rPr>
          <w:rFonts w:ascii="宋体" w:eastAsia="宋体" w:hAnsi="宋体" w:cs="宋体"/>
          <w:b/>
          <w:bCs/>
          <w:szCs w:val="21"/>
        </w:rPr>
      </w:pPr>
      <w:r w:rsidRPr="00DC359B">
        <w:rPr>
          <w:rFonts w:ascii="宋体" w:eastAsia="宋体" w:hAnsi="宋体" w:cs="宋体"/>
          <w:b/>
          <w:bCs/>
          <w:szCs w:val="21"/>
        </w:rPr>
        <w:t>3、现存的内部职工股情况</w:t>
      </w:r>
    </w:p>
    <w:p w14:paraId="0165A0ED"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2DB625D"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sectPr w:rsidR="00DC359B" w:rsidRPr="00DC359B">
          <w:pgSz w:w="11905" w:h="16840"/>
          <w:pgMar w:top="1440" w:right="1134" w:bottom="1440" w:left="1134" w:header="850" w:footer="992" w:gutter="0"/>
          <w:cols w:space="720"/>
          <w:docGrid w:type="linesAndChars" w:linePitch="312"/>
        </w:sectPr>
      </w:pPr>
    </w:p>
    <w:p w14:paraId="25596174"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三、股东和实际控制人情况</w:t>
      </w:r>
    </w:p>
    <w:p w14:paraId="70FC720C" w14:textId="77777777" w:rsidR="00DC359B" w:rsidRPr="00DC359B" w:rsidRDefault="00DC359B" w:rsidP="00DC359B">
      <w:pPr>
        <w:keepNext/>
        <w:keepLines/>
        <w:spacing w:before="300" w:after="300" w:line="280" w:lineRule="exact"/>
        <w:outlineLvl w:val="2"/>
        <w:rPr>
          <w:rFonts w:ascii="宋体" w:eastAsia="宋体" w:hAnsi="宋体" w:cs="宋体"/>
          <w:b/>
          <w:bCs/>
          <w:szCs w:val="21"/>
        </w:rPr>
      </w:pPr>
      <w:r w:rsidRPr="00DC359B">
        <w:rPr>
          <w:rFonts w:ascii="宋体" w:eastAsia="宋体" w:hAnsi="宋体" w:cs="宋体"/>
          <w:b/>
          <w:bCs/>
          <w:szCs w:val="21"/>
        </w:rPr>
        <w:t>1、公司股东数量及持股情况</w:t>
      </w:r>
    </w:p>
    <w:p w14:paraId="1FB022D2" w14:textId="77777777" w:rsidR="00DC359B" w:rsidRPr="00DC359B" w:rsidRDefault="00DC359B" w:rsidP="00DC359B">
      <w:pPr>
        <w:spacing w:before="120" w:after="120" w:line="240" w:lineRule="exact"/>
        <w:jc w:val="right"/>
        <w:rPr>
          <w:rFonts w:ascii="宋体" w:eastAsia="宋体" w:hAnsi="宋体" w:cs="宋体"/>
          <w:sz w:val="18"/>
          <w:szCs w:val="18"/>
        </w:rPr>
      </w:pPr>
      <w:r w:rsidRPr="00DC359B">
        <w:rPr>
          <w:rFonts w:ascii="宋体" w:eastAsia="宋体" w:hAnsi="宋体" w:cs="宋体"/>
          <w:sz w:val="18"/>
          <w:szCs w:val="18"/>
        </w:rPr>
        <w:t>单位：股</w:t>
      </w:r>
    </w:p>
    <w:tbl>
      <w:tblPr>
        <w:tblW w:w="5000" w:type="pct"/>
        <w:tblCellMar>
          <w:left w:w="28" w:type="dxa"/>
          <w:right w:w="28" w:type="dxa"/>
        </w:tblCellMar>
        <w:tblLook w:val="0000" w:firstRow="0" w:lastRow="0" w:firstColumn="0" w:lastColumn="0" w:noHBand="0" w:noVBand="0"/>
      </w:tblPr>
      <w:tblGrid>
        <w:gridCol w:w="1445"/>
        <w:gridCol w:w="1104"/>
        <w:gridCol w:w="1595"/>
        <w:gridCol w:w="272"/>
        <w:gridCol w:w="678"/>
        <w:gridCol w:w="311"/>
        <w:gridCol w:w="1430"/>
        <w:gridCol w:w="1132"/>
        <w:gridCol w:w="1275"/>
        <w:gridCol w:w="1418"/>
        <w:gridCol w:w="709"/>
        <w:gridCol w:w="261"/>
        <w:gridCol w:w="446"/>
        <w:gridCol w:w="987"/>
        <w:gridCol w:w="953"/>
      </w:tblGrid>
      <w:tr w:rsidR="00C57E60" w14:paraId="61CCAAAB" w14:textId="77777777" w:rsidTr="00DC359B">
        <w:trPr>
          <w:cantSplit/>
          <w:trHeight w:val="240"/>
          <w:tblHeader/>
        </w:trPr>
        <w:tc>
          <w:tcPr>
            <w:tcW w:w="515" w:type="pct"/>
            <w:tcBorders>
              <w:top w:val="single" w:sz="2" w:space="0" w:color="auto"/>
              <w:left w:val="single" w:sz="2" w:space="0" w:color="auto"/>
              <w:bottom w:val="single" w:sz="2" w:space="0" w:color="auto"/>
              <w:right w:val="single" w:sz="2" w:space="0" w:color="auto"/>
            </w:tcBorders>
            <w:shd w:val="clear" w:color="auto" w:fill="D3D3D3"/>
            <w:vAlign w:val="center"/>
          </w:tcPr>
          <w:p w14:paraId="43349619"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报告期末普通股股东总数</w:t>
            </w:r>
          </w:p>
        </w:tc>
        <w:tc>
          <w:tcPr>
            <w:tcW w:w="394" w:type="pct"/>
            <w:tcBorders>
              <w:top w:val="single" w:sz="2" w:space="0" w:color="auto"/>
              <w:left w:val="single" w:sz="2" w:space="0" w:color="auto"/>
              <w:bottom w:val="single" w:sz="2" w:space="0" w:color="auto"/>
              <w:right w:val="single" w:sz="2" w:space="0" w:color="auto"/>
            </w:tcBorders>
            <w:vAlign w:val="center"/>
          </w:tcPr>
          <w:p w14:paraId="536F25A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26,471</w:t>
            </w:r>
          </w:p>
        </w:tc>
        <w:tc>
          <w:tcPr>
            <w:tcW w:w="569" w:type="pct"/>
            <w:tcBorders>
              <w:top w:val="single" w:sz="2" w:space="0" w:color="auto"/>
              <w:left w:val="single" w:sz="2" w:space="0" w:color="auto"/>
              <w:bottom w:val="single" w:sz="2" w:space="0" w:color="auto"/>
              <w:right w:val="single" w:sz="2" w:space="0" w:color="auto"/>
            </w:tcBorders>
            <w:shd w:val="clear" w:color="auto" w:fill="D3D3D3"/>
            <w:vAlign w:val="center"/>
          </w:tcPr>
          <w:p w14:paraId="6A0573E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年度报告披露日前上一月末普通股股东总数</w:t>
            </w:r>
          </w:p>
        </w:tc>
        <w:tc>
          <w:tcPr>
            <w:tcW w:w="339" w:type="pct"/>
            <w:gridSpan w:val="2"/>
            <w:tcBorders>
              <w:top w:val="single" w:sz="2" w:space="0" w:color="auto"/>
              <w:left w:val="single" w:sz="2" w:space="0" w:color="auto"/>
              <w:bottom w:val="single" w:sz="2" w:space="0" w:color="auto"/>
              <w:right w:val="single" w:sz="2" w:space="0" w:color="auto"/>
            </w:tcBorders>
            <w:vAlign w:val="center"/>
          </w:tcPr>
          <w:p w14:paraId="6E3D44A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25,281</w:t>
            </w:r>
          </w:p>
        </w:tc>
        <w:tc>
          <w:tcPr>
            <w:tcW w:w="621"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F7EC628"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报告期末表决权恢复的优先股股东总数（如有）（参见注</w:t>
            </w:r>
            <w:r w:rsidRPr="00DC359B">
              <w:rPr>
                <w:rFonts w:ascii="Times New Roman" w:eastAsia="宋体" w:hAnsi="Times New Roman" w:cs="Times New Roman"/>
                <w:sz w:val="18"/>
                <w:szCs w:val="18"/>
              </w:rPr>
              <w:t>9</w:t>
            </w:r>
            <w:r w:rsidRPr="00DC359B">
              <w:rPr>
                <w:rFonts w:ascii="Times New Roman" w:eastAsia="宋体" w:hAnsi="Times New Roman" w:cs="Times New Roman"/>
                <w:sz w:val="18"/>
                <w:szCs w:val="18"/>
              </w:rPr>
              <w:t>）</w:t>
            </w:r>
          </w:p>
        </w:tc>
        <w:tc>
          <w:tcPr>
            <w:tcW w:w="404" w:type="pct"/>
            <w:tcBorders>
              <w:top w:val="single" w:sz="2" w:space="0" w:color="auto"/>
              <w:left w:val="single" w:sz="2" w:space="0" w:color="auto"/>
              <w:bottom w:val="single" w:sz="2" w:space="0" w:color="auto"/>
              <w:right w:val="single" w:sz="2" w:space="0" w:color="auto"/>
            </w:tcBorders>
            <w:vAlign w:val="center"/>
          </w:tcPr>
          <w:p w14:paraId="7D84B52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c>
          <w:tcPr>
            <w:tcW w:w="961"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725D9ED"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年度报告披露日前上一月末表决权恢复的优先股股东总数（如有）（参见注</w:t>
            </w:r>
            <w:r w:rsidRPr="00DC359B">
              <w:rPr>
                <w:rFonts w:ascii="Times New Roman" w:eastAsia="宋体" w:hAnsi="Times New Roman" w:cs="Times New Roman"/>
                <w:sz w:val="18"/>
                <w:szCs w:val="18"/>
              </w:rPr>
              <w:t>9</w:t>
            </w:r>
            <w:r w:rsidRPr="00DC359B">
              <w:rPr>
                <w:rFonts w:ascii="Times New Roman" w:eastAsia="宋体" w:hAnsi="Times New Roman" w:cs="Times New Roman"/>
                <w:sz w:val="18"/>
                <w:szCs w:val="18"/>
              </w:rPr>
              <w:t>）</w:t>
            </w:r>
          </w:p>
        </w:tc>
        <w:tc>
          <w:tcPr>
            <w:tcW w:w="253" w:type="pct"/>
            <w:tcBorders>
              <w:top w:val="single" w:sz="2" w:space="0" w:color="auto"/>
              <w:left w:val="single" w:sz="2" w:space="0" w:color="auto"/>
              <w:bottom w:val="single" w:sz="2" w:space="0" w:color="auto"/>
              <w:right w:val="single" w:sz="2" w:space="0" w:color="auto"/>
            </w:tcBorders>
            <w:vAlign w:val="center"/>
          </w:tcPr>
          <w:p w14:paraId="32264D9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c>
          <w:tcPr>
            <w:tcW w:w="604" w:type="pct"/>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27C44D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持有特别表决权股份的股东总数（如有）</w:t>
            </w:r>
          </w:p>
        </w:tc>
        <w:tc>
          <w:tcPr>
            <w:tcW w:w="340" w:type="pct"/>
            <w:tcBorders>
              <w:top w:val="single" w:sz="2" w:space="0" w:color="auto"/>
              <w:left w:val="single" w:sz="2" w:space="0" w:color="auto"/>
              <w:bottom w:val="single" w:sz="2" w:space="0" w:color="auto"/>
              <w:right w:val="single" w:sz="2" w:space="0" w:color="auto"/>
            </w:tcBorders>
            <w:vAlign w:val="center"/>
          </w:tcPr>
          <w:p w14:paraId="7468FC6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w:t>
            </w:r>
          </w:p>
        </w:tc>
      </w:tr>
      <w:tr w:rsidR="00C57E60" w14:paraId="6CB60017" w14:textId="77777777" w:rsidTr="00DC359B">
        <w:trPr>
          <w:cantSplit/>
          <w:trHeight w:val="240"/>
          <w:tblHeader/>
        </w:trPr>
        <w:tc>
          <w:tcPr>
            <w:tcW w:w="5000" w:type="pct"/>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7DAE0B1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持股</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以上的股东或前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名股东持股情况（不含通过转融通出借股份）</w:t>
            </w:r>
          </w:p>
        </w:tc>
      </w:tr>
      <w:tr w:rsidR="00C57E60" w14:paraId="173EA888" w14:textId="77777777" w:rsidTr="00DC359B">
        <w:trPr>
          <w:cantSplit/>
          <w:trHeight w:val="240"/>
          <w:tblHeader/>
        </w:trPr>
        <w:tc>
          <w:tcPr>
            <w:tcW w:w="1575" w:type="pct"/>
            <w:gridSpan w:val="4"/>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7367EF1"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股东名称</w:t>
            </w:r>
          </w:p>
        </w:tc>
        <w:tc>
          <w:tcPr>
            <w:tcW w:w="353" w:type="pct"/>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0B0ABE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股东性质</w:t>
            </w:r>
          </w:p>
        </w:tc>
        <w:tc>
          <w:tcPr>
            <w:tcW w:w="510"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C0B52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持股比例</w:t>
            </w:r>
          </w:p>
        </w:tc>
        <w:tc>
          <w:tcPr>
            <w:tcW w:w="404"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FF1B3F1"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报告期末持股数量</w:t>
            </w:r>
          </w:p>
        </w:tc>
        <w:tc>
          <w:tcPr>
            <w:tcW w:w="45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90EF2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报告期内增减变动情况</w:t>
            </w:r>
          </w:p>
        </w:tc>
        <w:tc>
          <w:tcPr>
            <w:tcW w:w="50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1348E4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持有有限售条件的股份数量</w:t>
            </w:r>
          </w:p>
        </w:tc>
        <w:tc>
          <w:tcPr>
            <w:tcW w:w="505" w:type="pct"/>
            <w:gridSpan w:val="3"/>
            <w:vMerge w:val="restart"/>
            <w:tcBorders>
              <w:top w:val="single" w:sz="2" w:space="0" w:color="auto"/>
              <w:left w:val="single" w:sz="2" w:space="0" w:color="auto"/>
              <w:right w:val="single" w:sz="2" w:space="0" w:color="auto"/>
            </w:tcBorders>
            <w:shd w:val="clear" w:color="auto" w:fill="D3D3D3"/>
            <w:vAlign w:val="center"/>
          </w:tcPr>
          <w:p w14:paraId="3842259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持有无限售条件的股份数量</w:t>
            </w:r>
          </w:p>
        </w:tc>
        <w:tc>
          <w:tcPr>
            <w:tcW w:w="692"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CA8BA6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质押、标记或冻结情况</w:t>
            </w:r>
          </w:p>
        </w:tc>
      </w:tr>
      <w:tr w:rsidR="00C57E60" w14:paraId="3D334FEF" w14:textId="77777777" w:rsidTr="00DC359B">
        <w:trPr>
          <w:cantSplit/>
          <w:trHeight w:val="240"/>
          <w:tblHeader/>
        </w:trPr>
        <w:tc>
          <w:tcPr>
            <w:tcW w:w="1575" w:type="pct"/>
            <w:gridSpan w:val="4"/>
            <w:vMerge/>
            <w:tcBorders>
              <w:top w:val="single" w:sz="2" w:space="0" w:color="auto"/>
              <w:left w:val="single" w:sz="2" w:space="0" w:color="auto"/>
              <w:bottom w:val="single" w:sz="2" w:space="0" w:color="auto"/>
              <w:right w:val="single" w:sz="2" w:space="0" w:color="auto"/>
            </w:tcBorders>
            <w:shd w:val="clear" w:color="auto" w:fill="D3D3D3"/>
            <w:vAlign w:val="center"/>
          </w:tcPr>
          <w:p w14:paraId="2F49D994" w14:textId="77777777" w:rsidR="00DC359B" w:rsidRPr="00DC359B" w:rsidRDefault="00DC359B" w:rsidP="00DC359B">
            <w:pPr>
              <w:spacing w:line="360" w:lineRule="auto"/>
              <w:rPr>
                <w:rFonts w:ascii="Times New Roman" w:eastAsia="等线" w:hAnsi="Times New Roman" w:cs="Times New Roman"/>
              </w:rPr>
            </w:pPr>
          </w:p>
        </w:tc>
        <w:tc>
          <w:tcPr>
            <w:tcW w:w="353" w:type="pct"/>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3F2CC0A8" w14:textId="77777777" w:rsidR="00DC359B" w:rsidRPr="00DC359B" w:rsidRDefault="00DC359B" w:rsidP="00DC359B">
            <w:pPr>
              <w:spacing w:line="360" w:lineRule="auto"/>
              <w:rPr>
                <w:rFonts w:ascii="Times New Roman" w:eastAsia="等线" w:hAnsi="Times New Roman" w:cs="Times New Roman"/>
              </w:rPr>
            </w:pPr>
          </w:p>
        </w:tc>
        <w:tc>
          <w:tcPr>
            <w:tcW w:w="51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2E7C838" w14:textId="77777777" w:rsidR="00DC359B" w:rsidRPr="00DC359B" w:rsidRDefault="00DC359B" w:rsidP="00DC359B">
            <w:pPr>
              <w:spacing w:line="360" w:lineRule="auto"/>
              <w:rPr>
                <w:rFonts w:ascii="Times New Roman" w:eastAsia="等线" w:hAnsi="Times New Roman" w:cs="Times New Roman"/>
              </w:rPr>
            </w:pPr>
          </w:p>
        </w:tc>
        <w:tc>
          <w:tcPr>
            <w:tcW w:w="404"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0F8E85C" w14:textId="77777777" w:rsidR="00DC359B" w:rsidRPr="00DC359B" w:rsidRDefault="00DC359B" w:rsidP="00DC359B">
            <w:pPr>
              <w:spacing w:line="360" w:lineRule="auto"/>
              <w:rPr>
                <w:rFonts w:ascii="Times New Roman" w:eastAsia="等线" w:hAnsi="Times New Roman" w:cs="Times New Roman"/>
              </w:rPr>
            </w:pPr>
          </w:p>
        </w:tc>
        <w:tc>
          <w:tcPr>
            <w:tcW w:w="45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67F6C6FE" w14:textId="77777777" w:rsidR="00DC359B" w:rsidRPr="00DC359B" w:rsidRDefault="00DC359B" w:rsidP="00DC359B">
            <w:pPr>
              <w:spacing w:line="360" w:lineRule="auto"/>
              <w:rPr>
                <w:rFonts w:ascii="Times New Roman" w:eastAsia="等线" w:hAnsi="Times New Roman" w:cs="Times New Roman"/>
              </w:rPr>
            </w:pPr>
          </w:p>
        </w:tc>
        <w:tc>
          <w:tcPr>
            <w:tcW w:w="50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13CF99C" w14:textId="77777777" w:rsidR="00DC359B" w:rsidRPr="00DC359B" w:rsidRDefault="00DC359B" w:rsidP="00DC359B">
            <w:pPr>
              <w:spacing w:line="360" w:lineRule="auto"/>
              <w:rPr>
                <w:rFonts w:ascii="Times New Roman" w:eastAsia="等线" w:hAnsi="Times New Roman" w:cs="Times New Roman"/>
              </w:rPr>
            </w:pPr>
          </w:p>
        </w:tc>
        <w:tc>
          <w:tcPr>
            <w:tcW w:w="505" w:type="pct"/>
            <w:gridSpan w:val="3"/>
            <w:vMerge/>
            <w:tcBorders>
              <w:left w:val="single" w:sz="2" w:space="0" w:color="auto"/>
              <w:bottom w:val="single" w:sz="2" w:space="0" w:color="auto"/>
              <w:right w:val="single" w:sz="2" w:space="0" w:color="auto"/>
            </w:tcBorders>
            <w:shd w:val="clear" w:color="auto" w:fill="D3D3D3"/>
            <w:vAlign w:val="center"/>
          </w:tcPr>
          <w:p w14:paraId="1B4093DD" w14:textId="77777777" w:rsidR="00DC359B" w:rsidRPr="00DC359B" w:rsidRDefault="00DC359B" w:rsidP="00DC359B">
            <w:pPr>
              <w:spacing w:line="360" w:lineRule="auto"/>
              <w:rPr>
                <w:rFonts w:ascii="Times New Roman" w:eastAsia="等线" w:hAnsi="Times New Roman" w:cs="Times New Roman"/>
              </w:rPr>
            </w:pPr>
          </w:p>
        </w:tc>
        <w:tc>
          <w:tcPr>
            <w:tcW w:w="352" w:type="pct"/>
            <w:tcBorders>
              <w:top w:val="single" w:sz="2" w:space="0" w:color="auto"/>
              <w:left w:val="single" w:sz="2" w:space="0" w:color="auto"/>
              <w:bottom w:val="single" w:sz="2" w:space="0" w:color="auto"/>
              <w:right w:val="single" w:sz="2" w:space="0" w:color="auto"/>
            </w:tcBorders>
            <w:shd w:val="clear" w:color="auto" w:fill="D3D3D3"/>
            <w:vAlign w:val="center"/>
          </w:tcPr>
          <w:p w14:paraId="177555F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股份状态</w:t>
            </w:r>
          </w:p>
        </w:tc>
        <w:tc>
          <w:tcPr>
            <w:tcW w:w="340" w:type="pct"/>
            <w:tcBorders>
              <w:top w:val="single" w:sz="2" w:space="0" w:color="auto"/>
              <w:left w:val="single" w:sz="2" w:space="0" w:color="auto"/>
              <w:bottom w:val="single" w:sz="2" w:space="0" w:color="auto"/>
              <w:right w:val="single" w:sz="2" w:space="0" w:color="auto"/>
            </w:tcBorders>
            <w:shd w:val="clear" w:color="auto" w:fill="D3D3D3"/>
            <w:vAlign w:val="center"/>
          </w:tcPr>
          <w:p w14:paraId="0B707B9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数量</w:t>
            </w:r>
          </w:p>
        </w:tc>
      </w:tr>
      <w:tr w:rsidR="00C57E60" w14:paraId="123690C1"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72035CB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06084BF9"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境内自然人</w:t>
            </w:r>
          </w:p>
        </w:tc>
        <w:tc>
          <w:tcPr>
            <w:tcW w:w="510" w:type="pct"/>
            <w:tcBorders>
              <w:top w:val="single" w:sz="2" w:space="0" w:color="auto"/>
              <w:left w:val="single" w:sz="2" w:space="0" w:color="auto"/>
              <w:bottom w:val="single" w:sz="2" w:space="0" w:color="auto"/>
              <w:right w:val="single" w:sz="2" w:space="0" w:color="auto"/>
            </w:tcBorders>
            <w:vAlign w:val="center"/>
          </w:tcPr>
          <w:p w14:paraId="0757363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25.47%</w:t>
            </w:r>
          </w:p>
        </w:tc>
        <w:tc>
          <w:tcPr>
            <w:tcW w:w="404" w:type="pct"/>
            <w:tcBorders>
              <w:top w:val="single" w:sz="2" w:space="0" w:color="auto"/>
              <w:left w:val="single" w:sz="2" w:space="0" w:color="auto"/>
              <w:bottom w:val="single" w:sz="2" w:space="0" w:color="auto"/>
              <w:right w:val="single" w:sz="2" w:space="0" w:color="auto"/>
            </w:tcBorders>
            <w:vAlign w:val="center"/>
          </w:tcPr>
          <w:p w14:paraId="37C6F27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142,685,648</w:t>
            </w:r>
          </w:p>
        </w:tc>
        <w:tc>
          <w:tcPr>
            <w:tcW w:w="455" w:type="pct"/>
            <w:tcBorders>
              <w:top w:val="single" w:sz="2" w:space="0" w:color="auto"/>
              <w:left w:val="single" w:sz="2" w:space="0" w:color="auto"/>
              <w:bottom w:val="single" w:sz="2" w:space="0" w:color="auto"/>
              <w:right w:val="single" w:sz="2" w:space="0" w:color="auto"/>
            </w:tcBorders>
            <w:vAlign w:val="center"/>
          </w:tcPr>
          <w:p w14:paraId="66513C1D" w14:textId="77777777" w:rsidR="00DC359B" w:rsidRPr="00DC359B" w:rsidRDefault="00DC359B" w:rsidP="00DC359B">
            <w:pPr>
              <w:spacing w:line="360" w:lineRule="auto"/>
              <w:rPr>
                <w:rFonts w:ascii="Times New Roman" w:eastAsia="宋体" w:hAnsi="Times New Roman" w:cs="Times New Roman"/>
                <w:sz w:val="18"/>
                <w:szCs w:val="18"/>
              </w:rPr>
            </w:pPr>
          </w:p>
        </w:tc>
        <w:tc>
          <w:tcPr>
            <w:tcW w:w="506" w:type="pct"/>
            <w:tcBorders>
              <w:top w:val="single" w:sz="2" w:space="0" w:color="auto"/>
              <w:left w:val="single" w:sz="2" w:space="0" w:color="auto"/>
              <w:bottom w:val="single" w:sz="2" w:space="0" w:color="auto"/>
              <w:right w:val="single" w:sz="2" w:space="0" w:color="auto"/>
            </w:tcBorders>
            <w:vAlign w:val="center"/>
          </w:tcPr>
          <w:p w14:paraId="557BFFC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107,014,236</w:t>
            </w: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1111181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35,671,412</w:t>
            </w:r>
          </w:p>
        </w:tc>
        <w:tc>
          <w:tcPr>
            <w:tcW w:w="352" w:type="pct"/>
            <w:tcBorders>
              <w:top w:val="single" w:sz="2" w:space="0" w:color="auto"/>
              <w:left w:val="single" w:sz="2" w:space="0" w:color="auto"/>
              <w:bottom w:val="single" w:sz="2" w:space="0" w:color="auto"/>
              <w:right w:val="single" w:sz="2" w:space="0" w:color="auto"/>
            </w:tcBorders>
            <w:vAlign w:val="center"/>
          </w:tcPr>
          <w:p w14:paraId="57D6022C"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质押</w:t>
            </w:r>
          </w:p>
        </w:tc>
        <w:tc>
          <w:tcPr>
            <w:tcW w:w="340" w:type="pct"/>
            <w:tcBorders>
              <w:top w:val="single" w:sz="2" w:space="0" w:color="auto"/>
              <w:left w:val="single" w:sz="2" w:space="0" w:color="auto"/>
              <w:bottom w:val="single" w:sz="2" w:space="0" w:color="auto"/>
              <w:right w:val="single" w:sz="2" w:space="0" w:color="auto"/>
            </w:tcBorders>
            <w:vAlign w:val="center"/>
          </w:tcPr>
          <w:p w14:paraId="481E275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73,950,000</w:t>
            </w:r>
          </w:p>
        </w:tc>
      </w:tr>
      <w:tr w:rsidR="00C57E60" w14:paraId="2EFA2363"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34CBEB1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车宏莉</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0E07228F"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境内自然人</w:t>
            </w:r>
          </w:p>
        </w:tc>
        <w:tc>
          <w:tcPr>
            <w:tcW w:w="510" w:type="pct"/>
            <w:tcBorders>
              <w:top w:val="single" w:sz="2" w:space="0" w:color="auto"/>
              <w:left w:val="single" w:sz="2" w:space="0" w:color="auto"/>
              <w:bottom w:val="single" w:sz="2" w:space="0" w:color="auto"/>
              <w:right w:val="single" w:sz="2" w:space="0" w:color="auto"/>
            </w:tcBorders>
            <w:vAlign w:val="center"/>
          </w:tcPr>
          <w:p w14:paraId="42C580D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22.10%</w:t>
            </w:r>
          </w:p>
        </w:tc>
        <w:tc>
          <w:tcPr>
            <w:tcW w:w="404" w:type="pct"/>
            <w:tcBorders>
              <w:top w:val="single" w:sz="2" w:space="0" w:color="auto"/>
              <w:left w:val="single" w:sz="2" w:space="0" w:color="auto"/>
              <w:bottom w:val="single" w:sz="2" w:space="0" w:color="auto"/>
              <w:right w:val="single" w:sz="2" w:space="0" w:color="auto"/>
            </w:tcBorders>
            <w:vAlign w:val="center"/>
          </w:tcPr>
          <w:p w14:paraId="2DEBCCF6"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123,806,943</w:t>
            </w:r>
          </w:p>
        </w:tc>
        <w:tc>
          <w:tcPr>
            <w:tcW w:w="455" w:type="pct"/>
            <w:tcBorders>
              <w:top w:val="single" w:sz="2" w:space="0" w:color="auto"/>
              <w:left w:val="single" w:sz="2" w:space="0" w:color="auto"/>
              <w:bottom w:val="single" w:sz="2" w:space="0" w:color="auto"/>
              <w:right w:val="single" w:sz="2" w:space="0" w:color="auto"/>
            </w:tcBorders>
            <w:vAlign w:val="center"/>
          </w:tcPr>
          <w:p w14:paraId="4A22B695" w14:textId="77777777" w:rsidR="00DC359B" w:rsidRPr="00DC359B" w:rsidRDefault="00DC359B" w:rsidP="00DC359B">
            <w:pPr>
              <w:spacing w:line="360" w:lineRule="auto"/>
              <w:rPr>
                <w:rFonts w:ascii="Times New Roman" w:eastAsia="宋体" w:hAnsi="Times New Roman" w:cs="Times New Roman"/>
                <w:sz w:val="18"/>
                <w:szCs w:val="18"/>
              </w:rPr>
            </w:pPr>
          </w:p>
        </w:tc>
        <w:tc>
          <w:tcPr>
            <w:tcW w:w="506" w:type="pct"/>
            <w:tcBorders>
              <w:top w:val="single" w:sz="2" w:space="0" w:color="auto"/>
              <w:left w:val="single" w:sz="2" w:space="0" w:color="auto"/>
              <w:bottom w:val="single" w:sz="2" w:space="0" w:color="auto"/>
              <w:right w:val="single" w:sz="2" w:space="0" w:color="auto"/>
            </w:tcBorders>
            <w:vAlign w:val="center"/>
          </w:tcPr>
          <w:p w14:paraId="30C35B54"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5193804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123,806,943</w:t>
            </w:r>
          </w:p>
        </w:tc>
        <w:tc>
          <w:tcPr>
            <w:tcW w:w="352" w:type="pct"/>
            <w:tcBorders>
              <w:top w:val="single" w:sz="2" w:space="0" w:color="auto"/>
              <w:left w:val="single" w:sz="2" w:space="0" w:color="auto"/>
              <w:bottom w:val="single" w:sz="2" w:space="0" w:color="auto"/>
              <w:right w:val="single" w:sz="2" w:space="0" w:color="auto"/>
            </w:tcBorders>
            <w:vAlign w:val="center"/>
          </w:tcPr>
          <w:p w14:paraId="22AC162E"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3EDBB103"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394E9715"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0266FD6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香港中央结算有限公司</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4414D32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境外法人</w:t>
            </w:r>
          </w:p>
        </w:tc>
        <w:tc>
          <w:tcPr>
            <w:tcW w:w="510" w:type="pct"/>
            <w:tcBorders>
              <w:top w:val="single" w:sz="2" w:space="0" w:color="auto"/>
              <w:left w:val="single" w:sz="2" w:space="0" w:color="auto"/>
              <w:bottom w:val="single" w:sz="2" w:space="0" w:color="auto"/>
              <w:right w:val="single" w:sz="2" w:space="0" w:color="auto"/>
            </w:tcBorders>
            <w:vAlign w:val="center"/>
          </w:tcPr>
          <w:p w14:paraId="6DF469FC"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4.12%</w:t>
            </w:r>
          </w:p>
        </w:tc>
        <w:tc>
          <w:tcPr>
            <w:tcW w:w="404" w:type="pct"/>
            <w:tcBorders>
              <w:top w:val="single" w:sz="2" w:space="0" w:color="auto"/>
              <w:left w:val="single" w:sz="2" w:space="0" w:color="auto"/>
              <w:bottom w:val="single" w:sz="2" w:space="0" w:color="auto"/>
              <w:right w:val="single" w:sz="2" w:space="0" w:color="auto"/>
            </w:tcBorders>
            <w:vAlign w:val="center"/>
          </w:tcPr>
          <w:p w14:paraId="5492E6F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23,108,394</w:t>
            </w:r>
          </w:p>
        </w:tc>
        <w:tc>
          <w:tcPr>
            <w:tcW w:w="455" w:type="pct"/>
            <w:tcBorders>
              <w:top w:val="single" w:sz="2" w:space="0" w:color="auto"/>
              <w:left w:val="single" w:sz="2" w:space="0" w:color="auto"/>
              <w:bottom w:val="single" w:sz="2" w:space="0" w:color="auto"/>
              <w:right w:val="single" w:sz="2" w:space="0" w:color="auto"/>
            </w:tcBorders>
            <w:vAlign w:val="center"/>
          </w:tcPr>
          <w:p w14:paraId="22B2E29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-3,324,294</w:t>
            </w:r>
          </w:p>
        </w:tc>
        <w:tc>
          <w:tcPr>
            <w:tcW w:w="506" w:type="pct"/>
            <w:tcBorders>
              <w:top w:val="single" w:sz="2" w:space="0" w:color="auto"/>
              <w:left w:val="single" w:sz="2" w:space="0" w:color="auto"/>
              <w:bottom w:val="single" w:sz="2" w:space="0" w:color="auto"/>
              <w:right w:val="single" w:sz="2" w:space="0" w:color="auto"/>
            </w:tcBorders>
            <w:vAlign w:val="center"/>
          </w:tcPr>
          <w:p w14:paraId="43ABFE1E"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3840AC6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23,108,394</w:t>
            </w:r>
          </w:p>
        </w:tc>
        <w:tc>
          <w:tcPr>
            <w:tcW w:w="352" w:type="pct"/>
            <w:tcBorders>
              <w:top w:val="single" w:sz="2" w:space="0" w:color="auto"/>
              <w:left w:val="single" w:sz="2" w:space="0" w:color="auto"/>
              <w:bottom w:val="single" w:sz="2" w:space="0" w:color="auto"/>
              <w:right w:val="single" w:sz="2" w:space="0" w:color="auto"/>
            </w:tcBorders>
            <w:vAlign w:val="center"/>
          </w:tcPr>
          <w:p w14:paraId="2421B2CC"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3BD5005F"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7982A718"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316D0F2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中国银行股份有限公司－华宝中证医疗交易型开放式指数证券投资基金</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3FEB4706"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其他</w:t>
            </w:r>
          </w:p>
        </w:tc>
        <w:tc>
          <w:tcPr>
            <w:tcW w:w="510" w:type="pct"/>
            <w:tcBorders>
              <w:top w:val="single" w:sz="2" w:space="0" w:color="auto"/>
              <w:left w:val="single" w:sz="2" w:space="0" w:color="auto"/>
              <w:bottom w:val="single" w:sz="2" w:space="0" w:color="auto"/>
              <w:right w:val="single" w:sz="2" w:space="0" w:color="auto"/>
            </w:tcBorders>
            <w:vAlign w:val="center"/>
          </w:tcPr>
          <w:p w14:paraId="401094A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1.84%</w:t>
            </w:r>
          </w:p>
        </w:tc>
        <w:tc>
          <w:tcPr>
            <w:tcW w:w="404" w:type="pct"/>
            <w:tcBorders>
              <w:top w:val="single" w:sz="2" w:space="0" w:color="auto"/>
              <w:left w:val="single" w:sz="2" w:space="0" w:color="auto"/>
              <w:bottom w:val="single" w:sz="2" w:space="0" w:color="auto"/>
              <w:right w:val="single" w:sz="2" w:space="0" w:color="auto"/>
            </w:tcBorders>
            <w:vAlign w:val="center"/>
          </w:tcPr>
          <w:p w14:paraId="5724DFC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10,287,102</w:t>
            </w:r>
          </w:p>
        </w:tc>
        <w:tc>
          <w:tcPr>
            <w:tcW w:w="455" w:type="pct"/>
            <w:tcBorders>
              <w:top w:val="single" w:sz="2" w:space="0" w:color="auto"/>
              <w:left w:val="single" w:sz="2" w:space="0" w:color="auto"/>
              <w:bottom w:val="single" w:sz="2" w:space="0" w:color="auto"/>
              <w:right w:val="single" w:sz="2" w:space="0" w:color="auto"/>
            </w:tcBorders>
            <w:vAlign w:val="center"/>
          </w:tcPr>
          <w:p w14:paraId="3CAAC0B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-882,900</w:t>
            </w:r>
          </w:p>
        </w:tc>
        <w:tc>
          <w:tcPr>
            <w:tcW w:w="506" w:type="pct"/>
            <w:tcBorders>
              <w:top w:val="single" w:sz="2" w:space="0" w:color="auto"/>
              <w:left w:val="single" w:sz="2" w:space="0" w:color="auto"/>
              <w:bottom w:val="single" w:sz="2" w:space="0" w:color="auto"/>
              <w:right w:val="single" w:sz="2" w:space="0" w:color="auto"/>
            </w:tcBorders>
            <w:vAlign w:val="center"/>
          </w:tcPr>
          <w:p w14:paraId="7DAF44DA"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47F1576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10,287,102</w:t>
            </w:r>
          </w:p>
        </w:tc>
        <w:tc>
          <w:tcPr>
            <w:tcW w:w="352" w:type="pct"/>
            <w:tcBorders>
              <w:top w:val="single" w:sz="2" w:space="0" w:color="auto"/>
              <w:left w:val="single" w:sz="2" w:space="0" w:color="auto"/>
              <w:bottom w:val="single" w:sz="2" w:space="0" w:color="auto"/>
              <w:right w:val="single" w:sz="2" w:space="0" w:color="auto"/>
            </w:tcBorders>
            <w:vAlign w:val="center"/>
          </w:tcPr>
          <w:p w14:paraId="10B20B9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19727FA9"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5D14C191"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644B367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张敬兵</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34763772"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境内自然人</w:t>
            </w:r>
          </w:p>
        </w:tc>
        <w:tc>
          <w:tcPr>
            <w:tcW w:w="510" w:type="pct"/>
            <w:tcBorders>
              <w:top w:val="single" w:sz="2" w:space="0" w:color="auto"/>
              <w:left w:val="single" w:sz="2" w:space="0" w:color="auto"/>
              <w:bottom w:val="single" w:sz="2" w:space="0" w:color="auto"/>
              <w:right w:val="single" w:sz="2" w:space="0" w:color="auto"/>
            </w:tcBorders>
            <w:vAlign w:val="center"/>
          </w:tcPr>
          <w:p w14:paraId="3639E8A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1.77%</w:t>
            </w:r>
          </w:p>
        </w:tc>
        <w:tc>
          <w:tcPr>
            <w:tcW w:w="404" w:type="pct"/>
            <w:tcBorders>
              <w:top w:val="single" w:sz="2" w:space="0" w:color="auto"/>
              <w:left w:val="single" w:sz="2" w:space="0" w:color="auto"/>
              <w:bottom w:val="single" w:sz="2" w:space="0" w:color="auto"/>
              <w:right w:val="single" w:sz="2" w:space="0" w:color="auto"/>
            </w:tcBorders>
            <w:vAlign w:val="center"/>
          </w:tcPr>
          <w:p w14:paraId="66A0340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9,906,000</w:t>
            </w:r>
          </w:p>
        </w:tc>
        <w:tc>
          <w:tcPr>
            <w:tcW w:w="455" w:type="pct"/>
            <w:tcBorders>
              <w:top w:val="single" w:sz="2" w:space="0" w:color="auto"/>
              <w:left w:val="single" w:sz="2" w:space="0" w:color="auto"/>
              <w:bottom w:val="single" w:sz="2" w:space="0" w:color="auto"/>
              <w:right w:val="single" w:sz="2" w:space="0" w:color="auto"/>
            </w:tcBorders>
            <w:vAlign w:val="center"/>
          </w:tcPr>
          <w:p w14:paraId="2AF7C73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9,659,800</w:t>
            </w:r>
          </w:p>
        </w:tc>
        <w:tc>
          <w:tcPr>
            <w:tcW w:w="506" w:type="pct"/>
            <w:tcBorders>
              <w:top w:val="single" w:sz="2" w:space="0" w:color="auto"/>
              <w:left w:val="single" w:sz="2" w:space="0" w:color="auto"/>
              <w:bottom w:val="single" w:sz="2" w:space="0" w:color="auto"/>
              <w:right w:val="single" w:sz="2" w:space="0" w:color="auto"/>
            </w:tcBorders>
            <w:vAlign w:val="center"/>
          </w:tcPr>
          <w:p w14:paraId="7EA2029C"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284B0A0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9,906,000</w:t>
            </w:r>
          </w:p>
        </w:tc>
        <w:tc>
          <w:tcPr>
            <w:tcW w:w="352" w:type="pct"/>
            <w:tcBorders>
              <w:top w:val="single" w:sz="2" w:space="0" w:color="auto"/>
              <w:left w:val="single" w:sz="2" w:space="0" w:color="auto"/>
              <w:bottom w:val="single" w:sz="2" w:space="0" w:color="auto"/>
              <w:right w:val="single" w:sz="2" w:space="0" w:color="auto"/>
            </w:tcBorders>
            <w:vAlign w:val="center"/>
          </w:tcPr>
          <w:p w14:paraId="61CC124B"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6CE6B517"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7FF240CD"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3CB0B60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张帆</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6244170A"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境内自然人</w:t>
            </w:r>
          </w:p>
        </w:tc>
        <w:tc>
          <w:tcPr>
            <w:tcW w:w="510" w:type="pct"/>
            <w:tcBorders>
              <w:top w:val="single" w:sz="2" w:space="0" w:color="auto"/>
              <w:left w:val="single" w:sz="2" w:space="0" w:color="auto"/>
              <w:bottom w:val="single" w:sz="2" w:space="0" w:color="auto"/>
              <w:right w:val="single" w:sz="2" w:space="0" w:color="auto"/>
            </w:tcBorders>
            <w:vAlign w:val="center"/>
          </w:tcPr>
          <w:p w14:paraId="6934B51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1.22%</w:t>
            </w:r>
          </w:p>
        </w:tc>
        <w:tc>
          <w:tcPr>
            <w:tcW w:w="404" w:type="pct"/>
            <w:tcBorders>
              <w:top w:val="single" w:sz="2" w:space="0" w:color="auto"/>
              <w:left w:val="single" w:sz="2" w:space="0" w:color="auto"/>
              <w:bottom w:val="single" w:sz="2" w:space="0" w:color="auto"/>
              <w:right w:val="single" w:sz="2" w:space="0" w:color="auto"/>
            </w:tcBorders>
            <w:vAlign w:val="center"/>
          </w:tcPr>
          <w:p w14:paraId="2613569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6,857,000</w:t>
            </w:r>
          </w:p>
        </w:tc>
        <w:tc>
          <w:tcPr>
            <w:tcW w:w="455" w:type="pct"/>
            <w:tcBorders>
              <w:top w:val="single" w:sz="2" w:space="0" w:color="auto"/>
              <w:left w:val="single" w:sz="2" w:space="0" w:color="auto"/>
              <w:bottom w:val="single" w:sz="2" w:space="0" w:color="auto"/>
              <w:right w:val="single" w:sz="2" w:space="0" w:color="auto"/>
            </w:tcBorders>
            <w:vAlign w:val="center"/>
          </w:tcPr>
          <w:p w14:paraId="4EEDE40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-608,000</w:t>
            </w:r>
          </w:p>
        </w:tc>
        <w:tc>
          <w:tcPr>
            <w:tcW w:w="506" w:type="pct"/>
            <w:tcBorders>
              <w:top w:val="single" w:sz="2" w:space="0" w:color="auto"/>
              <w:left w:val="single" w:sz="2" w:space="0" w:color="auto"/>
              <w:bottom w:val="single" w:sz="2" w:space="0" w:color="auto"/>
              <w:right w:val="single" w:sz="2" w:space="0" w:color="auto"/>
            </w:tcBorders>
            <w:vAlign w:val="center"/>
          </w:tcPr>
          <w:p w14:paraId="1750CB97"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119F0F7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6,857,000</w:t>
            </w:r>
          </w:p>
        </w:tc>
        <w:tc>
          <w:tcPr>
            <w:tcW w:w="352" w:type="pct"/>
            <w:tcBorders>
              <w:top w:val="single" w:sz="2" w:space="0" w:color="auto"/>
              <w:left w:val="single" w:sz="2" w:space="0" w:color="auto"/>
              <w:bottom w:val="single" w:sz="2" w:space="0" w:color="auto"/>
              <w:right w:val="single" w:sz="2" w:space="0" w:color="auto"/>
            </w:tcBorders>
            <w:vAlign w:val="center"/>
          </w:tcPr>
          <w:p w14:paraId="1E1FFC47"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4C1DF94C"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06AFFAB1"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386E8AE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三诺生物传感股份有限公司－第二期员工持股计划</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03D3AF9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其他</w:t>
            </w:r>
          </w:p>
        </w:tc>
        <w:tc>
          <w:tcPr>
            <w:tcW w:w="510" w:type="pct"/>
            <w:tcBorders>
              <w:top w:val="single" w:sz="2" w:space="0" w:color="auto"/>
              <w:left w:val="single" w:sz="2" w:space="0" w:color="auto"/>
              <w:bottom w:val="single" w:sz="2" w:space="0" w:color="auto"/>
              <w:right w:val="single" w:sz="2" w:space="0" w:color="auto"/>
            </w:tcBorders>
            <w:vAlign w:val="center"/>
          </w:tcPr>
          <w:p w14:paraId="6B02F38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0.99%</w:t>
            </w:r>
          </w:p>
        </w:tc>
        <w:tc>
          <w:tcPr>
            <w:tcW w:w="404" w:type="pct"/>
            <w:tcBorders>
              <w:top w:val="single" w:sz="2" w:space="0" w:color="auto"/>
              <w:left w:val="single" w:sz="2" w:space="0" w:color="auto"/>
              <w:bottom w:val="single" w:sz="2" w:space="0" w:color="auto"/>
              <w:right w:val="single" w:sz="2" w:space="0" w:color="auto"/>
            </w:tcBorders>
            <w:vAlign w:val="center"/>
          </w:tcPr>
          <w:p w14:paraId="6B44DE6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5,526,028</w:t>
            </w:r>
          </w:p>
        </w:tc>
        <w:tc>
          <w:tcPr>
            <w:tcW w:w="455" w:type="pct"/>
            <w:tcBorders>
              <w:top w:val="single" w:sz="2" w:space="0" w:color="auto"/>
              <w:left w:val="single" w:sz="2" w:space="0" w:color="auto"/>
              <w:bottom w:val="single" w:sz="2" w:space="0" w:color="auto"/>
              <w:right w:val="single" w:sz="2" w:space="0" w:color="auto"/>
            </w:tcBorders>
            <w:vAlign w:val="center"/>
          </w:tcPr>
          <w:p w14:paraId="4C13F765" w14:textId="77777777" w:rsidR="00DC359B" w:rsidRPr="00DC359B" w:rsidRDefault="00DC359B" w:rsidP="00DC359B">
            <w:pPr>
              <w:spacing w:line="360" w:lineRule="auto"/>
              <w:rPr>
                <w:rFonts w:ascii="Times New Roman" w:eastAsia="宋体" w:hAnsi="Times New Roman" w:cs="Times New Roman"/>
                <w:sz w:val="18"/>
                <w:szCs w:val="18"/>
              </w:rPr>
            </w:pPr>
          </w:p>
        </w:tc>
        <w:tc>
          <w:tcPr>
            <w:tcW w:w="506" w:type="pct"/>
            <w:tcBorders>
              <w:top w:val="single" w:sz="2" w:space="0" w:color="auto"/>
              <w:left w:val="single" w:sz="2" w:space="0" w:color="auto"/>
              <w:bottom w:val="single" w:sz="2" w:space="0" w:color="auto"/>
              <w:right w:val="single" w:sz="2" w:space="0" w:color="auto"/>
            </w:tcBorders>
            <w:vAlign w:val="center"/>
          </w:tcPr>
          <w:p w14:paraId="3506B489"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5D48B34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5,526,028</w:t>
            </w:r>
          </w:p>
        </w:tc>
        <w:tc>
          <w:tcPr>
            <w:tcW w:w="352" w:type="pct"/>
            <w:tcBorders>
              <w:top w:val="single" w:sz="2" w:space="0" w:color="auto"/>
              <w:left w:val="single" w:sz="2" w:space="0" w:color="auto"/>
              <w:bottom w:val="single" w:sz="2" w:space="0" w:color="auto"/>
              <w:right w:val="single" w:sz="2" w:space="0" w:color="auto"/>
            </w:tcBorders>
            <w:vAlign w:val="center"/>
          </w:tcPr>
          <w:p w14:paraId="49118307"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3FDC8925"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7EC86A00"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59D149A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赵志红</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4D036E59"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境内自然人</w:t>
            </w:r>
          </w:p>
        </w:tc>
        <w:tc>
          <w:tcPr>
            <w:tcW w:w="510" w:type="pct"/>
            <w:tcBorders>
              <w:top w:val="single" w:sz="2" w:space="0" w:color="auto"/>
              <w:left w:val="single" w:sz="2" w:space="0" w:color="auto"/>
              <w:bottom w:val="single" w:sz="2" w:space="0" w:color="auto"/>
              <w:right w:val="single" w:sz="2" w:space="0" w:color="auto"/>
            </w:tcBorders>
            <w:vAlign w:val="center"/>
          </w:tcPr>
          <w:p w14:paraId="17AD2EA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0.75%</w:t>
            </w:r>
          </w:p>
        </w:tc>
        <w:tc>
          <w:tcPr>
            <w:tcW w:w="404" w:type="pct"/>
            <w:tcBorders>
              <w:top w:val="single" w:sz="2" w:space="0" w:color="auto"/>
              <w:left w:val="single" w:sz="2" w:space="0" w:color="auto"/>
              <w:bottom w:val="single" w:sz="2" w:space="0" w:color="auto"/>
              <w:right w:val="single" w:sz="2" w:space="0" w:color="auto"/>
            </w:tcBorders>
            <w:vAlign w:val="center"/>
          </w:tcPr>
          <w:p w14:paraId="69E3090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4,204,100</w:t>
            </w:r>
          </w:p>
        </w:tc>
        <w:tc>
          <w:tcPr>
            <w:tcW w:w="455" w:type="pct"/>
            <w:tcBorders>
              <w:top w:val="single" w:sz="2" w:space="0" w:color="auto"/>
              <w:left w:val="single" w:sz="2" w:space="0" w:color="auto"/>
              <w:bottom w:val="single" w:sz="2" w:space="0" w:color="auto"/>
              <w:right w:val="single" w:sz="2" w:space="0" w:color="auto"/>
            </w:tcBorders>
            <w:vAlign w:val="center"/>
          </w:tcPr>
          <w:p w14:paraId="45DEBF11" w14:textId="10C4188C"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4</w:t>
            </w:r>
            <w:r w:rsidR="00B51F6A">
              <w:rPr>
                <w:rFonts w:ascii="Times New Roman" w:eastAsia="宋体" w:hAnsi="Times New Roman" w:cs="Times New Roman" w:hint="eastAsia"/>
                <w:sz w:val="18"/>
                <w:szCs w:val="18"/>
              </w:rPr>
              <w:t>,</w:t>
            </w:r>
            <w:r w:rsidRPr="00DC359B">
              <w:rPr>
                <w:rFonts w:ascii="Times New Roman" w:eastAsia="宋体" w:hAnsi="Times New Roman" w:cs="Times New Roman"/>
                <w:sz w:val="18"/>
                <w:szCs w:val="18"/>
              </w:rPr>
              <w:t>120</w:t>
            </w:r>
            <w:r w:rsidR="00B51F6A">
              <w:rPr>
                <w:rFonts w:ascii="Times New Roman" w:eastAsia="宋体" w:hAnsi="Times New Roman" w:cs="Times New Roman"/>
                <w:sz w:val="18"/>
                <w:szCs w:val="18"/>
              </w:rPr>
              <w:t>,</w:t>
            </w:r>
            <w:r w:rsidRPr="00DC359B">
              <w:rPr>
                <w:rFonts w:ascii="Times New Roman" w:eastAsia="宋体" w:hAnsi="Times New Roman" w:cs="Times New Roman"/>
                <w:sz w:val="18"/>
                <w:szCs w:val="18"/>
              </w:rPr>
              <w:t>100</w:t>
            </w:r>
          </w:p>
        </w:tc>
        <w:tc>
          <w:tcPr>
            <w:tcW w:w="506" w:type="pct"/>
            <w:tcBorders>
              <w:top w:val="single" w:sz="2" w:space="0" w:color="auto"/>
              <w:left w:val="single" w:sz="2" w:space="0" w:color="auto"/>
              <w:bottom w:val="single" w:sz="2" w:space="0" w:color="auto"/>
              <w:right w:val="single" w:sz="2" w:space="0" w:color="auto"/>
            </w:tcBorders>
            <w:vAlign w:val="center"/>
          </w:tcPr>
          <w:p w14:paraId="0D54C160"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078B3D5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4,204,100</w:t>
            </w:r>
          </w:p>
        </w:tc>
        <w:tc>
          <w:tcPr>
            <w:tcW w:w="352" w:type="pct"/>
            <w:tcBorders>
              <w:top w:val="single" w:sz="2" w:space="0" w:color="auto"/>
              <w:left w:val="single" w:sz="2" w:space="0" w:color="auto"/>
              <w:bottom w:val="single" w:sz="2" w:space="0" w:color="auto"/>
              <w:right w:val="single" w:sz="2" w:space="0" w:color="auto"/>
            </w:tcBorders>
            <w:vAlign w:val="center"/>
          </w:tcPr>
          <w:p w14:paraId="03BC242C"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63C453FF"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75E365C5"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44725540"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招商银行股份有限公司－睿远均衡价值三年持有期混合型证券投资基金</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713D59E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其他</w:t>
            </w:r>
          </w:p>
        </w:tc>
        <w:tc>
          <w:tcPr>
            <w:tcW w:w="510" w:type="pct"/>
            <w:tcBorders>
              <w:top w:val="single" w:sz="2" w:space="0" w:color="auto"/>
              <w:left w:val="single" w:sz="2" w:space="0" w:color="auto"/>
              <w:bottom w:val="single" w:sz="2" w:space="0" w:color="auto"/>
              <w:right w:val="single" w:sz="2" w:space="0" w:color="auto"/>
            </w:tcBorders>
            <w:vAlign w:val="center"/>
          </w:tcPr>
          <w:p w14:paraId="59AE009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0.71%</w:t>
            </w:r>
          </w:p>
        </w:tc>
        <w:tc>
          <w:tcPr>
            <w:tcW w:w="404" w:type="pct"/>
            <w:tcBorders>
              <w:top w:val="single" w:sz="2" w:space="0" w:color="auto"/>
              <w:left w:val="single" w:sz="2" w:space="0" w:color="auto"/>
              <w:bottom w:val="single" w:sz="2" w:space="0" w:color="auto"/>
              <w:right w:val="single" w:sz="2" w:space="0" w:color="auto"/>
            </w:tcBorders>
            <w:vAlign w:val="center"/>
          </w:tcPr>
          <w:p w14:paraId="035900B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4,000,000</w:t>
            </w:r>
          </w:p>
        </w:tc>
        <w:tc>
          <w:tcPr>
            <w:tcW w:w="455" w:type="pct"/>
            <w:tcBorders>
              <w:top w:val="single" w:sz="2" w:space="0" w:color="auto"/>
              <w:left w:val="single" w:sz="2" w:space="0" w:color="auto"/>
              <w:bottom w:val="single" w:sz="2" w:space="0" w:color="auto"/>
              <w:right w:val="single" w:sz="2" w:space="0" w:color="auto"/>
            </w:tcBorders>
            <w:vAlign w:val="center"/>
          </w:tcPr>
          <w:p w14:paraId="087D22E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-17,800,000</w:t>
            </w:r>
          </w:p>
        </w:tc>
        <w:tc>
          <w:tcPr>
            <w:tcW w:w="506" w:type="pct"/>
            <w:tcBorders>
              <w:top w:val="single" w:sz="2" w:space="0" w:color="auto"/>
              <w:left w:val="single" w:sz="2" w:space="0" w:color="auto"/>
              <w:bottom w:val="single" w:sz="2" w:space="0" w:color="auto"/>
              <w:right w:val="single" w:sz="2" w:space="0" w:color="auto"/>
            </w:tcBorders>
            <w:vAlign w:val="center"/>
          </w:tcPr>
          <w:p w14:paraId="43AFE6A2"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4E2FA6F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4,000,000</w:t>
            </w:r>
          </w:p>
        </w:tc>
        <w:tc>
          <w:tcPr>
            <w:tcW w:w="352" w:type="pct"/>
            <w:tcBorders>
              <w:top w:val="single" w:sz="2" w:space="0" w:color="auto"/>
              <w:left w:val="single" w:sz="2" w:space="0" w:color="auto"/>
              <w:bottom w:val="single" w:sz="2" w:space="0" w:color="auto"/>
              <w:right w:val="single" w:sz="2" w:space="0" w:color="auto"/>
            </w:tcBorders>
            <w:vAlign w:val="center"/>
          </w:tcPr>
          <w:p w14:paraId="15257B4C"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59F7C81B"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1151451D" w14:textId="77777777" w:rsidTr="00DC359B">
        <w:trPr>
          <w:cantSplit/>
          <w:trHeight w:val="240"/>
          <w:tblHeader/>
        </w:trPr>
        <w:tc>
          <w:tcPr>
            <w:tcW w:w="1575" w:type="pct"/>
            <w:gridSpan w:val="4"/>
            <w:tcBorders>
              <w:top w:val="single" w:sz="2" w:space="0" w:color="auto"/>
              <w:left w:val="single" w:sz="2" w:space="0" w:color="auto"/>
              <w:bottom w:val="single" w:sz="2" w:space="0" w:color="auto"/>
              <w:right w:val="single" w:sz="2" w:space="0" w:color="auto"/>
            </w:tcBorders>
            <w:vAlign w:val="center"/>
          </w:tcPr>
          <w:p w14:paraId="40747D32"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招商银行股份有限公司－南方中证</w:t>
            </w:r>
            <w:r w:rsidRPr="00DC359B">
              <w:rPr>
                <w:rFonts w:ascii="Times New Roman" w:eastAsia="宋体" w:hAnsi="Times New Roman" w:cs="Times New Roman"/>
                <w:sz w:val="18"/>
                <w:szCs w:val="18"/>
              </w:rPr>
              <w:t>1000</w:t>
            </w:r>
            <w:r w:rsidRPr="00DC359B">
              <w:rPr>
                <w:rFonts w:ascii="Times New Roman" w:eastAsia="宋体" w:hAnsi="Times New Roman" w:cs="Times New Roman"/>
                <w:sz w:val="18"/>
                <w:szCs w:val="18"/>
              </w:rPr>
              <w:t>交易型开放式指数证券投资基金</w:t>
            </w:r>
          </w:p>
        </w:tc>
        <w:tc>
          <w:tcPr>
            <w:tcW w:w="353" w:type="pct"/>
            <w:gridSpan w:val="2"/>
            <w:tcBorders>
              <w:top w:val="single" w:sz="2" w:space="0" w:color="auto"/>
              <w:left w:val="single" w:sz="2" w:space="0" w:color="auto"/>
              <w:bottom w:val="single" w:sz="2" w:space="0" w:color="auto"/>
              <w:right w:val="single" w:sz="2" w:space="0" w:color="auto"/>
            </w:tcBorders>
            <w:vAlign w:val="center"/>
          </w:tcPr>
          <w:p w14:paraId="4FF3BF8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其他</w:t>
            </w:r>
          </w:p>
        </w:tc>
        <w:tc>
          <w:tcPr>
            <w:tcW w:w="510" w:type="pct"/>
            <w:tcBorders>
              <w:top w:val="single" w:sz="2" w:space="0" w:color="auto"/>
              <w:left w:val="single" w:sz="2" w:space="0" w:color="auto"/>
              <w:bottom w:val="single" w:sz="2" w:space="0" w:color="auto"/>
              <w:right w:val="single" w:sz="2" w:space="0" w:color="auto"/>
            </w:tcBorders>
            <w:vAlign w:val="center"/>
          </w:tcPr>
          <w:p w14:paraId="5506979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0.55%</w:t>
            </w:r>
          </w:p>
        </w:tc>
        <w:tc>
          <w:tcPr>
            <w:tcW w:w="404" w:type="pct"/>
            <w:tcBorders>
              <w:top w:val="single" w:sz="2" w:space="0" w:color="auto"/>
              <w:left w:val="single" w:sz="2" w:space="0" w:color="auto"/>
              <w:bottom w:val="single" w:sz="2" w:space="0" w:color="auto"/>
              <w:right w:val="single" w:sz="2" w:space="0" w:color="auto"/>
            </w:tcBorders>
            <w:vAlign w:val="center"/>
          </w:tcPr>
          <w:p w14:paraId="78F38DD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3,082,280</w:t>
            </w:r>
          </w:p>
        </w:tc>
        <w:tc>
          <w:tcPr>
            <w:tcW w:w="455" w:type="pct"/>
            <w:tcBorders>
              <w:top w:val="single" w:sz="2" w:space="0" w:color="auto"/>
              <w:left w:val="single" w:sz="2" w:space="0" w:color="auto"/>
              <w:bottom w:val="single" w:sz="2" w:space="0" w:color="auto"/>
              <w:right w:val="single" w:sz="2" w:space="0" w:color="auto"/>
            </w:tcBorders>
            <w:vAlign w:val="center"/>
          </w:tcPr>
          <w:p w14:paraId="3295849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293,200</w:t>
            </w:r>
          </w:p>
        </w:tc>
        <w:tc>
          <w:tcPr>
            <w:tcW w:w="506" w:type="pct"/>
            <w:tcBorders>
              <w:top w:val="single" w:sz="2" w:space="0" w:color="auto"/>
              <w:left w:val="single" w:sz="2" w:space="0" w:color="auto"/>
              <w:bottom w:val="single" w:sz="2" w:space="0" w:color="auto"/>
              <w:right w:val="single" w:sz="2" w:space="0" w:color="auto"/>
            </w:tcBorders>
            <w:vAlign w:val="center"/>
          </w:tcPr>
          <w:p w14:paraId="2D0B7423" w14:textId="77777777" w:rsidR="00DC359B" w:rsidRPr="00DC359B" w:rsidRDefault="00DC359B" w:rsidP="00DC359B">
            <w:pPr>
              <w:spacing w:line="360" w:lineRule="auto"/>
              <w:jc w:val="right"/>
              <w:rPr>
                <w:rFonts w:ascii="Times New Roman" w:eastAsia="宋体" w:hAnsi="Times New Roman" w:cs="Times New Roman"/>
                <w:sz w:val="18"/>
                <w:szCs w:val="18"/>
              </w:rPr>
            </w:pPr>
          </w:p>
        </w:tc>
        <w:tc>
          <w:tcPr>
            <w:tcW w:w="505" w:type="pct"/>
            <w:gridSpan w:val="3"/>
            <w:tcBorders>
              <w:top w:val="single" w:sz="2" w:space="0" w:color="auto"/>
              <w:left w:val="single" w:sz="2" w:space="0" w:color="auto"/>
              <w:bottom w:val="single" w:sz="2" w:space="0" w:color="auto"/>
              <w:right w:val="single" w:sz="2" w:space="0" w:color="auto"/>
            </w:tcBorders>
            <w:vAlign w:val="center"/>
          </w:tcPr>
          <w:p w14:paraId="2B7324C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3,082,280</w:t>
            </w:r>
          </w:p>
        </w:tc>
        <w:tc>
          <w:tcPr>
            <w:tcW w:w="352" w:type="pct"/>
            <w:tcBorders>
              <w:top w:val="single" w:sz="2" w:space="0" w:color="auto"/>
              <w:left w:val="single" w:sz="2" w:space="0" w:color="auto"/>
              <w:bottom w:val="single" w:sz="2" w:space="0" w:color="auto"/>
              <w:right w:val="single" w:sz="2" w:space="0" w:color="auto"/>
            </w:tcBorders>
            <w:vAlign w:val="center"/>
          </w:tcPr>
          <w:p w14:paraId="7B57AE40"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c>
          <w:tcPr>
            <w:tcW w:w="340" w:type="pct"/>
            <w:tcBorders>
              <w:top w:val="single" w:sz="2" w:space="0" w:color="auto"/>
              <w:left w:val="single" w:sz="2" w:space="0" w:color="auto"/>
              <w:bottom w:val="single" w:sz="2" w:space="0" w:color="auto"/>
              <w:right w:val="single" w:sz="2" w:space="0" w:color="auto"/>
            </w:tcBorders>
            <w:vAlign w:val="center"/>
          </w:tcPr>
          <w:p w14:paraId="6DC4CF06" w14:textId="77777777" w:rsidR="00DC359B" w:rsidRPr="00DC359B" w:rsidRDefault="00DC359B" w:rsidP="00DC359B">
            <w:pPr>
              <w:spacing w:line="360" w:lineRule="auto"/>
              <w:jc w:val="right"/>
              <w:rPr>
                <w:rFonts w:ascii="Times New Roman" w:eastAsia="宋体" w:hAnsi="Times New Roman" w:cs="Times New Roman"/>
                <w:sz w:val="18"/>
                <w:szCs w:val="18"/>
              </w:rPr>
            </w:pPr>
          </w:p>
        </w:tc>
      </w:tr>
      <w:tr w:rsidR="00C57E60" w14:paraId="0BB86E69"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6A5B30BB"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战略投资者或一般法人因配售新股成为前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名股东的情况（如有）（参见注</w:t>
            </w:r>
            <w:r w:rsidRPr="00DC359B">
              <w:rPr>
                <w:rFonts w:ascii="Times New Roman" w:eastAsia="宋体" w:hAnsi="Times New Roman" w:cs="Times New Roman"/>
                <w:sz w:val="18"/>
                <w:szCs w:val="18"/>
              </w:rPr>
              <w:t>4</w:t>
            </w:r>
            <w:r w:rsidRPr="00DC359B">
              <w:rPr>
                <w:rFonts w:ascii="Times New Roman" w:eastAsia="宋体" w:hAnsi="Times New Roman" w:cs="Times New Roman"/>
                <w:sz w:val="18"/>
                <w:szCs w:val="18"/>
              </w:rPr>
              <w:t>）</w:t>
            </w:r>
          </w:p>
        </w:tc>
        <w:tc>
          <w:tcPr>
            <w:tcW w:w="2562" w:type="pct"/>
            <w:gridSpan w:val="8"/>
            <w:tcBorders>
              <w:top w:val="single" w:sz="2" w:space="0" w:color="auto"/>
              <w:left w:val="single" w:sz="2" w:space="0" w:color="auto"/>
              <w:bottom w:val="single" w:sz="2" w:space="0" w:color="auto"/>
              <w:right w:val="single" w:sz="2" w:space="0" w:color="auto"/>
            </w:tcBorders>
            <w:vAlign w:val="center"/>
          </w:tcPr>
          <w:p w14:paraId="476952FF"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r w:rsidR="00C57E60" w14:paraId="1EFF7385"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0FF726A3"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上述股东关联关系或一致行动的说明</w:t>
            </w:r>
          </w:p>
        </w:tc>
        <w:tc>
          <w:tcPr>
            <w:tcW w:w="2562" w:type="pct"/>
            <w:gridSpan w:val="8"/>
            <w:tcBorders>
              <w:top w:val="single" w:sz="2" w:space="0" w:color="auto"/>
              <w:left w:val="single" w:sz="2" w:space="0" w:color="auto"/>
              <w:bottom w:val="single" w:sz="2" w:space="0" w:color="auto"/>
              <w:right w:val="single" w:sz="2" w:space="0" w:color="auto"/>
            </w:tcBorders>
            <w:vAlign w:val="center"/>
          </w:tcPr>
          <w:p w14:paraId="1791F33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2011</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22</w:t>
            </w:r>
            <w:r w:rsidRPr="00DC359B">
              <w:rPr>
                <w:rFonts w:ascii="Times New Roman" w:eastAsia="宋体" w:hAnsi="Times New Roman" w:cs="Times New Roman"/>
                <w:sz w:val="18"/>
                <w:szCs w:val="18"/>
              </w:rPr>
              <w:t>日，公司实际控制人李少波先生与车宏莉女士签署《一致行动协议》，双方约定：</w:t>
            </w:r>
            <w:r w:rsidRPr="00DC359B">
              <w:rPr>
                <w:rFonts w:ascii="宋体" w:eastAsia="宋体" w:hAnsi="宋体" w:cs="Times New Roman"/>
                <w:sz w:val="18"/>
                <w:szCs w:val="18"/>
              </w:rPr>
              <w:t>“为保障公司的长期稳定发展，在履行股东职责的过程中保持一致行动关系。”</w:t>
            </w:r>
            <w:r w:rsidRPr="00DC359B">
              <w:rPr>
                <w:rFonts w:ascii="Times New Roman" w:eastAsia="宋体" w:hAnsi="Times New Roman" w:cs="Times New Roman"/>
                <w:sz w:val="18"/>
                <w:szCs w:val="18"/>
              </w:rPr>
              <w:t>2019</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18</w:t>
            </w:r>
            <w:r w:rsidRPr="00DC359B">
              <w:rPr>
                <w:rFonts w:ascii="Times New Roman" w:eastAsia="宋体" w:hAnsi="Times New Roman" w:cs="Times New Roman"/>
                <w:sz w:val="18"/>
                <w:szCs w:val="18"/>
              </w:rPr>
              <w:t>日，李少波先生和车宏莉女士签署《关于解除</w:t>
            </w:r>
            <w:r w:rsidRPr="00DC359B">
              <w:rPr>
                <w:rFonts w:ascii="Times New Roman" w:eastAsia="宋体" w:hAnsi="Times New Roman" w:cs="Times New Roman"/>
                <w:sz w:val="18"/>
                <w:szCs w:val="18"/>
              </w:rPr>
              <w:t>&lt;</w:t>
            </w:r>
            <w:r w:rsidRPr="00DC359B">
              <w:rPr>
                <w:rFonts w:ascii="Times New Roman" w:eastAsia="宋体" w:hAnsi="Times New Roman" w:cs="Times New Roman"/>
                <w:sz w:val="18"/>
                <w:szCs w:val="18"/>
              </w:rPr>
              <w:t>一致行动人协议</w:t>
            </w:r>
            <w:r w:rsidRPr="00DC359B">
              <w:rPr>
                <w:rFonts w:ascii="Times New Roman" w:eastAsia="宋体" w:hAnsi="Times New Roman" w:cs="Times New Roman"/>
                <w:sz w:val="18"/>
                <w:szCs w:val="18"/>
              </w:rPr>
              <w:t>&gt;</w:t>
            </w:r>
            <w:r w:rsidRPr="00DC359B">
              <w:rPr>
                <w:rFonts w:ascii="Times New Roman" w:eastAsia="宋体" w:hAnsi="Times New Roman" w:cs="Times New Roman"/>
                <w:sz w:val="18"/>
                <w:szCs w:val="18"/>
              </w:rPr>
              <w:t>的协议》，自前述协议签署之日起，三诺生物传感股份有限公司的实际控制人变更成为李少波先生。除前述情况外，公司未知其他股东之间是否存在关联关系或一致行动关系。</w:t>
            </w:r>
          </w:p>
        </w:tc>
      </w:tr>
      <w:tr w:rsidR="00C57E60" w14:paraId="094D0675"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78317448"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上述股东涉及委托</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受托表决权、放弃表决权情况的说明</w:t>
            </w:r>
          </w:p>
        </w:tc>
        <w:tc>
          <w:tcPr>
            <w:tcW w:w="2562" w:type="pct"/>
            <w:gridSpan w:val="8"/>
            <w:tcBorders>
              <w:top w:val="single" w:sz="2" w:space="0" w:color="auto"/>
              <w:left w:val="single" w:sz="2" w:space="0" w:color="auto"/>
              <w:bottom w:val="single" w:sz="2" w:space="0" w:color="auto"/>
              <w:right w:val="single" w:sz="2" w:space="0" w:color="auto"/>
            </w:tcBorders>
            <w:vAlign w:val="center"/>
          </w:tcPr>
          <w:p w14:paraId="1C46F93A"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不适用</w:t>
            </w:r>
          </w:p>
        </w:tc>
      </w:tr>
      <w:tr w:rsidR="00C57E60" w14:paraId="15F75DF2"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0005994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名股东中存在回购专户的特别说明（如有）（参见注</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w:t>
            </w:r>
          </w:p>
        </w:tc>
        <w:tc>
          <w:tcPr>
            <w:tcW w:w="2562" w:type="pct"/>
            <w:gridSpan w:val="8"/>
            <w:tcBorders>
              <w:top w:val="single" w:sz="2" w:space="0" w:color="auto"/>
              <w:left w:val="single" w:sz="2" w:space="0" w:color="auto"/>
              <w:bottom w:val="single" w:sz="2" w:space="0" w:color="auto"/>
              <w:right w:val="single" w:sz="2" w:space="0" w:color="auto"/>
            </w:tcBorders>
            <w:vAlign w:val="center"/>
          </w:tcPr>
          <w:p w14:paraId="71D530CC"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截至</w:t>
            </w: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31</w:t>
            </w:r>
            <w:r w:rsidRPr="00DC359B">
              <w:rPr>
                <w:rFonts w:ascii="Times New Roman" w:eastAsia="宋体" w:hAnsi="Times New Roman" w:cs="Times New Roman"/>
                <w:sz w:val="18"/>
                <w:szCs w:val="18"/>
              </w:rPr>
              <w:t>日，公司通过三诺生物传感股份有限公司回购专用证券账户以集中竞价交易方式累计持有公司股份</w:t>
            </w:r>
            <w:r w:rsidRPr="00DC359B">
              <w:rPr>
                <w:rFonts w:ascii="Times New Roman" w:eastAsia="宋体" w:hAnsi="Times New Roman" w:cs="Times New Roman"/>
                <w:sz w:val="18"/>
                <w:szCs w:val="18"/>
              </w:rPr>
              <w:t>13,736,061</w:t>
            </w:r>
            <w:r w:rsidRPr="00DC359B">
              <w:rPr>
                <w:rFonts w:ascii="Times New Roman" w:eastAsia="宋体" w:hAnsi="Times New Roman" w:cs="Times New Roman"/>
                <w:sz w:val="18"/>
                <w:szCs w:val="18"/>
              </w:rPr>
              <w:t>股，占公司期末总股本</w:t>
            </w:r>
            <w:r w:rsidRPr="00DC359B">
              <w:rPr>
                <w:rFonts w:ascii="Times New Roman" w:eastAsia="宋体" w:hAnsi="Times New Roman" w:cs="Times New Roman"/>
                <w:sz w:val="18"/>
                <w:szCs w:val="18"/>
              </w:rPr>
              <w:t>560,267,306</w:t>
            </w:r>
            <w:r w:rsidRPr="00DC359B">
              <w:rPr>
                <w:rFonts w:ascii="Times New Roman" w:eastAsia="宋体" w:hAnsi="Times New Roman" w:cs="Times New Roman"/>
                <w:sz w:val="18"/>
                <w:szCs w:val="18"/>
              </w:rPr>
              <w:t>股的比例为</w:t>
            </w:r>
            <w:r w:rsidRPr="00DC359B">
              <w:rPr>
                <w:rFonts w:ascii="Times New Roman" w:eastAsia="宋体" w:hAnsi="Times New Roman" w:cs="Times New Roman"/>
                <w:sz w:val="18"/>
                <w:szCs w:val="18"/>
              </w:rPr>
              <w:t>2.45%</w:t>
            </w:r>
            <w:r w:rsidRPr="00DC359B">
              <w:rPr>
                <w:rFonts w:ascii="Times New Roman" w:eastAsia="宋体" w:hAnsi="Times New Roman" w:cs="Times New Roman"/>
                <w:sz w:val="18"/>
                <w:szCs w:val="18"/>
              </w:rPr>
              <w:t>。</w:t>
            </w:r>
          </w:p>
        </w:tc>
      </w:tr>
      <w:tr w:rsidR="00C57E60" w14:paraId="048CF5B1" w14:textId="77777777" w:rsidTr="00DC359B">
        <w:trPr>
          <w:cantSplit/>
          <w:trHeight w:val="240"/>
          <w:tblHeader/>
        </w:trPr>
        <w:tc>
          <w:tcPr>
            <w:tcW w:w="5000" w:type="pct"/>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0286238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名无限售条件股东持股情况（不含通过转融通出借股份、高管锁定股）</w:t>
            </w:r>
          </w:p>
        </w:tc>
      </w:tr>
      <w:tr w:rsidR="00C57E60" w14:paraId="383D03AD" w14:textId="77777777" w:rsidTr="00DC359B">
        <w:trPr>
          <w:cantSplit/>
          <w:trHeight w:val="240"/>
          <w:tblHeader/>
        </w:trPr>
        <w:tc>
          <w:tcPr>
            <w:tcW w:w="2438" w:type="pct"/>
            <w:gridSpan w:val="7"/>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5A0079"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股东名称</w:t>
            </w:r>
          </w:p>
        </w:tc>
        <w:tc>
          <w:tcPr>
            <w:tcW w:w="859" w:type="pct"/>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3D0D1B0"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报告期末持有无限售条件股份数量</w:t>
            </w:r>
          </w:p>
        </w:tc>
        <w:tc>
          <w:tcPr>
            <w:tcW w:w="1703" w:type="pct"/>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3D091B7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股份种类</w:t>
            </w:r>
          </w:p>
        </w:tc>
      </w:tr>
      <w:tr w:rsidR="00C57E60" w14:paraId="2627A3FF" w14:textId="77777777" w:rsidTr="00DC359B">
        <w:trPr>
          <w:cantSplit/>
          <w:trHeight w:val="240"/>
          <w:tblHeader/>
        </w:trPr>
        <w:tc>
          <w:tcPr>
            <w:tcW w:w="2438" w:type="pct"/>
            <w:gridSpan w:val="7"/>
            <w:vMerge/>
            <w:tcBorders>
              <w:top w:val="single" w:sz="2" w:space="0" w:color="auto"/>
              <w:left w:val="single" w:sz="2" w:space="0" w:color="auto"/>
              <w:bottom w:val="single" w:sz="2" w:space="0" w:color="auto"/>
              <w:right w:val="single" w:sz="2" w:space="0" w:color="auto"/>
            </w:tcBorders>
            <w:shd w:val="clear" w:color="auto" w:fill="D3D3D3"/>
            <w:vAlign w:val="center"/>
          </w:tcPr>
          <w:p w14:paraId="499574A1" w14:textId="77777777" w:rsidR="00DC359B" w:rsidRPr="00DC359B" w:rsidRDefault="00DC359B" w:rsidP="00DC359B">
            <w:pPr>
              <w:spacing w:line="360" w:lineRule="auto"/>
              <w:rPr>
                <w:rFonts w:ascii="Times New Roman" w:eastAsia="等线" w:hAnsi="Times New Roman" w:cs="Times New Roman"/>
              </w:rPr>
            </w:pPr>
          </w:p>
        </w:tc>
        <w:tc>
          <w:tcPr>
            <w:tcW w:w="859" w:type="pct"/>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14:paraId="05A826DF" w14:textId="77777777" w:rsidR="00DC359B" w:rsidRPr="00DC359B" w:rsidRDefault="00DC359B" w:rsidP="00DC359B">
            <w:pPr>
              <w:spacing w:line="360" w:lineRule="auto"/>
              <w:rPr>
                <w:rFonts w:ascii="Times New Roman" w:eastAsia="等线" w:hAnsi="Times New Roman" w:cs="Times New Roman"/>
              </w:rPr>
            </w:pPr>
          </w:p>
        </w:tc>
        <w:tc>
          <w:tcPr>
            <w:tcW w:w="852" w:type="pct"/>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EE7FF72"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股份种类</w:t>
            </w:r>
          </w:p>
        </w:tc>
        <w:tc>
          <w:tcPr>
            <w:tcW w:w="851" w:type="pct"/>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53F885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数量</w:t>
            </w:r>
          </w:p>
        </w:tc>
      </w:tr>
      <w:tr w:rsidR="00C57E60" w14:paraId="62D8CF27"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2AE8C55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车宏莉</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3EE7841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123,806,943</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52C3D00E"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3D119788"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123,806,943</w:t>
            </w:r>
          </w:p>
        </w:tc>
      </w:tr>
      <w:tr w:rsidR="00C57E60" w14:paraId="555CCEE1"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7BB411E3"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461F19F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35,671,412</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3234E7BC"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32AAF58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35,671,412</w:t>
            </w:r>
          </w:p>
        </w:tc>
      </w:tr>
      <w:tr w:rsidR="00C57E60" w14:paraId="23BD8574"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546A1FE7"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香港中央结算有限公司</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0656C540"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23,108,394</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49D9E40B"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470E51E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23,108,394</w:t>
            </w:r>
          </w:p>
        </w:tc>
      </w:tr>
      <w:tr w:rsidR="00C57E60" w14:paraId="23B57B7C"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3B7C9CBE"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中国银行股份有限公司－华宝中证医疗交易型开放式指数证券投资基金</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3695E98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10,287,102</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302BFAD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2241EE8E"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10,287,102</w:t>
            </w:r>
          </w:p>
        </w:tc>
      </w:tr>
      <w:tr w:rsidR="00C57E60" w14:paraId="66A84843"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2B6487F6"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张敬兵</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4AC0B744"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9,906,000</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5E438FCE"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60F0C57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9,906,000</w:t>
            </w:r>
          </w:p>
        </w:tc>
      </w:tr>
      <w:tr w:rsidR="00C57E60" w14:paraId="685F888D"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473B5B18"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张帆</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4B2283B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6,857,000</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062478E0"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403DD7FB"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6,857,000</w:t>
            </w:r>
          </w:p>
        </w:tc>
      </w:tr>
      <w:tr w:rsidR="00C57E60" w14:paraId="78D037E8"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7B39032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三诺生物传感股份有限公司－第二期员工持股计划</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553A7EAD"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5,526,028</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401AA3C4"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590965C7"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5,526,028</w:t>
            </w:r>
          </w:p>
        </w:tc>
      </w:tr>
      <w:tr w:rsidR="00C57E60" w14:paraId="2DADE08E"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017BF97E"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赵志红</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0C1F180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4,204,100</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1FE9F32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6D210081"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4,204,100</w:t>
            </w:r>
          </w:p>
        </w:tc>
      </w:tr>
      <w:tr w:rsidR="00C57E60" w14:paraId="63BE1F39"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4D9EB719"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招商银行股份有限公司－睿远均衡价值三年持有期混合型证券投资基金</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5CE31019"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4,000,000</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0DED7D01"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6AE154BF"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4,000,000</w:t>
            </w:r>
          </w:p>
        </w:tc>
      </w:tr>
      <w:tr w:rsidR="00C57E60" w14:paraId="718039A3"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vAlign w:val="center"/>
          </w:tcPr>
          <w:p w14:paraId="14309EA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招商银行股份有限公司－南方中证</w:t>
            </w:r>
            <w:r w:rsidRPr="00DC359B">
              <w:rPr>
                <w:rFonts w:ascii="Times New Roman" w:eastAsia="宋体" w:hAnsi="Times New Roman" w:cs="Times New Roman"/>
                <w:sz w:val="18"/>
                <w:szCs w:val="18"/>
              </w:rPr>
              <w:t>1000</w:t>
            </w:r>
            <w:r w:rsidRPr="00DC359B">
              <w:rPr>
                <w:rFonts w:ascii="Times New Roman" w:eastAsia="宋体" w:hAnsi="Times New Roman" w:cs="Times New Roman"/>
                <w:sz w:val="18"/>
                <w:szCs w:val="18"/>
              </w:rPr>
              <w:t>交易型开放式指数证券投资基金</w:t>
            </w:r>
          </w:p>
        </w:tc>
        <w:tc>
          <w:tcPr>
            <w:tcW w:w="859" w:type="pct"/>
            <w:gridSpan w:val="2"/>
            <w:tcBorders>
              <w:top w:val="single" w:sz="2" w:space="0" w:color="auto"/>
              <w:left w:val="single" w:sz="2" w:space="0" w:color="auto"/>
              <w:bottom w:val="single" w:sz="2" w:space="0" w:color="auto"/>
              <w:right w:val="single" w:sz="2" w:space="0" w:color="auto"/>
            </w:tcBorders>
            <w:vAlign w:val="center"/>
          </w:tcPr>
          <w:p w14:paraId="28424222"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3,082,280</w:t>
            </w:r>
          </w:p>
        </w:tc>
        <w:tc>
          <w:tcPr>
            <w:tcW w:w="852" w:type="pct"/>
            <w:gridSpan w:val="3"/>
            <w:tcBorders>
              <w:top w:val="single" w:sz="2" w:space="0" w:color="auto"/>
              <w:left w:val="single" w:sz="2" w:space="0" w:color="auto"/>
              <w:bottom w:val="single" w:sz="2" w:space="0" w:color="auto"/>
              <w:right w:val="single" w:sz="2" w:space="0" w:color="auto"/>
            </w:tcBorders>
            <w:vAlign w:val="center"/>
          </w:tcPr>
          <w:p w14:paraId="10EFDC4F"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人民币普通股</w:t>
            </w:r>
          </w:p>
        </w:tc>
        <w:tc>
          <w:tcPr>
            <w:tcW w:w="851" w:type="pct"/>
            <w:gridSpan w:val="3"/>
            <w:tcBorders>
              <w:top w:val="single" w:sz="2" w:space="0" w:color="auto"/>
              <w:left w:val="single" w:sz="2" w:space="0" w:color="auto"/>
              <w:bottom w:val="single" w:sz="2" w:space="0" w:color="auto"/>
              <w:right w:val="single" w:sz="2" w:space="0" w:color="auto"/>
            </w:tcBorders>
            <w:vAlign w:val="center"/>
          </w:tcPr>
          <w:p w14:paraId="5CE380E3"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3,082,280</w:t>
            </w:r>
          </w:p>
        </w:tc>
      </w:tr>
      <w:tr w:rsidR="00C57E60" w14:paraId="539700C6"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5893B59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名无限售流通股股东之间，以及前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名无限售流通股股东和前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名股东之间关联关系或一致行动的说明</w:t>
            </w:r>
          </w:p>
        </w:tc>
        <w:tc>
          <w:tcPr>
            <w:tcW w:w="2562" w:type="pct"/>
            <w:gridSpan w:val="8"/>
            <w:tcBorders>
              <w:top w:val="single" w:sz="2" w:space="0" w:color="auto"/>
              <w:left w:val="single" w:sz="2" w:space="0" w:color="auto"/>
              <w:bottom w:val="single" w:sz="2" w:space="0" w:color="auto"/>
              <w:right w:val="single" w:sz="2" w:space="0" w:color="auto"/>
            </w:tcBorders>
            <w:vAlign w:val="center"/>
          </w:tcPr>
          <w:p w14:paraId="35A97F7A"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2011</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22</w:t>
            </w:r>
            <w:r w:rsidRPr="00DC359B">
              <w:rPr>
                <w:rFonts w:ascii="Times New Roman" w:eastAsia="宋体" w:hAnsi="Times New Roman" w:cs="Times New Roman"/>
                <w:sz w:val="18"/>
                <w:szCs w:val="18"/>
              </w:rPr>
              <w:t>日，公司实际控制人李少波先生与车宏莉女士签署《一致行动协议》，双方约定：</w:t>
            </w:r>
            <w:r w:rsidRPr="00DC359B">
              <w:rPr>
                <w:rFonts w:ascii="宋体" w:eastAsia="宋体" w:hAnsi="宋体" w:cs="Times New Roman"/>
                <w:sz w:val="18"/>
                <w:szCs w:val="18"/>
              </w:rPr>
              <w:t>“为保障公司的长期稳定发展，在履行股东职责的过程中保持一致行动关系。”</w:t>
            </w:r>
            <w:r w:rsidRPr="00DC359B">
              <w:rPr>
                <w:rFonts w:ascii="Times New Roman" w:eastAsia="宋体" w:hAnsi="Times New Roman" w:cs="Times New Roman"/>
                <w:sz w:val="18"/>
                <w:szCs w:val="18"/>
              </w:rPr>
              <w:t>2019</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1</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18</w:t>
            </w:r>
            <w:r w:rsidRPr="00DC359B">
              <w:rPr>
                <w:rFonts w:ascii="Times New Roman" w:eastAsia="宋体" w:hAnsi="Times New Roman" w:cs="Times New Roman"/>
                <w:sz w:val="18"/>
                <w:szCs w:val="18"/>
              </w:rPr>
              <w:t>日，李少波先生和车宏莉女士签署《关于解除</w:t>
            </w:r>
            <w:r w:rsidRPr="00DC359B">
              <w:rPr>
                <w:rFonts w:ascii="Times New Roman" w:eastAsia="宋体" w:hAnsi="Times New Roman" w:cs="Times New Roman"/>
                <w:sz w:val="18"/>
                <w:szCs w:val="18"/>
              </w:rPr>
              <w:t>&lt;</w:t>
            </w:r>
            <w:r w:rsidRPr="00DC359B">
              <w:rPr>
                <w:rFonts w:ascii="Times New Roman" w:eastAsia="宋体" w:hAnsi="Times New Roman" w:cs="Times New Roman"/>
                <w:sz w:val="18"/>
                <w:szCs w:val="18"/>
              </w:rPr>
              <w:t>一致行动人协议</w:t>
            </w:r>
            <w:r w:rsidRPr="00DC359B">
              <w:rPr>
                <w:rFonts w:ascii="Times New Roman" w:eastAsia="宋体" w:hAnsi="Times New Roman" w:cs="Times New Roman"/>
                <w:sz w:val="18"/>
                <w:szCs w:val="18"/>
              </w:rPr>
              <w:t>&gt;</w:t>
            </w:r>
            <w:r w:rsidRPr="00DC359B">
              <w:rPr>
                <w:rFonts w:ascii="Times New Roman" w:eastAsia="宋体" w:hAnsi="Times New Roman" w:cs="Times New Roman"/>
                <w:sz w:val="18"/>
                <w:szCs w:val="18"/>
              </w:rPr>
              <w:t>的协议》，自前述协议签署之日起，三诺生物传感股份有限公司的实际控制人变更成为李少波先生。除前述情况外，公司未知其他股东之间是否存在关联关系或一致行动关系。</w:t>
            </w:r>
          </w:p>
        </w:tc>
      </w:tr>
      <w:tr w:rsidR="00C57E60" w14:paraId="67737685" w14:textId="77777777" w:rsidTr="00DC359B">
        <w:trPr>
          <w:cantSplit/>
          <w:trHeight w:val="240"/>
          <w:tblHeader/>
        </w:trPr>
        <w:tc>
          <w:tcPr>
            <w:tcW w:w="2438"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176EC84A"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参与融资融券业务股东情况说明（如有）（参见注</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w:t>
            </w:r>
          </w:p>
        </w:tc>
        <w:tc>
          <w:tcPr>
            <w:tcW w:w="2562" w:type="pct"/>
            <w:gridSpan w:val="8"/>
            <w:tcBorders>
              <w:top w:val="single" w:sz="2" w:space="0" w:color="auto"/>
              <w:left w:val="single" w:sz="2" w:space="0" w:color="auto"/>
              <w:bottom w:val="single" w:sz="2" w:space="0" w:color="auto"/>
              <w:right w:val="single" w:sz="2" w:space="0" w:color="auto"/>
            </w:tcBorders>
            <w:vAlign w:val="center"/>
          </w:tcPr>
          <w:p w14:paraId="100678BB"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上述股东中，股东张敬兵通过普通证券账户持有公司股份</w:t>
            </w:r>
            <w:r w:rsidRPr="00DC359B">
              <w:rPr>
                <w:rFonts w:ascii="Times New Roman" w:eastAsia="宋体" w:hAnsi="Times New Roman" w:cs="Times New Roman"/>
                <w:sz w:val="18"/>
                <w:szCs w:val="18"/>
              </w:rPr>
              <w:t>345,000</w:t>
            </w:r>
            <w:r w:rsidRPr="00DC359B">
              <w:rPr>
                <w:rFonts w:ascii="Times New Roman" w:eastAsia="宋体" w:hAnsi="Times New Roman" w:cs="Times New Roman"/>
                <w:sz w:val="18"/>
                <w:szCs w:val="18"/>
              </w:rPr>
              <w:t>股，通过信用交易担保证券账户持有公司股份</w:t>
            </w:r>
            <w:r w:rsidRPr="00DC359B">
              <w:rPr>
                <w:rFonts w:ascii="Times New Roman" w:eastAsia="宋体" w:hAnsi="Times New Roman" w:cs="Times New Roman"/>
                <w:sz w:val="18"/>
                <w:szCs w:val="18"/>
              </w:rPr>
              <w:t>9,561,000</w:t>
            </w:r>
            <w:r w:rsidRPr="00DC359B">
              <w:rPr>
                <w:rFonts w:ascii="Times New Roman" w:eastAsia="宋体" w:hAnsi="Times New Roman" w:cs="Times New Roman"/>
                <w:sz w:val="18"/>
                <w:szCs w:val="18"/>
              </w:rPr>
              <w:t>股，实际合计持有公司股份</w:t>
            </w:r>
            <w:r w:rsidRPr="00DC359B">
              <w:rPr>
                <w:rFonts w:ascii="Times New Roman" w:eastAsia="宋体" w:hAnsi="Times New Roman" w:cs="Times New Roman"/>
                <w:sz w:val="18"/>
                <w:szCs w:val="18"/>
              </w:rPr>
              <w:t>9,906,000</w:t>
            </w:r>
            <w:r w:rsidRPr="00DC359B">
              <w:rPr>
                <w:rFonts w:ascii="Times New Roman" w:eastAsia="宋体" w:hAnsi="Times New Roman" w:cs="Times New Roman"/>
                <w:sz w:val="18"/>
                <w:szCs w:val="18"/>
              </w:rPr>
              <w:t>股；股东张帆通过普通证券账户持有公司股份</w:t>
            </w:r>
            <w:r w:rsidRPr="00DC359B">
              <w:rPr>
                <w:rFonts w:ascii="Times New Roman" w:eastAsia="宋体" w:hAnsi="Times New Roman" w:cs="Times New Roman"/>
                <w:sz w:val="18"/>
                <w:szCs w:val="18"/>
              </w:rPr>
              <w:t>480,000</w:t>
            </w:r>
            <w:r w:rsidRPr="00DC359B">
              <w:rPr>
                <w:rFonts w:ascii="Times New Roman" w:eastAsia="宋体" w:hAnsi="Times New Roman" w:cs="Times New Roman"/>
                <w:sz w:val="18"/>
                <w:szCs w:val="18"/>
              </w:rPr>
              <w:t>股，通过信用交易担保证券账户持有公司股份</w:t>
            </w:r>
            <w:r w:rsidRPr="00DC359B">
              <w:rPr>
                <w:rFonts w:ascii="Times New Roman" w:eastAsia="宋体" w:hAnsi="Times New Roman" w:cs="Times New Roman"/>
                <w:sz w:val="18"/>
                <w:szCs w:val="18"/>
              </w:rPr>
              <w:t>6,377,000</w:t>
            </w:r>
            <w:r w:rsidRPr="00DC359B">
              <w:rPr>
                <w:rFonts w:ascii="Times New Roman" w:eastAsia="宋体" w:hAnsi="Times New Roman" w:cs="Times New Roman"/>
                <w:sz w:val="18"/>
                <w:szCs w:val="18"/>
              </w:rPr>
              <w:t>股，实际合计持有公司股份</w:t>
            </w:r>
            <w:r w:rsidRPr="00DC359B">
              <w:rPr>
                <w:rFonts w:ascii="Times New Roman" w:eastAsia="宋体" w:hAnsi="Times New Roman" w:cs="Times New Roman"/>
                <w:sz w:val="18"/>
                <w:szCs w:val="18"/>
              </w:rPr>
              <w:t>6,857,000</w:t>
            </w:r>
            <w:r w:rsidRPr="00DC359B">
              <w:rPr>
                <w:rFonts w:ascii="Times New Roman" w:eastAsia="宋体" w:hAnsi="Times New Roman" w:cs="Times New Roman"/>
                <w:sz w:val="18"/>
                <w:szCs w:val="18"/>
              </w:rPr>
              <w:t>股；股东赵志红通过普通证券账户持有公司股份</w:t>
            </w:r>
            <w:r w:rsidRPr="00DC359B">
              <w:rPr>
                <w:rFonts w:ascii="Times New Roman" w:eastAsia="宋体" w:hAnsi="Times New Roman" w:cs="Times New Roman"/>
                <w:sz w:val="18"/>
                <w:szCs w:val="18"/>
              </w:rPr>
              <w:t>322,300</w:t>
            </w:r>
            <w:r w:rsidRPr="00DC359B">
              <w:rPr>
                <w:rFonts w:ascii="Times New Roman" w:eastAsia="宋体" w:hAnsi="Times New Roman" w:cs="Times New Roman"/>
                <w:sz w:val="18"/>
                <w:szCs w:val="18"/>
              </w:rPr>
              <w:t>股，通过信用交易担保证券账户持有公司股份</w:t>
            </w:r>
            <w:r w:rsidRPr="00DC359B">
              <w:rPr>
                <w:rFonts w:ascii="Times New Roman" w:eastAsia="宋体" w:hAnsi="Times New Roman" w:cs="Times New Roman"/>
                <w:sz w:val="18"/>
                <w:szCs w:val="18"/>
              </w:rPr>
              <w:t>3,881,800</w:t>
            </w:r>
            <w:r w:rsidRPr="00DC359B">
              <w:rPr>
                <w:rFonts w:ascii="Times New Roman" w:eastAsia="宋体" w:hAnsi="Times New Roman" w:cs="Times New Roman"/>
                <w:sz w:val="18"/>
                <w:szCs w:val="18"/>
              </w:rPr>
              <w:t>股，实际合计持有公司股份</w:t>
            </w:r>
            <w:r w:rsidRPr="00DC359B">
              <w:rPr>
                <w:rFonts w:ascii="Times New Roman" w:eastAsia="宋体" w:hAnsi="Times New Roman" w:cs="Times New Roman"/>
                <w:sz w:val="18"/>
                <w:szCs w:val="18"/>
              </w:rPr>
              <w:t>4,204,100</w:t>
            </w:r>
            <w:r w:rsidRPr="00DC359B">
              <w:rPr>
                <w:rFonts w:ascii="Times New Roman" w:eastAsia="宋体" w:hAnsi="Times New Roman" w:cs="Times New Roman"/>
                <w:sz w:val="18"/>
                <w:szCs w:val="18"/>
              </w:rPr>
              <w:t>股。</w:t>
            </w:r>
          </w:p>
        </w:tc>
      </w:tr>
    </w:tbl>
    <w:p w14:paraId="69576BD0" w14:textId="77777777" w:rsidR="00DC359B" w:rsidRPr="00DC359B" w:rsidRDefault="00DC359B" w:rsidP="00DC359B">
      <w:pPr>
        <w:spacing w:before="100" w:after="100"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持股</w:t>
      </w:r>
      <w:r w:rsidRPr="00DC359B">
        <w:rPr>
          <w:rFonts w:ascii="Times New Roman" w:eastAsia="宋体" w:hAnsi="Times New Roman" w:cs="Times New Roman"/>
          <w:sz w:val="18"/>
          <w:szCs w:val="18"/>
        </w:rPr>
        <w:t>5%</w:t>
      </w:r>
      <w:r w:rsidRPr="00DC359B">
        <w:rPr>
          <w:rFonts w:ascii="Times New Roman" w:eastAsia="宋体" w:hAnsi="Times New Roman" w:cs="Times New Roman"/>
          <w:sz w:val="18"/>
          <w:szCs w:val="18"/>
        </w:rPr>
        <w:t>以上股东、前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名股东及前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名无限售流通股股东参与转融通业务出借股份情况</w:t>
      </w:r>
    </w:p>
    <w:p w14:paraId="59CFF8A2" w14:textId="77777777" w:rsidR="00DC359B" w:rsidRPr="00DC359B" w:rsidRDefault="00DC359B" w:rsidP="00DC359B">
      <w:pPr>
        <w:spacing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适用</w:t>
      </w:r>
      <w:r w:rsidRPr="00DC359B">
        <w:rPr>
          <w:rFonts w:ascii="Times New Roman" w:eastAsia="宋体" w:hAnsi="Times New Roman" w:cs="Times New Roman"/>
          <w:sz w:val="18"/>
          <w:szCs w:val="18"/>
        </w:rPr>
        <w:t xml:space="preserve"> </w:t>
      </w:r>
      <w:r w:rsidRPr="00DC359B">
        <w:rPr>
          <w:rFonts w:ascii="Times New Roman" w:eastAsia="宋体" w:hAnsi="Times New Roman" w:cs="Times New Roman"/>
          <w:sz w:val="18"/>
          <w:szCs w:val="18"/>
        </w:rPr>
        <w:sym w:font="Wingdings 2" w:char="F052"/>
      </w:r>
      <w:r w:rsidRPr="00DC359B">
        <w:rPr>
          <w:rFonts w:ascii="Times New Roman" w:eastAsia="宋体" w:hAnsi="Times New Roman" w:cs="Times New Roman"/>
          <w:sz w:val="18"/>
          <w:szCs w:val="18"/>
        </w:rPr>
        <w:t>不适用</w:t>
      </w:r>
    </w:p>
    <w:p w14:paraId="1A82322D" w14:textId="77777777" w:rsidR="00DC359B" w:rsidRPr="00DC359B" w:rsidRDefault="00DC359B" w:rsidP="00DC359B">
      <w:pPr>
        <w:spacing w:before="100" w:after="100"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名股东及前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名无限售流通股股东因转融通出借</w:t>
      </w: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归还原因导致较上期发生变化</w:t>
      </w:r>
    </w:p>
    <w:p w14:paraId="0FCB9B3A" w14:textId="77777777" w:rsidR="00DC359B" w:rsidRPr="00DC359B" w:rsidRDefault="00DC359B" w:rsidP="00DC359B">
      <w:pPr>
        <w:spacing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适用</w:t>
      </w:r>
      <w:r w:rsidRPr="00DC359B">
        <w:rPr>
          <w:rFonts w:ascii="Times New Roman" w:eastAsia="宋体" w:hAnsi="Times New Roman" w:cs="Times New Roman"/>
          <w:sz w:val="18"/>
          <w:szCs w:val="18"/>
        </w:rPr>
        <w:t xml:space="preserve"> </w:t>
      </w:r>
      <w:r w:rsidRPr="00DC359B">
        <w:rPr>
          <w:rFonts w:ascii="Times New Roman" w:eastAsia="宋体" w:hAnsi="Times New Roman" w:cs="Times New Roman"/>
          <w:sz w:val="18"/>
          <w:szCs w:val="18"/>
        </w:rPr>
        <w:sym w:font="Wingdings 2" w:char="F052"/>
      </w:r>
      <w:r w:rsidRPr="00DC359B">
        <w:rPr>
          <w:rFonts w:ascii="Times New Roman" w:eastAsia="宋体" w:hAnsi="Times New Roman" w:cs="Times New Roman"/>
          <w:sz w:val="18"/>
          <w:szCs w:val="18"/>
        </w:rPr>
        <w:t>不适用</w:t>
      </w:r>
    </w:p>
    <w:p w14:paraId="110EC05D" w14:textId="77777777" w:rsidR="00DC359B" w:rsidRPr="00DC359B" w:rsidRDefault="00DC359B" w:rsidP="00DC359B">
      <w:pPr>
        <w:spacing w:before="100" w:after="100"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公司是否具有表决权差异安排</w:t>
      </w:r>
    </w:p>
    <w:p w14:paraId="7DF65D6A" w14:textId="77777777" w:rsidR="00DC359B" w:rsidRPr="00DC359B" w:rsidRDefault="00DC359B" w:rsidP="00DC359B">
      <w:pPr>
        <w:spacing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适用</w:t>
      </w:r>
      <w:r w:rsidRPr="00DC359B">
        <w:rPr>
          <w:rFonts w:ascii="Times New Roman" w:eastAsia="宋体" w:hAnsi="Times New Roman" w:cs="Times New Roman"/>
          <w:sz w:val="18"/>
          <w:szCs w:val="18"/>
        </w:rPr>
        <w:t xml:space="preserve"> </w:t>
      </w:r>
      <w:r w:rsidRPr="00DC359B">
        <w:rPr>
          <w:rFonts w:ascii="Times New Roman" w:eastAsia="宋体" w:hAnsi="Times New Roman" w:cs="Times New Roman"/>
          <w:sz w:val="18"/>
          <w:szCs w:val="18"/>
        </w:rPr>
        <w:sym w:font="Wingdings 2" w:char="F052"/>
      </w:r>
      <w:r w:rsidRPr="00DC359B">
        <w:rPr>
          <w:rFonts w:ascii="Times New Roman" w:eastAsia="宋体" w:hAnsi="Times New Roman" w:cs="Times New Roman"/>
          <w:sz w:val="18"/>
          <w:szCs w:val="18"/>
        </w:rPr>
        <w:t>不适用</w:t>
      </w:r>
    </w:p>
    <w:p w14:paraId="6F6A9D19" w14:textId="77777777" w:rsidR="00DC359B" w:rsidRPr="00DC359B" w:rsidRDefault="00DC359B" w:rsidP="00DC359B">
      <w:pPr>
        <w:spacing w:before="100" w:after="100"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公司前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名普通股股东、前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名无限售条件普通股股东在报告期内是否进行约定购回交易</w:t>
      </w:r>
    </w:p>
    <w:p w14:paraId="6819B001" w14:textId="77777777" w:rsidR="00DC359B" w:rsidRPr="00DC359B" w:rsidRDefault="00DC359B" w:rsidP="00DC359B">
      <w:pPr>
        <w:spacing w:before="100" w:after="100"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w:t>
      </w:r>
      <w:r w:rsidRPr="00DC359B">
        <w:rPr>
          <w:rFonts w:ascii="Times New Roman" w:eastAsia="宋体" w:hAnsi="Times New Roman" w:cs="Times New Roman"/>
          <w:sz w:val="18"/>
          <w:szCs w:val="18"/>
        </w:rPr>
        <w:t>是</w:t>
      </w:r>
      <w:r w:rsidRPr="00DC359B">
        <w:rPr>
          <w:rFonts w:ascii="Times New Roman" w:eastAsia="宋体" w:hAnsi="Times New Roman" w:cs="Times New Roman"/>
          <w:sz w:val="18"/>
          <w:szCs w:val="18"/>
        </w:rPr>
        <w:t xml:space="preserve"> </w:t>
      </w:r>
      <w:r w:rsidRPr="00DC359B">
        <w:rPr>
          <w:rFonts w:ascii="Times New Roman" w:eastAsia="宋体" w:hAnsi="Times New Roman" w:cs="Times New Roman"/>
          <w:sz w:val="18"/>
          <w:szCs w:val="18"/>
        </w:rPr>
        <w:sym w:font="Wingdings 2" w:char="F052"/>
      </w:r>
      <w:r w:rsidRPr="00DC359B">
        <w:rPr>
          <w:rFonts w:ascii="Times New Roman" w:eastAsia="宋体" w:hAnsi="Times New Roman" w:cs="Times New Roman"/>
          <w:sz w:val="18"/>
          <w:szCs w:val="18"/>
        </w:rPr>
        <w:t>否</w:t>
      </w:r>
    </w:p>
    <w:p w14:paraId="3C82142B" w14:textId="77777777" w:rsidR="00DC359B" w:rsidRPr="00DC359B" w:rsidRDefault="00DC359B" w:rsidP="00DC359B">
      <w:pPr>
        <w:spacing w:before="40" w:after="40" w:line="240" w:lineRule="exact"/>
        <w:rPr>
          <w:rFonts w:ascii="Times New Roman" w:eastAsia="宋体" w:hAnsi="Times New Roman" w:cs="Times New Roman"/>
          <w:sz w:val="18"/>
          <w:szCs w:val="18"/>
        </w:rPr>
      </w:pPr>
      <w:r w:rsidRPr="00DC359B">
        <w:rPr>
          <w:rFonts w:ascii="Times New Roman" w:eastAsia="宋体" w:hAnsi="Times New Roman" w:cs="Times New Roman"/>
          <w:sz w:val="18"/>
          <w:szCs w:val="18"/>
        </w:rPr>
        <w:t>公司前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名普通股股东、前</w:t>
      </w:r>
      <w:r w:rsidRPr="00DC359B">
        <w:rPr>
          <w:rFonts w:ascii="Times New Roman" w:eastAsia="宋体" w:hAnsi="Times New Roman" w:cs="Times New Roman"/>
          <w:sz w:val="18"/>
          <w:szCs w:val="18"/>
        </w:rPr>
        <w:t>10</w:t>
      </w:r>
      <w:r w:rsidRPr="00DC359B">
        <w:rPr>
          <w:rFonts w:ascii="Times New Roman" w:eastAsia="宋体" w:hAnsi="Times New Roman" w:cs="Times New Roman"/>
          <w:sz w:val="18"/>
          <w:szCs w:val="18"/>
        </w:rPr>
        <w:t>名无限售条件普通股股东在报告期内未进行约定购回交易。</w:t>
      </w:r>
    </w:p>
    <w:p w14:paraId="654C8E7C"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sectPr w:rsidR="00DC359B" w:rsidRPr="00DC359B" w:rsidSect="00DC359B">
          <w:pgSz w:w="16840" w:h="11905" w:orient="landscape"/>
          <w:pgMar w:top="1134" w:right="1440" w:bottom="1134" w:left="1440" w:header="850" w:footer="992" w:gutter="0"/>
          <w:cols w:space="720"/>
          <w:docGrid w:type="linesAndChars" w:linePitch="312"/>
        </w:sectPr>
      </w:pPr>
    </w:p>
    <w:p w14:paraId="45031538"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2</w:t>
      </w:r>
      <w:r w:rsidRPr="00DC359B">
        <w:rPr>
          <w:rFonts w:ascii="Times New Roman" w:eastAsia="宋体" w:hAnsi="Times New Roman" w:cs="Times New Roman"/>
          <w:b/>
          <w:bCs/>
          <w:szCs w:val="21"/>
        </w:rPr>
        <w:t>、公司控股股东情况</w:t>
      </w:r>
    </w:p>
    <w:p w14:paraId="2251EDF2"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控股股东性质：自然人控股</w:t>
      </w:r>
    </w:p>
    <w:p w14:paraId="3C222645"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控股股东类型：自然人</w:t>
      </w:r>
    </w:p>
    <w:tbl>
      <w:tblPr>
        <w:tblW w:w="9639" w:type="dxa"/>
        <w:tblInd w:w="108" w:type="dxa"/>
        <w:tblLayout w:type="fixed"/>
        <w:tblLook w:val="0000" w:firstRow="0" w:lastRow="0" w:firstColumn="0" w:lastColumn="0" w:noHBand="0" w:noVBand="0"/>
      </w:tblPr>
      <w:tblGrid>
        <w:gridCol w:w="3213"/>
        <w:gridCol w:w="3213"/>
        <w:gridCol w:w="3213"/>
      </w:tblGrid>
      <w:tr w:rsidR="00C57E60" w14:paraId="5700AC3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22F83E"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控股股东姓名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9A077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国籍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1D28C4"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是否取得其他国家或地区居留权</w:t>
            </w:r>
          </w:p>
        </w:tc>
      </w:tr>
      <w:tr w:rsidR="00C57E60" w14:paraId="4755469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98AE244"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w:t>
            </w:r>
          </w:p>
        </w:tc>
        <w:tc>
          <w:tcPr>
            <w:tcW w:w="3213" w:type="dxa"/>
            <w:tcBorders>
              <w:top w:val="single" w:sz="2" w:space="0" w:color="auto"/>
              <w:left w:val="single" w:sz="2" w:space="0" w:color="auto"/>
              <w:bottom w:val="single" w:sz="2" w:space="0" w:color="auto"/>
              <w:right w:val="single" w:sz="2" w:space="0" w:color="auto"/>
            </w:tcBorders>
            <w:vAlign w:val="center"/>
          </w:tcPr>
          <w:p w14:paraId="50170F1D"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中国</w:t>
            </w:r>
          </w:p>
        </w:tc>
        <w:tc>
          <w:tcPr>
            <w:tcW w:w="3213" w:type="dxa"/>
            <w:tcBorders>
              <w:top w:val="single" w:sz="2" w:space="0" w:color="auto"/>
              <w:left w:val="single" w:sz="2" w:space="0" w:color="auto"/>
              <w:bottom w:val="single" w:sz="2" w:space="0" w:color="auto"/>
              <w:right w:val="single" w:sz="2" w:space="0" w:color="auto"/>
            </w:tcBorders>
            <w:vAlign w:val="center"/>
          </w:tcPr>
          <w:p w14:paraId="1FAB9F28" w14:textId="77777777" w:rsidR="00DC359B" w:rsidRPr="00DC359B" w:rsidRDefault="00DC359B" w:rsidP="00DC359B">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否</w:t>
            </w:r>
          </w:p>
        </w:tc>
      </w:tr>
      <w:tr w:rsidR="00C57E60" w14:paraId="488F7C0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7CF052"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主要职业及职务</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4A1C75A5"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李少波先生担任公司董事长</w:t>
            </w:r>
          </w:p>
        </w:tc>
      </w:tr>
      <w:tr w:rsidR="00C57E60" w14:paraId="70150AF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D1BD85" w14:textId="77777777" w:rsidR="00DC359B" w:rsidRPr="00DC359B" w:rsidRDefault="00DC359B" w:rsidP="00DC359B">
            <w:pPr>
              <w:spacing w:before="40" w:after="40"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报告期内控股和参股的其他境内外上市公司的股权情况</w:t>
            </w: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2B604BB1"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无</w:t>
            </w:r>
          </w:p>
        </w:tc>
      </w:tr>
    </w:tbl>
    <w:p w14:paraId="6B691BF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控股股东报告期内变更</w:t>
      </w:r>
    </w:p>
    <w:p w14:paraId="3A620C00"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5E7323DB"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公司报告期控股股东未发生变更。</w:t>
      </w:r>
    </w:p>
    <w:p w14:paraId="023369D2"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3</w:t>
      </w:r>
      <w:r w:rsidRPr="00DC359B">
        <w:rPr>
          <w:rFonts w:ascii="Times New Roman" w:eastAsia="宋体" w:hAnsi="Times New Roman" w:cs="Times New Roman"/>
          <w:b/>
          <w:bCs/>
          <w:szCs w:val="21"/>
        </w:rPr>
        <w:t>、公司实际控制人及其一致行动人</w:t>
      </w:r>
    </w:p>
    <w:p w14:paraId="096F47ED"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实际控制人性质：境内自然人</w:t>
      </w:r>
    </w:p>
    <w:p w14:paraId="0D271024"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实际控制人类型：自然人</w:t>
      </w:r>
    </w:p>
    <w:tbl>
      <w:tblPr>
        <w:tblW w:w="9639" w:type="dxa"/>
        <w:tblInd w:w="108" w:type="dxa"/>
        <w:tblLayout w:type="fixed"/>
        <w:tblLook w:val="0000" w:firstRow="0" w:lastRow="0" w:firstColumn="0" w:lastColumn="0" w:noHBand="0" w:noVBand="0"/>
      </w:tblPr>
      <w:tblGrid>
        <w:gridCol w:w="2409"/>
        <w:gridCol w:w="3687"/>
        <w:gridCol w:w="708"/>
        <w:gridCol w:w="2835"/>
      </w:tblGrid>
      <w:tr w:rsidR="00C57E60" w14:paraId="13653C71" w14:textId="77777777" w:rsidTr="00DC359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EA2F2A9" w14:textId="77777777" w:rsidR="00DC359B" w:rsidRPr="00DC359B" w:rsidRDefault="00DC359B" w:rsidP="00DC359B">
            <w:pPr>
              <w:spacing w:before="40" w:after="40" w:line="360" w:lineRule="auto"/>
              <w:jc w:val="center"/>
              <w:rPr>
                <w:rFonts w:ascii="宋体" w:eastAsia="宋体" w:hAnsi="宋体" w:cs="宋体"/>
                <w:sz w:val="18"/>
                <w:szCs w:val="18"/>
              </w:rPr>
            </w:pPr>
            <w:r w:rsidRPr="00DC359B">
              <w:rPr>
                <w:rFonts w:ascii="宋体" w:eastAsia="宋体" w:hAnsi="宋体" w:cs="宋体"/>
                <w:sz w:val="18"/>
                <w:szCs w:val="18"/>
              </w:rPr>
              <w:t>实际控制人姓名</w:t>
            </w:r>
          </w:p>
        </w:tc>
        <w:tc>
          <w:tcPr>
            <w:tcW w:w="3687" w:type="dxa"/>
            <w:tcBorders>
              <w:top w:val="single" w:sz="2" w:space="0" w:color="auto"/>
              <w:left w:val="single" w:sz="2" w:space="0" w:color="auto"/>
              <w:bottom w:val="single" w:sz="2" w:space="0" w:color="auto"/>
              <w:right w:val="single" w:sz="2" w:space="0" w:color="auto"/>
            </w:tcBorders>
            <w:shd w:val="clear" w:color="auto" w:fill="D3D3D3"/>
            <w:vAlign w:val="center"/>
          </w:tcPr>
          <w:p w14:paraId="3C4413D1" w14:textId="77777777" w:rsidR="00DC359B" w:rsidRPr="00DC359B" w:rsidRDefault="00DC359B" w:rsidP="00DC359B">
            <w:pPr>
              <w:spacing w:before="40" w:after="40" w:line="360" w:lineRule="auto"/>
              <w:jc w:val="center"/>
              <w:rPr>
                <w:rFonts w:ascii="宋体" w:eastAsia="宋体" w:hAnsi="宋体" w:cs="宋体"/>
                <w:sz w:val="18"/>
                <w:szCs w:val="18"/>
              </w:rPr>
            </w:pPr>
            <w:r w:rsidRPr="00DC359B">
              <w:rPr>
                <w:rFonts w:ascii="宋体" w:eastAsia="宋体" w:hAnsi="宋体" w:cs="宋体"/>
                <w:sz w:val="18"/>
                <w:szCs w:val="18"/>
              </w:rPr>
              <w:t>与实际控制人关系</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1AB90462" w14:textId="77777777" w:rsidR="00DC359B" w:rsidRPr="00DC359B" w:rsidRDefault="00DC359B" w:rsidP="00DC359B">
            <w:pPr>
              <w:spacing w:before="40" w:after="40" w:line="360" w:lineRule="auto"/>
              <w:jc w:val="center"/>
              <w:rPr>
                <w:rFonts w:ascii="宋体" w:eastAsia="宋体" w:hAnsi="宋体" w:cs="宋体"/>
                <w:sz w:val="18"/>
                <w:szCs w:val="18"/>
              </w:rPr>
            </w:pPr>
            <w:r w:rsidRPr="00DC359B">
              <w:rPr>
                <w:rFonts w:ascii="宋体" w:eastAsia="宋体" w:hAnsi="宋体" w:cs="宋体"/>
                <w:sz w:val="18"/>
                <w:szCs w:val="18"/>
              </w:rPr>
              <w:t>国籍</w:t>
            </w:r>
          </w:p>
        </w:tc>
        <w:tc>
          <w:tcPr>
            <w:tcW w:w="2835" w:type="dxa"/>
            <w:tcBorders>
              <w:top w:val="single" w:sz="2" w:space="0" w:color="auto"/>
              <w:left w:val="single" w:sz="2" w:space="0" w:color="auto"/>
              <w:bottom w:val="single" w:sz="2" w:space="0" w:color="auto"/>
              <w:right w:val="single" w:sz="2" w:space="0" w:color="auto"/>
            </w:tcBorders>
            <w:shd w:val="clear" w:color="auto" w:fill="D3D3D3"/>
            <w:vAlign w:val="center"/>
          </w:tcPr>
          <w:p w14:paraId="46E9D3B5" w14:textId="77777777" w:rsidR="00DC359B" w:rsidRPr="00DC359B" w:rsidRDefault="00DC359B" w:rsidP="00DC359B">
            <w:pPr>
              <w:spacing w:before="40" w:after="40" w:line="360" w:lineRule="auto"/>
              <w:jc w:val="center"/>
              <w:rPr>
                <w:rFonts w:ascii="宋体" w:eastAsia="宋体" w:hAnsi="宋体" w:cs="宋体"/>
                <w:sz w:val="18"/>
                <w:szCs w:val="18"/>
              </w:rPr>
            </w:pPr>
            <w:r w:rsidRPr="00DC359B">
              <w:rPr>
                <w:rFonts w:ascii="宋体" w:eastAsia="宋体" w:hAnsi="宋体" w:cs="宋体"/>
                <w:sz w:val="18"/>
                <w:szCs w:val="18"/>
              </w:rPr>
              <w:t>是否取得其他国家或地区居留权</w:t>
            </w:r>
          </w:p>
        </w:tc>
      </w:tr>
      <w:tr w:rsidR="00C57E60" w14:paraId="18E0E9E3" w14:textId="77777777" w:rsidTr="00DC359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20C39280" w14:textId="77777777" w:rsidR="00DC359B" w:rsidRPr="00DC359B" w:rsidRDefault="00DC359B" w:rsidP="00DC359B">
            <w:pPr>
              <w:spacing w:line="360" w:lineRule="auto"/>
              <w:rPr>
                <w:rFonts w:ascii="宋体" w:eastAsia="宋体" w:hAnsi="宋体" w:cs="宋体"/>
                <w:sz w:val="18"/>
                <w:szCs w:val="18"/>
              </w:rPr>
            </w:pPr>
            <w:r w:rsidRPr="00DC359B">
              <w:rPr>
                <w:rFonts w:ascii="宋体" w:eastAsia="宋体" w:hAnsi="宋体" w:cs="宋体"/>
                <w:sz w:val="18"/>
                <w:szCs w:val="18"/>
              </w:rPr>
              <w:t>李少波</w:t>
            </w:r>
          </w:p>
        </w:tc>
        <w:tc>
          <w:tcPr>
            <w:tcW w:w="3687" w:type="dxa"/>
            <w:tcBorders>
              <w:top w:val="single" w:sz="2" w:space="0" w:color="auto"/>
              <w:left w:val="single" w:sz="2" w:space="0" w:color="auto"/>
              <w:bottom w:val="single" w:sz="2" w:space="0" w:color="auto"/>
              <w:right w:val="single" w:sz="2" w:space="0" w:color="auto"/>
            </w:tcBorders>
            <w:vAlign w:val="center"/>
          </w:tcPr>
          <w:p w14:paraId="09D7F5DF" w14:textId="77777777" w:rsidR="00DC359B" w:rsidRPr="00DC359B" w:rsidRDefault="00DC359B" w:rsidP="00DC359B">
            <w:pPr>
              <w:spacing w:line="360" w:lineRule="auto"/>
              <w:rPr>
                <w:rFonts w:ascii="宋体" w:eastAsia="宋体" w:hAnsi="宋体" w:cs="宋体"/>
                <w:sz w:val="18"/>
                <w:szCs w:val="18"/>
              </w:rPr>
            </w:pPr>
            <w:r w:rsidRPr="00DC359B">
              <w:rPr>
                <w:rFonts w:ascii="宋体" w:eastAsia="宋体" w:hAnsi="宋体" w:cs="宋体"/>
                <w:sz w:val="18"/>
                <w:szCs w:val="18"/>
              </w:rPr>
              <w:t>本人</w:t>
            </w:r>
          </w:p>
        </w:tc>
        <w:tc>
          <w:tcPr>
            <w:tcW w:w="708" w:type="dxa"/>
            <w:tcBorders>
              <w:top w:val="single" w:sz="2" w:space="0" w:color="auto"/>
              <w:left w:val="single" w:sz="2" w:space="0" w:color="auto"/>
              <w:bottom w:val="single" w:sz="2" w:space="0" w:color="auto"/>
              <w:right w:val="single" w:sz="2" w:space="0" w:color="auto"/>
            </w:tcBorders>
            <w:vAlign w:val="center"/>
          </w:tcPr>
          <w:p w14:paraId="3D00166C" w14:textId="77777777" w:rsidR="00DC359B" w:rsidRPr="00DC359B" w:rsidRDefault="00DC359B" w:rsidP="00DC359B">
            <w:pPr>
              <w:spacing w:line="360" w:lineRule="auto"/>
              <w:jc w:val="center"/>
              <w:rPr>
                <w:rFonts w:ascii="宋体" w:eastAsia="宋体" w:hAnsi="宋体" w:cs="宋体"/>
                <w:sz w:val="18"/>
                <w:szCs w:val="18"/>
              </w:rPr>
            </w:pPr>
            <w:r w:rsidRPr="00DC359B">
              <w:rPr>
                <w:rFonts w:ascii="宋体" w:eastAsia="宋体" w:hAnsi="宋体" w:cs="宋体"/>
                <w:sz w:val="18"/>
                <w:szCs w:val="18"/>
              </w:rPr>
              <w:t>中国</w:t>
            </w:r>
          </w:p>
        </w:tc>
        <w:tc>
          <w:tcPr>
            <w:tcW w:w="2835" w:type="dxa"/>
            <w:tcBorders>
              <w:top w:val="single" w:sz="2" w:space="0" w:color="auto"/>
              <w:left w:val="single" w:sz="2" w:space="0" w:color="auto"/>
              <w:bottom w:val="single" w:sz="2" w:space="0" w:color="auto"/>
              <w:right w:val="single" w:sz="2" w:space="0" w:color="auto"/>
            </w:tcBorders>
            <w:vAlign w:val="center"/>
          </w:tcPr>
          <w:p w14:paraId="4768FFBB" w14:textId="77777777" w:rsidR="00DC359B" w:rsidRPr="00DC359B" w:rsidRDefault="00DC359B" w:rsidP="00DC359B">
            <w:pPr>
              <w:spacing w:line="360" w:lineRule="auto"/>
              <w:jc w:val="center"/>
              <w:rPr>
                <w:rFonts w:ascii="宋体" w:eastAsia="宋体" w:hAnsi="宋体" w:cs="宋体"/>
                <w:sz w:val="18"/>
                <w:szCs w:val="18"/>
              </w:rPr>
            </w:pPr>
            <w:r w:rsidRPr="00DC359B">
              <w:rPr>
                <w:rFonts w:ascii="宋体" w:eastAsia="宋体" w:hAnsi="宋体" w:cs="宋体"/>
                <w:sz w:val="18"/>
                <w:szCs w:val="18"/>
              </w:rPr>
              <w:t>否</w:t>
            </w:r>
          </w:p>
        </w:tc>
      </w:tr>
      <w:tr w:rsidR="00C57E60" w14:paraId="5806032B" w14:textId="77777777" w:rsidTr="00DC359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0BC9881" w14:textId="77777777" w:rsidR="00DC359B" w:rsidRPr="00DC359B" w:rsidRDefault="00DC359B" w:rsidP="00DC359B">
            <w:pPr>
              <w:spacing w:line="360" w:lineRule="auto"/>
              <w:rPr>
                <w:rFonts w:ascii="宋体" w:eastAsia="宋体" w:hAnsi="宋体" w:cs="宋体"/>
                <w:sz w:val="18"/>
                <w:szCs w:val="18"/>
              </w:rPr>
            </w:pPr>
            <w:r w:rsidRPr="00DC359B">
              <w:rPr>
                <w:rFonts w:ascii="宋体" w:eastAsia="宋体" w:hAnsi="宋体" w:cs="宋体"/>
                <w:sz w:val="18"/>
                <w:szCs w:val="18"/>
              </w:rPr>
              <w:t>李心一</w:t>
            </w:r>
          </w:p>
        </w:tc>
        <w:tc>
          <w:tcPr>
            <w:tcW w:w="3687" w:type="dxa"/>
            <w:tcBorders>
              <w:top w:val="single" w:sz="2" w:space="0" w:color="auto"/>
              <w:left w:val="single" w:sz="2" w:space="0" w:color="auto"/>
              <w:bottom w:val="single" w:sz="2" w:space="0" w:color="auto"/>
              <w:right w:val="single" w:sz="2" w:space="0" w:color="auto"/>
            </w:tcBorders>
            <w:vAlign w:val="center"/>
          </w:tcPr>
          <w:p w14:paraId="3E33831A" w14:textId="77777777" w:rsidR="00DC359B" w:rsidRPr="00DC359B" w:rsidRDefault="00DC359B" w:rsidP="00DC359B">
            <w:pPr>
              <w:spacing w:line="360" w:lineRule="auto"/>
              <w:rPr>
                <w:rFonts w:ascii="宋体" w:eastAsia="宋体" w:hAnsi="宋体" w:cs="宋体"/>
                <w:sz w:val="18"/>
                <w:szCs w:val="18"/>
              </w:rPr>
            </w:pPr>
            <w:r w:rsidRPr="00DC359B">
              <w:rPr>
                <w:rFonts w:ascii="宋体" w:eastAsia="宋体" w:hAnsi="宋体" w:cs="宋体"/>
                <w:sz w:val="18"/>
                <w:szCs w:val="18"/>
              </w:rPr>
              <w:t>一致行动（含协议、亲属、同一控制）</w:t>
            </w:r>
          </w:p>
        </w:tc>
        <w:tc>
          <w:tcPr>
            <w:tcW w:w="708" w:type="dxa"/>
            <w:tcBorders>
              <w:top w:val="single" w:sz="2" w:space="0" w:color="auto"/>
              <w:left w:val="single" w:sz="2" w:space="0" w:color="auto"/>
              <w:bottom w:val="single" w:sz="2" w:space="0" w:color="auto"/>
              <w:right w:val="single" w:sz="2" w:space="0" w:color="auto"/>
            </w:tcBorders>
            <w:vAlign w:val="center"/>
          </w:tcPr>
          <w:p w14:paraId="5939480C" w14:textId="77777777" w:rsidR="00DC359B" w:rsidRPr="00DC359B" w:rsidRDefault="00DC359B" w:rsidP="00DC359B">
            <w:pPr>
              <w:spacing w:line="360" w:lineRule="auto"/>
              <w:jc w:val="center"/>
              <w:rPr>
                <w:rFonts w:ascii="宋体" w:eastAsia="宋体" w:hAnsi="宋体" w:cs="宋体"/>
                <w:sz w:val="18"/>
                <w:szCs w:val="18"/>
              </w:rPr>
            </w:pPr>
            <w:r w:rsidRPr="00DC359B">
              <w:rPr>
                <w:rFonts w:ascii="宋体" w:eastAsia="宋体" w:hAnsi="宋体" w:cs="宋体"/>
                <w:sz w:val="18"/>
                <w:szCs w:val="18"/>
              </w:rPr>
              <w:t>中国</w:t>
            </w:r>
          </w:p>
        </w:tc>
        <w:tc>
          <w:tcPr>
            <w:tcW w:w="2835" w:type="dxa"/>
            <w:tcBorders>
              <w:top w:val="single" w:sz="2" w:space="0" w:color="auto"/>
              <w:left w:val="single" w:sz="2" w:space="0" w:color="auto"/>
              <w:bottom w:val="single" w:sz="2" w:space="0" w:color="auto"/>
              <w:right w:val="single" w:sz="2" w:space="0" w:color="auto"/>
            </w:tcBorders>
            <w:vAlign w:val="center"/>
          </w:tcPr>
          <w:p w14:paraId="058DD8C4" w14:textId="77777777" w:rsidR="00DC359B" w:rsidRPr="00DC359B" w:rsidRDefault="00DC359B" w:rsidP="00DC359B">
            <w:pPr>
              <w:spacing w:line="360" w:lineRule="auto"/>
              <w:jc w:val="center"/>
              <w:rPr>
                <w:rFonts w:ascii="宋体" w:eastAsia="宋体" w:hAnsi="宋体" w:cs="宋体"/>
                <w:sz w:val="18"/>
                <w:szCs w:val="18"/>
              </w:rPr>
            </w:pPr>
            <w:r w:rsidRPr="00DC359B">
              <w:rPr>
                <w:rFonts w:ascii="宋体" w:eastAsia="宋体" w:hAnsi="宋体" w:cs="宋体"/>
                <w:sz w:val="18"/>
                <w:szCs w:val="18"/>
              </w:rPr>
              <w:t>否</w:t>
            </w:r>
          </w:p>
        </w:tc>
      </w:tr>
      <w:tr w:rsidR="00C57E60" w14:paraId="183D9A06" w14:textId="77777777" w:rsidTr="00DC359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73C6C7F" w14:textId="77777777" w:rsidR="00DC359B" w:rsidRPr="00DC359B" w:rsidRDefault="00DC359B" w:rsidP="00DC359B">
            <w:pPr>
              <w:spacing w:before="40" w:after="40" w:line="360" w:lineRule="auto"/>
              <w:rPr>
                <w:rFonts w:ascii="宋体" w:eastAsia="宋体" w:hAnsi="宋体" w:cs="宋体"/>
                <w:sz w:val="18"/>
                <w:szCs w:val="18"/>
              </w:rPr>
            </w:pPr>
            <w:r w:rsidRPr="00DC359B">
              <w:rPr>
                <w:rFonts w:ascii="宋体" w:eastAsia="宋体" w:hAnsi="宋体" w:cs="宋体"/>
                <w:sz w:val="18"/>
                <w:szCs w:val="18"/>
              </w:rPr>
              <w:t>主要职业及职务</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641B472F" w14:textId="77777777" w:rsidR="00DC359B" w:rsidRPr="00DC359B" w:rsidRDefault="00DC359B" w:rsidP="00DC359B">
            <w:pPr>
              <w:spacing w:line="360" w:lineRule="auto"/>
              <w:rPr>
                <w:rFonts w:ascii="宋体" w:eastAsia="宋体" w:hAnsi="宋体" w:cs="宋体"/>
                <w:sz w:val="18"/>
                <w:szCs w:val="18"/>
              </w:rPr>
            </w:pPr>
            <w:r w:rsidRPr="00DC359B">
              <w:rPr>
                <w:rFonts w:ascii="宋体" w:eastAsia="宋体" w:hAnsi="宋体" w:cs="宋体"/>
                <w:sz w:val="18"/>
                <w:szCs w:val="18"/>
              </w:rPr>
              <w:t>李少波先生担任公司董事长、李心一女士担任公司副董事长兼总经理。</w:t>
            </w:r>
          </w:p>
        </w:tc>
      </w:tr>
      <w:tr w:rsidR="00C57E60" w14:paraId="60185875" w14:textId="77777777" w:rsidTr="00DC359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F1107E7" w14:textId="77777777" w:rsidR="00DC359B" w:rsidRPr="00DC359B" w:rsidRDefault="00DC359B" w:rsidP="00DC359B">
            <w:pPr>
              <w:spacing w:before="40" w:after="40" w:line="360" w:lineRule="auto"/>
              <w:rPr>
                <w:rFonts w:ascii="宋体" w:eastAsia="宋体" w:hAnsi="宋体" w:cs="宋体"/>
                <w:sz w:val="18"/>
                <w:szCs w:val="18"/>
              </w:rPr>
            </w:pPr>
            <w:r w:rsidRPr="00DC359B">
              <w:rPr>
                <w:rFonts w:ascii="宋体" w:eastAsia="宋体" w:hAnsi="宋体" w:cs="宋体"/>
                <w:sz w:val="18"/>
                <w:szCs w:val="18"/>
              </w:rPr>
              <w:t>过去</w:t>
            </w:r>
            <w:r w:rsidRPr="00DC359B">
              <w:rPr>
                <w:rFonts w:ascii="Times New Roman" w:eastAsia="宋体" w:hAnsi="Times New Roman" w:cs="Times New Roman"/>
                <w:sz w:val="18"/>
                <w:szCs w:val="18"/>
              </w:rPr>
              <w:t>10</w:t>
            </w:r>
            <w:r w:rsidRPr="00DC359B">
              <w:rPr>
                <w:rFonts w:ascii="宋体" w:eastAsia="宋体" w:hAnsi="宋体" w:cs="宋体"/>
                <w:sz w:val="18"/>
                <w:szCs w:val="18"/>
              </w:rPr>
              <w:t>年曾控股的境内外上市公司情况</w:t>
            </w:r>
          </w:p>
        </w:tc>
        <w:tc>
          <w:tcPr>
            <w:tcW w:w="7230" w:type="dxa"/>
            <w:gridSpan w:val="3"/>
            <w:tcBorders>
              <w:top w:val="single" w:sz="2" w:space="0" w:color="auto"/>
              <w:left w:val="single" w:sz="2" w:space="0" w:color="auto"/>
              <w:bottom w:val="single" w:sz="2" w:space="0" w:color="auto"/>
              <w:right w:val="single" w:sz="2" w:space="0" w:color="auto"/>
            </w:tcBorders>
            <w:vAlign w:val="center"/>
          </w:tcPr>
          <w:p w14:paraId="6B68DAE5" w14:textId="77777777" w:rsidR="00DC359B" w:rsidRPr="00DC359B" w:rsidRDefault="00DC359B" w:rsidP="00DC359B">
            <w:pPr>
              <w:spacing w:line="360" w:lineRule="auto"/>
              <w:rPr>
                <w:rFonts w:ascii="宋体" w:eastAsia="宋体" w:hAnsi="宋体" w:cs="宋体"/>
                <w:sz w:val="18"/>
                <w:szCs w:val="18"/>
              </w:rPr>
            </w:pPr>
            <w:r w:rsidRPr="00DC359B">
              <w:rPr>
                <w:rFonts w:ascii="宋体" w:eastAsia="宋体" w:hAnsi="宋体" w:cs="宋体"/>
                <w:sz w:val="18"/>
                <w:szCs w:val="18"/>
              </w:rPr>
              <w:t>无</w:t>
            </w:r>
          </w:p>
        </w:tc>
      </w:tr>
    </w:tbl>
    <w:p w14:paraId="60BAE382"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实际控制人报告期内变更</w:t>
      </w:r>
    </w:p>
    <w:p w14:paraId="7CB6ED4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10B8E08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公司报告期实际控制人未发生变更。</w:t>
      </w:r>
    </w:p>
    <w:p w14:paraId="1F8B90DD"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公司与实际控制人之间的产权及控制关系的方框图</w:t>
      </w:r>
    </w:p>
    <w:p w14:paraId="484129A1" w14:textId="77777777" w:rsidR="00DC359B" w:rsidRPr="00DC359B" w:rsidRDefault="00DC359B" w:rsidP="00DC359B">
      <w:pPr>
        <w:spacing w:before="40" w:after="40" w:line="0" w:lineRule="atLeast"/>
        <w:jc w:val="center"/>
        <w:rPr>
          <w:rFonts w:ascii="Times New Roman" w:eastAsia="宋体" w:hAnsi="Times New Roman" w:cs="Times New Roman"/>
        </w:rPr>
      </w:pPr>
      <w:r w:rsidRPr="00DC359B">
        <w:rPr>
          <w:rFonts w:ascii="等线" w:eastAsia="等线" w:hAnsi="等线" w:cs="Times New Roman"/>
          <w:noProof/>
        </w:rPr>
        <w:drawing>
          <wp:inline distT="0" distB="0" distL="0" distR="0" wp14:anchorId="3E6518CA" wp14:editId="4774D0DA">
            <wp:extent cx="3215708" cy="1971675"/>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5084" cy="2008081"/>
                    </a:xfrm>
                    <a:prstGeom prst="rect">
                      <a:avLst/>
                    </a:prstGeom>
                  </pic:spPr>
                </pic:pic>
              </a:graphicData>
            </a:graphic>
          </wp:inline>
        </w:drawing>
      </w:r>
    </w:p>
    <w:p w14:paraId="06E6D9F0"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实际控制人通过信托或其他资产管理方式控制公司</w:t>
      </w:r>
    </w:p>
    <w:p w14:paraId="6143747F"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73D921B2"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4</w:t>
      </w:r>
      <w:r w:rsidRPr="00DC359B">
        <w:rPr>
          <w:rFonts w:ascii="Times New Roman" w:eastAsia="宋体" w:hAnsi="Times New Roman" w:cs="Times New Roman"/>
          <w:b/>
          <w:bCs/>
          <w:szCs w:val="21"/>
        </w:rPr>
        <w:t>、公司控股股东或第一大股东及其一致行动人累计质押股份数量占其所持公司股份数量比例达到</w:t>
      </w:r>
      <w:r w:rsidRPr="00DC359B">
        <w:rPr>
          <w:rFonts w:ascii="Times New Roman" w:eastAsia="宋体" w:hAnsi="Times New Roman" w:cs="Times New Roman"/>
          <w:b/>
          <w:bCs/>
          <w:szCs w:val="21"/>
        </w:rPr>
        <w:t>80%</w:t>
      </w:r>
    </w:p>
    <w:p w14:paraId="6BEEA9A4"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DEEDBB5"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5</w:t>
      </w:r>
      <w:r w:rsidRPr="00DC359B">
        <w:rPr>
          <w:rFonts w:ascii="Times New Roman" w:eastAsia="宋体" w:hAnsi="Times New Roman" w:cs="Times New Roman"/>
          <w:b/>
          <w:bCs/>
          <w:szCs w:val="21"/>
        </w:rPr>
        <w:t>、其他持股在</w:t>
      </w:r>
      <w:r w:rsidRPr="00DC359B">
        <w:rPr>
          <w:rFonts w:ascii="Times New Roman" w:eastAsia="宋体" w:hAnsi="Times New Roman" w:cs="Times New Roman"/>
          <w:b/>
          <w:bCs/>
          <w:szCs w:val="21"/>
        </w:rPr>
        <w:t>10%</w:t>
      </w:r>
      <w:r w:rsidRPr="00DC359B">
        <w:rPr>
          <w:rFonts w:ascii="Times New Roman" w:eastAsia="宋体" w:hAnsi="Times New Roman" w:cs="Times New Roman"/>
          <w:b/>
          <w:bCs/>
          <w:szCs w:val="21"/>
        </w:rPr>
        <w:t>以上的法人股东</w:t>
      </w:r>
    </w:p>
    <w:p w14:paraId="0F6F9496"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46A3EC33" w14:textId="77777777" w:rsidR="00DC359B" w:rsidRPr="00DC359B" w:rsidRDefault="00DC359B" w:rsidP="00DC359B">
      <w:pPr>
        <w:keepNext/>
        <w:keepLines/>
        <w:spacing w:before="300" w:after="300" w:line="280" w:lineRule="exact"/>
        <w:outlineLvl w:val="2"/>
        <w:rPr>
          <w:rFonts w:ascii="Times New Roman" w:eastAsia="宋体" w:hAnsi="Times New Roman" w:cs="Times New Roman"/>
          <w:b/>
          <w:bCs/>
          <w:szCs w:val="21"/>
        </w:rPr>
      </w:pPr>
      <w:r w:rsidRPr="00DC359B">
        <w:rPr>
          <w:rFonts w:ascii="Times New Roman" w:eastAsia="宋体" w:hAnsi="Times New Roman" w:cs="Times New Roman"/>
          <w:b/>
          <w:bCs/>
          <w:szCs w:val="21"/>
        </w:rPr>
        <w:t>6</w:t>
      </w:r>
      <w:r w:rsidRPr="00DC359B">
        <w:rPr>
          <w:rFonts w:ascii="Times New Roman" w:eastAsia="宋体" w:hAnsi="Times New Roman" w:cs="Times New Roman"/>
          <w:b/>
          <w:bCs/>
          <w:szCs w:val="21"/>
        </w:rPr>
        <w:t>、控股股东、实际控制人、重组方及其他承诺主体股份限制减持情况</w:t>
      </w:r>
    </w:p>
    <w:p w14:paraId="19A932BA"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0B0BC704"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四、股份回购在报告期的具体实施情况</w:t>
      </w:r>
    </w:p>
    <w:p w14:paraId="5DDE95D4"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股份回购的实施进展情况</w:t>
      </w:r>
    </w:p>
    <w:p w14:paraId="3F26DAC1"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sym w:font="Wingdings 2" w:char="F052"/>
      </w:r>
      <w:r w:rsidRPr="00DC359B">
        <w:rPr>
          <w:rFonts w:ascii="宋体" w:eastAsia="宋体" w:hAnsi="宋体" w:cs="宋体"/>
          <w:sz w:val="18"/>
          <w:szCs w:val="18"/>
        </w:rPr>
        <w:t>适用 □不适用</w:t>
      </w:r>
    </w:p>
    <w:tbl>
      <w:tblPr>
        <w:tblW w:w="9639" w:type="dxa"/>
        <w:tblInd w:w="108" w:type="dxa"/>
        <w:tblLayout w:type="fixed"/>
        <w:tblCellMar>
          <w:left w:w="28" w:type="dxa"/>
          <w:right w:w="28" w:type="dxa"/>
        </w:tblCellMar>
        <w:tblLook w:val="0000" w:firstRow="0" w:lastRow="0" w:firstColumn="0" w:lastColumn="0" w:noHBand="0" w:noVBand="0"/>
      </w:tblPr>
      <w:tblGrid>
        <w:gridCol w:w="913"/>
        <w:gridCol w:w="1559"/>
        <w:gridCol w:w="1134"/>
        <w:gridCol w:w="1213"/>
        <w:gridCol w:w="913"/>
        <w:gridCol w:w="1559"/>
        <w:gridCol w:w="993"/>
        <w:gridCol w:w="1355"/>
      </w:tblGrid>
      <w:tr w:rsidR="00C57E60" w14:paraId="0C0F7048" w14:textId="77777777" w:rsidTr="00DC359B">
        <w:trPr>
          <w:trHeight w:val="240"/>
        </w:trPr>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50A2F7CD"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方案披露时间</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17095D93"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拟回购股份数量（股）</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5D578BAB"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占总股本的比例</w:t>
            </w:r>
          </w:p>
        </w:tc>
        <w:tc>
          <w:tcPr>
            <w:tcW w:w="1213" w:type="dxa"/>
            <w:tcBorders>
              <w:top w:val="single" w:sz="2" w:space="0" w:color="auto"/>
              <w:left w:val="single" w:sz="2" w:space="0" w:color="auto"/>
              <w:bottom w:val="single" w:sz="2" w:space="0" w:color="auto"/>
              <w:right w:val="single" w:sz="2" w:space="0" w:color="auto"/>
            </w:tcBorders>
            <w:shd w:val="clear" w:color="auto" w:fill="D3D3D3"/>
            <w:vAlign w:val="center"/>
          </w:tcPr>
          <w:p w14:paraId="029612F7"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拟回购金额（万元）</w:t>
            </w:r>
          </w:p>
        </w:tc>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52623A2A"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拟回购期间</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1D5E2C16"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回购用途</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40CE15C5"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已回购数量（股）</w:t>
            </w:r>
          </w:p>
        </w:tc>
        <w:tc>
          <w:tcPr>
            <w:tcW w:w="1355" w:type="dxa"/>
            <w:tcBorders>
              <w:top w:val="single" w:sz="2" w:space="0" w:color="auto"/>
              <w:left w:val="single" w:sz="2" w:space="0" w:color="auto"/>
              <w:bottom w:val="single" w:sz="2" w:space="0" w:color="auto"/>
              <w:right w:val="single" w:sz="2" w:space="0" w:color="auto"/>
            </w:tcBorders>
            <w:shd w:val="clear" w:color="auto" w:fill="D3D3D3"/>
            <w:vAlign w:val="center"/>
          </w:tcPr>
          <w:p w14:paraId="3D25EEDF" w14:textId="77777777" w:rsidR="00DC359B" w:rsidRPr="00DC359B" w:rsidRDefault="00DC359B" w:rsidP="00DC359B">
            <w:pPr>
              <w:spacing w:before="40" w:after="40"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已回购数量占股权激励计划所涉及的标的股票的比例（如有）</w:t>
            </w:r>
          </w:p>
        </w:tc>
      </w:tr>
      <w:tr w:rsidR="00C57E60" w14:paraId="5E29E497" w14:textId="77777777" w:rsidTr="00DC359B">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7032DC1D"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sz w:val="18"/>
                <w:szCs w:val="18"/>
              </w:rPr>
              <w:t>2025</w:t>
            </w:r>
            <w:r w:rsidRPr="00DC359B">
              <w:rPr>
                <w:rFonts w:ascii="Times New Roman" w:eastAsia="宋体" w:hAnsi="Times New Roman" w:cs="Times New Roman"/>
                <w:sz w:val="18"/>
                <w:szCs w:val="18"/>
              </w:rPr>
              <w:t>年</w:t>
            </w:r>
            <w:r w:rsidRPr="00DC359B">
              <w:rPr>
                <w:rFonts w:ascii="Times New Roman" w:eastAsia="宋体" w:hAnsi="Times New Roman" w:cs="Times New Roman"/>
                <w:sz w:val="18"/>
                <w:szCs w:val="18"/>
              </w:rPr>
              <w:t>02</w:t>
            </w:r>
            <w:r w:rsidRPr="00DC359B">
              <w:rPr>
                <w:rFonts w:ascii="Times New Roman" w:eastAsia="宋体" w:hAnsi="Times New Roman" w:cs="Times New Roman"/>
                <w:sz w:val="18"/>
                <w:szCs w:val="18"/>
              </w:rPr>
              <w:t>月</w:t>
            </w:r>
            <w:r w:rsidRPr="00DC359B">
              <w:rPr>
                <w:rFonts w:ascii="Times New Roman" w:eastAsia="宋体" w:hAnsi="Times New Roman" w:cs="Times New Roman"/>
                <w:sz w:val="18"/>
                <w:szCs w:val="18"/>
              </w:rPr>
              <w:t>20</w:t>
            </w:r>
            <w:r w:rsidRPr="00DC359B">
              <w:rPr>
                <w:rFonts w:ascii="Times New Roman" w:eastAsia="宋体" w:hAnsi="Times New Roman" w:cs="Times New Roman"/>
                <w:sz w:val="18"/>
                <w:szCs w:val="18"/>
              </w:rPr>
              <w:t>日</w:t>
            </w:r>
          </w:p>
        </w:tc>
        <w:tc>
          <w:tcPr>
            <w:tcW w:w="1559" w:type="dxa"/>
            <w:tcBorders>
              <w:top w:val="single" w:sz="2" w:space="0" w:color="auto"/>
              <w:left w:val="single" w:sz="2" w:space="0" w:color="auto"/>
              <w:bottom w:val="single" w:sz="2" w:space="0" w:color="auto"/>
              <w:right w:val="single" w:sz="2" w:space="0" w:color="auto"/>
            </w:tcBorders>
            <w:vAlign w:val="center"/>
          </w:tcPr>
          <w:p w14:paraId="6A332E42" w14:textId="0CD6FE6F" w:rsidR="00DC359B" w:rsidRPr="00DC359B" w:rsidRDefault="00DC359B" w:rsidP="00B51F6A">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4,411,765-8,823,529</w:t>
            </w:r>
          </w:p>
        </w:tc>
        <w:tc>
          <w:tcPr>
            <w:tcW w:w="1134" w:type="dxa"/>
            <w:tcBorders>
              <w:top w:val="single" w:sz="2" w:space="0" w:color="auto"/>
              <w:left w:val="single" w:sz="2" w:space="0" w:color="auto"/>
              <w:bottom w:val="single" w:sz="2" w:space="0" w:color="auto"/>
              <w:right w:val="single" w:sz="2" w:space="0" w:color="auto"/>
            </w:tcBorders>
            <w:vAlign w:val="center"/>
          </w:tcPr>
          <w:p w14:paraId="48827F34" w14:textId="77777777" w:rsidR="00DC359B" w:rsidRPr="00DC359B" w:rsidRDefault="00DC359B" w:rsidP="00B51F6A">
            <w:pPr>
              <w:spacing w:line="360" w:lineRule="auto"/>
              <w:jc w:val="center"/>
              <w:rPr>
                <w:rFonts w:ascii="Times New Roman" w:eastAsia="宋体" w:hAnsi="Times New Roman" w:cs="Times New Roman"/>
                <w:sz w:val="18"/>
                <w:szCs w:val="18"/>
              </w:rPr>
            </w:pPr>
            <w:r w:rsidRPr="00DC359B">
              <w:rPr>
                <w:rFonts w:ascii="Times New Roman" w:eastAsia="宋体" w:hAnsi="Times New Roman" w:cs="Times New Roman"/>
                <w:sz w:val="18"/>
                <w:szCs w:val="18"/>
              </w:rPr>
              <w:t>0.78%-1.56%</w:t>
            </w:r>
          </w:p>
        </w:tc>
        <w:tc>
          <w:tcPr>
            <w:tcW w:w="1213" w:type="dxa"/>
            <w:tcBorders>
              <w:top w:val="single" w:sz="2" w:space="0" w:color="auto"/>
              <w:left w:val="single" w:sz="2" w:space="0" w:color="auto"/>
              <w:bottom w:val="single" w:sz="2" w:space="0" w:color="auto"/>
              <w:right w:val="single" w:sz="2" w:space="0" w:color="auto"/>
            </w:tcBorders>
            <w:vAlign w:val="center"/>
          </w:tcPr>
          <w:p w14:paraId="5156D6F0" w14:textId="03B187B5" w:rsidR="00DC359B" w:rsidRPr="00DC359B" w:rsidRDefault="00B51F6A" w:rsidP="00B51F6A">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15,000-30,000</w:t>
            </w:r>
          </w:p>
        </w:tc>
        <w:tc>
          <w:tcPr>
            <w:tcW w:w="913" w:type="dxa"/>
            <w:tcBorders>
              <w:top w:val="single" w:sz="2" w:space="0" w:color="auto"/>
              <w:left w:val="single" w:sz="2" w:space="0" w:color="auto"/>
              <w:bottom w:val="single" w:sz="2" w:space="0" w:color="auto"/>
              <w:right w:val="single" w:sz="2" w:space="0" w:color="auto"/>
            </w:tcBorders>
            <w:vAlign w:val="center"/>
          </w:tcPr>
          <w:p w14:paraId="0B80A85B" w14:textId="77777777" w:rsidR="00DC359B" w:rsidRPr="00DC359B" w:rsidRDefault="00DC359B" w:rsidP="00DC359B">
            <w:pPr>
              <w:spacing w:line="360" w:lineRule="auto"/>
              <w:rPr>
                <w:rFonts w:ascii="Times New Roman" w:eastAsia="宋体" w:hAnsi="Times New Roman" w:cs="Times New Roman"/>
                <w:sz w:val="18"/>
                <w:szCs w:val="18"/>
              </w:rPr>
            </w:pPr>
            <w:r w:rsidRPr="00DC359B">
              <w:rPr>
                <w:rFonts w:ascii="Times New Roman" w:eastAsia="宋体" w:hAnsi="Times New Roman" w:cs="Times New Roman" w:hint="eastAsia"/>
                <w:sz w:val="18"/>
                <w:szCs w:val="18"/>
              </w:rPr>
              <w:t>2</w:t>
            </w:r>
            <w:r w:rsidRPr="00DC359B">
              <w:rPr>
                <w:rFonts w:ascii="Times New Roman" w:eastAsia="宋体" w:hAnsi="Times New Roman" w:cs="Times New Roman"/>
                <w:sz w:val="18"/>
                <w:szCs w:val="18"/>
              </w:rPr>
              <w:t>025</w:t>
            </w:r>
            <w:r w:rsidRPr="00DC359B">
              <w:rPr>
                <w:rFonts w:ascii="Times New Roman" w:eastAsia="宋体" w:hAnsi="Times New Roman" w:cs="Times New Roman" w:hint="eastAsia"/>
                <w:sz w:val="18"/>
                <w:szCs w:val="18"/>
              </w:rPr>
              <w:t>年</w:t>
            </w:r>
            <w:r w:rsidRPr="00DC359B">
              <w:rPr>
                <w:rFonts w:ascii="Times New Roman" w:eastAsia="宋体" w:hAnsi="Times New Roman" w:cs="Times New Roman" w:hint="eastAsia"/>
                <w:sz w:val="18"/>
                <w:szCs w:val="18"/>
              </w:rPr>
              <w:t>0</w:t>
            </w:r>
            <w:r w:rsidRPr="00DC359B">
              <w:rPr>
                <w:rFonts w:ascii="Times New Roman" w:eastAsia="宋体" w:hAnsi="Times New Roman" w:cs="Times New Roman"/>
                <w:sz w:val="18"/>
                <w:szCs w:val="18"/>
              </w:rPr>
              <w:t>2</w:t>
            </w:r>
            <w:r w:rsidRPr="00DC359B">
              <w:rPr>
                <w:rFonts w:ascii="Times New Roman" w:eastAsia="宋体" w:hAnsi="Times New Roman" w:cs="Times New Roman" w:hint="eastAsia"/>
                <w:sz w:val="18"/>
                <w:szCs w:val="18"/>
              </w:rPr>
              <w:t>月</w:t>
            </w:r>
            <w:r w:rsidRPr="00DC359B">
              <w:rPr>
                <w:rFonts w:ascii="Times New Roman" w:eastAsia="宋体" w:hAnsi="Times New Roman" w:cs="Times New Roman" w:hint="eastAsia"/>
                <w:sz w:val="18"/>
                <w:szCs w:val="18"/>
              </w:rPr>
              <w:t>2</w:t>
            </w:r>
            <w:r w:rsidRPr="00DC359B">
              <w:rPr>
                <w:rFonts w:ascii="Times New Roman" w:eastAsia="宋体" w:hAnsi="Times New Roman" w:cs="Times New Roman"/>
                <w:sz w:val="18"/>
                <w:szCs w:val="18"/>
              </w:rPr>
              <w:t>0</w:t>
            </w:r>
            <w:r w:rsidRPr="00DC359B">
              <w:rPr>
                <w:rFonts w:ascii="Times New Roman" w:eastAsia="宋体" w:hAnsi="Times New Roman" w:cs="Times New Roman" w:hint="eastAsia"/>
                <w:sz w:val="18"/>
                <w:szCs w:val="18"/>
              </w:rPr>
              <w:t>日至</w:t>
            </w:r>
            <w:r w:rsidRPr="00DC359B">
              <w:rPr>
                <w:rFonts w:ascii="Times New Roman" w:eastAsia="宋体" w:hAnsi="Times New Roman" w:cs="Times New Roman" w:hint="eastAsia"/>
                <w:sz w:val="18"/>
                <w:szCs w:val="18"/>
              </w:rPr>
              <w:t>2</w:t>
            </w:r>
            <w:r w:rsidRPr="00DC359B">
              <w:rPr>
                <w:rFonts w:ascii="Times New Roman" w:eastAsia="宋体" w:hAnsi="Times New Roman" w:cs="Times New Roman"/>
                <w:sz w:val="18"/>
                <w:szCs w:val="18"/>
              </w:rPr>
              <w:t>026</w:t>
            </w:r>
            <w:r w:rsidRPr="00DC359B">
              <w:rPr>
                <w:rFonts w:ascii="Times New Roman" w:eastAsia="宋体" w:hAnsi="Times New Roman" w:cs="Times New Roman" w:hint="eastAsia"/>
                <w:sz w:val="18"/>
                <w:szCs w:val="18"/>
              </w:rPr>
              <w:t>年</w:t>
            </w:r>
            <w:r w:rsidRPr="00DC359B">
              <w:rPr>
                <w:rFonts w:ascii="Times New Roman" w:eastAsia="宋体" w:hAnsi="Times New Roman" w:cs="Times New Roman" w:hint="eastAsia"/>
                <w:sz w:val="18"/>
                <w:szCs w:val="18"/>
              </w:rPr>
              <w:t>0</w:t>
            </w:r>
            <w:r w:rsidRPr="00DC359B">
              <w:rPr>
                <w:rFonts w:ascii="Times New Roman" w:eastAsia="宋体" w:hAnsi="Times New Roman" w:cs="Times New Roman"/>
                <w:sz w:val="18"/>
                <w:szCs w:val="18"/>
              </w:rPr>
              <w:t>2</w:t>
            </w:r>
            <w:r w:rsidRPr="00DC359B">
              <w:rPr>
                <w:rFonts w:ascii="Times New Roman" w:eastAsia="宋体" w:hAnsi="Times New Roman" w:cs="Times New Roman" w:hint="eastAsia"/>
                <w:sz w:val="18"/>
                <w:szCs w:val="18"/>
              </w:rPr>
              <w:t>月</w:t>
            </w:r>
            <w:r w:rsidRPr="00DC359B">
              <w:rPr>
                <w:rFonts w:ascii="Times New Roman" w:eastAsia="宋体" w:hAnsi="Times New Roman" w:cs="Times New Roman" w:hint="eastAsia"/>
                <w:sz w:val="18"/>
                <w:szCs w:val="18"/>
              </w:rPr>
              <w:t>1</w:t>
            </w:r>
            <w:r w:rsidRPr="00DC359B">
              <w:rPr>
                <w:rFonts w:ascii="Times New Roman" w:eastAsia="宋体" w:hAnsi="Times New Roman" w:cs="Times New Roman"/>
                <w:sz w:val="18"/>
                <w:szCs w:val="18"/>
              </w:rPr>
              <w:t>9</w:t>
            </w:r>
            <w:r w:rsidRPr="00DC359B">
              <w:rPr>
                <w:rFonts w:ascii="Times New Roman" w:eastAsia="宋体" w:hAnsi="Times New Roman" w:cs="Times New Roman" w:hint="eastAsia"/>
                <w:sz w:val="18"/>
                <w:szCs w:val="18"/>
              </w:rPr>
              <w:t>日</w:t>
            </w:r>
          </w:p>
        </w:tc>
        <w:tc>
          <w:tcPr>
            <w:tcW w:w="1559" w:type="dxa"/>
            <w:tcBorders>
              <w:top w:val="single" w:sz="2" w:space="0" w:color="auto"/>
              <w:left w:val="single" w:sz="2" w:space="0" w:color="auto"/>
              <w:bottom w:val="single" w:sz="2" w:space="0" w:color="auto"/>
              <w:right w:val="single" w:sz="2" w:space="0" w:color="auto"/>
            </w:tcBorders>
            <w:vAlign w:val="center"/>
          </w:tcPr>
          <w:p w14:paraId="61C76580" w14:textId="77777777" w:rsidR="00DC359B" w:rsidRPr="00DC359B" w:rsidRDefault="00DC359B" w:rsidP="00DC359B">
            <w:pPr>
              <w:spacing w:line="360" w:lineRule="auto"/>
              <w:jc w:val="both"/>
              <w:rPr>
                <w:rFonts w:ascii="Times New Roman" w:eastAsia="宋体" w:hAnsi="Times New Roman" w:cs="Times New Roman"/>
                <w:sz w:val="18"/>
                <w:szCs w:val="18"/>
              </w:rPr>
            </w:pPr>
            <w:r w:rsidRPr="00DC359B">
              <w:rPr>
                <w:rFonts w:ascii="Times New Roman" w:eastAsia="宋体" w:hAnsi="Times New Roman" w:cs="Times New Roman"/>
                <w:sz w:val="18"/>
                <w:szCs w:val="18"/>
              </w:rPr>
              <w:t>用于员工持股计划、股权激励或者用于转换上市公司发行的可转换为股票的公司债券。</w:t>
            </w:r>
          </w:p>
        </w:tc>
        <w:tc>
          <w:tcPr>
            <w:tcW w:w="993" w:type="dxa"/>
            <w:tcBorders>
              <w:top w:val="single" w:sz="2" w:space="0" w:color="auto"/>
              <w:left w:val="single" w:sz="2" w:space="0" w:color="auto"/>
              <w:bottom w:val="single" w:sz="2" w:space="0" w:color="auto"/>
              <w:right w:val="single" w:sz="2" w:space="0" w:color="auto"/>
            </w:tcBorders>
            <w:vAlign w:val="center"/>
          </w:tcPr>
          <w:p w14:paraId="398DD36A"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10,314,561</w:t>
            </w:r>
          </w:p>
        </w:tc>
        <w:tc>
          <w:tcPr>
            <w:tcW w:w="1355" w:type="dxa"/>
            <w:tcBorders>
              <w:top w:val="single" w:sz="2" w:space="0" w:color="auto"/>
              <w:left w:val="single" w:sz="2" w:space="0" w:color="auto"/>
              <w:bottom w:val="single" w:sz="2" w:space="0" w:color="auto"/>
              <w:right w:val="single" w:sz="2" w:space="0" w:color="auto"/>
            </w:tcBorders>
            <w:vAlign w:val="center"/>
          </w:tcPr>
          <w:p w14:paraId="10F46346" w14:textId="77777777" w:rsidR="00DC359B" w:rsidRPr="00DC359B" w:rsidRDefault="00DC359B" w:rsidP="00DC359B">
            <w:pPr>
              <w:spacing w:line="360" w:lineRule="auto"/>
              <w:jc w:val="right"/>
              <w:rPr>
                <w:rFonts w:ascii="Times New Roman" w:eastAsia="宋体" w:hAnsi="Times New Roman" w:cs="Times New Roman"/>
                <w:sz w:val="18"/>
                <w:szCs w:val="18"/>
              </w:rPr>
            </w:pPr>
            <w:r w:rsidRPr="00DC359B">
              <w:rPr>
                <w:rFonts w:ascii="Times New Roman" w:eastAsia="宋体" w:hAnsi="Times New Roman" w:cs="Times New Roman"/>
                <w:sz w:val="18"/>
                <w:szCs w:val="18"/>
              </w:rPr>
              <w:t>0.00%</w:t>
            </w:r>
          </w:p>
        </w:tc>
      </w:tr>
    </w:tbl>
    <w:p w14:paraId="012FD8D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采用集中竞价交易方式减持回购股份的实施进展情况</w:t>
      </w:r>
    </w:p>
    <w:p w14:paraId="239F6423"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34D161FE" w14:textId="77777777" w:rsidR="00DC359B" w:rsidRPr="00DC359B" w:rsidRDefault="00DC359B" w:rsidP="00DC359B">
      <w:pPr>
        <w:keepNext/>
        <w:keepLines/>
        <w:spacing w:before="300" w:after="300" w:line="320" w:lineRule="exact"/>
        <w:outlineLvl w:val="1"/>
        <w:rPr>
          <w:rFonts w:ascii="宋体" w:eastAsia="宋体" w:hAnsi="宋体" w:cs="宋体"/>
          <w:b/>
          <w:bCs/>
          <w:sz w:val="24"/>
          <w:szCs w:val="24"/>
        </w:rPr>
      </w:pPr>
      <w:r w:rsidRPr="00DC359B">
        <w:rPr>
          <w:rFonts w:ascii="宋体" w:eastAsia="宋体" w:hAnsi="宋体" w:cs="宋体"/>
          <w:b/>
          <w:bCs/>
          <w:sz w:val="24"/>
          <w:szCs w:val="24"/>
        </w:rPr>
        <w:t>五、优先股相关情况</w:t>
      </w:r>
    </w:p>
    <w:p w14:paraId="5FA912FE" w14:textId="77777777" w:rsidR="00DC359B" w:rsidRPr="00DC359B" w:rsidRDefault="00DC359B" w:rsidP="00DC359B">
      <w:pPr>
        <w:spacing w:before="40" w:after="40" w:line="240" w:lineRule="exact"/>
        <w:rPr>
          <w:rFonts w:ascii="宋体" w:eastAsia="宋体" w:hAnsi="宋体" w:cs="宋体"/>
          <w:sz w:val="18"/>
          <w:szCs w:val="18"/>
        </w:rPr>
      </w:pPr>
      <w:r w:rsidRPr="00DC359B">
        <w:rPr>
          <w:rFonts w:ascii="宋体" w:eastAsia="宋体" w:hAnsi="宋体" w:cs="宋体"/>
          <w:sz w:val="18"/>
          <w:szCs w:val="18"/>
        </w:rPr>
        <w:t xml:space="preserve">□适用 </w:t>
      </w:r>
      <w:r w:rsidRPr="00DC359B">
        <w:rPr>
          <w:rFonts w:ascii="宋体" w:eastAsia="宋体" w:hAnsi="宋体" w:cs="宋体"/>
          <w:sz w:val="18"/>
          <w:szCs w:val="18"/>
        </w:rPr>
        <w:sym w:font="Wingdings 2" w:char="F052"/>
      </w:r>
      <w:r w:rsidRPr="00DC359B">
        <w:rPr>
          <w:rFonts w:ascii="宋体" w:eastAsia="宋体" w:hAnsi="宋体" w:cs="宋体"/>
          <w:sz w:val="18"/>
          <w:szCs w:val="18"/>
        </w:rPr>
        <w:t>不适用</w:t>
      </w:r>
    </w:p>
    <w:p w14:paraId="744A87EE" w14:textId="77777777" w:rsidR="00DC359B" w:rsidRPr="00DC359B" w:rsidRDefault="00DC359B" w:rsidP="00DC359B">
      <w:pPr>
        <w:spacing w:before="100" w:after="100" w:line="240" w:lineRule="exact"/>
        <w:rPr>
          <w:rFonts w:ascii="宋体" w:eastAsia="宋体" w:hAnsi="宋体" w:cs="宋体"/>
          <w:sz w:val="18"/>
          <w:szCs w:val="18"/>
        </w:rPr>
      </w:pPr>
      <w:r w:rsidRPr="00DC359B">
        <w:rPr>
          <w:rFonts w:ascii="宋体" w:eastAsia="宋体" w:hAnsi="宋体" w:cs="宋体"/>
          <w:sz w:val="18"/>
          <w:szCs w:val="18"/>
        </w:rPr>
        <w:t>报告期公司不存在优先股。</w:t>
      </w:r>
    </w:p>
    <w:p w14:paraId="6A4D9BF6" w14:textId="77777777" w:rsidR="00DC359B" w:rsidRPr="00DC359B" w:rsidRDefault="00DC359B" w:rsidP="00DC359B">
      <w:pPr>
        <w:rPr>
          <w:rFonts w:ascii="等线" w:eastAsia="等线" w:hAnsi="等线" w:cs="Times New Roman"/>
        </w:rPr>
      </w:pPr>
      <w:r w:rsidRPr="00DC359B">
        <w:rPr>
          <w:rFonts w:ascii="等线" w:eastAsia="等线" w:hAnsi="等线" w:cs="Times New Roman"/>
        </w:rPr>
        <w:br w:type="page"/>
      </w:r>
    </w:p>
    <w:p w14:paraId="6DC82413" w14:textId="77777777" w:rsidR="00113A51" w:rsidRDefault="00766EC7">
      <w:pPr>
        <w:pStyle w:val="headingh1"/>
        <w:spacing w:before="340" w:after="330" w:line="773" w:lineRule="exact"/>
        <w:jc w:val="center"/>
        <w:rPr>
          <w:rFonts w:ascii="宋体" w:eastAsia="宋体" w:hAnsi="宋体" w:cs="宋体"/>
          <w:b/>
          <w:bCs/>
          <w:sz w:val="32"/>
          <w:szCs w:val="32"/>
        </w:rPr>
      </w:pPr>
      <w:bookmarkStart w:id="100" w:name="_Toc228122508"/>
      <w:r>
        <w:rPr>
          <w:rFonts w:ascii="宋体" w:eastAsia="宋体" w:hAnsi="宋体" w:cs="宋体"/>
          <w:b/>
          <w:bCs/>
          <w:sz w:val="32"/>
          <w:szCs w:val="32"/>
        </w:rPr>
        <w:t>第七节 债券相关情况</w:t>
      </w:r>
      <w:bookmarkEnd w:id="100"/>
    </w:p>
    <w:p w14:paraId="03BD8819"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91ACC06" w14:textId="77777777" w:rsidR="00DC359B" w:rsidRDefault="00DC359B" w:rsidP="00DC359B">
      <w:pPr>
        <w:pStyle w:val="2"/>
        <w:spacing w:before="300" w:after="300" w:line="320" w:lineRule="exact"/>
        <w:rPr>
          <w:rFonts w:ascii="宋体" w:eastAsia="宋体" w:hAnsi="宋体" w:cs="宋体"/>
          <w:b/>
          <w:bCs/>
          <w:sz w:val="24"/>
          <w:szCs w:val="24"/>
        </w:rPr>
      </w:pPr>
      <w:bookmarkStart w:id="101" w:name="_Toc989033"/>
      <w:r>
        <w:rPr>
          <w:rFonts w:ascii="宋体" w:eastAsia="宋体" w:hAnsi="宋体" w:cs="宋体"/>
          <w:b/>
          <w:bCs/>
          <w:sz w:val="24"/>
          <w:szCs w:val="24"/>
        </w:rPr>
        <w:t>一、企业债券</w:t>
      </w:r>
      <w:bookmarkEnd w:id="101"/>
    </w:p>
    <w:p w14:paraId="3411CAB6"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99A7B5D"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报告期公司不存在企业债券。</w:t>
      </w:r>
    </w:p>
    <w:p w14:paraId="267B710F" w14:textId="77777777" w:rsidR="00DC359B" w:rsidRDefault="00DC359B" w:rsidP="00DC359B">
      <w:pPr>
        <w:pStyle w:val="2"/>
        <w:spacing w:before="300" w:after="300" w:line="320" w:lineRule="exact"/>
        <w:rPr>
          <w:rFonts w:ascii="宋体" w:eastAsia="宋体" w:hAnsi="宋体" w:cs="宋体"/>
          <w:b/>
          <w:bCs/>
          <w:sz w:val="24"/>
          <w:szCs w:val="24"/>
        </w:rPr>
      </w:pPr>
      <w:bookmarkStart w:id="102" w:name="_Toc989034"/>
      <w:r>
        <w:rPr>
          <w:rFonts w:ascii="宋体" w:eastAsia="宋体" w:hAnsi="宋体" w:cs="宋体"/>
          <w:b/>
          <w:bCs/>
          <w:sz w:val="24"/>
          <w:szCs w:val="24"/>
        </w:rPr>
        <w:t>二、公司债券</w:t>
      </w:r>
      <w:bookmarkEnd w:id="102"/>
    </w:p>
    <w:p w14:paraId="68AD10DB"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26C9B8B"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报告期公司不存在公司债券。</w:t>
      </w:r>
    </w:p>
    <w:p w14:paraId="2B97F23F" w14:textId="77777777" w:rsidR="00DC359B" w:rsidRDefault="00DC359B" w:rsidP="00DC359B">
      <w:pPr>
        <w:pStyle w:val="2"/>
        <w:spacing w:before="300" w:after="300" w:line="320" w:lineRule="exact"/>
        <w:rPr>
          <w:rFonts w:ascii="宋体" w:eastAsia="宋体" w:hAnsi="宋体" w:cs="宋体"/>
          <w:b/>
          <w:bCs/>
          <w:sz w:val="24"/>
          <w:szCs w:val="24"/>
        </w:rPr>
      </w:pPr>
      <w:bookmarkStart w:id="103" w:name="_Toc989035"/>
      <w:r>
        <w:rPr>
          <w:rFonts w:ascii="宋体" w:eastAsia="宋体" w:hAnsi="宋体" w:cs="宋体"/>
          <w:b/>
          <w:bCs/>
          <w:sz w:val="24"/>
          <w:szCs w:val="24"/>
        </w:rPr>
        <w:t>三、非金融企业债务融资工具</w:t>
      </w:r>
      <w:bookmarkEnd w:id="103"/>
    </w:p>
    <w:p w14:paraId="7F35310D"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6A7BB94"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报告期公司不存在非金融企业债务融资工具。</w:t>
      </w:r>
    </w:p>
    <w:p w14:paraId="5BD40058" w14:textId="77777777" w:rsidR="00DC359B" w:rsidRDefault="00DC359B" w:rsidP="00DC359B">
      <w:pPr>
        <w:pStyle w:val="2"/>
        <w:spacing w:before="300" w:after="300" w:line="320" w:lineRule="exact"/>
        <w:rPr>
          <w:rFonts w:ascii="宋体" w:eastAsia="宋体" w:hAnsi="宋体" w:cs="宋体"/>
          <w:b/>
          <w:bCs/>
          <w:sz w:val="24"/>
          <w:szCs w:val="24"/>
        </w:rPr>
      </w:pPr>
      <w:bookmarkStart w:id="104" w:name="_Toc989036"/>
      <w:r>
        <w:rPr>
          <w:rFonts w:ascii="宋体" w:eastAsia="宋体" w:hAnsi="宋体" w:cs="宋体"/>
          <w:b/>
          <w:bCs/>
          <w:sz w:val="24"/>
          <w:szCs w:val="24"/>
        </w:rPr>
        <w:t>四、可转换公司债券</w:t>
      </w:r>
      <w:bookmarkEnd w:id="104"/>
    </w:p>
    <w:p w14:paraId="6F1E192A"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0B8615B" w14:textId="77777777" w:rsidR="00DC359B" w:rsidRDefault="00DC359B" w:rsidP="00DC359B">
      <w:pPr>
        <w:pStyle w:val="3"/>
        <w:spacing w:line="280" w:lineRule="exact"/>
        <w:jc w:val="left"/>
        <w:rPr>
          <w:rFonts w:ascii="宋体" w:hAnsi="宋体" w:cs="宋体"/>
          <w:b/>
          <w:bCs/>
        </w:rPr>
      </w:pPr>
      <w:bookmarkStart w:id="105" w:name="_Toc989037"/>
      <w:r>
        <w:rPr>
          <w:rFonts w:ascii="宋体" w:hAnsi="宋体" w:cs="宋体"/>
          <w:b/>
          <w:bCs/>
        </w:rPr>
        <w:t>1、可转债发行情况</w:t>
      </w:r>
      <w:bookmarkEnd w:id="105"/>
    </w:p>
    <w:p w14:paraId="6C7BDF0F" w14:textId="77777777" w:rsidR="00DC359B" w:rsidRDefault="00DC359B" w:rsidP="00DC359B">
      <w:pPr>
        <w:pStyle w:val="a9"/>
        <w:spacing w:before="0" w:beforeAutospacing="0" w:after="0" w:afterAutospacing="0" w:line="360" w:lineRule="auto"/>
        <w:ind w:firstLine="420"/>
        <w:jc w:val="both"/>
      </w:pPr>
      <w:r>
        <w:rPr>
          <w:rFonts w:hint="eastAsia"/>
          <w:sz w:val="21"/>
          <w:szCs w:val="21"/>
        </w:rPr>
        <w:t>经中国证券监督管理委员会《关于三诺生物股份有限公司公开发行可转换公司债券的批复》</w:t>
      </w:r>
      <w:r>
        <w:rPr>
          <w:rFonts w:ascii="Times New Roman" w:hAnsi="Times New Roman" w:cs="Times New Roman"/>
          <w:sz w:val="21"/>
          <w:szCs w:val="21"/>
        </w:rPr>
        <w:t>(</w:t>
      </w:r>
      <w:r>
        <w:rPr>
          <w:rFonts w:hint="eastAsia"/>
          <w:sz w:val="21"/>
          <w:szCs w:val="21"/>
        </w:rPr>
        <w:t>证监许可〔</w:t>
      </w:r>
      <w:r>
        <w:rPr>
          <w:rFonts w:ascii="Times New Roman" w:hAnsi="Times New Roman" w:cs="Times New Roman"/>
          <w:sz w:val="21"/>
          <w:szCs w:val="21"/>
        </w:rPr>
        <w:t>2020</w:t>
      </w:r>
      <w:r>
        <w:rPr>
          <w:rFonts w:hint="eastAsia"/>
          <w:sz w:val="21"/>
          <w:szCs w:val="21"/>
        </w:rPr>
        <w:t>〕</w:t>
      </w:r>
      <w:r>
        <w:rPr>
          <w:rFonts w:ascii="Times New Roman" w:hAnsi="Times New Roman" w:cs="Times New Roman"/>
          <w:sz w:val="21"/>
          <w:szCs w:val="21"/>
        </w:rPr>
        <w:t>2951</w:t>
      </w:r>
      <w:r>
        <w:rPr>
          <w:rFonts w:hint="eastAsia"/>
          <w:sz w:val="21"/>
          <w:szCs w:val="21"/>
        </w:rPr>
        <w:t>号</w:t>
      </w:r>
      <w:r>
        <w:rPr>
          <w:rFonts w:ascii="Times New Roman" w:hAnsi="Times New Roman" w:cs="Times New Roman"/>
          <w:sz w:val="21"/>
          <w:szCs w:val="21"/>
        </w:rPr>
        <w:t>)</w:t>
      </w:r>
      <w:r>
        <w:rPr>
          <w:rFonts w:hint="eastAsia"/>
          <w:sz w:val="21"/>
          <w:szCs w:val="21"/>
        </w:rPr>
        <w:t>核准，公司于</w:t>
      </w:r>
      <w:r>
        <w:rPr>
          <w:rFonts w:ascii="Times New Roman" w:hAnsi="Times New Roman" w:cs="Times New Roman"/>
          <w:sz w:val="21"/>
          <w:szCs w:val="21"/>
        </w:rPr>
        <w:t>2020</w:t>
      </w:r>
      <w:r>
        <w:rPr>
          <w:rFonts w:hint="eastAsia"/>
          <w:sz w:val="21"/>
          <w:szCs w:val="21"/>
        </w:rPr>
        <w:t>年</w:t>
      </w:r>
      <w:r>
        <w:rPr>
          <w:rFonts w:ascii="Times New Roman" w:hAnsi="Times New Roman" w:cs="Times New Roman"/>
          <w:sz w:val="21"/>
          <w:szCs w:val="21"/>
        </w:rPr>
        <w:t>12</w:t>
      </w:r>
      <w:r>
        <w:rPr>
          <w:rFonts w:hint="eastAsia"/>
          <w:sz w:val="21"/>
          <w:szCs w:val="21"/>
        </w:rPr>
        <w:t>月</w:t>
      </w:r>
      <w:r>
        <w:rPr>
          <w:rFonts w:ascii="Times New Roman" w:hAnsi="Times New Roman" w:cs="Times New Roman"/>
          <w:sz w:val="21"/>
          <w:szCs w:val="21"/>
        </w:rPr>
        <w:t>21</w:t>
      </w:r>
      <w:r>
        <w:rPr>
          <w:rFonts w:hint="eastAsia"/>
          <w:sz w:val="21"/>
          <w:szCs w:val="21"/>
        </w:rPr>
        <w:t>日向不特定对象共发行</w:t>
      </w:r>
      <w:r>
        <w:rPr>
          <w:rFonts w:ascii="Times New Roman" w:hAnsi="Times New Roman" w:cs="Times New Roman"/>
          <w:sz w:val="21"/>
          <w:szCs w:val="21"/>
        </w:rPr>
        <w:t>500.00</w:t>
      </w:r>
      <w:r>
        <w:rPr>
          <w:rFonts w:hint="eastAsia"/>
          <w:sz w:val="21"/>
          <w:szCs w:val="21"/>
        </w:rPr>
        <w:t>万张可转换公司债券，每张面值人民币</w:t>
      </w:r>
      <w:r>
        <w:rPr>
          <w:rFonts w:ascii="Times New Roman" w:hAnsi="Times New Roman" w:cs="Times New Roman"/>
          <w:sz w:val="21"/>
          <w:szCs w:val="21"/>
        </w:rPr>
        <w:t>100</w:t>
      </w:r>
      <w:r>
        <w:rPr>
          <w:rFonts w:hint="eastAsia"/>
          <w:sz w:val="21"/>
          <w:szCs w:val="21"/>
        </w:rPr>
        <w:t>元，发行总额</w:t>
      </w:r>
      <w:r>
        <w:rPr>
          <w:rFonts w:ascii="Times New Roman" w:hAnsi="Times New Roman" w:cs="Times New Roman"/>
          <w:sz w:val="21"/>
          <w:szCs w:val="21"/>
        </w:rPr>
        <w:t>50,000.00</w:t>
      </w:r>
      <w:r>
        <w:rPr>
          <w:rFonts w:hint="eastAsia"/>
          <w:sz w:val="21"/>
          <w:szCs w:val="21"/>
        </w:rPr>
        <w:t>万元，发行方式采用向原股东优先配售，原股东优先配售后余额部分（含原股东放弃优先配售部分）通过深圳证券交易所交易系统网上向社会公众投资者发行，对认购金额不足</w:t>
      </w:r>
      <w:r>
        <w:rPr>
          <w:rFonts w:ascii="Times New Roman" w:hAnsi="Times New Roman" w:cs="Times New Roman"/>
          <w:sz w:val="21"/>
          <w:szCs w:val="21"/>
        </w:rPr>
        <w:t>50,000.00</w:t>
      </w:r>
      <w:r>
        <w:rPr>
          <w:rFonts w:hint="eastAsia"/>
          <w:sz w:val="21"/>
          <w:szCs w:val="21"/>
        </w:rPr>
        <w:t>万元的部分由保荐机构（主承销商）包销。</w:t>
      </w:r>
    </w:p>
    <w:p w14:paraId="67293E27" w14:textId="77777777" w:rsidR="00DC359B" w:rsidRDefault="00DC359B" w:rsidP="00DC359B">
      <w:pPr>
        <w:pStyle w:val="a9"/>
        <w:spacing w:before="0" w:beforeAutospacing="0" w:after="0" w:afterAutospacing="0" w:line="360" w:lineRule="auto"/>
        <w:ind w:firstLine="420"/>
        <w:jc w:val="both"/>
      </w:pPr>
      <w:r>
        <w:rPr>
          <w:rFonts w:hint="eastAsia"/>
          <w:sz w:val="21"/>
          <w:szCs w:val="21"/>
        </w:rPr>
        <w:t>经深圳证券交易所同意，本次可转换公司债券已于</w:t>
      </w:r>
      <w:r>
        <w:rPr>
          <w:rFonts w:ascii="Times New Roman" w:hAnsi="Times New Roman" w:cs="Times New Roman"/>
          <w:sz w:val="21"/>
          <w:szCs w:val="21"/>
        </w:rPr>
        <w:t>2021</w:t>
      </w:r>
      <w:r>
        <w:rPr>
          <w:rFonts w:hint="eastAsia"/>
          <w:sz w:val="21"/>
          <w:szCs w:val="21"/>
        </w:rPr>
        <w:t>年</w:t>
      </w:r>
      <w:r>
        <w:rPr>
          <w:rFonts w:ascii="Times New Roman" w:hAnsi="Times New Roman" w:cs="Times New Roman"/>
          <w:sz w:val="21"/>
          <w:szCs w:val="21"/>
        </w:rPr>
        <w:t>1</w:t>
      </w:r>
      <w:r>
        <w:rPr>
          <w:rFonts w:hint="eastAsia"/>
          <w:sz w:val="21"/>
          <w:szCs w:val="21"/>
        </w:rPr>
        <w:t>月</w:t>
      </w:r>
      <w:r>
        <w:rPr>
          <w:rFonts w:ascii="Times New Roman" w:hAnsi="Times New Roman" w:cs="Times New Roman"/>
          <w:sz w:val="21"/>
          <w:szCs w:val="21"/>
        </w:rPr>
        <w:t>12</w:t>
      </w:r>
      <w:r>
        <w:rPr>
          <w:rFonts w:hint="eastAsia"/>
          <w:sz w:val="21"/>
          <w:szCs w:val="21"/>
        </w:rPr>
        <w:t>日起在深圳证券交易所挂牌交易，债券简称“三诺转债”，债券代码“</w:t>
      </w:r>
      <w:r>
        <w:rPr>
          <w:rFonts w:ascii="Times New Roman" w:hAnsi="Times New Roman" w:cs="Times New Roman"/>
          <w:sz w:val="21"/>
          <w:szCs w:val="21"/>
        </w:rPr>
        <w:t>123090</w:t>
      </w:r>
      <w:r>
        <w:rPr>
          <w:rFonts w:hint="eastAsia"/>
          <w:sz w:val="21"/>
          <w:szCs w:val="21"/>
        </w:rPr>
        <w:t>”。根据《深圳证券交易所创业板股票上市规则》以及《三诺生物传感股份有限公司创业板向不特定对象发行可转换公司债券募集说明书》的相关规定，公司可转债自</w:t>
      </w:r>
      <w:r>
        <w:rPr>
          <w:rFonts w:ascii="Times New Roman" w:hAnsi="Times New Roman" w:cs="Times New Roman"/>
          <w:sz w:val="21"/>
          <w:szCs w:val="21"/>
        </w:rPr>
        <w:t>2021</w:t>
      </w:r>
      <w:r>
        <w:rPr>
          <w:rFonts w:hint="eastAsia"/>
          <w:sz w:val="21"/>
          <w:szCs w:val="21"/>
        </w:rPr>
        <w:t>年</w:t>
      </w:r>
      <w:r>
        <w:rPr>
          <w:rFonts w:ascii="Times New Roman" w:hAnsi="Times New Roman" w:cs="Times New Roman"/>
          <w:sz w:val="21"/>
          <w:szCs w:val="21"/>
        </w:rPr>
        <w:t>6</w:t>
      </w:r>
      <w:r>
        <w:rPr>
          <w:rFonts w:hint="eastAsia"/>
          <w:sz w:val="21"/>
          <w:szCs w:val="21"/>
        </w:rPr>
        <w:t>月</w:t>
      </w:r>
      <w:r>
        <w:rPr>
          <w:rFonts w:ascii="Times New Roman" w:hAnsi="Times New Roman" w:cs="Times New Roman"/>
          <w:sz w:val="21"/>
          <w:szCs w:val="21"/>
        </w:rPr>
        <w:t>25</w:t>
      </w:r>
      <w:r>
        <w:rPr>
          <w:rFonts w:hint="eastAsia"/>
          <w:sz w:val="21"/>
          <w:szCs w:val="21"/>
        </w:rPr>
        <w:t>日起至</w:t>
      </w:r>
      <w:r>
        <w:rPr>
          <w:rFonts w:ascii="Times New Roman" w:hAnsi="Times New Roman" w:cs="Times New Roman"/>
          <w:sz w:val="21"/>
          <w:szCs w:val="21"/>
        </w:rPr>
        <w:t>2026</w:t>
      </w:r>
      <w:r>
        <w:rPr>
          <w:rFonts w:hint="eastAsia"/>
          <w:sz w:val="21"/>
          <w:szCs w:val="21"/>
        </w:rPr>
        <w:t>年</w:t>
      </w:r>
      <w:r>
        <w:rPr>
          <w:rFonts w:ascii="Times New Roman" w:hAnsi="Times New Roman" w:cs="Times New Roman"/>
          <w:sz w:val="21"/>
          <w:szCs w:val="21"/>
        </w:rPr>
        <w:t>12</w:t>
      </w:r>
      <w:r>
        <w:rPr>
          <w:rFonts w:hint="eastAsia"/>
          <w:sz w:val="21"/>
          <w:szCs w:val="21"/>
        </w:rPr>
        <w:t>月</w:t>
      </w:r>
      <w:r>
        <w:rPr>
          <w:rFonts w:ascii="Times New Roman" w:hAnsi="Times New Roman" w:cs="Times New Roman"/>
          <w:sz w:val="21"/>
          <w:szCs w:val="21"/>
        </w:rPr>
        <w:t>20</w:t>
      </w:r>
      <w:r>
        <w:rPr>
          <w:rFonts w:hint="eastAsia"/>
          <w:sz w:val="21"/>
          <w:szCs w:val="21"/>
        </w:rPr>
        <w:t>日止可转换为公司股份，初始转股价格为</w:t>
      </w:r>
      <w:r>
        <w:rPr>
          <w:rFonts w:ascii="Times New Roman" w:hAnsi="Times New Roman" w:cs="Times New Roman"/>
          <w:sz w:val="21"/>
          <w:szCs w:val="21"/>
        </w:rPr>
        <w:t>35.35</w:t>
      </w:r>
      <w:r>
        <w:rPr>
          <w:rFonts w:hint="eastAsia"/>
          <w:sz w:val="21"/>
          <w:szCs w:val="21"/>
        </w:rPr>
        <w:t>元</w:t>
      </w:r>
      <w:r>
        <w:rPr>
          <w:rFonts w:ascii="Times New Roman" w:hAnsi="Times New Roman" w:cs="Times New Roman"/>
          <w:sz w:val="21"/>
          <w:szCs w:val="21"/>
        </w:rPr>
        <w:t>/</w:t>
      </w:r>
      <w:r>
        <w:rPr>
          <w:rFonts w:hint="eastAsia"/>
          <w:sz w:val="21"/>
          <w:szCs w:val="21"/>
        </w:rPr>
        <w:t>股。具体内容详见公司分别于</w:t>
      </w:r>
      <w:r>
        <w:rPr>
          <w:rFonts w:ascii="Times New Roman" w:hAnsi="Times New Roman" w:cs="Times New Roman"/>
          <w:sz w:val="21"/>
          <w:szCs w:val="21"/>
        </w:rPr>
        <w:t>2020</w:t>
      </w:r>
      <w:r>
        <w:rPr>
          <w:rFonts w:hint="eastAsia"/>
          <w:sz w:val="21"/>
          <w:szCs w:val="21"/>
        </w:rPr>
        <w:t>年</w:t>
      </w:r>
      <w:r>
        <w:rPr>
          <w:rFonts w:ascii="Times New Roman" w:hAnsi="Times New Roman" w:cs="Times New Roman"/>
          <w:sz w:val="21"/>
          <w:szCs w:val="21"/>
        </w:rPr>
        <w:t>12</w:t>
      </w:r>
      <w:r>
        <w:rPr>
          <w:rFonts w:hint="eastAsia"/>
          <w:sz w:val="21"/>
          <w:szCs w:val="21"/>
        </w:rPr>
        <w:t>月</w:t>
      </w:r>
      <w:r>
        <w:rPr>
          <w:rFonts w:ascii="Times New Roman" w:hAnsi="Times New Roman" w:cs="Times New Roman"/>
          <w:sz w:val="21"/>
          <w:szCs w:val="21"/>
        </w:rPr>
        <w:t>26</w:t>
      </w:r>
      <w:r>
        <w:rPr>
          <w:rFonts w:hint="eastAsia"/>
          <w:sz w:val="21"/>
          <w:szCs w:val="21"/>
        </w:rPr>
        <w:t>日、</w:t>
      </w:r>
      <w:r>
        <w:rPr>
          <w:rFonts w:ascii="Times New Roman" w:hAnsi="Times New Roman" w:cs="Times New Roman"/>
          <w:sz w:val="21"/>
          <w:szCs w:val="21"/>
        </w:rPr>
        <w:t>2021</w:t>
      </w:r>
      <w:r>
        <w:rPr>
          <w:rFonts w:hint="eastAsia"/>
          <w:sz w:val="21"/>
          <w:szCs w:val="21"/>
        </w:rPr>
        <w:t>年</w:t>
      </w:r>
      <w:r>
        <w:rPr>
          <w:rFonts w:ascii="Times New Roman" w:hAnsi="Times New Roman" w:cs="Times New Roman"/>
          <w:sz w:val="21"/>
          <w:szCs w:val="21"/>
        </w:rPr>
        <w:t>1</w:t>
      </w:r>
      <w:r>
        <w:rPr>
          <w:rFonts w:hint="eastAsia"/>
          <w:sz w:val="21"/>
          <w:szCs w:val="21"/>
        </w:rPr>
        <w:t>月</w:t>
      </w:r>
      <w:r>
        <w:rPr>
          <w:rFonts w:ascii="Times New Roman" w:hAnsi="Times New Roman" w:cs="Times New Roman"/>
          <w:sz w:val="21"/>
          <w:szCs w:val="21"/>
        </w:rPr>
        <w:t>8</w:t>
      </w:r>
      <w:r>
        <w:rPr>
          <w:rFonts w:hint="eastAsia"/>
          <w:sz w:val="21"/>
          <w:szCs w:val="21"/>
        </w:rPr>
        <w:t>日在巨潮资讯网（</w:t>
      </w:r>
      <w:r>
        <w:rPr>
          <w:rFonts w:ascii="Times New Roman" w:hAnsi="Times New Roman" w:cs="Times New Roman"/>
          <w:sz w:val="21"/>
          <w:szCs w:val="21"/>
        </w:rPr>
        <w:t>www.cninfo.com.cn</w:t>
      </w:r>
      <w:r>
        <w:rPr>
          <w:rFonts w:hint="eastAsia"/>
          <w:sz w:val="21"/>
          <w:szCs w:val="21"/>
        </w:rPr>
        <w:t>）上披露的《三诺生物传感股份有限公司创业板向不特定对象发行可转换公司债券募集说明书》《三诺生物传感股份有限公司创业板向不特定对象发行可转换公司债券上市公告书》。</w:t>
      </w:r>
    </w:p>
    <w:p w14:paraId="34425A2D" w14:textId="77777777" w:rsidR="00DC359B" w:rsidRDefault="00DC359B" w:rsidP="00DC359B">
      <w:pPr>
        <w:pStyle w:val="3"/>
        <w:spacing w:line="280" w:lineRule="exact"/>
        <w:jc w:val="left"/>
        <w:rPr>
          <w:rFonts w:ascii="宋体" w:hAnsi="宋体" w:cs="宋体"/>
          <w:b/>
          <w:bCs/>
        </w:rPr>
        <w:sectPr w:rsidR="00DC359B">
          <w:pgSz w:w="11905" w:h="16840"/>
          <w:pgMar w:top="1440" w:right="1134" w:bottom="1440" w:left="1134" w:header="850" w:footer="992" w:gutter="0"/>
          <w:cols w:space="720"/>
          <w:docGrid w:type="linesAndChars" w:linePitch="312"/>
        </w:sectPr>
      </w:pPr>
      <w:bookmarkStart w:id="106" w:name="_Toc989038"/>
    </w:p>
    <w:p w14:paraId="708A3B6C" w14:textId="77777777" w:rsidR="00DC359B" w:rsidRPr="00075F40" w:rsidRDefault="00DC359B" w:rsidP="00DC359B">
      <w:pPr>
        <w:pStyle w:val="3"/>
        <w:spacing w:line="280" w:lineRule="exact"/>
        <w:jc w:val="left"/>
        <w:rPr>
          <w:rFonts w:ascii="Times New Roman" w:hAnsi="Times New Roman" w:cs="Times New Roman"/>
          <w:b/>
          <w:bCs/>
        </w:rPr>
      </w:pPr>
      <w:r w:rsidRPr="00075F40">
        <w:rPr>
          <w:rFonts w:ascii="Times New Roman" w:hAnsi="Times New Roman" w:cs="Times New Roman"/>
          <w:b/>
          <w:bCs/>
        </w:rPr>
        <w:t>2</w:t>
      </w:r>
      <w:r w:rsidRPr="00075F40">
        <w:rPr>
          <w:rFonts w:ascii="Times New Roman" w:hAnsi="Times New Roman" w:cs="Times New Roman"/>
          <w:b/>
          <w:bCs/>
        </w:rPr>
        <w:t>、报告期转债担保人及前十名持有人情况</w:t>
      </w:r>
      <w:bookmarkEnd w:id="106"/>
    </w:p>
    <w:tbl>
      <w:tblPr>
        <w:tblW w:w="5000" w:type="pct"/>
        <w:tblLook w:val="0000" w:firstRow="0" w:lastRow="0" w:firstColumn="0" w:lastColumn="0" w:noHBand="0" w:noVBand="0"/>
      </w:tblPr>
      <w:tblGrid>
        <w:gridCol w:w="816"/>
        <w:gridCol w:w="3910"/>
        <w:gridCol w:w="2611"/>
        <w:gridCol w:w="1701"/>
        <w:gridCol w:w="1843"/>
        <w:gridCol w:w="1843"/>
        <w:gridCol w:w="1452"/>
      </w:tblGrid>
      <w:tr w:rsidR="00C57E60" w14:paraId="34C9040B" w14:textId="77777777" w:rsidTr="00DC359B">
        <w:trPr>
          <w:trHeight w:val="240"/>
        </w:trPr>
        <w:tc>
          <w:tcPr>
            <w:tcW w:w="1667"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2169E97" w14:textId="77777777" w:rsidR="00DC359B" w:rsidRPr="00075F40" w:rsidRDefault="00DC359B" w:rsidP="00DC359B">
            <w:pPr>
              <w:spacing w:before="40" w:after="40"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可转换公司债券名称</w:t>
            </w:r>
          </w:p>
        </w:tc>
        <w:tc>
          <w:tcPr>
            <w:tcW w:w="3333" w:type="pct"/>
            <w:gridSpan w:val="5"/>
            <w:tcBorders>
              <w:top w:val="single" w:sz="2" w:space="0" w:color="auto"/>
              <w:left w:val="single" w:sz="2" w:space="0" w:color="auto"/>
              <w:bottom w:val="single" w:sz="2" w:space="0" w:color="auto"/>
              <w:right w:val="single" w:sz="2" w:space="0" w:color="auto"/>
            </w:tcBorders>
            <w:vAlign w:val="center"/>
          </w:tcPr>
          <w:p w14:paraId="38CEC02D"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三诺转债</w:t>
            </w:r>
          </w:p>
        </w:tc>
      </w:tr>
      <w:tr w:rsidR="00C57E60" w14:paraId="68EE4EA0" w14:textId="77777777" w:rsidTr="00DC359B">
        <w:trPr>
          <w:trHeight w:val="240"/>
        </w:trPr>
        <w:tc>
          <w:tcPr>
            <w:tcW w:w="1667"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794F516" w14:textId="77777777" w:rsidR="00DC359B" w:rsidRPr="00075F40" w:rsidRDefault="00DC359B" w:rsidP="00DC359B">
            <w:pPr>
              <w:spacing w:before="40" w:after="40"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期末转债持有人数</w:t>
            </w:r>
          </w:p>
        </w:tc>
        <w:tc>
          <w:tcPr>
            <w:tcW w:w="3333" w:type="pct"/>
            <w:gridSpan w:val="5"/>
            <w:tcBorders>
              <w:top w:val="single" w:sz="2" w:space="0" w:color="auto"/>
              <w:left w:val="single" w:sz="2" w:space="0" w:color="auto"/>
              <w:bottom w:val="single" w:sz="2" w:space="0" w:color="auto"/>
              <w:right w:val="single" w:sz="2" w:space="0" w:color="auto"/>
            </w:tcBorders>
            <w:vAlign w:val="center"/>
          </w:tcPr>
          <w:p w14:paraId="088B2F87"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2,771</w:t>
            </w:r>
          </w:p>
        </w:tc>
      </w:tr>
      <w:tr w:rsidR="00C57E60" w14:paraId="73F77601" w14:textId="77777777" w:rsidTr="00DC359B">
        <w:trPr>
          <w:trHeight w:val="240"/>
        </w:trPr>
        <w:tc>
          <w:tcPr>
            <w:tcW w:w="1667"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094466D" w14:textId="77777777" w:rsidR="00DC359B" w:rsidRPr="00075F40" w:rsidRDefault="00DC359B" w:rsidP="00DC359B">
            <w:pPr>
              <w:spacing w:before="40" w:after="40"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本公司转债的担保人</w:t>
            </w:r>
          </w:p>
        </w:tc>
        <w:tc>
          <w:tcPr>
            <w:tcW w:w="3333" w:type="pct"/>
            <w:gridSpan w:val="5"/>
            <w:tcBorders>
              <w:top w:val="single" w:sz="2" w:space="0" w:color="auto"/>
              <w:left w:val="single" w:sz="2" w:space="0" w:color="auto"/>
              <w:bottom w:val="single" w:sz="2" w:space="0" w:color="auto"/>
              <w:right w:val="single" w:sz="2" w:space="0" w:color="auto"/>
            </w:tcBorders>
            <w:vAlign w:val="center"/>
          </w:tcPr>
          <w:p w14:paraId="335EBD48"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无</w:t>
            </w:r>
          </w:p>
        </w:tc>
      </w:tr>
      <w:tr w:rsidR="00C57E60" w14:paraId="2825AC65" w14:textId="77777777" w:rsidTr="00DC359B">
        <w:trPr>
          <w:trHeight w:val="240"/>
        </w:trPr>
        <w:tc>
          <w:tcPr>
            <w:tcW w:w="1667"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ECFA558" w14:textId="77777777" w:rsidR="00DC359B" w:rsidRPr="00075F40" w:rsidRDefault="00DC359B" w:rsidP="00DC359B">
            <w:pPr>
              <w:spacing w:before="40" w:after="40"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担保人盈利能力、资产状况和信用状况重大变化情况</w:t>
            </w:r>
          </w:p>
        </w:tc>
        <w:tc>
          <w:tcPr>
            <w:tcW w:w="3333" w:type="pct"/>
            <w:gridSpan w:val="5"/>
            <w:tcBorders>
              <w:top w:val="single" w:sz="2" w:space="0" w:color="auto"/>
              <w:left w:val="single" w:sz="2" w:space="0" w:color="auto"/>
              <w:bottom w:val="single" w:sz="2" w:space="0" w:color="auto"/>
              <w:right w:val="single" w:sz="2" w:space="0" w:color="auto"/>
            </w:tcBorders>
            <w:vAlign w:val="center"/>
          </w:tcPr>
          <w:p w14:paraId="3F06F4F7"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不适用</w:t>
            </w:r>
          </w:p>
        </w:tc>
      </w:tr>
      <w:tr w:rsidR="00C57E60" w14:paraId="43835F41" w14:textId="77777777" w:rsidTr="00DC359B">
        <w:trPr>
          <w:trHeight w:val="240"/>
        </w:trPr>
        <w:tc>
          <w:tcPr>
            <w:tcW w:w="5000" w:type="pct"/>
            <w:gridSpan w:val="7"/>
            <w:tcBorders>
              <w:top w:val="single" w:sz="2" w:space="0" w:color="auto"/>
              <w:left w:val="single" w:sz="2" w:space="0" w:color="auto"/>
              <w:bottom w:val="single" w:sz="2" w:space="0" w:color="auto"/>
              <w:right w:val="single" w:sz="2" w:space="0" w:color="auto"/>
            </w:tcBorders>
            <w:shd w:val="clear" w:color="auto" w:fill="D3D3D3"/>
            <w:vAlign w:val="center"/>
          </w:tcPr>
          <w:p w14:paraId="0B7708EF" w14:textId="77777777" w:rsidR="00DC359B" w:rsidRPr="00075F40" w:rsidRDefault="00DC359B" w:rsidP="00DC359B">
            <w:pPr>
              <w:spacing w:before="40" w:after="40"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前十名转债持有人情况如下：</w:t>
            </w:r>
          </w:p>
        </w:tc>
      </w:tr>
      <w:tr w:rsidR="00C57E60" w14:paraId="2B8FF6A0"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084EBBEA"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序号</w:t>
            </w:r>
          </w:p>
        </w:tc>
        <w:tc>
          <w:tcPr>
            <w:tcW w:w="2300"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8BC803"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可转债持有人名称</w:t>
            </w:r>
          </w:p>
        </w:tc>
        <w:tc>
          <w:tcPr>
            <w:tcW w:w="600" w:type="pct"/>
            <w:tcBorders>
              <w:top w:val="single" w:sz="2" w:space="0" w:color="auto"/>
              <w:left w:val="single" w:sz="2" w:space="0" w:color="auto"/>
              <w:bottom w:val="single" w:sz="2" w:space="0" w:color="auto"/>
              <w:right w:val="single" w:sz="2" w:space="0" w:color="auto"/>
            </w:tcBorders>
            <w:shd w:val="clear" w:color="auto" w:fill="D3D3D3"/>
            <w:vAlign w:val="center"/>
          </w:tcPr>
          <w:p w14:paraId="40850A49"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可转债持有人性质</w:t>
            </w:r>
          </w:p>
        </w:tc>
        <w:tc>
          <w:tcPr>
            <w:tcW w:w="650" w:type="pct"/>
            <w:tcBorders>
              <w:top w:val="single" w:sz="2" w:space="0" w:color="auto"/>
              <w:left w:val="single" w:sz="2" w:space="0" w:color="auto"/>
              <w:bottom w:val="single" w:sz="2" w:space="0" w:color="auto"/>
              <w:right w:val="single" w:sz="2" w:space="0" w:color="auto"/>
            </w:tcBorders>
            <w:shd w:val="clear" w:color="auto" w:fill="D3D3D3"/>
            <w:vAlign w:val="center"/>
          </w:tcPr>
          <w:p w14:paraId="4AE85B46"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报告期末持有可转债数量（张）</w:t>
            </w:r>
          </w:p>
        </w:tc>
        <w:tc>
          <w:tcPr>
            <w:tcW w:w="650" w:type="pct"/>
            <w:tcBorders>
              <w:top w:val="single" w:sz="2" w:space="0" w:color="auto"/>
              <w:left w:val="single" w:sz="2" w:space="0" w:color="auto"/>
              <w:bottom w:val="single" w:sz="2" w:space="0" w:color="auto"/>
              <w:right w:val="single" w:sz="2" w:space="0" w:color="auto"/>
            </w:tcBorders>
            <w:shd w:val="clear" w:color="auto" w:fill="D3D3D3"/>
            <w:vAlign w:val="center"/>
          </w:tcPr>
          <w:p w14:paraId="4F027494"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报告期末持有可转债金额（元）</w:t>
            </w:r>
          </w:p>
        </w:tc>
        <w:tc>
          <w:tcPr>
            <w:tcW w:w="512" w:type="pct"/>
            <w:tcBorders>
              <w:top w:val="single" w:sz="2" w:space="0" w:color="auto"/>
              <w:left w:val="single" w:sz="2" w:space="0" w:color="auto"/>
              <w:bottom w:val="single" w:sz="2" w:space="0" w:color="auto"/>
              <w:right w:val="single" w:sz="2" w:space="0" w:color="auto"/>
            </w:tcBorders>
            <w:shd w:val="clear" w:color="auto" w:fill="D3D3D3"/>
            <w:vAlign w:val="center"/>
          </w:tcPr>
          <w:p w14:paraId="2C3F3E0A"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报告期末持有可转债占比</w:t>
            </w:r>
          </w:p>
        </w:tc>
      </w:tr>
      <w:tr w:rsidR="00C57E60" w14:paraId="7545A581"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3DEDF9AD"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1</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6D903F81"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西北投资管理（香港）有限公司－西北飞龙基金有限公司</w:t>
            </w:r>
          </w:p>
        </w:tc>
        <w:tc>
          <w:tcPr>
            <w:tcW w:w="600" w:type="pct"/>
            <w:tcBorders>
              <w:top w:val="single" w:sz="2" w:space="0" w:color="auto"/>
              <w:left w:val="single" w:sz="2" w:space="0" w:color="auto"/>
              <w:bottom w:val="single" w:sz="2" w:space="0" w:color="auto"/>
              <w:right w:val="single" w:sz="2" w:space="0" w:color="auto"/>
            </w:tcBorders>
            <w:vAlign w:val="center"/>
          </w:tcPr>
          <w:p w14:paraId="51E13A03"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境外法人</w:t>
            </w:r>
          </w:p>
        </w:tc>
        <w:tc>
          <w:tcPr>
            <w:tcW w:w="650" w:type="pct"/>
            <w:tcBorders>
              <w:top w:val="single" w:sz="2" w:space="0" w:color="auto"/>
              <w:left w:val="single" w:sz="2" w:space="0" w:color="auto"/>
              <w:bottom w:val="single" w:sz="2" w:space="0" w:color="auto"/>
              <w:right w:val="single" w:sz="2" w:space="0" w:color="auto"/>
            </w:tcBorders>
            <w:vAlign w:val="center"/>
          </w:tcPr>
          <w:p w14:paraId="487B728F"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380,142</w:t>
            </w:r>
          </w:p>
        </w:tc>
        <w:tc>
          <w:tcPr>
            <w:tcW w:w="650" w:type="pct"/>
            <w:tcBorders>
              <w:top w:val="single" w:sz="2" w:space="0" w:color="auto"/>
              <w:left w:val="single" w:sz="2" w:space="0" w:color="auto"/>
              <w:bottom w:val="single" w:sz="2" w:space="0" w:color="auto"/>
              <w:right w:val="single" w:sz="2" w:space="0" w:color="auto"/>
            </w:tcBorders>
            <w:vAlign w:val="center"/>
          </w:tcPr>
          <w:p w14:paraId="42E6C040"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38,014,200.00</w:t>
            </w:r>
          </w:p>
        </w:tc>
        <w:tc>
          <w:tcPr>
            <w:tcW w:w="512" w:type="pct"/>
            <w:tcBorders>
              <w:top w:val="single" w:sz="2" w:space="0" w:color="auto"/>
              <w:left w:val="single" w:sz="2" w:space="0" w:color="auto"/>
              <w:bottom w:val="single" w:sz="2" w:space="0" w:color="auto"/>
              <w:right w:val="single" w:sz="2" w:space="0" w:color="auto"/>
            </w:tcBorders>
            <w:vAlign w:val="center"/>
          </w:tcPr>
          <w:p w14:paraId="296A2B19"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7.63%</w:t>
            </w:r>
          </w:p>
        </w:tc>
      </w:tr>
      <w:tr w:rsidR="00C57E60" w14:paraId="596DA8A2"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5D9AFBAE"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2</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1DB618D5"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招商银行股份有限公司－博时中证可转债及可交换债券交易型开放式指数证券投资基金</w:t>
            </w:r>
          </w:p>
        </w:tc>
        <w:tc>
          <w:tcPr>
            <w:tcW w:w="600" w:type="pct"/>
            <w:tcBorders>
              <w:top w:val="single" w:sz="2" w:space="0" w:color="auto"/>
              <w:left w:val="single" w:sz="2" w:space="0" w:color="auto"/>
              <w:bottom w:val="single" w:sz="2" w:space="0" w:color="auto"/>
              <w:right w:val="single" w:sz="2" w:space="0" w:color="auto"/>
            </w:tcBorders>
            <w:vAlign w:val="center"/>
          </w:tcPr>
          <w:p w14:paraId="6DE355F4"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456562C8"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335,432</w:t>
            </w:r>
          </w:p>
        </w:tc>
        <w:tc>
          <w:tcPr>
            <w:tcW w:w="650" w:type="pct"/>
            <w:tcBorders>
              <w:top w:val="single" w:sz="2" w:space="0" w:color="auto"/>
              <w:left w:val="single" w:sz="2" w:space="0" w:color="auto"/>
              <w:bottom w:val="single" w:sz="2" w:space="0" w:color="auto"/>
              <w:right w:val="single" w:sz="2" w:space="0" w:color="auto"/>
            </w:tcBorders>
            <w:vAlign w:val="center"/>
          </w:tcPr>
          <w:p w14:paraId="5D8B7749"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33,543,200.00</w:t>
            </w:r>
          </w:p>
        </w:tc>
        <w:tc>
          <w:tcPr>
            <w:tcW w:w="512" w:type="pct"/>
            <w:tcBorders>
              <w:top w:val="single" w:sz="2" w:space="0" w:color="auto"/>
              <w:left w:val="single" w:sz="2" w:space="0" w:color="auto"/>
              <w:bottom w:val="single" w:sz="2" w:space="0" w:color="auto"/>
              <w:right w:val="single" w:sz="2" w:space="0" w:color="auto"/>
            </w:tcBorders>
            <w:vAlign w:val="center"/>
          </w:tcPr>
          <w:p w14:paraId="4A6C032F"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6.73%</w:t>
            </w:r>
          </w:p>
        </w:tc>
      </w:tr>
      <w:tr w:rsidR="00C57E60" w14:paraId="7E9EBECE"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5243AF47"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3</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09A82085"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富国富益进取固定收益型养老金产品－中国工商银行股份有限公司</w:t>
            </w:r>
          </w:p>
        </w:tc>
        <w:tc>
          <w:tcPr>
            <w:tcW w:w="600" w:type="pct"/>
            <w:tcBorders>
              <w:top w:val="single" w:sz="2" w:space="0" w:color="auto"/>
              <w:left w:val="single" w:sz="2" w:space="0" w:color="auto"/>
              <w:bottom w:val="single" w:sz="2" w:space="0" w:color="auto"/>
              <w:right w:val="single" w:sz="2" w:space="0" w:color="auto"/>
            </w:tcBorders>
            <w:vAlign w:val="center"/>
          </w:tcPr>
          <w:p w14:paraId="11F44D1C"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643EE6E3"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223,300</w:t>
            </w:r>
          </w:p>
        </w:tc>
        <w:tc>
          <w:tcPr>
            <w:tcW w:w="650" w:type="pct"/>
            <w:tcBorders>
              <w:top w:val="single" w:sz="2" w:space="0" w:color="auto"/>
              <w:left w:val="single" w:sz="2" w:space="0" w:color="auto"/>
              <w:bottom w:val="single" w:sz="2" w:space="0" w:color="auto"/>
              <w:right w:val="single" w:sz="2" w:space="0" w:color="auto"/>
            </w:tcBorders>
            <w:vAlign w:val="center"/>
          </w:tcPr>
          <w:p w14:paraId="5C2C89C0"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22,330,000.00</w:t>
            </w:r>
          </w:p>
        </w:tc>
        <w:tc>
          <w:tcPr>
            <w:tcW w:w="512" w:type="pct"/>
            <w:tcBorders>
              <w:top w:val="single" w:sz="2" w:space="0" w:color="auto"/>
              <w:left w:val="single" w:sz="2" w:space="0" w:color="auto"/>
              <w:bottom w:val="single" w:sz="2" w:space="0" w:color="auto"/>
              <w:right w:val="single" w:sz="2" w:space="0" w:color="auto"/>
            </w:tcBorders>
            <w:vAlign w:val="center"/>
          </w:tcPr>
          <w:p w14:paraId="33AD6B2F"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4.48%</w:t>
            </w:r>
          </w:p>
        </w:tc>
      </w:tr>
      <w:tr w:rsidR="00C57E60" w14:paraId="5C212108"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541968CF"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4</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6DD6BC64"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上海理成资产管理有限公司－理成圣远</w:t>
            </w:r>
            <w:r w:rsidRPr="00075F40">
              <w:rPr>
                <w:rFonts w:ascii="Times New Roman" w:eastAsia="宋体" w:hAnsi="Times New Roman" w:cs="Times New Roman"/>
                <w:sz w:val="18"/>
                <w:szCs w:val="18"/>
              </w:rPr>
              <w:t>6</w:t>
            </w:r>
            <w:r w:rsidRPr="00075F40">
              <w:rPr>
                <w:rFonts w:ascii="Times New Roman" w:eastAsia="宋体" w:hAnsi="Times New Roman" w:cs="Times New Roman"/>
                <w:sz w:val="18"/>
                <w:szCs w:val="18"/>
              </w:rPr>
              <w:t>号私募证券投资基金</w:t>
            </w:r>
          </w:p>
        </w:tc>
        <w:tc>
          <w:tcPr>
            <w:tcW w:w="600" w:type="pct"/>
            <w:tcBorders>
              <w:top w:val="single" w:sz="2" w:space="0" w:color="auto"/>
              <w:left w:val="single" w:sz="2" w:space="0" w:color="auto"/>
              <w:bottom w:val="single" w:sz="2" w:space="0" w:color="auto"/>
              <w:right w:val="single" w:sz="2" w:space="0" w:color="auto"/>
            </w:tcBorders>
            <w:vAlign w:val="center"/>
          </w:tcPr>
          <w:p w14:paraId="62063772"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2389F8A4"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204,829</w:t>
            </w:r>
          </w:p>
        </w:tc>
        <w:tc>
          <w:tcPr>
            <w:tcW w:w="650" w:type="pct"/>
            <w:tcBorders>
              <w:top w:val="single" w:sz="2" w:space="0" w:color="auto"/>
              <w:left w:val="single" w:sz="2" w:space="0" w:color="auto"/>
              <w:bottom w:val="single" w:sz="2" w:space="0" w:color="auto"/>
              <w:right w:val="single" w:sz="2" w:space="0" w:color="auto"/>
            </w:tcBorders>
            <w:vAlign w:val="center"/>
          </w:tcPr>
          <w:p w14:paraId="7F147873"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20,482,900.00</w:t>
            </w:r>
          </w:p>
        </w:tc>
        <w:tc>
          <w:tcPr>
            <w:tcW w:w="512" w:type="pct"/>
            <w:tcBorders>
              <w:top w:val="single" w:sz="2" w:space="0" w:color="auto"/>
              <w:left w:val="single" w:sz="2" w:space="0" w:color="auto"/>
              <w:bottom w:val="single" w:sz="2" w:space="0" w:color="auto"/>
              <w:right w:val="single" w:sz="2" w:space="0" w:color="auto"/>
            </w:tcBorders>
            <w:vAlign w:val="center"/>
          </w:tcPr>
          <w:p w14:paraId="4F5DE1EA"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4.11%</w:t>
            </w:r>
          </w:p>
        </w:tc>
      </w:tr>
      <w:tr w:rsidR="00C57E60" w14:paraId="7065CACE"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1A711B7C"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5</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0038271D"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丁碧霞</w:t>
            </w:r>
          </w:p>
        </w:tc>
        <w:tc>
          <w:tcPr>
            <w:tcW w:w="600" w:type="pct"/>
            <w:tcBorders>
              <w:top w:val="single" w:sz="2" w:space="0" w:color="auto"/>
              <w:left w:val="single" w:sz="2" w:space="0" w:color="auto"/>
              <w:bottom w:val="single" w:sz="2" w:space="0" w:color="auto"/>
              <w:right w:val="single" w:sz="2" w:space="0" w:color="auto"/>
            </w:tcBorders>
            <w:vAlign w:val="center"/>
          </w:tcPr>
          <w:p w14:paraId="05412675"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境内自然人</w:t>
            </w:r>
          </w:p>
        </w:tc>
        <w:tc>
          <w:tcPr>
            <w:tcW w:w="650" w:type="pct"/>
            <w:tcBorders>
              <w:top w:val="single" w:sz="2" w:space="0" w:color="auto"/>
              <w:left w:val="single" w:sz="2" w:space="0" w:color="auto"/>
              <w:bottom w:val="single" w:sz="2" w:space="0" w:color="auto"/>
              <w:right w:val="single" w:sz="2" w:space="0" w:color="auto"/>
            </w:tcBorders>
            <w:vAlign w:val="center"/>
          </w:tcPr>
          <w:p w14:paraId="2F6CFC58"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183,000</w:t>
            </w:r>
          </w:p>
        </w:tc>
        <w:tc>
          <w:tcPr>
            <w:tcW w:w="650" w:type="pct"/>
            <w:tcBorders>
              <w:top w:val="single" w:sz="2" w:space="0" w:color="auto"/>
              <w:left w:val="single" w:sz="2" w:space="0" w:color="auto"/>
              <w:bottom w:val="single" w:sz="2" w:space="0" w:color="auto"/>
              <w:right w:val="single" w:sz="2" w:space="0" w:color="auto"/>
            </w:tcBorders>
            <w:vAlign w:val="center"/>
          </w:tcPr>
          <w:p w14:paraId="031999C5"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18,300,000.00</w:t>
            </w:r>
          </w:p>
        </w:tc>
        <w:tc>
          <w:tcPr>
            <w:tcW w:w="512" w:type="pct"/>
            <w:tcBorders>
              <w:top w:val="single" w:sz="2" w:space="0" w:color="auto"/>
              <w:left w:val="single" w:sz="2" w:space="0" w:color="auto"/>
              <w:bottom w:val="single" w:sz="2" w:space="0" w:color="auto"/>
              <w:right w:val="single" w:sz="2" w:space="0" w:color="auto"/>
            </w:tcBorders>
            <w:vAlign w:val="center"/>
          </w:tcPr>
          <w:p w14:paraId="082CC70A"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3.67%</w:t>
            </w:r>
          </w:p>
        </w:tc>
      </w:tr>
      <w:tr w:rsidR="00C57E60" w14:paraId="171AC5EB"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7F9DDCB9"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6</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6629AB2D"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中国工商银行股份有限公司－兴全恒益债券型证券投资基金</w:t>
            </w:r>
          </w:p>
        </w:tc>
        <w:tc>
          <w:tcPr>
            <w:tcW w:w="600" w:type="pct"/>
            <w:tcBorders>
              <w:top w:val="single" w:sz="2" w:space="0" w:color="auto"/>
              <w:left w:val="single" w:sz="2" w:space="0" w:color="auto"/>
              <w:bottom w:val="single" w:sz="2" w:space="0" w:color="auto"/>
              <w:right w:val="single" w:sz="2" w:space="0" w:color="auto"/>
            </w:tcBorders>
            <w:vAlign w:val="center"/>
          </w:tcPr>
          <w:p w14:paraId="6798D4DB"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6D2ACAE5"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172,922</w:t>
            </w:r>
          </w:p>
        </w:tc>
        <w:tc>
          <w:tcPr>
            <w:tcW w:w="650" w:type="pct"/>
            <w:tcBorders>
              <w:top w:val="single" w:sz="2" w:space="0" w:color="auto"/>
              <w:left w:val="single" w:sz="2" w:space="0" w:color="auto"/>
              <w:bottom w:val="single" w:sz="2" w:space="0" w:color="auto"/>
              <w:right w:val="single" w:sz="2" w:space="0" w:color="auto"/>
            </w:tcBorders>
            <w:vAlign w:val="center"/>
          </w:tcPr>
          <w:p w14:paraId="1DB69E44"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17,292,200.00</w:t>
            </w:r>
          </w:p>
        </w:tc>
        <w:tc>
          <w:tcPr>
            <w:tcW w:w="512" w:type="pct"/>
            <w:tcBorders>
              <w:top w:val="single" w:sz="2" w:space="0" w:color="auto"/>
              <w:left w:val="single" w:sz="2" w:space="0" w:color="auto"/>
              <w:bottom w:val="single" w:sz="2" w:space="0" w:color="auto"/>
              <w:right w:val="single" w:sz="2" w:space="0" w:color="auto"/>
            </w:tcBorders>
            <w:vAlign w:val="center"/>
          </w:tcPr>
          <w:p w14:paraId="01E25FEA"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3.47%</w:t>
            </w:r>
          </w:p>
        </w:tc>
      </w:tr>
      <w:tr w:rsidR="00C57E60" w14:paraId="7EEBB5C7"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0B5AB54A"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7</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31E9904E"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UBS AG</w:t>
            </w:r>
          </w:p>
        </w:tc>
        <w:tc>
          <w:tcPr>
            <w:tcW w:w="600" w:type="pct"/>
            <w:tcBorders>
              <w:top w:val="single" w:sz="2" w:space="0" w:color="auto"/>
              <w:left w:val="single" w:sz="2" w:space="0" w:color="auto"/>
              <w:bottom w:val="single" w:sz="2" w:space="0" w:color="auto"/>
              <w:right w:val="single" w:sz="2" w:space="0" w:color="auto"/>
            </w:tcBorders>
            <w:vAlign w:val="center"/>
          </w:tcPr>
          <w:p w14:paraId="6851D18E"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境外法人</w:t>
            </w:r>
          </w:p>
        </w:tc>
        <w:tc>
          <w:tcPr>
            <w:tcW w:w="650" w:type="pct"/>
            <w:tcBorders>
              <w:top w:val="single" w:sz="2" w:space="0" w:color="auto"/>
              <w:left w:val="single" w:sz="2" w:space="0" w:color="auto"/>
              <w:bottom w:val="single" w:sz="2" w:space="0" w:color="auto"/>
              <w:right w:val="single" w:sz="2" w:space="0" w:color="auto"/>
            </w:tcBorders>
            <w:vAlign w:val="center"/>
          </w:tcPr>
          <w:p w14:paraId="25E130E5"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160,525</w:t>
            </w:r>
          </w:p>
        </w:tc>
        <w:tc>
          <w:tcPr>
            <w:tcW w:w="650" w:type="pct"/>
            <w:tcBorders>
              <w:top w:val="single" w:sz="2" w:space="0" w:color="auto"/>
              <w:left w:val="single" w:sz="2" w:space="0" w:color="auto"/>
              <w:bottom w:val="single" w:sz="2" w:space="0" w:color="auto"/>
              <w:right w:val="single" w:sz="2" w:space="0" w:color="auto"/>
            </w:tcBorders>
            <w:vAlign w:val="center"/>
          </w:tcPr>
          <w:p w14:paraId="4B1D81C7"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16,052,500.00</w:t>
            </w:r>
          </w:p>
        </w:tc>
        <w:tc>
          <w:tcPr>
            <w:tcW w:w="512" w:type="pct"/>
            <w:tcBorders>
              <w:top w:val="single" w:sz="2" w:space="0" w:color="auto"/>
              <w:left w:val="single" w:sz="2" w:space="0" w:color="auto"/>
              <w:bottom w:val="single" w:sz="2" w:space="0" w:color="auto"/>
              <w:right w:val="single" w:sz="2" w:space="0" w:color="auto"/>
            </w:tcBorders>
            <w:vAlign w:val="center"/>
          </w:tcPr>
          <w:p w14:paraId="46089F29"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3.22%</w:t>
            </w:r>
          </w:p>
        </w:tc>
      </w:tr>
      <w:tr w:rsidR="00C57E60" w14:paraId="0D91A99C"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3F01EE6D"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8</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482494E1"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中国工商银行股份有限公司－中欧可转债债券型证券投资基金</w:t>
            </w:r>
          </w:p>
        </w:tc>
        <w:tc>
          <w:tcPr>
            <w:tcW w:w="600" w:type="pct"/>
            <w:tcBorders>
              <w:top w:val="single" w:sz="2" w:space="0" w:color="auto"/>
              <w:left w:val="single" w:sz="2" w:space="0" w:color="auto"/>
              <w:bottom w:val="single" w:sz="2" w:space="0" w:color="auto"/>
              <w:right w:val="single" w:sz="2" w:space="0" w:color="auto"/>
            </w:tcBorders>
            <w:vAlign w:val="center"/>
          </w:tcPr>
          <w:p w14:paraId="3E7047F1"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7484B7F9"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151,710</w:t>
            </w:r>
          </w:p>
        </w:tc>
        <w:tc>
          <w:tcPr>
            <w:tcW w:w="650" w:type="pct"/>
            <w:tcBorders>
              <w:top w:val="single" w:sz="2" w:space="0" w:color="auto"/>
              <w:left w:val="single" w:sz="2" w:space="0" w:color="auto"/>
              <w:bottom w:val="single" w:sz="2" w:space="0" w:color="auto"/>
              <w:right w:val="single" w:sz="2" w:space="0" w:color="auto"/>
            </w:tcBorders>
            <w:vAlign w:val="center"/>
          </w:tcPr>
          <w:p w14:paraId="2292B9FA"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15,171,000.00</w:t>
            </w:r>
          </w:p>
        </w:tc>
        <w:tc>
          <w:tcPr>
            <w:tcW w:w="512" w:type="pct"/>
            <w:tcBorders>
              <w:top w:val="single" w:sz="2" w:space="0" w:color="auto"/>
              <w:left w:val="single" w:sz="2" w:space="0" w:color="auto"/>
              <w:bottom w:val="single" w:sz="2" w:space="0" w:color="auto"/>
              <w:right w:val="single" w:sz="2" w:space="0" w:color="auto"/>
            </w:tcBorders>
            <w:vAlign w:val="center"/>
          </w:tcPr>
          <w:p w14:paraId="71F582A9"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3.04%</w:t>
            </w:r>
          </w:p>
        </w:tc>
      </w:tr>
      <w:tr w:rsidR="00C57E60" w14:paraId="19542379"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5E5EB816"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9</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72C9179B"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博时稳健回报固定收益型养老金产品－中国建设银行股份有限公司</w:t>
            </w:r>
          </w:p>
        </w:tc>
        <w:tc>
          <w:tcPr>
            <w:tcW w:w="600" w:type="pct"/>
            <w:tcBorders>
              <w:top w:val="single" w:sz="2" w:space="0" w:color="auto"/>
              <w:left w:val="single" w:sz="2" w:space="0" w:color="auto"/>
              <w:bottom w:val="single" w:sz="2" w:space="0" w:color="auto"/>
              <w:right w:val="single" w:sz="2" w:space="0" w:color="auto"/>
            </w:tcBorders>
            <w:vAlign w:val="center"/>
          </w:tcPr>
          <w:p w14:paraId="279B7991"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129364A7"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143,140</w:t>
            </w:r>
          </w:p>
        </w:tc>
        <w:tc>
          <w:tcPr>
            <w:tcW w:w="650" w:type="pct"/>
            <w:tcBorders>
              <w:top w:val="single" w:sz="2" w:space="0" w:color="auto"/>
              <w:left w:val="single" w:sz="2" w:space="0" w:color="auto"/>
              <w:bottom w:val="single" w:sz="2" w:space="0" w:color="auto"/>
              <w:right w:val="single" w:sz="2" w:space="0" w:color="auto"/>
            </w:tcBorders>
            <w:vAlign w:val="center"/>
          </w:tcPr>
          <w:p w14:paraId="3B891E41"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14,314,000.00</w:t>
            </w:r>
          </w:p>
        </w:tc>
        <w:tc>
          <w:tcPr>
            <w:tcW w:w="512" w:type="pct"/>
            <w:tcBorders>
              <w:top w:val="single" w:sz="2" w:space="0" w:color="auto"/>
              <w:left w:val="single" w:sz="2" w:space="0" w:color="auto"/>
              <w:bottom w:val="single" w:sz="2" w:space="0" w:color="auto"/>
              <w:right w:val="single" w:sz="2" w:space="0" w:color="auto"/>
            </w:tcBorders>
            <w:vAlign w:val="center"/>
          </w:tcPr>
          <w:p w14:paraId="165A7750"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2.87%</w:t>
            </w:r>
          </w:p>
        </w:tc>
      </w:tr>
      <w:tr w:rsidR="00C57E60" w14:paraId="2784A81C" w14:textId="77777777" w:rsidTr="00DC359B">
        <w:trPr>
          <w:trHeight w:val="240"/>
        </w:trPr>
        <w:tc>
          <w:tcPr>
            <w:tcW w:w="288" w:type="pct"/>
            <w:tcBorders>
              <w:top w:val="single" w:sz="2" w:space="0" w:color="auto"/>
              <w:left w:val="single" w:sz="2" w:space="0" w:color="auto"/>
              <w:bottom w:val="single" w:sz="2" w:space="0" w:color="auto"/>
              <w:right w:val="single" w:sz="2" w:space="0" w:color="auto"/>
            </w:tcBorders>
            <w:shd w:val="clear" w:color="auto" w:fill="D3D3D3"/>
            <w:vAlign w:val="center"/>
          </w:tcPr>
          <w:p w14:paraId="3C7DC5EB" w14:textId="77777777" w:rsidR="00DC359B" w:rsidRPr="00075F40" w:rsidRDefault="00DC359B" w:rsidP="00DC359B">
            <w:pPr>
              <w:spacing w:before="40" w:after="40" w:line="360" w:lineRule="auto"/>
              <w:jc w:val="center"/>
              <w:rPr>
                <w:rFonts w:ascii="Times New Roman" w:eastAsia="宋体" w:hAnsi="Times New Roman" w:cs="Times New Roman"/>
                <w:sz w:val="18"/>
                <w:szCs w:val="18"/>
              </w:rPr>
            </w:pPr>
            <w:r w:rsidRPr="00075F40">
              <w:rPr>
                <w:rFonts w:ascii="Times New Roman" w:eastAsia="宋体" w:hAnsi="Times New Roman" w:cs="Times New Roman"/>
                <w:sz w:val="18"/>
                <w:szCs w:val="18"/>
              </w:rPr>
              <w:t>10</w:t>
            </w:r>
          </w:p>
        </w:tc>
        <w:tc>
          <w:tcPr>
            <w:tcW w:w="2300" w:type="pct"/>
            <w:gridSpan w:val="2"/>
            <w:tcBorders>
              <w:top w:val="single" w:sz="2" w:space="0" w:color="auto"/>
              <w:left w:val="single" w:sz="2" w:space="0" w:color="auto"/>
              <w:bottom w:val="single" w:sz="2" w:space="0" w:color="auto"/>
              <w:right w:val="single" w:sz="2" w:space="0" w:color="auto"/>
            </w:tcBorders>
            <w:vAlign w:val="center"/>
          </w:tcPr>
          <w:p w14:paraId="401E9E3D"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瑞众人寿保险有限责任公司－分红产品</w:t>
            </w:r>
          </w:p>
        </w:tc>
        <w:tc>
          <w:tcPr>
            <w:tcW w:w="600" w:type="pct"/>
            <w:tcBorders>
              <w:top w:val="single" w:sz="2" w:space="0" w:color="auto"/>
              <w:left w:val="single" w:sz="2" w:space="0" w:color="auto"/>
              <w:bottom w:val="single" w:sz="2" w:space="0" w:color="auto"/>
              <w:right w:val="single" w:sz="2" w:space="0" w:color="auto"/>
            </w:tcBorders>
            <w:vAlign w:val="center"/>
          </w:tcPr>
          <w:p w14:paraId="71A96A24" w14:textId="77777777" w:rsidR="00DC359B" w:rsidRPr="00075F40" w:rsidRDefault="00DC359B" w:rsidP="00DC359B">
            <w:pPr>
              <w:spacing w:line="360" w:lineRule="auto"/>
              <w:rPr>
                <w:rFonts w:ascii="Times New Roman" w:eastAsia="宋体" w:hAnsi="Times New Roman" w:cs="Times New Roman"/>
                <w:sz w:val="18"/>
                <w:szCs w:val="18"/>
              </w:rPr>
            </w:pPr>
            <w:r w:rsidRPr="00075F40">
              <w:rPr>
                <w:rFonts w:ascii="Times New Roman" w:eastAsia="宋体" w:hAnsi="Times New Roman" w:cs="Times New Roman"/>
                <w:sz w:val="18"/>
                <w:szCs w:val="18"/>
              </w:rPr>
              <w:t>其他</w:t>
            </w:r>
          </w:p>
        </w:tc>
        <w:tc>
          <w:tcPr>
            <w:tcW w:w="650" w:type="pct"/>
            <w:tcBorders>
              <w:top w:val="single" w:sz="2" w:space="0" w:color="auto"/>
              <w:left w:val="single" w:sz="2" w:space="0" w:color="auto"/>
              <w:bottom w:val="single" w:sz="2" w:space="0" w:color="auto"/>
              <w:right w:val="single" w:sz="2" w:space="0" w:color="auto"/>
            </w:tcBorders>
            <w:vAlign w:val="center"/>
          </w:tcPr>
          <w:p w14:paraId="0B59DB12"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134,000</w:t>
            </w:r>
          </w:p>
        </w:tc>
        <w:tc>
          <w:tcPr>
            <w:tcW w:w="650" w:type="pct"/>
            <w:tcBorders>
              <w:top w:val="single" w:sz="2" w:space="0" w:color="auto"/>
              <w:left w:val="single" w:sz="2" w:space="0" w:color="auto"/>
              <w:bottom w:val="single" w:sz="2" w:space="0" w:color="auto"/>
              <w:right w:val="single" w:sz="2" w:space="0" w:color="auto"/>
            </w:tcBorders>
            <w:vAlign w:val="center"/>
          </w:tcPr>
          <w:p w14:paraId="1135FBE9"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13,400,000.00</w:t>
            </w:r>
          </w:p>
        </w:tc>
        <w:tc>
          <w:tcPr>
            <w:tcW w:w="512" w:type="pct"/>
            <w:tcBorders>
              <w:top w:val="single" w:sz="2" w:space="0" w:color="auto"/>
              <w:left w:val="single" w:sz="2" w:space="0" w:color="auto"/>
              <w:bottom w:val="single" w:sz="2" w:space="0" w:color="auto"/>
              <w:right w:val="single" w:sz="2" w:space="0" w:color="auto"/>
            </w:tcBorders>
            <w:vAlign w:val="center"/>
          </w:tcPr>
          <w:p w14:paraId="5F0DE03A" w14:textId="77777777" w:rsidR="00DC359B" w:rsidRPr="00075F40" w:rsidRDefault="00DC359B" w:rsidP="00DC359B">
            <w:pPr>
              <w:spacing w:line="360" w:lineRule="auto"/>
              <w:jc w:val="right"/>
              <w:rPr>
                <w:rFonts w:ascii="Times New Roman" w:eastAsia="宋体" w:hAnsi="Times New Roman" w:cs="Times New Roman"/>
                <w:sz w:val="18"/>
                <w:szCs w:val="18"/>
              </w:rPr>
            </w:pPr>
            <w:r w:rsidRPr="00075F40">
              <w:rPr>
                <w:rFonts w:ascii="Times New Roman" w:eastAsia="宋体" w:hAnsi="Times New Roman" w:cs="Times New Roman"/>
                <w:sz w:val="18"/>
                <w:szCs w:val="18"/>
              </w:rPr>
              <w:t>2.69%</w:t>
            </w:r>
          </w:p>
        </w:tc>
      </w:tr>
    </w:tbl>
    <w:p w14:paraId="255EF756" w14:textId="77777777" w:rsidR="00DC359B" w:rsidRPr="00996CC9" w:rsidRDefault="00DC359B" w:rsidP="00DC359B">
      <w:pPr>
        <w:pStyle w:val="3"/>
        <w:spacing w:line="280" w:lineRule="exact"/>
        <w:jc w:val="left"/>
        <w:rPr>
          <w:rFonts w:ascii="Times New Roman" w:hAnsi="Times New Roman" w:cs="Times New Roman"/>
          <w:b/>
          <w:bCs/>
        </w:rPr>
      </w:pPr>
      <w:bookmarkStart w:id="107" w:name="_Toc989039"/>
      <w:r w:rsidRPr="00996CC9">
        <w:rPr>
          <w:rFonts w:ascii="Times New Roman" w:hAnsi="Times New Roman" w:cs="Times New Roman"/>
          <w:b/>
          <w:bCs/>
        </w:rPr>
        <w:t>3</w:t>
      </w:r>
      <w:r w:rsidRPr="00996CC9">
        <w:rPr>
          <w:rFonts w:ascii="Times New Roman" w:hAnsi="Times New Roman" w:cs="Times New Roman"/>
          <w:b/>
          <w:bCs/>
        </w:rPr>
        <w:t>、报告期转债变动情况</w:t>
      </w:r>
      <w:bookmarkEnd w:id="107"/>
    </w:p>
    <w:p w14:paraId="474358E9"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DB6C519" w14:textId="77777777" w:rsidR="00DC359B" w:rsidRDefault="00DC359B" w:rsidP="00DC359B">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Look w:val="0000" w:firstRow="0" w:lastRow="0" w:firstColumn="0" w:lastColumn="0" w:noHBand="0" w:noVBand="0"/>
      </w:tblPr>
      <w:tblGrid>
        <w:gridCol w:w="2364"/>
        <w:gridCol w:w="2361"/>
        <w:gridCol w:w="2362"/>
        <w:gridCol w:w="2362"/>
        <w:gridCol w:w="2365"/>
        <w:gridCol w:w="2362"/>
      </w:tblGrid>
      <w:tr w:rsidR="00C57E60" w14:paraId="43F7CE23" w14:textId="77777777" w:rsidTr="00DC359B">
        <w:trPr>
          <w:trHeight w:val="240"/>
        </w:trPr>
        <w:tc>
          <w:tcPr>
            <w:tcW w:w="834"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7B443D8"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可转换公司债券名称</w:t>
            </w:r>
          </w:p>
        </w:tc>
        <w:tc>
          <w:tcPr>
            <w:tcW w:w="833"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99BA7BD"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本次变动前</w:t>
            </w:r>
          </w:p>
        </w:tc>
        <w:tc>
          <w:tcPr>
            <w:tcW w:w="2500" w:type="pct"/>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37EB136"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本次变动增减</w:t>
            </w:r>
          </w:p>
        </w:tc>
        <w:tc>
          <w:tcPr>
            <w:tcW w:w="833"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613D42"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本次变动后</w:t>
            </w:r>
          </w:p>
        </w:tc>
      </w:tr>
      <w:tr w:rsidR="00C57E60" w14:paraId="231C6D10" w14:textId="77777777" w:rsidTr="00DC359B">
        <w:trPr>
          <w:trHeight w:val="240"/>
        </w:trPr>
        <w:tc>
          <w:tcPr>
            <w:tcW w:w="834"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792F597C" w14:textId="77777777" w:rsidR="00DC359B" w:rsidRPr="00996CC9" w:rsidRDefault="00DC359B" w:rsidP="00DC359B">
            <w:pPr>
              <w:spacing w:line="360" w:lineRule="auto"/>
              <w:rPr>
                <w:rFonts w:ascii="Times New Roman" w:hAnsi="Times New Roman" w:cs="Times New Roman"/>
              </w:rPr>
            </w:pPr>
          </w:p>
        </w:tc>
        <w:tc>
          <w:tcPr>
            <w:tcW w:w="833"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888D8A5" w14:textId="77777777" w:rsidR="00DC359B" w:rsidRPr="00996CC9" w:rsidRDefault="00DC359B" w:rsidP="00DC359B">
            <w:pPr>
              <w:spacing w:line="360" w:lineRule="auto"/>
              <w:rPr>
                <w:rFonts w:ascii="Times New Roman" w:hAnsi="Times New Roman" w:cs="Times New Roman"/>
              </w:rPr>
            </w:pPr>
          </w:p>
        </w:tc>
        <w:tc>
          <w:tcPr>
            <w:tcW w:w="833" w:type="pct"/>
            <w:tcBorders>
              <w:top w:val="single" w:sz="2" w:space="0" w:color="auto"/>
              <w:left w:val="single" w:sz="2" w:space="0" w:color="auto"/>
              <w:bottom w:val="single" w:sz="2" w:space="0" w:color="auto"/>
              <w:right w:val="single" w:sz="2" w:space="0" w:color="auto"/>
            </w:tcBorders>
            <w:shd w:val="clear" w:color="auto" w:fill="D3D3D3"/>
            <w:vAlign w:val="center"/>
          </w:tcPr>
          <w:p w14:paraId="24EBE951"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转股</w:t>
            </w:r>
          </w:p>
        </w:tc>
        <w:tc>
          <w:tcPr>
            <w:tcW w:w="833" w:type="pct"/>
            <w:tcBorders>
              <w:top w:val="single" w:sz="2" w:space="0" w:color="auto"/>
              <w:left w:val="single" w:sz="2" w:space="0" w:color="auto"/>
              <w:bottom w:val="single" w:sz="2" w:space="0" w:color="auto"/>
              <w:right w:val="single" w:sz="2" w:space="0" w:color="auto"/>
            </w:tcBorders>
            <w:shd w:val="clear" w:color="auto" w:fill="D3D3D3"/>
            <w:vAlign w:val="center"/>
          </w:tcPr>
          <w:p w14:paraId="096284D2"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赎回</w:t>
            </w:r>
          </w:p>
        </w:tc>
        <w:tc>
          <w:tcPr>
            <w:tcW w:w="834" w:type="pct"/>
            <w:tcBorders>
              <w:top w:val="single" w:sz="2" w:space="0" w:color="auto"/>
              <w:left w:val="single" w:sz="2" w:space="0" w:color="auto"/>
              <w:bottom w:val="single" w:sz="2" w:space="0" w:color="auto"/>
              <w:right w:val="single" w:sz="2" w:space="0" w:color="auto"/>
            </w:tcBorders>
            <w:shd w:val="clear" w:color="auto" w:fill="D3D3D3"/>
            <w:vAlign w:val="center"/>
          </w:tcPr>
          <w:p w14:paraId="238E2F34"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回售</w:t>
            </w:r>
          </w:p>
        </w:tc>
        <w:tc>
          <w:tcPr>
            <w:tcW w:w="833"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0B5993C" w14:textId="77777777" w:rsidR="00DC359B" w:rsidRPr="00996CC9" w:rsidRDefault="00DC359B" w:rsidP="00DC359B">
            <w:pPr>
              <w:spacing w:line="360" w:lineRule="auto"/>
              <w:rPr>
                <w:rFonts w:ascii="Times New Roman" w:hAnsi="Times New Roman" w:cs="Times New Roman"/>
              </w:rPr>
            </w:pPr>
          </w:p>
        </w:tc>
      </w:tr>
      <w:tr w:rsidR="00C57E60" w14:paraId="0F0327D3" w14:textId="77777777" w:rsidTr="00DC359B">
        <w:trPr>
          <w:trHeight w:val="240"/>
        </w:trPr>
        <w:tc>
          <w:tcPr>
            <w:tcW w:w="834" w:type="pct"/>
            <w:tcBorders>
              <w:top w:val="single" w:sz="2" w:space="0" w:color="auto"/>
              <w:left w:val="single" w:sz="2" w:space="0" w:color="auto"/>
              <w:bottom w:val="single" w:sz="2" w:space="0" w:color="auto"/>
              <w:right w:val="single" w:sz="2" w:space="0" w:color="auto"/>
            </w:tcBorders>
            <w:vAlign w:val="center"/>
          </w:tcPr>
          <w:p w14:paraId="16B98433" w14:textId="77777777" w:rsidR="00DC359B" w:rsidRPr="00996CC9" w:rsidRDefault="00DC359B" w:rsidP="00DC359B">
            <w:pPr>
              <w:spacing w:line="360" w:lineRule="auto"/>
              <w:rPr>
                <w:rFonts w:ascii="Times New Roman" w:eastAsia="宋体" w:hAnsi="Times New Roman" w:cs="Times New Roman"/>
                <w:sz w:val="18"/>
                <w:szCs w:val="18"/>
              </w:rPr>
            </w:pPr>
            <w:r w:rsidRPr="00996CC9">
              <w:rPr>
                <w:rFonts w:ascii="Times New Roman" w:eastAsia="宋体" w:hAnsi="Times New Roman" w:cs="Times New Roman"/>
                <w:sz w:val="18"/>
                <w:szCs w:val="18"/>
              </w:rPr>
              <w:t>三诺转债</w:t>
            </w:r>
          </w:p>
        </w:tc>
        <w:tc>
          <w:tcPr>
            <w:tcW w:w="833" w:type="pct"/>
            <w:tcBorders>
              <w:top w:val="single" w:sz="2" w:space="0" w:color="auto"/>
              <w:left w:val="single" w:sz="2" w:space="0" w:color="auto"/>
              <w:bottom w:val="single" w:sz="2" w:space="0" w:color="auto"/>
              <w:right w:val="single" w:sz="2" w:space="0" w:color="auto"/>
            </w:tcBorders>
            <w:vAlign w:val="center"/>
          </w:tcPr>
          <w:p w14:paraId="661167E0"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498,422,400.00</w:t>
            </w:r>
          </w:p>
        </w:tc>
        <w:tc>
          <w:tcPr>
            <w:tcW w:w="833" w:type="pct"/>
            <w:tcBorders>
              <w:top w:val="single" w:sz="2" w:space="0" w:color="auto"/>
              <w:left w:val="single" w:sz="2" w:space="0" w:color="auto"/>
              <w:bottom w:val="single" w:sz="2" w:space="0" w:color="auto"/>
              <w:right w:val="single" w:sz="2" w:space="0" w:color="auto"/>
            </w:tcBorders>
            <w:vAlign w:val="center"/>
          </w:tcPr>
          <w:p w14:paraId="44CAE3ED"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42,000.00</w:t>
            </w:r>
          </w:p>
        </w:tc>
        <w:tc>
          <w:tcPr>
            <w:tcW w:w="833" w:type="pct"/>
            <w:tcBorders>
              <w:top w:val="single" w:sz="2" w:space="0" w:color="auto"/>
              <w:left w:val="single" w:sz="2" w:space="0" w:color="auto"/>
              <w:bottom w:val="single" w:sz="2" w:space="0" w:color="auto"/>
              <w:right w:val="single" w:sz="2" w:space="0" w:color="auto"/>
            </w:tcBorders>
            <w:vAlign w:val="center"/>
          </w:tcPr>
          <w:p w14:paraId="3696D5FD"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0.00</w:t>
            </w:r>
          </w:p>
        </w:tc>
        <w:tc>
          <w:tcPr>
            <w:tcW w:w="834" w:type="pct"/>
            <w:tcBorders>
              <w:top w:val="single" w:sz="2" w:space="0" w:color="auto"/>
              <w:left w:val="single" w:sz="2" w:space="0" w:color="auto"/>
              <w:bottom w:val="single" w:sz="2" w:space="0" w:color="auto"/>
              <w:right w:val="single" w:sz="2" w:space="0" w:color="auto"/>
            </w:tcBorders>
            <w:vAlign w:val="center"/>
          </w:tcPr>
          <w:p w14:paraId="539C0B0C"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0.00</w:t>
            </w:r>
          </w:p>
        </w:tc>
        <w:tc>
          <w:tcPr>
            <w:tcW w:w="833" w:type="pct"/>
            <w:tcBorders>
              <w:top w:val="single" w:sz="2" w:space="0" w:color="auto"/>
              <w:left w:val="single" w:sz="2" w:space="0" w:color="auto"/>
              <w:bottom w:val="single" w:sz="2" w:space="0" w:color="auto"/>
              <w:right w:val="single" w:sz="2" w:space="0" w:color="auto"/>
            </w:tcBorders>
            <w:vAlign w:val="center"/>
          </w:tcPr>
          <w:p w14:paraId="2460B7C8"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498,380,400.00</w:t>
            </w:r>
          </w:p>
        </w:tc>
      </w:tr>
    </w:tbl>
    <w:p w14:paraId="53F07DCD" w14:textId="77777777" w:rsidR="00DC359B" w:rsidRDefault="00DC359B" w:rsidP="00DC359B">
      <w:pPr>
        <w:pStyle w:val="3"/>
        <w:spacing w:line="280" w:lineRule="exact"/>
        <w:jc w:val="left"/>
        <w:rPr>
          <w:rFonts w:ascii="宋体" w:hAnsi="宋体" w:cs="宋体"/>
          <w:b/>
          <w:bCs/>
        </w:rPr>
      </w:pPr>
      <w:bookmarkStart w:id="108" w:name="_Toc989040"/>
      <w:r>
        <w:rPr>
          <w:rFonts w:ascii="宋体" w:hAnsi="宋体" w:cs="宋体"/>
          <w:b/>
          <w:bCs/>
        </w:rPr>
        <w:t>4、累计转股情况</w:t>
      </w:r>
      <w:bookmarkEnd w:id="108"/>
    </w:p>
    <w:p w14:paraId="4C16FFE2" w14:textId="77777777" w:rsidR="00DC359B" w:rsidRDefault="00DC359B" w:rsidP="00DC359B">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5000" w:type="pct"/>
        <w:tblLook w:val="0000" w:firstRow="0" w:lastRow="0" w:firstColumn="0" w:lastColumn="0" w:noHBand="0" w:noVBand="0"/>
      </w:tblPr>
      <w:tblGrid>
        <w:gridCol w:w="1950"/>
        <w:gridCol w:w="2268"/>
        <w:gridCol w:w="1276"/>
        <w:gridCol w:w="1418"/>
        <w:gridCol w:w="1418"/>
        <w:gridCol w:w="1211"/>
        <w:gridCol w:w="1820"/>
        <w:gridCol w:w="1341"/>
        <w:gridCol w:w="1474"/>
      </w:tblGrid>
      <w:tr w:rsidR="00C57E60" w14:paraId="450687E0" w14:textId="77777777" w:rsidTr="00DC359B">
        <w:trPr>
          <w:trHeight w:val="240"/>
        </w:trPr>
        <w:tc>
          <w:tcPr>
            <w:tcW w:w="688" w:type="pct"/>
            <w:tcBorders>
              <w:top w:val="single" w:sz="2" w:space="0" w:color="auto"/>
              <w:left w:val="single" w:sz="2" w:space="0" w:color="auto"/>
              <w:bottom w:val="single" w:sz="2" w:space="0" w:color="auto"/>
              <w:right w:val="single" w:sz="2" w:space="0" w:color="auto"/>
            </w:tcBorders>
            <w:shd w:val="clear" w:color="auto" w:fill="D3D3D3"/>
            <w:vAlign w:val="center"/>
          </w:tcPr>
          <w:p w14:paraId="296355D9"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可转换公司债券名称</w:t>
            </w:r>
          </w:p>
        </w:tc>
        <w:tc>
          <w:tcPr>
            <w:tcW w:w="800" w:type="pct"/>
            <w:tcBorders>
              <w:top w:val="single" w:sz="2" w:space="0" w:color="auto"/>
              <w:left w:val="single" w:sz="2" w:space="0" w:color="auto"/>
              <w:bottom w:val="single" w:sz="2" w:space="0" w:color="auto"/>
              <w:right w:val="single" w:sz="2" w:space="0" w:color="auto"/>
            </w:tcBorders>
            <w:shd w:val="clear" w:color="auto" w:fill="D3D3D3"/>
            <w:vAlign w:val="center"/>
          </w:tcPr>
          <w:p w14:paraId="62E12A04"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转股起止日期</w:t>
            </w:r>
          </w:p>
        </w:tc>
        <w:tc>
          <w:tcPr>
            <w:tcW w:w="450" w:type="pct"/>
            <w:tcBorders>
              <w:top w:val="single" w:sz="2" w:space="0" w:color="auto"/>
              <w:left w:val="single" w:sz="2" w:space="0" w:color="auto"/>
              <w:bottom w:val="single" w:sz="2" w:space="0" w:color="auto"/>
              <w:right w:val="single" w:sz="2" w:space="0" w:color="auto"/>
            </w:tcBorders>
            <w:shd w:val="clear" w:color="auto" w:fill="D3D3D3"/>
            <w:vAlign w:val="center"/>
          </w:tcPr>
          <w:p w14:paraId="7315C087"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发行总量（张）</w:t>
            </w:r>
          </w:p>
        </w:tc>
        <w:tc>
          <w:tcPr>
            <w:tcW w:w="500" w:type="pct"/>
            <w:tcBorders>
              <w:top w:val="single" w:sz="2" w:space="0" w:color="auto"/>
              <w:left w:val="single" w:sz="2" w:space="0" w:color="auto"/>
              <w:bottom w:val="single" w:sz="2" w:space="0" w:color="auto"/>
              <w:right w:val="single" w:sz="2" w:space="0" w:color="auto"/>
            </w:tcBorders>
            <w:shd w:val="clear" w:color="auto" w:fill="D3D3D3"/>
            <w:vAlign w:val="center"/>
          </w:tcPr>
          <w:p w14:paraId="2487FC85"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发行总金额（元）</w:t>
            </w:r>
          </w:p>
        </w:tc>
        <w:tc>
          <w:tcPr>
            <w:tcW w:w="500" w:type="pct"/>
            <w:tcBorders>
              <w:top w:val="single" w:sz="2" w:space="0" w:color="auto"/>
              <w:left w:val="single" w:sz="2" w:space="0" w:color="auto"/>
              <w:bottom w:val="single" w:sz="2" w:space="0" w:color="auto"/>
              <w:right w:val="single" w:sz="2" w:space="0" w:color="auto"/>
            </w:tcBorders>
            <w:shd w:val="clear" w:color="auto" w:fill="D3D3D3"/>
            <w:vAlign w:val="center"/>
          </w:tcPr>
          <w:p w14:paraId="0FEF4F5D"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累计转股金额（元）</w:t>
            </w:r>
          </w:p>
        </w:tc>
        <w:tc>
          <w:tcPr>
            <w:tcW w:w="427" w:type="pct"/>
            <w:tcBorders>
              <w:top w:val="single" w:sz="2" w:space="0" w:color="auto"/>
              <w:left w:val="single" w:sz="2" w:space="0" w:color="auto"/>
              <w:bottom w:val="single" w:sz="2" w:space="0" w:color="auto"/>
              <w:right w:val="single" w:sz="2" w:space="0" w:color="auto"/>
            </w:tcBorders>
            <w:shd w:val="clear" w:color="auto" w:fill="D3D3D3"/>
            <w:vAlign w:val="center"/>
          </w:tcPr>
          <w:p w14:paraId="6AC45C7A"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累计转股数</w:t>
            </w:r>
          </w:p>
          <w:p w14:paraId="0A1CAF48"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（股）</w:t>
            </w:r>
          </w:p>
        </w:tc>
        <w:tc>
          <w:tcPr>
            <w:tcW w:w="642" w:type="pct"/>
            <w:tcBorders>
              <w:top w:val="single" w:sz="2" w:space="0" w:color="auto"/>
              <w:left w:val="single" w:sz="2" w:space="0" w:color="auto"/>
              <w:bottom w:val="single" w:sz="2" w:space="0" w:color="auto"/>
              <w:right w:val="single" w:sz="2" w:space="0" w:color="auto"/>
            </w:tcBorders>
            <w:shd w:val="clear" w:color="auto" w:fill="D3D3D3"/>
            <w:vAlign w:val="center"/>
          </w:tcPr>
          <w:p w14:paraId="097D137C"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转股数量占转股开始日前公司已发行股份总额的比例</w:t>
            </w:r>
          </w:p>
        </w:tc>
        <w:tc>
          <w:tcPr>
            <w:tcW w:w="473" w:type="pct"/>
            <w:tcBorders>
              <w:top w:val="single" w:sz="2" w:space="0" w:color="auto"/>
              <w:left w:val="single" w:sz="2" w:space="0" w:color="auto"/>
              <w:bottom w:val="single" w:sz="2" w:space="0" w:color="auto"/>
              <w:right w:val="single" w:sz="2" w:space="0" w:color="auto"/>
            </w:tcBorders>
            <w:shd w:val="clear" w:color="auto" w:fill="D3D3D3"/>
            <w:vAlign w:val="center"/>
          </w:tcPr>
          <w:p w14:paraId="1E61239D"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尚未转股金额</w:t>
            </w:r>
            <w:r w:rsidRPr="00996CC9">
              <w:rPr>
                <w:rFonts w:ascii="Times New Roman" w:eastAsia="宋体" w:hAnsi="Times New Roman" w:cs="Times New Roman"/>
                <w:sz w:val="18"/>
                <w:szCs w:val="18"/>
              </w:rPr>
              <w:t>(</w:t>
            </w:r>
            <w:r w:rsidRPr="00996CC9">
              <w:rPr>
                <w:rFonts w:ascii="Times New Roman" w:eastAsia="宋体" w:hAnsi="Times New Roman" w:cs="Times New Roman"/>
                <w:sz w:val="18"/>
                <w:szCs w:val="18"/>
              </w:rPr>
              <w:t>元</w:t>
            </w:r>
            <w:r w:rsidRPr="00996CC9">
              <w:rPr>
                <w:rFonts w:ascii="Times New Roman" w:eastAsia="宋体" w:hAnsi="Times New Roman" w:cs="Times New Roman"/>
                <w:sz w:val="18"/>
                <w:szCs w:val="18"/>
              </w:rPr>
              <w:t>)</w:t>
            </w:r>
          </w:p>
        </w:tc>
        <w:tc>
          <w:tcPr>
            <w:tcW w:w="520" w:type="pct"/>
            <w:tcBorders>
              <w:top w:val="single" w:sz="2" w:space="0" w:color="auto"/>
              <w:left w:val="single" w:sz="2" w:space="0" w:color="auto"/>
              <w:bottom w:val="single" w:sz="2" w:space="0" w:color="auto"/>
              <w:right w:val="single" w:sz="2" w:space="0" w:color="auto"/>
            </w:tcBorders>
            <w:shd w:val="clear" w:color="auto" w:fill="D3D3D3"/>
            <w:vAlign w:val="center"/>
          </w:tcPr>
          <w:p w14:paraId="0F9FEDEB" w14:textId="77777777" w:rsidR="00DC359B" w:rsidRPr="00996CC9" w:rsidRDefault="00DC359B" w:rsidP="00DC359B">
            <w:pPr>
              <w:spacing w:before="40" w:after="40" w:line="360" w:lineRule="auto"/>
              <w:jc w:val="center"/>
              <w:rPr>
                <w:rFonts w:ascii="Times New Roman" w:eastAsia="宋体" w:hAnsi="Times New Roman" w:cs="Times New Roman"/>
                <w:sz w:val="18"/>
                <w:szCs w:val="18"/>
              </w:rPr>
            </w:pPr>
            <w:r w:rsidRPr="00996CC9">
              <w:rPr>
                <w:rFonts w:ascii="Times New Roman" w:eastAsia="宋体" w:hAnsi="Times New Roman" w:cs="Times New Roman"/>
                <w:sz w:val="18"/>
                <w:szCs w:val="18"/>
              </w:rPr>
              <w:t>未转股金额占发行总金额的比例</w:t>
            </w:r>
          </w:p>
        </w:tc>
      </w:tr>
      <w:tr w:rsidR="00C57E60" w14:paraId="1BB30CC0" w14:textId="77777777" w:rsidTr="00DC359B">
        <w:trPr>
          <w:trHeight w:val="240"/>
        </w:trPr>
        <w:tc>
          <w:tcPr>
            <w:tcW w:w="688" w:type="pct"/>
            <w:tcBorders>
              <w:top w:val="single" w:sz="2" w:space="0" w:color="auto"/>
              <w:left w:val="single" w:sz="2" w:space="0" w:color="auto"/>
              <w:bottom w:val="single" w:sz="2" w:space="0" w:color="auto"/>
              <w:right w:val="single" w:sz="2" w:space="0" w:color="auto"/>
            </w:tcBorders>
            <w:vAlign w:val="center"/>
          </w:tcPr>
          <w:p w14:paraId="424008FA" w14:textId="77777777" w:rsidR="00DC359B" w:rsidRPr="00996CC9" w:rsidRDefault="00DC359B" w:rsidP="00DC359B">
            <w:pPr>
              <w:spacing w:line="360" w:lineRule="auto"/>
              <w:rPr>
                <w:rFonts w:ascii="Times New Roman" w:eastAsia="宋体" w:hAnsi="Times New Roman" w:cs="Times New Roman"/>
                <w:sz w:val="18"/>
                <w:szCs w:val="18"/>
              </w:rPr>
            </w:pPr>
            <w:r w:rsidRPr="00996CC9">
              <w:rPr>
                <w:rFonts w:ascii="Times New Roman" w:eastAsia="宋体" w:hAnsi="Times New Roman" w:cs="Times New Roman"/>
                <w:sz w:val="18"/>
                <w:szCs w:val="18"/>
              </w:rPr>
              <w:t>三诺转债</w:t>
            </w:r>
          </w:p>
        </w:tc>
        <w:tc>
          <w:tcPr>
            <w:tcW w:w="800" w:type="pct"/>
            <w:tcBorders>
              <w:top w:val="single" w:sz="2" w:space="0" w:color="auto"/>
              <w:left w:val="single" w:sz="2" w:space="0" w:color="auto"/>
              <w:bottom w:val="single" w:sz="2" w:space="0" w:color="auto"/>
              <w:right w:val="single" w:sz="2" w:space="0" w:color="auto"/>
            </w:tcBorders>
            <w:vAlign w:val="center"/>
          </w:tcPr>
          <w:p w14:paraId="2DA5416D" w14:textId="77777777" w:rsidR="00DC359B" w:rsidRPr="00996CC9" w:rsidRDefault="00DC359B" w:rsidP="00DC359B">
            <w:pPr>
              <w:spacing w:line="360" w:lineRule="auto"/>
              <w:rPr>
                <w:rFonts w:ascii="Times New Roman" w:eastAsia="宋体" w:hAnsi="Times New Roman" w:cs="Times New Roman"/>
                <w:sz w:val="18"/>
                <w:szCs w:val="18"/>
              </w:rPr>
            </w:pPr>
            <w:r w:rsidRPr="00996CC9">
              <w:rPr>
                <w:rFonts w:ascii="Times New Roman" w:eastAsia="宋体" w:hAnsi="Times New Roman" w:cs="Times New Roman"/>
                <w:sz w:val="18"/>
                <w:szCs w:val="18"/>
              </w:rPr>
              <w:t>2021-06-25</w:t>
            </w:r>
            <w:r w:rsidRPr="00996CC9">
              <w:rPr>
                <w:rFonts w:ascii="Times New Roman" w:eastAsia="宋体" w:hAnsi="Times New Roman" w:cs="Times New Roman"/>
                <w:sz w:val="18"/>
                <w:szCs w:val="18"/>
              </w:rPr>
              <w:t>至</w:t>
            </w:r>
            <w:r w:rsidRPr="00996CC9">
              <w:rPr>
                <w:rFonts w:ascii="Times New Roman" w:eastAsia="宋体" w:hAnsi="Times New Roman" w:cs="Times New Roman"/>
                <w:sz w:val="18"/>
                <w:szCs w:val="18"/>
              </w:rPr>
              <w:t>2026-12-20</w:t>
            </w:r>
          </w:p>
        </w:tc>
        <w:tc>
          <w:tcPr>
            <w:tcW w:w="450" w:type="pct"/>
            <w:tcBorders>
              <w:top w:val="single" w:sz="2" w:space="0" w:color="auto"/>
              <w:left w:val="single" w:sz="2" w:space="0" w:color="auto"/>
              <w:bottom w:val="single" w:sz="2" w:space="0" w:color="auto"/>
              <w:right w:val="single" w:sz="2" w:space="0" w:color="auto"/>
            </w:tcBorders>
            <w:vAlign w:val="center"/>
          </w:tcPr>
          <w:p w14:paraId="37CBCDF0"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5,000,000</w:t>
            </w:r>
          </w:p>
        </w:tc>
        <w:tc>
          <w:tcPr>
            <w:tcW w:w="500" w:type="pct"/>
            <w:tcBorders>
              <w:top w:val="single" w:sz="2" w:space="0" w:color="auto"/>
              <w:left w:val="single" w:sz="2" w:space="0" w:color="auto"/>
              <w:bottom w:val="single" w:sz="2" w:space="0" w:color="auto"/>
              <w:right w:val="single" w:sz="2" w:space="0" w:color="auto"/>
            </w:tcBorders>
            <w:vAlign w:val="center"/>
          </w:tcPr>
          <w:p w14:paraId="20A833C6"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500,000,000.00</w:t>
            </w:r>
          </w:p>
        </w:tc>
        <w:tc>
          <w:tcPr>
            <w:tcW w:w="500" w:type="pct"/>
            <w:tcBorders>
              <w:top w:val="single" w:sz="2" w:space="0" w:color="auto"/>
              <w:left w:val="single" w:sz="2" w:space="0" w:color="auto"/>
              <w:bottom w:val="single" w:sz="2" w:space="0" w:color="auto"/>
              <w:right w:val="single" w:sz="2" w:space="0" w:color="auto"/>
            </w:tcBorders>
            <w:vAlign w:val="center"/>
          </w:tcPr>
          <w:p w14:paraId="6FD7069F"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1,619,600.00</w:t>
            </w:r>
          </w:p>
        </w:tc>
        <w:tc>
          <w:tcPr>
            <w:tcW w:w="427" w:type="pct"/>
            <w:tcBorders>
              <w:top w:val="single" w:sz="2" w:space="0" w:color="auto"/>
              <w:left w:val="single" w:sz="2" w:space="0" w:color="auto"/>
              <w:bottom w:val="single" w:sz="2" w:space="0" w:color="auto"/>
              <w:right w:val="single" w:sz="2" w:space="0" w:color="auto"/>
            </w:tcBorders>
            <w:vAlign w:val="center"/>
          </w:tcPr>
          <w:p w14:paraId="2725FDD8"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46,259</w:t>
            </w:r>
          </w:p>
        </w:tc>
        <w:tc>
          <w:tcPr>
            <w:tcW w:w="642" w:type="pct"/>
            <w:tcBorders>
              <w:top w:val="single" w:sz="2" w:space="0" w:color="auto"/>
              <w:left w:val="single" w:sz="2" w:space="0" w:color="auto"/>
              <w:bottom w:val="single" w:sz="2" w:space="0" w:color="auto"/>
              <w:right w:val="single" w:sz="2" w:space="0" w:color="auto"/>
            </w:tcBorders>
            <w:vAlign w:val="center"/>
          </w:tcPr>
          <w:p w14:paraId="77881983"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0.01%</w:t>
            </w:r>
          </w:p>
        </w:tc>
        <w:tc>
          <w:tcPr>
            <w:tcW w:w="473" w:type="pct"/>
            <w:tcBorders>
              <w:top w:val="single" w:sz="2" w:space="0" w:color="auto"/>
              <w:left w:val="single" w:sz="2" w:space="0" w:color="auto"/>
              <w:bottom w:val="single" w:sz="2" w:space="0" w:color="auto"/>
              <w:right w:val="single" w:sz="2" w:space="0" w:color="auto"/>
            </w:tcBorders>
            <w:vAlign w:val="center"/>
          </w:tcPr>
          <w:p w14:paraId="3B47B2D2"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498,380,400.00</w:t>
            </w:r>
          </w:p>
        </w:tc>
        <w:tc>
          <w:tcPr>
            <w:tcW w:w="520" w:type="pct"/>
            <w:tcBorders>
              <w:top w:val="single" w:sz="2" w:space="0" w:color="auto"/>
              <w:left w:val="single" w:sz="2" w:space="0" w:color="auto"/>
              <w:bottom w:val="single" w:sz="2" w:space="0" w:color="auto"/>
              <w:right w:val="single" w:sz="2" w:space="0" w:color="auto"/>
            </w:tcBorders>
            <w:vAlign w:val="center"/>
          </w:tcPr>
          <w:p w14:paraId="48A4026C" w14:textId="77777777" w:rsidR="00DC359B" w:rsidRPr="00996CC9" w:rsidRDefault="00DC359B" w:rsidP="00DC359B">
            <w:pPr>
              <w:spacing w:line="360" w:lineRule="auto"/>
              <w:jc w:val="right"/>
              <w:rPr>
                <w:rFonts w:ascii="Times New Roman" w:eastAsia="宋体" w:hAnsi="Times New Roman" w:cs="Times New Roman"/>
                <w:sz w:val="18"/>
                <w:szCs w:val="18"/>
              </w:rPr>
            </w:pPr>
            <w:r w:rsidRPr="00996CC9">
              <w:rPr>
                <w:rFonts w:ascii="Times New Roman" w:eastAsia="宋体" w:hAnsi="Times New Roman" w:cs="Times New Roman"/>
                <w:sz w:val="18"/>
                <w:szCs w:val="18"/>
              </w:rPr>
              <w:t>99.68%</w:t>
            </w:r>
          </w:p>
        </w:tc>
      </w:tr>
    </w:tbl>
    <w:p w14:paraId="60739E99" w14:textId="77777777" w:rsidR="00DC359B" w:rsidRPr="002E1CD2" w:rsidRDefault="00DC359B" w:rsidP="00DC359B">
      <w:pPr>
        <w:pStyle w:val="3"/>
        <w:spacing w:line="280" w:lineRule="exact"/>
        <w:jc w:val="left"/>
        <w:rPr>
          <w:rFonts w:ascii="Times New Roman" w:hAnsi="Times New Roman" w:cs="Times New Roman"/>
          <w:b/>
          <w:bCs/>
        </w:rPr>
      </w:pPr>
      <w:bookmarkStart w:id="109" w:name="_Toc989041"/>
      <w:r w:rsidRPr="002E1CD2">
        <w:rPr>
          <w:rFonts w:ascii="Times New Roman" w:hAnsi="Times New Roman" w:cs="Times New Roman"/>
          <w:b/>
          <w:bCs/>
        </w:rPr>
        <w:t>5</w:t>
      </w:r>
      <w:r w:rsidRPr="002E1CD2">
        <w:rPr>
          <w:rFonts w:ascii="Times New Roman" w:hAnsi="Times New Roman" w:cs="Times New Roman"/>
          <w:b/>
          <w:bCs/>
        </w:rPr>
        <w:t>、转股价格历次调整、修正情况</w:t>
      </w:r>
      <w:bookmarkEnd w:id="109"/>
    </w:p>
    <w:tbl>
      <w:tblPr>
        <w:tblW w:w="5000" w:type="pct"/>
        <w:tblLook w:val="0000" w:firstRow="0" w:lastRow="0" w:firstColumn="0" w:lastColumn="0" w:noHBand="0" w:noVBand="0"/>
      </w:tblPr>
      <w:tblGrid>
        <w:gridCol w:w="1951"/>
        <w:gridCol w:w="1701"/>
        <w:gridCol w:w="2126"/>
        <w:gridCol w:w="1701"/>
        <w:gridCol w:w="4335"/>
        <w:gridCol w:w="2362"/>
      </w:tblGrid>
      <w:tr w:rsidR="00C57E60" w14:paraId="05E8B419" w14:textId="77777777" w:rsidTr="00DC359B">
        <w:trPr>
          <w:trHeight w:val="240"/>
        </w:trPr>
        <w:tc>
          <w:tcPr>
            <w:tcW w:w="688" w:type="pct"/>
            <w:tcBorders>
              <w:top w:val="single" w:sz="2" w:space="0" w:color="auto"/>
              <w:left w:val="single" w:sz="2" w:space="0" w:color="auto"/>
              <w:bottom w:val="single" w:sz="2" w:space="0" w:color="auto"/>
              <w:right w:val="single" w:sz="2" w:space="0" w:color="auto"/>
            </w:tcBorders>
            <w:shd w:val="clear" w:color="auto" w:fill="D3D3D3"/>
            <w:vAlign w:val="center"/>
          </w:tcPr>
          <w:p w14:paraId="4E984147" w14:textId="77777777" w:rsidR="00DC359B" w:rsidRPr="004E16A8" w:rsidRDefault="00DC359B" w:rsidP="00DC359B">
            <w:pPr>
              <w:spacing w:before="40" w:after="40" w:line="360" w:lineRule="auto"/>
              <w:jc w:val="center"/>
              <w:rPr>
                <w:rFonts w:ascii="Times New Roman" w:eastAsia="宋体" w:hAnsi="Times New Roman" w:cs="Times New Roman"/>
                <w:sz w:val="18"/>
                <w:szCs w:val="18"/>
              </w:rPr>
            </w:pPr>
            <w:r w:rsidRPr="004E16A8">
              <w:rPr>
                <w:rFonts w:ascii="Times New Roman" w:eastAsia="宋体" w:hAnsi="Times New Roman" w:cs="Times New Roman"/>
                <w:sz w:val="18"/>
                <w:szCs w:val="18"/>
              </w:rPr>
              <w:t>可转换公司债券名称</w:t>
            </w:r>
          </w:p>
        </w:tc>
        <w:tc>
          <w:tcPr>
            <w:tcW w:w="600" w:type="pct"/>
            <w:tcBorders>
              <w:top w:val="single" w:sz="2" w:space="0" w:color="auto"/>
              <w:left w:val="single" w:sz="2" w:space="0" w:color="auto"/>
              <w:bottom w:val="single" w:sz="2" w:space="0" w:color="auto"/>
              <w:right w:val="single" w:sz="2" w:space="0" w:color="auto"/>
            </w:tcBorders>
            <w:shd w:val="clear" w:color="auto" w:fill="D3D3D3"/>
            <w:vAlign w:val="center"/>
          </w:tcPr>
          <w:p w14:paraId="420D17A3" w14:textId="77777777" w:rsidR="00DC359B" w:rsidRPr="004E16A8" w:rsidRDefault="00DC359B" w:rsidP="00DC359B">
            <w:pPr>
              <w:spacing w:before="40" w:after="40" w:line="360" w:lineRule="auto"/>
              <w:jc w:val="center"/>
              <w:rPr>
                <w:rFonts w:ascii="Times New Roman" w:eastAsia="宋体" w:hAnsi="Times New Roman" w:cs="Times New Roman"/>
                <w:sz w:val="18"/>
                <w:szCs w:val="18"/>
              </w:rPr>
            </w:pPr>
            <w:r w:rsidRPr="004E16A8">
              <w:rPr>
                <w:rFonts w:ascii="Times New Roman" w:eastAsia="宋体" w:hAnsi="Times New Roman" w:cs="Times New Roman"/>
                <w:sz w:val="18"/>
                <w:szCs w:val="18"/>
              </w:rPr>
              <w:t>转股价格调整日</w:t>
            </w:r>
          </w:p>
        </w:tc>
        <w:tc>
          <w:tcPr>
            <w:tcW w:w="750" w:type="pct"/>
            <w:tcBorders>
              <w:top w:val="single" w:sz="2" w:space="0" w:color="auto"/>
              <w:left w:val="single" w:sz="2" w:space="0" w:color="auto"/>
              <w:bottom w:val="single" w:sz="2" w:space="0" w:color="auto"/>
              <w:right w:val="single" w:sz="2" w:space="0" w:color="auto"/>
            </w:tcBorders>
            <w:shd w:val="clear" w:color="auto" w:fill="D3D3D3"/>
            <w:vAlign w:val="center"/>
          </w:tcPr>
          <w:p w14:paraId="0B508FB3" w14:textId="77777777" w:rsidR="00DC359B" w:rsidRPr="004E16A8" w:rsidRDefault="00DC359B" w:rsidP="00DC359B">
            <w:pPr>
              <w:spacing w:before="40" w:after="40" w:line="360" w:lineRule="auto"/>
              <w:jc w:val="center"/>
              <w:rPr>
                <w:rFonts w:ascii="Times New Roman" w:eastAsia="宋体" w:hAnsi="Times New Roman" w:cs="Times New Roman"/>
                <w:sz w:val="18"/>
                <w:szCs w:val="18"/>
              </w:rPr>
            </w:pPr>
            <w:r w:rsidRPr="004E16A8">
              <w:rPr>
                <w:rFonts w:ascii="Times New Roman" w:eastAsia="宋体" w:hAnsi="Times New Roman" w:cs="Times New Roman"/>
                <w:sz w:val="18"/>
                <w:szCs w:val="18"/>
              </w:rPr>
              <w:t>调整后转股价格（元）</w:t>
            </w:r>
          </w:p>
        </w:tc>
        <w:tc>
          <w:tcPr>
            <w:tcW w:w="600" w:type="pct"/>
            <w:tcBorders>
              <w:top w:val="single" w:sz="2" w:space="0" w:color="auto"/>
              <w:left w:val="single" w:sz="2" w:space="0" w:color="auto"/>
              <w:bottom w:val="single" w:sz="2" w:space="0" w:color="auto"/>
              <w:right w:val="single" w:sz="2" w:space="0" w:color="auto"/>
            </w:tcBorders>
            <w:shd w:val="clear" w:color="auto" w:fill="D3D3D3"/>
            <w:vAlign w:val="center"/>
          </w:tcPr>
          <w:p w14:paraId="2CA58472" w14:textId="77777777" w:rsidR="00DC359B" w:rsidRPr="004E16A8" w:rsidRDefault="00DC359B" w:rsidP="00DC359B">
            <w:pPr>
              <w:spacing w:before="40" w:after="40" w:line="360" w:lineRule="auto"/>
              <w:jc w:val="center"/>
              <w:rPr>
                <w:rFonts w:ascii="Times New Roman" w:eastAsia="宋体" w:hAnsi="Times New Roman" w:cs="Times New Roman"/>
                <w:sz w:val="18"/>
                <w:szCs w:val="18"/>
              </w:rPr>
            </w:pPr>
            <w:r w:rsidRPr="004E16A8">
              <w:rPr>
                <w:rFonts w:ascii="Times New Roman" w:eastAsia="宋体" w:hAnsi="Times New Roman" w:cs="Times New Roman"/>
                <w:sz w:val="18"/>
                <w:szCs w:val="18"/>
              </w:rPr>
              <w:t>披露时间</w:t>
            </w:r>
          </w:p>
        </w:tc>
        <w:tc>
          <w:tcPr>
            <w:tcW w:w="1529" w:type="pct"/>
            <w:tcBorders>
              <w:top w:val="single" w:sz="2" w:space="0" w:color="auto"/>
              <w:left w:val="single" w:sz="2" w:space="0" w:color="auto"/>
              <w:bottom w:val="single" w:sz="2" w:space="0" w:color="auto"/>
              <w:right w:val="single" w:sz="2" w:space="0" w:color="auto"/>
            </w:tcBorders>
            <w:shd w:val="clear" w:color="auto" w:fill="D3D3D3"/>
            <w:vAlign w:val="center"/>
          </w:tcPr>
          <w:p w14:paraId="64D6C8A7" w14:textId="77777777" w:rsidR="00DC359B" w:rsidRPr="004E16A8" w:rsidRDefault="00DC359B" w:rsidP="00DC359B">
            <w:pPr>
              <w:spacing w:before="40" w:after="40" w:line="360" w:lineRule="auto"/>
              <w:jc w:val="center"/>
              <w:rPr>
                <w:rFonts w:ascii="Times New Roman" w:eastAsia="宋体" w:hAnsi="Times New Roman" w:cs="Times New Roman"/>
                <w:sz w:val="18"/>
                <w:szCs w:val="18"/>
              </w:rPr>
            </w:pPr>
            <w:r w:rsidRPr="004E16A8">
              <w:rPr>
                <w:rFonts w:ascii="Times New Roman" w:eastAsia="宋体" w:hAnsi="Times New Roman" w:cs="Times New Roman"/>
                <w:sz w:val="18"/>
                <w:szCs w:val="18"/>
              </w:rPr>
              <w:t>转股价格调整说明</w:t>
            </w:r>
          </w:p>
        </w:tc>
        <w:tc>
          <w:tcPr>
            <w:tcW w:w="833" w:type="pct"/>
            <w:tcBorders>
              <w:top w:val="single" w:sz="2" w:space="0" w:color="auto"/>
              <w:left w:val="single" w:sz="2" w:space="0" w:color="auto"/>
              <w:bottom w:val="single" w:sz="2" w:space="0" w:color="auto"/>
              <w:right w:val="single" w:sz="2" w:space="0" w:color="auto"/>
            </w:tcBorders>
            <w:shd w:val="clear" w:color="auto" w:fill="D3D3D3"/>
            <w:vAlign w:val="center"/>
          </w:tcPr>
          <w:p w14:paraId="1EDC9433" w14:textId="77777777" w:rsidR="00DC359B" w:rsidRPr="004E16A8" w:rsidRDefault="00DC359B" w:rsidP="00DC359B">
            <w:pPr>
              <w:spacing w:before="40" w:after="40" w:line="360" w:lineRule="auto"/>
              <w:jc w:val="center"/>
              <w:rPr>
                <w:rFonts w:ascii="Times New Roman" w:eastAsia="宋体" w:hAnsi="Times New Roman" w:cs="Times New Roman"/>
                <w:sz w:val="18"/>
                <w:szCs w:val="18"/>
              </w:rPr>
            </w:pPr>
            <w:r w:rsidRPr="004E16A8">
              <w:rPr>
                <w:rFonts w:ascii="Times New Roman" w:eastAsia="宋体" w:hAnsi="Times New Roman" w:cs="Times New Roman"/>
                <w:sz w:val="18"/>
                <w:szCs w:val="18"/>
              </w:rPr>
              <w:t>截至本报告期末最新转股价格（元）</w:t>
            </w:r>
          </w:p>
        </w:tc>
      </w:tr>
      <w:tr w:rsidR="00C57E60" w14:paraId="1D929E45" w14:textId="77777777" w:rsidTr="00DC359B">
        <w:trPr>
          <w:trHeight w:val="240"/>
        </w:trPr>
        <w:tc>
          <w:tcPr>
            <w:tcW w:w="688" w:type="pct"/>
            <w:vMerge w:val="restart"/>
            <w:tcBorders>
              <w:top w:val="single" w:sz="2" w:space="0" w:color="auto"/>
              <w:left w:val="single" w:sz="2" w:space="0" w:color="auto"/>
              <w:right w:val="single" w:sz="2" w:space="0" w:color="auto"/>
            </w:tcBorders>
            <w:vAlign w:val="center"/>
          </w:tcPr>
          <w:p w14:paraId="77AA3BE2"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三诺转债</w:t>
            </w:r>
          </w:p>
        </w:tc>
        <w:tc>
          <w:tcPr>
            <w:tcW w:w="600" w:type="pct"/>
            <w:tcBorders>
              <w:top w:val="single" w:sz="2" w:space="0" w:color="auto"/>
              <w:left w:val="single" w:sz="2" w:space="0" w:color="auto"/>
              <w:bottom w:val="single" w:sz="2" w:space="0" w:color="auto"/>
              <w:right w:val="single" w:sz="2" w:space="0" w:color="auto"/>
            </w:tcBorders>
            <w:vAlign w:val="center"/>
          </w:tcPr>
          <w:p w14:paraId="58C855C5"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11</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188F4C66"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35.15</w:t>
            </w:r>
          </w:p>
        </w:tc>
        <w:tc>
          <w:tcPr>
            <w:tcW w:w="600" w:type="pct"/>
            <w:tcBorders>
              <w:top w:val="single" w:sz="2" w:space="0" w:color="auto"/>
              <w:left w:val="single" w:sz="2" w:space="0" w:color="auto"/>
              <w:bottom w:val="single" w:sz="2" w:space="0" w:color="auto"/>
              <w:right w:val="single" w:sz="2" w:space="0" w:color="auto"/>
            </w:tcBorders>
            <w:vAlign w:val="center"/>
          </w:tcPr>
          <w:p w14:paraId="4C7292C3"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04</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62751509"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实施完成</w:t>
            </w:r>
            <w:r w:rsidRPr="004E16A8">
              <w:rPr>
                <w:rFonts w:ascii="Times New Roman" w:eastAsia="宋体" w:hAnsi="Times New Roman" w:cs="Times New Roman"/>
                <w:sz w:val="18"/>
                <w:szCs w:val="18"/>
              </w:rPr>
              <w:t>2020</w:t>
            </w:r>
            <w:r w:rsidRPr="004E16A8">
              <w:rPr>
                <w:rFonts w:ascii="Times New Roman" w:eastAsia="宋体" w:hAnsi="Times New Roman" w:cs="Times New Roman"/>
                <w:sz w:val="18"/>
                <w:szCs w:val="18"/>
              </w:rPr>
              <w:t>年年度权益分派方案，根据三诺转债转股价格调整的相关条款，三诺转债的转股价格由</w:t>
            </w:r>
            <w:r w:rsidRPr="004E16A8">
              <w:rPr>
                <w:rFonts w:ascii="Times New Roman" w:eastAsia="宋体" w:hAnsi="Times New Roman" w:cs="Times New Roman"/>
                <w:sz w:val="18"/>
                <w:szCs w:val="18"/>
              </w:rPr>
              <w:t>35.35</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35.15</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11</w:t>
            </w:r>
            <w:r w:rsidRPr="004E16A8">
              <w:rPr>
                <w:rFonts w:ascii="Times New Roman" w:eastAsia="宋体" w:hAnsi="Times New Roman" w:cs="Times New Roman"/>
                <w:sz w:val="18"/>
                <w:szCs w:val="18"/>
              </w:rPr>
              <w:t>日起生效。</w:t>
            </w:r>
          </w:p>
        </w:tc>
        <w:tc>
          <w:tcPr>
            <w:tcW w:w="833" w:type="pct"/>
            <w:vMerge w:val="restart"/>
            <w:tcBorders>
              <w:top w:val="single" w:sz="2" w:space="0" w:color="auto"/>
              <w:left w:val="single" w:sz="2" w:space="0" w:color="auto"/>
              <w:right w:val="single" w:sz="2" w:space="0" w:color="auto"/>
            </w:tcBorders>
            <w:vAlign w:val="center"/>
          </w:tcPr>
          <w:p w14:paraId="40B4DE13"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34.46</w:t>
            </w:r>
          </w:p>
        </w:tc>
      </w:tr>
      <w:tr w:rsidR="00C57E60" w14:paraId="39C59361" w14:textId="77777777" w:rsidTr="00DC359B">
        <w:trPr>
          <w:trHeight w:val="240"/>
        </w:trPr>
        <w:tc>
          <w:tcPr>
            <w:tcW w:w="688" w:type="pct"/>
            <w:vMerge/>
            <w:tcBorders>
              <w:left w:val="single" w:sz="2" w:space="0" w:color="auto"/>
              <w:right w:val="single" w:sz="2" w:space="0" w:color="auto"/>
            </w:tcBorders>
            <w:vAlign w:val="center"/>
          </w:tcPr>
          <w:p w14:paraId="3BE0C651"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3924EB44"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08</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20</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58626160"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35.18</w:t>
            </w:r>
          </w:p>
        </w:tc>
        <w:tc>
          <w:tcPr>
            <w:tcW w:w="600" w:type="pct"/>
            <w:tcBorders>
              <w:top w:val="single" w:sz="2" w:space="0" w:color="auto"/>
              <w:left w:val="single" w:sz="2" w:space="0" w:color="auto"/>
              <w:bottom w:val="single" w:sz="2" w:space="0" w:color="auto"/>
              <w:right w:val="single" w:sz="2" w:space="0" w:color="auto"/>
            </w:tcBorders>
            <w:vAlign w:val="center"/>
          </w:tcPr>
          <w:p w14:paraId="513E7944"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08</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20</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64BEF3ED"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办理完成对公司</w:t>
            </w:r>
            <w:r w:rsidRPr="004E16A8">
              <w:rPr>
                <w:rFonts w:ascii="Times New Roman" w:eastAsia="宋体" w:hAnsi="Times New Roman" w:cs="Times New Roman"/>
                <w:sz w:val="18"/>
                <w:szCs w:val="18"/>
              </w:rPr>
              <w:t>2017</w:t>
            </w:r>
            <w:r w:rsidRPr="004E16A8">
              <w:rPr>
                <w:rFonts w:ascii="Times New Roman" w:eastAsia="宋体" w:hAnsi="Times New Roman" w:cs="Times New Roman"/>
                <w:sz w:val="18"/>
                <w:szCs w:val="18"/>
              </w:rPr>
              <w:t>年限制性股票激励计划部分已授予但尚未解除限售的限制性股票回购注销事宜，根据三诺转债转股价格调整的相关条款，三诺转债的转股价格由</w:t>
            </w:r>
            <w:r w:rsidRPr="004E16A8">
              <w:rPr>
                <w:rFonts w:ascii="Times New Roman" w:eastAsia="宋体" w:hAnsi="Times New Roman" w:cs="Times New Roman"/>
                <w:sz w:val="18"/>
                <w:szCs w:val="18"/>
              </w:rPr>
              <w:t>35.15</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35.18</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8</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20</w:t>
            </w:r>
            <w:r w:rsidRPr="004E16A8">
              <w:rPr>
                <w:rFonts w:ascii="Times New Roman" w:eastAsia="宋体" w:hAnsi="Times New Roman" w:cs="Times New Roman"/>
                <w:sz w:val="18"/>
                <w:szCs w:val="18"/>
              </w:rPr>
              <w:t>日起生效。</w:t>
            </w:r>
          </w:p>
        </w:tc>
        <w:tc>
          <w:tcPr>
            <w:tcW w:w="833" w:type="pct"/>
            <w:vMerge/>
            <w:tcBorders>
              <w:left w:val="single" w:sz="2" w:space="0" w:color="auto"/>
              <w:right w:val="single" w:sz="2" w:space="0" w:color="auto"/>
            </w:tcBorders>
            <w:vAlign w:val="center"/>
          </w:tcPr>
          <w:p w14:paraId="0CA0BD38" w14:textId="77777777" w:rsidR="00DC359B" w:rsidRPr="004E16A8" w:rsidRDefault="00DC359B" w:rsidP="00DC359B">
            <w:pPr>
              <w:spacing w:line="360" w:lineRule="auto"/>
              <w:jc w:val="right"/>
              <w:rPr>
                <w:rFonts w:ascii="Times New Roman" w:eastAsia="宋体" w:hAnsi="Times New Roman" w:cs="Times New Roman"/>
                <w:sz w:val="18"/>
                <w:szCs w:val="18"/>
              </w:rPr>
            </w:pPr>
          </w:p>
        </w:tc>
      </w:tr>
      <w:tr w:rsidR="00C57E60" w14:paraId="6BE34CDB" w14:textId="77777777" w:rsidTr="00DC359B">
        <w:trPr>
          <w:trHeight w:val="240"/>
        </w:trPr>
        <w:tc>
          <w:tcPr>
            <w:tcW w:w="688" w:type="pct"/>
            <w:vMerge/>
            <w:tcBorders>
              <w:left w:val="single" w:sz="2" w:space="0" w:color="auto"/>
              <w:right w:val="single" w:sz="2" w:space="0" w:color="auto"/>
            </w:tcBorders>
            <w:vAlign w:val="center"/>
          </w:tcPr>
          <w:p w14:paraId="29E941E3"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749175FB"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05</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25</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0B681A32"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34.98</w:t>
            </w:r>
          </w:p>
        </w:tc>
        <w:tc>
          <w:tcPr>
            <w:tcW w:w="600" w:type="pct"/>
            <w:tcBorders>
              <w:top w:val="single" w:sz="2" w:space="0" w:color="auto"/>
              <w:left w:val="single" w:sz="2" w:space="0" w:color="auto"/>
              <w:bottom w:val="single" w:sz="2" w:space="0" w:color="auto"/>
              <w:right w:val="single" w:sz="2" w:space="0" w:color="auto"/>
            </w:tcBorders>
            <w:vAlign w:val="center"/>
          </w:tcPr>
          <w:p w14:paraId="33C194F4"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05</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19</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247C359A"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实施完成</w:t>
            </w:r>
            <w:r w:rsidRPr="004E16A8">
              <w:rPr>
                <w:rFonts w:ascii="Times New Roman" w:eastAsia="宋体" w:hAnsi="Times New Roman" w:cs="Times New Roman"/>
                <w:sz w:val="18"/>
                <w:szCs w:val="18"/>
              </w:rPr>
              <w:t>2021</w:t>
            </w:r>
            <w:r w:rsidRPr="004E16A8">
              <w:rPr>
                <w:rFonts w:ascii="Times New Roman" w:eastAsia="宋体" w:hAnsi="Times New Roman" w:cs="Times New Roman"/>
                <w:sz w:val="18"/>
                <w:szCs w:val="18"/>
              </w:rPr>
              <w:t>年年度权益分派方案，根据三诺转债转股价格调整的相关条款，三诺转债的转股价格由</w:t>
            </w:r>
            <w:r w:rsidRPr="004E16A8">
              <w:rPr>
                <w:rFonts w:ascii="Times New Roman" w:eastAsia="宋体" w:hAnsi="Times New Roman" w:cs="Times New Roman"/>
                <w:sz w:val="18"/>
                <w:szCs w:val="18"/>
              </w:rPr>
              <w:t>35.18</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34.98</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5</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25</w:t>
            </w:r>
            <w:r w:rsidRPr="004E16A8">
              <w:rPr>
                <w:rFonts w:ascii="Times New Roman" w:eastAsia="宋体" w:hAnsi="Times New Roman" w:cs="Times New Roman"/>
                <w:sz w:val="18"/>
                <w:szCs w:val="18"/>
              </w:rPr>
              <w:t>日起生效。</w:t>
            </w:r>
          </w:p>
        </w:tc>
        <w:tc>
          <w:tcPr>
            <w:tcW w:w="833" w:type="pct"/>
            <w:vMerge/>
            <w:tcBorders>
              <w:left w:val="single" w:sz="2" w:space="0" w:color="auto"/>
              <w:right w:val="single" w:sz="2" w:space="0" w:color="auto"/>
            </w:tcBorders>
            <w:vAlign w:val="center"/>
          </w:tcPr>
          <w:p w14:paraId="4C210A12" w14:textId="77777777" w:rsidR="00DC359B" w:rsidRPr="004E16A8" w:rsidRDefault="00DC359B" w:rsidP="00DC359B">
            <w:pPr>
              <w:spacing w:line="360" w:lineRule="auto"/>
              <w:jc w:val="right"/>
              <w:rPr>
                <w:rFonts w:ascii="Times New Roman" w:eastAsia="宋体" w:hAnsi="Times New Roman" w:cs="Times New Roman"/>
                <w:sz w:val="18"/>
                <w:szCs w:val="18"/>
              </w:rPr>
            </w:pPr>
          </w:p>
        </w:tc>
      </w:tr>
      <w:tr w:rsidR="00C57E60" w14:paraId="00116778" w14:textId="77777777" w:rsidTr="00DC359B">
        <w:trPr>
          <w:trHeight w:val="240"/>
        </w:trPr>
        <w:tc>
          <w:tcPr>
            <w:tcW w:w="688" w:type="pct"/>
            <w:vMerge/>
            <w:tcBorders>
              <w:left w:val="single" w:sz="2" w:space="0" w:color="auto"/>
              <w:right w:val="single" w:sz="2" w:space="0" w:color="auto"/>
            </w:tcBorders>
            <w:vAlign w:val="center"/>
          </w:tcPr>
          <w:p w14:paraId="5D9CFF44"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6AF9AA2B"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09</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28</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070224FE"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35.01</w:t>
            </w:r>
          </w:p>
        </w:tc>
        <w:tc>
          <w:tcPr>
            <w:tcW w:w="600" w:type="pct"/>
            <w:tcBorders>
              <w:top w:val="single" w:sz="2" w:space="0" w:color="auto"/>
              <w:left w:val="single" w:sz="2" w:space="0" w:color="auto"/>
              <w:bottom w:val="single" w:sz="2" w:space="0" w:color="auto"/>
              <w:right w:val="single" w:sz="2" w:space="0" w:color="auto"/>
            </w:tcBorders>
            <w:vAlign w:val="center"/>
          </w:tcPr>
          <w:p w14:paraId="7851D101"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09</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27</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75CBFE0F"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办理完成对公司</w:t>
            </w:r>
            <w:r w:rsidRPr="004E16A8">
              <w:rPr>
                <w:rFonts w:ascii="Times New Roman" w:eastAsia="宋体" w:hAnsi="Times New Roman" w:cs="Times New Roman"/>
                <w:sz w:val="18"/>
                <w:szCs w:val="18"/>
              </w:rPr>
              <w:t>2017</w:t>
            </w:r>
            <w:r w:rsidRPr="004E16A8">
              <w:rPr>
                <w:rFonts w:ascii="Times New Roman" w:eastAsia="宋体" w:hAnsi="Times New Roman" w:cs="Times New Roman"/>
                <w:sz w:val="18"/>
                <w:szCs w:val="18"/>
              </w:rPr>
              <w:t>年限制性股票激励计划部分已授予但尚未解除限售的限制性股票回购注销事宜，根据三诺转债转股价格调整的相关条款，三诺转债的转股价格由</w:t>
            </w:r>
            <w:r w:rsidRPr="004E16A8">
              <w:rPr>
                <w:rFonts w:ascii="Times New Roman" w:eastAsia="宋体" w:hAnsi="Times New Roman" w:cs="Times New Roman"/>
                <w:sz w:val="18"/>
                <w:szCs w:val="18"/>
              </w:rPr>
              <w:t>34.98</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35.01</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9</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28</w:t>
            </w:r>
            <w:r w:rsidRPr="004E16A8">
              <w:rPr>
                <w:rFonts w:ascii="Times New Roman" w:eastAsia="宋体" w:hAnsi="Times New Roman" w:cs="Times New Roman"/>
                <w:sz w:val="18"/>
                <w:szCs w:val="18"/>
              </w:rPr>
              <w:t>日起生效。</w:t>
            </w:r>
          </w:p>
        </w:tc>
        <w:tc>
          <w:tcPr>
            <w:tcW w:w="833" w:type="pct"/>
            <w:vMerge/>
            <w:tcBorders>
              <w:left w:val="single" w:sz="2" w:space="0" w:color="auto"/>
              <w:right w:val="single" w:sz="2" w:space="0" w:color="auto"/>
            </w:tcBorders>
            <w:vAlign w:val="center"/>
          </w:tcPr>
          <w:p w14:paraId="2DDE7877" w14:textId="77777777" w:rsidR="00DC359B" w:rsidRPr="004E16A8" w:rsidRDefault="00DC359B" w:rsidP="00DC359B">
            <w:pPr>
              <w:spacing w:line="360" w:lineRule="auto"/>
              <w:jc w:val="right"/>
              <w:rPr>
                <w:rFonts w:ascii="Times New Roman" w:eastAsia="宋体" w:hAnsi="Times New Roman" w:cs="Times New Roman"/>
                <w:sz w:val="18"/>
                <w:szCs w:val="18"/>
              </w:rPr>
            </w:pPr>
          </w:p>
        </w:tc>
      </w:tr>
      <w:tr w:rsidR="00C57E60" w14:paraId="4525BC38" w14:textId="77777777" w:rsidTr="00DC359B">
        <w:trPr>
          <w:trHeight w:val="240"/>
        </w:trPr>
        <w:tc>
          <w:tcPr>
            <w:tcW w:w="688" w:type="pct"/>
            <w:vMerge/>
            <w:tcBorders>
              <w:left w:val="single" w:sz="2" w:space="0" w:color="auto"/>
              <w:right w:val="single" w:sz="2" w:space="0" w:color="auto"/>
            </w:tcBorders>
            <w:vAlign w:val="center"/>
          </w:tcPr>
          <w:p w14:paraId="4C6ADB1C"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3A649611"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2023</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05</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26</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3FDDDC4C"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34.81</w:t>
            </w:r>
          </w:p>
        </w:tc>
        <w:tc>
          <w:tcPr>
            <w:tcW w:w="600" w:type="pct"/>
            <w:tcBorders>
              <w:top w:val="single" w:sz="2" w:space="0" w:color="auto"/>
              <w:left w:val="single" w:sz="2" w:space="0" w:color="auto"/>
              <w:bottom w:val="single" w:sz="2" w:space="0" w:color="auto"/>
              <w:right w:val="single" w:sz="2" w:space="0" w:color="auto"/>
            </w:tcBorders>
            <w:vAlign w:val="center"/>
          </w:tcPr>
          <w:p w14:paraId="3D592C72"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2023</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05</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19</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210AED47"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实施完成</w:t>
            </w:r>
            <w:r w:rsidRPr="004E16A8">
              <w:rPr>
                <w:rFonts w:ascii="Times New Roman" w:eastAsia="宋体" w:hAnsi="Times New Roman" w:cs="Times New Roman"/>
                <w:sz w:val="18"/>
                <w:szCs w:val="18"/>
              </w:rPr>
              <w:t>2022</w:t>
            </w:r>
            <w:r w:rsidRPr="004E16A8">
              <w:rPr>
                <w:rFonts w:ascii="Times New Roman" w:eastAsia="宋体" w:hAnsi="Times New Roman" w:cs="Times New Roman"/>
                <w:sz w:val="18"/>
                <w:szCs w:val="18"/>
              </w:rPr>
              <w:t>年年度权益分派方案，根据三诺转债转股价格调整的相关条款，三诺转债的转股价格由</w:t>
            </w:r>
            <w:r w:rsidRPr="004E16A8">
              <w:rPr>
                <w:rFonts w:ascii="Times New Roman" w:eastAsia="宋体" w:hAnsi="Times New Roman" w:cs="Times New Roman"/>
                <w:sz w:val="18"/>
                <w:szCs w:val="18"/>
              </w:rPr>
              <w:t>35.01</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34.81</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2023</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5</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26</w:t>
            </w:r>
            <w:r w:rsidRPr="004E16A8">
              <w:rPr>
                <w:rFonts w:ascii="Times New Roman" w:eastAsia="宋体" w:hAnsi="Times New Roman" w:cs="Times New Roman"/>
                <w:sz w:val="18"/>
                <w:szCs w:val="18"/>
              </w:rPr>
              <w:t>日起生效。</w:t>
            </w:r>
          </w:p>
        </w:tc>
        <w:tc>
          <w:tcPr>
            <w:tcW w:w="833" w:type="pct"/>
            <w:vMerge/>
            <w:tcBorders>
              <w:left w:val="single" w:sz="2" w:space="0" w:color="auto"/>
              <w:right w:val="single" w:sz="2" w:space="0" w:color="auto"/>
            </w:tcBorders>
            <w:vAlign w:val="center"/>
          </w:tcPr>
          <w:p w14:paraId="3B3D8ACB" w14:textId="77777777" w:rsidR="00DC359B" w:rsidRPr="004E16A8" w:rsidRDefault="00DC359B" w:rsidP="00DC359B">
            <w:pPr>
              <w:spacing w:line="360" w:lineRule="auto"/>
              <w:jc w:val="right"/>
              <w:rPr>
                <w:rFonts w:ascii="Times New Roman" w:eastAsia="宋体" w:hAnsi="Times New Roman" w:cs="Times New Roman"/>
                <w:sz w:val="18"/>
                <w:szCs w:val="18"/>
              </w:rPr>
            </w:pPr>
          </w:p>
        </w:tc>
      </w:tr>
      <w:tr w:rsidR="00C57E60" w14:paraId="01FEEF2D" w14:textId="77777777" w:rsidTr="00DC359B">
        <w:trPr>
          <w:trHeight w:val="240"/>
        </w:trPr>
        <w:tc>
          <w:tcPr>
            <w:tcW w:w="688" w:type="pct"/>
            <w:vMerge/>
            <w:tcBorders>
              <w:left w:val="single" w:sz="2" w:space="0" w:color="auto"/>
              <w:right w:val="single" w:sz="2" w:space="0" w:color="auto"/>
            </w:tcBorders>
            <w:vAlign w:val="center"/>
          </w:tcPr>
          <w:p w14:paraId="4ECE1158"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527C3CBA"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2024</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17</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03328AA9"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34.61</w:t>
            </w:r>
          </w:p>
        </w:tc>
        <w:tc>
          <w:tcPr>
            <w:tcW w:w="600" w:type="pct"/>
            <w:tcBorders>
              <w:top w:val="single" w:sz="2" w:space="0" w:color="auto"/>
              <w:left w:val="single" w:sz="2" w:space="0" w:color="auto"/>
              <w:bottom w:val="single" w:sz="2" w:space="0" w:color="auto"/>
              <w:right w:val="single" w:sz="2" w:space="0" w:color="auto"/>
            </w:tcBorders>
            <w:vAlign w:val="center"/>
          </w:tcPr>
          <w:p w14:paraId="44FE15C3"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2024</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07</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6295C5AA"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实施完成</w:t>
            </w:r>
            <w:r w:rsidRPr="004E16A8">
              <w:rPr>
                <w:rFonts w:ascii="Times New Roman" w:eastAsia="宋体" w:hAnsi="Times New Roman" w:cs="Times New Roman"/>
                <w:sz w:val="18"/>
                <w:szCs w:val="18"/>
              </w:rPr>
              <w:t>2023</w:t>
            </w:r>
            <w:r w:rsidRPr="004E16A8">
              <w:rPr>
                <w:rFonts w:ascii="Times New Roman" w:eastAsia="宋体" w:hAnsi="Times New Roman" w:cs="Times New Roman"/>
                <w:sz w:val="18"/>
                <w:szCs w:val="18"/>
              </w:rPr>
              <w:t>年年度权益分派方案，根据三诺转债转股价格调整的相关条款，三诺转债的转股价格由</w:t>
            </w:r>
            <w:r w:rsidRPr="004E16A8">
              <w:rPr>
                <w:rFonts w:ascii="Times New Roman" w:eastAsia="宋体" w:hAnsi="Times New Roman" w:cs="Times New Roman"/>
                <w:sz w:val="18"/>
                <w:szCs w:val="18"/>
              </w:rPr>
              <w:t>34.81</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34.61</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2024</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17</w:t>
            </w:r>
            <w:r w:rsidRPr="004E16A8">
              <w:rPr>
                <w:rFonts w:ascii="Times New Roman" w:eastAsia="宋体" w:hAnsi="Times New Roman" w:cs="Times New Roman"/>
                <w:sz w:val="18"/>
                <w:szCs w:val="18"/>
              </w:rPr>
              <w:t>日起生效。</w:t>
            </w:r>
          </w:p>
        </w:tc>
        <w:tc>
          <w:tcPr>
            <w:tcW w:w="833" w:type="pct"/>
            <w:vMerge/>
            <w:tcBorders>
              <w:left w:val="single" w:sz="2" w:space="0" w:color="auto"/>
              <w:right w:val="single" w:sz="2" w:space="0" w:color="auto"/>
            </w:tcBorders>
            <w:vAlign w:val="center"/>
          </w:tcPr>
          <w:p w14:paraId="26CCE3D9" w14:textId="77777777" w:rsidR="00DC359B" w:rsidRPr="004E16A8" w:rsidRDefault="00DC359B" w:rsidP="00DC359B">
            <w:pPr>
              <w:spacing w:line="360" w:lineRule="auto"/>
              <w:jc w:val="right"/>
              <w:rPr>
                <w:rFonts w:ascii="Times New Roman" w:eastAsia="宋体" w:hAnsi="Times New Roman" w:cs="Times New Roman"/>
                <w:sz w:val="18"/>
                <w:szCs w:val="18"/>
              </w:rPr>
            </w:pPr>
          </w:p>
        </w:tc>
      </w:tr>
      <w:tr w:rsidR="00C57E60" w14:paraId="6A7FDCC4" w14:textId="77777777" w:rsidTr="00DC359B">
        <w:trPr>
          <w:trHeight w:val="240"/>
        </w:trPr>
        <w:tc>
          <w:tcPr>
            <w:tcW w:w="688" w:type="pct"/>
            <w:vMerge/>
            <w:tcBorders>
              <w:left w:val="single" w:sz="2" w:space="0" w:color="auto"/>
              <w:right w:val="single" w:sz="2" w:space="0" w:color="auto"/>
            </w:tcBorders>
            <w:vAlign w:val="center"/>
          </w:tcPr>
          <w:p w14:paraId="4DDFDB18"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1FE51890"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2025</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13</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32EC14EB"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34.39</w:t>
            </w:r>
          </w:p>
        </w:tc>
        <w:tc>
          <w:tcPr>
            <w:tcW w:w="600" w:type="pct"/>
            <w:tcBorders>
              <w:top w:val="single" w:sz="2" w:space="0" w:color="auto"/>
              <w:left w:val="single" w:sz="2" w:space="0" w:color="auto"/>
              <w:bottom w:val="single" w:sz="2" w:space="0" w:color="auto"/>
              <w:right w:val="single" w:sz="2" w:space="0" w:color="auto"/>
            </w:tcBorders>
            <w:vAlign w:val="center"/>
          </w:tcPr>
          <w:p w14:paraId="25EB5596"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2025</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06</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503F29A4"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实施完成</w:t>
            </w:r>
            <w:r w:rsidRPr="004E16A8">
              <w:rPr>
                <w:rFonts w:ascii="Times New Roman" w:eastAsia="宋体" w:hAnsi="Times New Roman" w:cs="Times New Roman"/>
                <w:sz w:val="18"/>
                <w:szCs w:val="18"/>
              </w:rPr>
              <w:t>2024</w:t>
            </w:r>
            <w:r w:rsidRPr="004E16A8">
              <w:rPr>
                <w:rFonts w:ascii="Times New Roman" w:eastAsia="宋体" w:hAnsi="Times New Roman" w:cs="Times New Roman"/>
                <w:sz w:val="18"/>
                <w:szCs w:val="18"/>
              </w:rPr>
              <w:t>年年度权益分派方案，根据三诺转债转股价格调整的相关条款，三诺转债的转股价格由</w:t>
            </w:r>
            <w:r w:rsidRPr="004E16A8">
              <w:rPr>
                <w:rFonts w:ascii="Times New Roman" w:eastAsia="宋体" w:hAnsi="Times New Roman" w:cs="Times New Roman"/>
                <w:sz w:val="18"/>
                <w:szCs w:val="18"/>
              </w:rPr>
              <w:t>34.61</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34.39</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2025</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6</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13</w:t>
            </w:r>
            <w:r w:rsidRPr="004E16A8">
              <w:rPr>
                <w:rFonts w:ascii="Times New Roman" w:eastAsia="宋体" w:hAnsi="Times New Roman" w:cs="Times New Roman"/>
                <w:sz w:val="18"/>
                <w:szCs w:val="18"/>
              </w:rPr>
              <w:t>日起生效。</w:t>
            </w:r>
          </w:p>
        </w:tc>
        <w:tc>
          <w:tcPr>
            <w:tcW w:w="833" w:type="pct"/>
            <w:vMerge/>
            <w:tcBorders>
              <w:left w:val="single" w:sz="2" w:space="0" w:color="auto"/>
              <w:right w:val="single" w:sz="2" w:space="0" w:color="auto"/>
            </w:tcBorders>
            <w:vAlign w:val="center"/>
          </w:tcPr>
          <w:p w14:paraId="222D63BA" w14:textId="77777777" w:rsidR="00DC359B" w:rsidRPr="004E16A8" w:rsidRDefault="00DC359B" w:rsidP="00DC359B">
            <w:pPr>
              <w:spacing w:line="360" w:lineRule="auto"/>
              <w:jc w:val="right"/>
              <w:rPr>
                <w:rFonts w:ascii="Times New Roman" w:eastAsia="宋体" w:hAnsi="Times New Roman" w:cs="Times New Roman"/>
                <w:sz w:val="18"/>
                <w:szCs w:val="18"/>
              </w:rPr>
            </w:pPr>
          </w:p>
        </w:tc>
      </w:tr>
      <w:tr w:rsidR="00C57E60" w14:paraId="6AC9ADB1" w14:textId="77777777" w:rsidTr="00DC359B">
        <w:trPr>
          <w:trHeight w:val="240"/>
        </w:trPr>
        <w:tc>
          <w:tcPr>
            <w:tcW w:w="688" w:type="pct"/>
            <w:vMerge/>
            <w:tcBorders>
              <w:left w:val="single" w:sz="2" w:space="0" w:color="auto"/>
              <w:bottom w:val="single" w:sz="2" w:space="0" w:color="auto"/>
              <w:right w:val="single" w:sz="2" w:space="0" w:color="auto"/>
            </w:tcBorders>
            <w:vAlign w:val="center"/>
          </w:tcPr>
          <w:p w14:paraId="37A1CEA1" w14:textId="77777777" w:rsidR="00DC359B" w:rsidRPr="004E16A8" w:rsidRDefault="00DC359B" w:rsidP="00DC359B">
            <w:pPr>
              <w:spacing w:line="360" w:lineRule="auto"/>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5580CE87"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2025</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07</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14</w:t>
            </w:r>
            <w:r w:rsidRPr="004E16A8">
              <w:rPr>
                <w:rFonts w:ascii="Times New Roman" w:eastAsia="宋体" w:hAnsi="Times New Roman" w:cs="Times New Roman"/>
                <w:sz w:val="18"/>
                <w:szCs w:val="18"/>
              </w:rPr>
              <w:t>日</w:t>
            </w:r>
          </w:p>
        </w:tc>
        <w:tc>
          <w:tcPr>
            <w:tcW w:w="750" w:type="pct"/>
            <w:tcBorders>
              <w:top w:val="single" w:sz="2" w:space="0" w:color="auto"/>
              <w:left w:val="single" w:sz="2" w:space="0" w:color="auto"/>
              <w:bottom w:val="single" w:sz="2" w:space="0" w:color="auto"/>
              <w:right w:val="single" w:sz="2" w:space="0" w:color="auto"/>
            </w:tcBorders>
            <w:vAlign w:val="center"/>
          </w:tcPr>
          <w:p w14:paraId="497FFB4B" w14:textId="77777777" w:rsidR="00DC359B" w:rsidRPr="004E16A8" w:rsidRDefault="00DC359B" w:rsidP="00DC359B">
            <w:pPr>
              <w:spacing w:line="360" w:lineRule="auto"/>
              <w:jc w:val="right"/>
              <w:rPr>
                <w:rFonts w:ascii="Times New Roman" w:eastAsia="宋体" w:hAnsi="Times New Roman" w:cs="Times New Roman"/>
                <w:sz w:val="18"/>
                <w:szCs w:val="18"/>
              </w:rPr>
            </w:pPr>
            <w:r w:rsidRPr="004E16A8">
              <w:rPr>
                <w:rFonts w:ascii="Times New Roman" w:eastAsia="宋体" w:hAnsi="Times New Roman" w:cs="Times New Roman"/>
                <w:sz w:val="18"/>
                <w:szCs w:val="18"/>
              </w:rPr>
              <w:t>34.46</w:t>
            </w:r>
          </w:p>
        </w:tc>
        <w:tc>
          <w:tcPr>
            <w:tcW w:w="600" w:type="pct"/>
            <w:tcBorders>
              <w:top w:val="single" w:sz="2" w:space="0" w:color="auto"/>
              <w:left w:val="single" w:sz="2" w:space="0" w:color="auto"/>
              <w:bottom w:val="single" w:sz="2" w:space="0" w:color="auto"/>
              <w:right w:val="single" w:sz="2" w:space="0" w:color="auto"/>
            </w:tcBorders>
            <w:vAlign w:val="center"/>
          </w:tcPr>
          <w:p w14:paraId="4DD83573" w14:textId="77777777" w:rsidR="00DC359B" w:rsidRPr="004E16A8" w:rsidRDefault="00DC359B" w:rsidP="00DC359B">
            <w:pPr>
              <w:spacing w:line="360" w:lineRule="auto"/>
              <w:rPr>
                <w:rFonts w:ascii="Times New Roman" w:eastAsia="宋体" w:hAnsi="Times New Roman" w:cs="Times New Roman"/>
                <w:sz w:val="18"/>
                <w:szCs w:val="18"/>
              </w:rPr>
            </w:pPr>
            <w:r w:rsidRPr="004E16A8">
              <w:rPr>
                <w:rFonts w:ascii="Times New Roman" w:eastAsia="宋体" w:hAnsi="Times New Roman" w:cs="Times New Roman"/>
                <w:sz w:val="18"/>
                <w:szCs w:val="18"/>
              </w:rPr>
              <w:t>2025</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07</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11</w:t>
            </w:r>
            <w:r w:rsidRPr="004E16A8">
              <w:rPr>
                <w:rFonts w:ascii="Times New Roman" w:eastAsia="宋体" w:hAnsi="Times New Roman" w:cs="Times New Roman"/>
                <w:sz w:val="18"/>
                <w:szCs w:val="18"/>
              </w:rPr>
              <w:t>日</w:t>
            </w:r>
          </w:p>
        </w:tc>
        <w:tc>
          <w:tcPr>
            <w:tcW w:w="1529" w:type="pct"/>
            <w:tcBorders>
              <w:top w:val="single" w:sz="2" w:space="0" w:color="auto"/>
              <w:left w:val="single" w:sz="2" w:space="0" w:color="auto"/>
              <w:bottom w:val="single" w:sz="2" w:space="0" w:color="auto"/>
              <w:right w:val="single" w:sz="2" w:space="0" w:color="auto"/>
            </w:tcBorders>
            <w:vAlign w:val="center"/>
          </w:tcPr>
          <w:p w14:paraId="7A87685F" w14:textId="77777777" w:rsidR="00DC359B" w:rsidRPr="004E16A8" w:rsidRDefault="00DC359B" w:rsidP="00DC359B">
            <w:pPr>
              <w:spacing w:line="360" w:lineRule="auto"/>
              <w:jc w:val="both"/>
              <w:rPr>
                <w:rFonts w:ascii="Times New Roman" w:eastAsia="宋体" w:hAnsi="Times New Roman" w:cs="Times New Roman"/>
                <w:sz w:val="18"/>
                <w:szCs w:val="18"/>
              </w:rPr>
            </w:pPr>
            <w:r w:rsidRPr="004E16A8">
              <w:rPr>
                <w:rFonts w:ascii="Times New Roman" w:eastAsia="宋体" w:hAnsi="Times New Roman" w:cs="Times New Roman"/>
                <w:sz w:val="18"/>
                <w:szCs w:val="18"/>
              </w:rPr>
              <w:t>办理完成部分回购股份的注销业务。根据三诺转债转股价格调整的相关条款，三诺转债的转股价格由</w:t>
            </w:r>
            <w:r w:rsidRPr="004E16A8">
              <w:rPr>
                <w:rFonts w:ascii="Times New Roman" w:eastAsia="宋体" w:hAnsi="Times New Roman" w:cs="Times New Roman"/>
                <w:sz w:val="18"/>
                <w:szCs w:val="18"/>
              </w:rPr>
              <w:t>34.39</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股调整为</w:t>
            </w:r>
            <w:r w:rsidRPr="004E16A8">
              <w:rPr>
                <w:rFonts w:ascii="Times New Roman" w:eastAsia="宋体" w:hAnsi="Times New Roman" w:cs="Times New Roman"/>
                <w:sz w:val="18"/>
                <w:szCs w:val="18"/>
              </w:rPr>
              <w:t>34.46</w:t>
            </w:r>
            <w:r w:rsidRPr="004E16A8">
              <w:rPr>
                <w:rFonts w:ascii="Times New Roman" w:eastAsia="宋体" w:hAnsi="Times New Roman" w:cs="Times New Roman"/>
                <w:sz w:val="18"/>
                <w:szCs w:val="18"/>
              </w:rPr>
              <w:t>元</w:t>
            </w:r>
            <w:r w:rsidRPr="004E16A8">
              <w:rPr>
                <w:rFonts w:ascii="Times New Roman" w:eastAsia="宋体" w:hAnsi="Times New Roman" w:cs="Times New Roman"/>
                <w:sz w:val="18"/>
                <w:szCs w:val="18"/>
              </w:rPr>
              <w:t>/</w:t>
            </w:r>
            <w:r w:rsidRPr="004E16A8">
              <w:rPr>
                <w:rFonts w:ascii="Times New Roman" w:eastAsia="宋体" w:hAnsi="Times New Roman" w:cs="Times New Roman"/>
                <w:sz w:val="18"/>
                <w:szCs w:val="18"/>
              </w:rPr>
              <w:t>股，调整后的转股价格自</w:t>
            </w:r>
            <w:r w:rsidRPr="004E16A8">
              <w:rPr>
                <w:rFonts w:ascii="Times New Roman" w:eastAsia="宋体" w:hAnsi="Times New Roman" w:cs="Times New Roman"/>
                <w:sz w:val="18"/>
                <w:szCs w:val="18"/>
              </w:rPr>
              <w:t>2025</w:t>
            </w:r>
            <w:r w:rsidRPr="004E16A8">
              <w:rPr>
                <w:rFonts w:ascii="Times New Roman" w:eastAsia="宋体" w:hAnsi="Times New Roman" w:cs="Times New Roman"/>
                <w:sz w:val="18"/>
                <w:szCs w:val="18"/>
              </w:rPr>
              <w:t>年</w:t>
            </w:r>
            <w:r w:rsidRPr="004E16A8">
              <w:rPr>
                <w:rFonts w:ascii="Times New Roman" w:eastAsia="宋体" w:hAnsi="Times New Roman" w:cs="Times New Roman"/>
                <w:sz w:val="18"/>
                <w:szCs w:val="18"/>
              </w:rPr>
              <w:t>7</w:t>
            </w:r>
            <w:r w:rsidRPr="004E16A8">
              <w:rPr>
                <w:rFonts w:ascii="Times New Roman" w:eastAsia="宋体" w:hAnsi="Times New Roman" w:cs="Times New Roman"/>
                <w:sz w:val="18"/>
                <w:szCs w:val="18"/>
              </w:rPr>
              <w:t>月</w:t>
            </w:r>
            <w:r w:rsidRPr="004E16A8">
              <w:rPr>
                <w:rFonts w:ascii="Times New Roman" w:eastAsia="宋体" w:hAnsi="Times New Roman" w:cs="Times New Roman"/>
                <w:sz w:val="18"/>
                <w:szCs w:val="18"/>
              </w:rPr>
              <w:t>14</w:t>
            </w:r>
            <w:r w:rsidRPr="004E16A8">
              <w:rPr>
                <w:rFonts w:ascii="Times New Roman" w:eastAsia="宋体" w:hAnsi="Times New Roman" w:cs="Times New Roman"/>
                <w:sz w:val="18"/>
                <w:szCs w:val="18"/>
              </w:rPr>
              <w:t>日起生效。</w:t>
            </w:r>
          </w:p>
        </w:tc>
        <w:tc>
          <w:tcPr>
            <w:tcW w:w="833" w:type="pct"/>
            <w:vMerge/>
            <w:tcBorders>
              <w:left w:val="single" w:sz="2" w:space="0" w:color="auto"/>
              <w:bottom w:val="single" w:sz="2" w:space="0" w:color="auto"/>
              <w:right w:val="single" w:sz="2" w:space="0" w:color="auto"/>
            </w:tcBorders>
            <w:vAlign w:val="center"/>
          </w:tcPr>
          <w:p w14:paraId="37BBFE6C" w14:textId="77777777" w:rsidR="00DC359B" w:rsidRPr="004E16A8" w:rsidRDefault="00DC359B" w:rsidP="00DC359B">
            <w:pPr>
              <w:spacing w:line="360" w:lineRule="auto"/>
              <w:jc w:val="right"/>
              <w:rPr>
                <w:rFonts w:ascii="Times New Roman" w:eastAsia="宋体" w:hAnsi="Times New Roman" w:cs="Times New Roman"/>
                <w:sz w:val="18"/>
                <w:szCs w:val="18"/>
              </w:rPr>
            </w:pPr>
          </w:p>
        </w:tc>
      </w:tr>
    </w:tbl>
    <w:p w14:paraId="50607C9D" w14:textId="77777777" w:rsidR="00DC359B" w:rsidRDefault="00DC359B" w:rsidP="00DC359B">
      <w:pPr>
        <w:pStyle w:val="3"/>
        <w:spacing w:line="280" w:lineRule="exact"/>
        <w:jc w:val="left"/>
        <w:rPr>
          <w:rFonts w:ascii="Times New Roman" w:hAnsi="Times New Roman" w:cs="Times New Roman"/>
          <w:b/>
          <w:bCs/>
        </w:rPr>
        <w:sectPr w:rsidR="00DC359B" w:rsidSect="00DC359B">
          <w:pgSz w:w="16840" w:h="11905" w:orient="landscape"/>
          <w:pgMar w:top="1134" w:right="1440" w:bottom="1134" w:left="1440" w:header="850" w:footer="992" w:gutter="0"/>
          <w:cols w:space="720"/>
          <w:docGrid w:type="linesAndChars" w:linePitch="312"/>
        </w:sectPr>
      </w:pPr>
      <w:bookmarkStart w:id="110" w:name="_Toc989042"/>
    </w:p>
    <w:p w14:paraId="20996409" w14:textId="77777777" w:rsidR="00DC359B" w:rsidRPr="002E1CD2" w:rsidRDefault="00DC359B" w:rsidP="00DC359B">
      <w:pPr>
        <w:pStyle w:val="3"/>
        <w:spacing w:line="280" w:lineRule="exact"/>
        <w:jc w:val="left"/>
        <w:rPr>
          <w:rFonts w:ascii="Times New Roman" w:hAnsi="Times New Roman" w:cs="Times New Roman"/>
          <w:b/>
          <w:bCs/>
        </w:rPr>
      </w:pPr>
      <w:r w:rsidRPr="002E1CD2">
        <w:rPr>
          <w:rFonts w:ascii="Times New Roman" w:hAnsi="Times New Roman" w:cs="Times New Roman"/>
          <w:b/>
          <w:bCs/>
        </w:rPr>
        <w:t>6</w:t>
      </w:r>
      <w:r w:rsidRPr="002E1CD2">
        <w:rPr>
          <w:rFonts w:ascii="Times New Roman" w:hAnsi="Times New Roman" w:cs="Times New Roman"/>
          <w:b/>
          <w:bCs/>
        </w:rPr>
        <w:t>、报告期末公司的负债情况、资信变化情况以及在未来年度还债的现金安排</w:t>
      </w:r>
      <w:bookmarkEnd w:id="110"/>
    </w:p>
    <w:p w14:paraId="379F6E4F" w14:textId="77777777" w:rsidR="00DC359B" w:rsidRDefault="00DC359B" w:rsidP="00DC359B">
      <w:pPr>
        <w:pStyle w:val="a9"/>
        <w:spacing w:before="0" w:beforeAutospacing="0" w:after="0" w:afterAutospacing="0" w:line="360" w:lineRule="auto"/>
        <w:ind w:firstLine="420"/>
        <w:jc w:val="both"/>
      </w:pPr>
      <w:r>
        <w:rPr>
          <w:rFonts w:ascii="Times New Roman" w:hAnsi="Times New Roman" w:cs="Times New Roman"/>
          <w:sz w:val="21"/>
          <w:szCs w:val="21"/>
        </w:rPr>
        <w:t>1</w:t>
      </w:r>
      <w:r>
        <w:rPr>
          <w:rFonts w:hint="eastAsia"/>
          <w:sz w:val="21"/>
          <w:szCs w:val="21"/>
        </w:rPr>
        <w:t>、报告期末公司负债情况即资产负债率、利息保障倍数、贷款偿还率、利息偿付率等相关指标以及同期对比变动情况详见本章节“八、截至报告期末公司近两年的主要会计数据和财务指标”。</w:t>
      </w:r>
    </w:p>
    <w:p w14:paraId="7A5799A6" w14:textId="37467A6F" w:rsidR="00DC359B" w:rsidRPr="00B51F6A" w:rsidRDefault="00DC359B" w:rsidP="00DC359B">
      <w:pPr>
        <w:pStyle w:val="a9"/>
        <w:spacing w:before="0" w:beforeAutospacing="0" w:after="0" w:afterAutospacing="0" w:line="360" w:lineRule="auto"/>
        <w:ind w:firstLine="420"/>
        <w:jc w:val="both"/>
        <w:rPr>
          <w:rFonts w:ascii="Times New Roman" w:hAnsi="Times New Roman" w:cs="Times New Roman"/>
          <w:sz w:val="21"/>
          <w:szCs w:val="21"/>
        </w:rPr>
      </w:pPr>
      <w:r w:rsidRPr="00B51F6A">
        <w:rPr>
          <w:rFonts w:ascii="Times New Roman" w:hAnsi="Times New Roman" w:cs="Times New Roman" w:hint="eastAsia"/>
          <w:sz w:val="21"/>
          <w:szCs w:val="21"/>
        </w:rPr>
        <w:t>（</w:t>
      </w:r>
      <w:r w:rsidRPr="00B51F6A">
        <w:rPr>
          <w:rFonts w:ascii="Times New Roman" w:hAnsi="Times New Roman" w:cs="Times New Roman"/>
          <w:sz w:val="21"/>
          <w:szCs w:val="21"/>
        </w:rPr>
        <w:t>1</w:t>
      </w:r>
      <w:r w:rsidRPr="00B51F6A">
        <w:rPr>
          <w:rFonts w:ascii="Times New Roman" w:hAnsi="Times New Roman" w:cs="Times New Roman" w:hint="eastAsia"/>
          <w:sz w:val="21"/>
          <w:szCs w:val="21"/>
        </w:rPr>
        <w:t>）</w:t>
      </w:r>
      <w:r w:rsidR="00B51F6A" w:rsidRPr="00B51F6A">
        <w:rPr>
          <w:rFonts w:ascii="Times New Roman" w:hAnsi="Times New Roman" w:cs="Times New Roman" w:hint="eastAsia"/>
          <w:sz w:val="21"/>
          <w:szCs w:val="21"/>
        </w:rPr>
        <w:t>公司</w:t>
      </w:r>
      <w:r w:rsidR="00B51F6A" w:rsidRPr="00B51F6A">
        <w:rPr>
          <w:rFonts w:ascii="Times New Roman" w:hAnsi="Times New Roman" w:cs="Times New Roman"/>
          <w:sz w:val="21"/>
          <w:szCs w:val="21"/>
        </w:rPr>
        <w:t>2025</w:t>
      </w:r>
      <w:r w:rsidR="00B51F6A" w:rsidRPr="00B51F6A">
        <w:rPr>
          <w:rFonts w:ascii="Times New Roman" w:hAnsi="Times New Roman" w:cs="Times New Roman"/>
          <w:sz w:val="21"/>
          <w:szCs w:val="21"/>
        </w:rPr>
        <w:t>年度利息保障倍数较上年同期减少</w:t>
      </w:r>
      <w:r w:rsidR="00B51F6A" w:rsidRPr="00B51F6A">
        <w:rPr>
          <w:rFonts w:ascii="Times New Roman" w:hAnsi="Times New Roman" w:cs="Times New Roman"/>
          <w:sz w:val="21"/>
          <w:szCs w:val="21"/>
        </w:rPr>
        <w:t>68.</w:t>
      </w:r>
      <w:r w:rsidR="004A3E59">
        <w:rPr>
          <w:rFonts w:ascii="Times New Roman" w:hAnsi="Times New Roman" w:cs="Times New Roman"/>
          <w:sz w:val="21"/>
          <w:szCs w:val="21"/>
        </w:rPr>
        <w:t>9</w:t>
      </w:r>
      <w:r w:rsidR="004A3E59" w:rsidRPr="00B51F6A">
        <w:rPr>
          <w:rFonts w:ascii="Times New Roman" w:hAnsi="Times New Roman" w:cs="Times New Roman"/>
          <w:sz w:val="21"/>
          <w:szCs w:val="21"/>
        </w:rPr>
        <w:t>2</w:t>
      </w:r>
      <w:r w:rsidR="00B51F6A" w:rsidRPr="00B51F6A">
        <w:rPr>
          <w:rFonts w:ascii="Times New Roman" w:hAnsi="Times New Roman" w:cs="Times New Roman"/>
          <w:sz w:val="21"/>
          <w:szCs w:val="21"/>
        </w:rPr>
        <w:t>%</w:t>
      </w:r>
      <w:r w:rsidR="00B51F6A" w:rsidRPr="00B51F6A">
        <w:rPr>
          <w:rFonts w:ascii="Times New Roman" w:hAnsi="Times New Roman" w:cs="Times New Roman"/>
          <w:sz w:val="21"/>
          <w:szCs w:val="21"/>
        </w:rPr>
        <w:t>，主要是由于本期利润总额及利息费用减少所致</w:t>
      </w:r>
      <w:r w:rsidRPr="00B51F6A">
        <w:rPr>
          <w:rFonts w:ascii="Times New Roman" w:hAnsi="Times New Roman" w:cs="Times New Roman" w:hint="eastAsia"/>
          <w:sz w:val="21"/>
          <w:szCs w:val="21"/>
        </w:rPr>
        <w:t>；</w:t>
      </w:r>
    </w:p>
    <w:p w14:paraId="0DAE640D" w14:textId="515040CA" w:rsidR="00DC359B" w:rsidRPr="00B51F6A" w:rsidRDefault="00DC359B" w:rsidP="00DC359B">
      <w:pPr>
        <w:pStyle w:val="a9"/>
        <w:spacing w:before="0" w:beforeAutospacing="0" w:after="0" w:afterAutospacing="0" w:line="360" w:lineRule="auto"/>
        <w:ind w:firstLine="420"/>
        <w:jc w:val="both"/>
        <w:rPr>
          <w:rFonts w:ascii="Times New Roman" w:hAnsi="Times New Roman" w:cs="Times New Roman"/>
          <w:sz w:val="21"/>
          <w:szCs w:val="21"/>
        </w:rPr>
      </w:pPr>
      <w:r w:rsidRPr="00B51F6A">
        <w:rPr>
          <w:rFonts w:ascii="Times New Roman" w:hAnsi="Times New Roman" w:cs="Times New Roman" w:hint="eastAsia"/>
          <w:sz w:val="21"/>
          <w:szCs w:val="21"/>
        </w:rPr>
        <w:t>（</w:t>
      </w:r>
      <w:r w:rsidRPr="00B51F6A">
        <w:rPr>
          <w:rFonts w:ascii="Times New Roman" w:hAnsi="Times New Roman" w:cs="Times New Roman"/>
          <w:sz w:val="21"/>
          <w:szCs w:val="21"/>
        </w:rPr>
        <w:t>2</w:t>
      </w:r>
      <w:r w:rsidRPr="00B51F6A">
        <w:rPr>
          <w:rFonts w:ascii="Times New Roman" w:hAnsi="Times New Roman" w:cs="Times New Roman" w:hint="eastAsia"/>
          <w:sz w:val="21"/>
          <w:szCs w:val="21"/>
        </w:rPr>
        <w:t>）</w:t>
      </w:r>
      <w:r w:rsidR="00B51F6A" w:rsidRPr="00B51F6A">
        <w:rPr>
          <w:rFonts w:ascii="Times New Roman" w:hAnsi="Times New Roman" w:cs="Times New Roman" w:hint="eastAsia"/>
          <w:sz w:val="21"/>
          <w:szCs w:val="21"/>
        </w:rPr>
        <w:t>公司</w:t>
      </w:r>
      <w:r w:rsidR="00B51F6A" w:rsidRPr="00B51F6A">
        <w:rPr>
          <w:rFonts w:ascii="Times New Roman" w:hAnsi="Times New Roman" w:cs="Times New Roman"/>
          <w:sz w:val="21"/>
          <w:szCs w:val="21"/>
        </w:rPr>
        <w:t>2025</w:t>
      </w:r>
      <w:r w:rsidR="00B51F6A" w:rsidRPr="00B51F6A">
        <w:rPr>
          <w:rFonts w:ascii="Times New Roman" w:hAnsi="Times New Roman" w:cs="Times New Roman"/>
          <w:sz w:val="21"/>
          <w:szCs w:val="21"/>
        </w:rPr>
        <w:t>年度现金利息保障倍数较上年同期增加</w:t>
      </w:r>
      <w:r w:rsidR="00B51F6A" w:rsidRPr="00B51F6A">
        <w:rPr>
          <w:rFonts w:ascii="Times New Roman" w:hAnsi="Times New Roman" w:cs="Times New Roman"/>
          <w:sz w:val="21"/>
          <w:szCs w:val="21"/>
        </w:rPr>
        <w:t>57.44%</w:t>
      </w:r>
      <w:r w:rsidR="00B51F6A" w:rsidRPr="00B51F6A">
        <w:rPr>
          <w:rFonts w:ascii="Times New Roman" w:hAnsi="Times New Roman" w:cs="Times New Roman"/>
          <w:sz w:val="21"/>
          <w:szCs w:val="21"/>
        </w:rPr>
        <w:t>，主要是由于本期现金利息支出减少所致</w:t>
      </w:r>
      <w:r w:rsidRPr="00B51F6A">
        <w:rPr>
          <w:rFonts w:ascii="Times New Roman" w:hAnsi="Times New Roman" w:cs="Times New Roman" w:hint="eastAsia"/>
          <w:sz w:val="21"/>
          <w:szCs w:val="21"/>
        </w:rPr>
        <w:t>；</w:t>
      </w:r>
    </w:p>
    <w:p w14:paraId="76410C2E" w14:textId="01688747" w:rsidR="00DC359B" w:rsidRPr="00B51F6A" w:rsidRDefault="00DC359B" w:rsidP="00DC359B">
      <w:pPr>
        <w:pStyle w:val="a9"/>
        <w:spacing w:before="0" w:beforeAutospacing="0" w:after="0" w:afterAutospacing="0" w:line="360" w:lineRule="auto"/>
        <w:ind w:firstLine="420"/>
        <w:jc w:val="both"/>
        <w:rPr>
          <w:rFonts w:ascii="Times New Roman" w:hAnsi="Times New Roman" w:cs="Times New Roman"/>
          <w:sz w:val="21"/>
          <w:szCs w:val="21"/>
        </w:rPr>
      </w:pPr>
      <w:r w:rsidRPr="00B51F6A">
        <w:rPr>
          <w:rFonts w:ascii="Times New Roman" w:hAnsi="Times New Roman" w:cs="Times New Roman" w:hint="eastAsia"/>
          <w:sz w:val="21"/>
          <w:szCs w:val="21"/>
        </w:rPr>
        <w:t>（</w:t>
      </w:r>
      <w:r w:rsidRPr="00B51F6A">
        <w:rPr>
          <w:rFonts w:ascii="Times New Roman" w:hAnsi="Times New Roman" w:cs="Times New Roman"/>
          <w:sz w:val="21"/>
          <w:szCs w:val="21"/>
        </w:rPr>
        <w:t>3</w:t>
      </w:r>
      <w:r w:rsidRPr="00B51F6A">
        <w:rPr>
          <w:rFonts w:ascii="Times New Roman" w:hAnsi="Times New Roman" w:cs="Times New Roman" w:hint="eastAsia"/>
          <w:sz w:val="21"/>
          <w:szCs w:val="21"/>
        </w:rPr>
        <w:t>）</w:t>
      </w:r>
      <w:r w:rsidR="00B51F6A" w:rsidRPr="00B51F6A">
        <w:rPr>
          <w:rFonts w:ascii="Times New Roman" w:hAnsi="Times New Roman" w:cs="Times New Roman" w:hint="eastAsia"/>
          <w:sz w:val="21"/>
          <w:szCs w:val="21"/>
        </w:rPr>
        <w:t>公司</w:t>
      </w:r>
      <w:r w:rsidR="00B51F6A" w:rsidRPr="00B51F6A">
        <w:rPr>
          <w:rFonts w:ascii="Times New Roman" w:hAnsi="Times New Roman" w:cs="Times New Roman"/>
          <w:sz w:val="21"/>
          <w:szCs w:val="21"/>
        </w:rPr>
        <w:t>2025</w:t>
      </w:r>
      <w:r w:rsidR="00B51F6A" w:rsidRPr="00B51F6A">
        <w:rPr>
          <w:rFonts w:ascii="Times New Roman" w:hAnsi="Times New Roman" w:cs="Times New Roman"/>
          <w:sz w:val="21"/>
          <w:szCs w:val="21"/>
        </w:rPr>
        <w:t>年度</w:t>
      </w:r>
      <w:r w:rsidR="00B51F6A" w:rsidRPr="00B51F6A">
        <w:rPr>
          <w:rFonts w:ascii="Times New Roman" w:hAnsi="Times New Roman" w:cs="Times New Roman"/>
          <w:sz w:val="21"/>
          <w:szCs w:val="21"/>
        </w:rPr>
        <w:t>EBITDA</w:t>
      </w:r>
      <w:r w:rsidR="00B51F6A" w:rsidRPr="00B51F6A">
        <w:rPr>
          <w:rFonts w:ascii="Times New Roman" w:hAnsi="Times New Roman" w:cs="Times New Roman"/>
          <w:sz w:val="21"/>
          <w:szCs w:val="21"/>
        </w:rPr>
        <w:t>利息保障倍数较上年同期减少</w:t>
      </w:r>
      <w:r w:rsidR="00B51F6A" w:rsidRPr="00B51F6A">
        <w:rPr>
          <w:rFonts w:ascii="Times New Roman" w:hAnsi="Times New Roman" w:cs="Times New Roman"/>
          <w:sz w:val="21"/>
          <w:szCs w:val="21"/>
        </w:rPr>
        <w:t>41.92%</w:t>
      </w:r>
      <w:r w:rsidR="00B51F6A" w:rsidRPr="00B51F6A">
        <w:rPr>
          <w:rFonts w:ascii="Times New Roman" w:hAnsi="Times New Roman" w:cs="Times New Roman"/>
          <w:sz w:val="21"/>
          <w:szCs w:val="21"/>
        </w:rPr>
        <w:t>，主要是由于本期</w:t>
      </w:r>
      <w:r w:rsidR="00B51F6A" w:rsidRPr="00B51F6A">
        <w:rPr>
          <w:rFonts w:ascii="Times New Roman" w:hAnsi="Times New Roman" w:cs="Times New Roman"/>
          <w:sz w:val="21"/>
          <w:szCs w:val="21"/>
        </w:rPr>
        <w:t>EBITDA</w:t>
      </w:r>
      <w:r w:rsidR="00B51F6A" w:rsidRPr="00B51F6A">
        <w:rPr>
          <w:rFonts w:ascii="Times New Roman" w:hAnsi="Times New Roman" w:cs="Times New Roman"/>
          <w:sz w:val="21"/>
          <w:szCs w:val="21"/>
        </w:rPr>
        <w:t>同比减少所致</w:t>
      </w:r>
      <w:r w:rsidRPr="00B51F6A">
        <w:rPr>
          <w:rFonts w:ascii="Times New Roman" w:hAnsi="Times New Roman" w:cs="Times New Roman" w:hint="eastAsia"/>
          <w:sz w:val="21"/>
          <w:szCs w:val="21"/>
        </w:rPr>
        <w:t>。</w:t>
      </w:r>
    </w:p>
    <w:p w14:paraId="387D2929" w14:textId="77777777" w:rsidR="00DC359B" w:rsidRPr="002E1CD2" w:rsidRDefault="00DC359B" w:rsidP="00DC359B">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2</w:t>
      </w:r>
      <w:r w:rsidRPr="002E1CD2">
        <w:rPr>
          <w:rFonts w:ascii="Times New Roman" w:hAnsi="Times New Roman" w:cs="Times New Roman" w:hint="eastAsia"/>
          <w:sz w:val="21"/>
          <w:szCs w:val="21"/>
        </w:rPr>
        <w:t>、资信状况及未来年度还债的现金安排</w:t>
      </w:r>
    </w:p>
    <w:p w14:paraId="34A0EBD4" w14:textId="77777777" w:rsidR="00DC359B" w:rsidRPr="002E1CD2" w:rsidRDefault="00DC359B" w:rsidP="00DC359B">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sz w:val="21"/>
          <w:szCs w:val="21"/>
        </w:rPr>
        <w:t>2025</w:t>
      </w:r>
      <w:r w:rsidRPr="002E1CD2">
        <w:rPr>
          <w:rFonts w:ascii="Times New Roman" w:hAnsi="Times New Roman" w:cs="Times New Roman" w:hint="eastAsia"/>
          <w:sz w:val="21"/>
          <w:szCs w:val="21"/>
        </w:rPr>
        <w:t>年</w:t>
      </w:r>
      <w:r>
        <w:rPr>
          <w:rFonts w:ascii="Times New Roman" w:hAnsi="Times New Roman" w:cs="Times New Roman"/>
          <w:sz w:val="21"/>
          <w:szCs w:val="21"/>
        </w:rPr>
        <w:t>6</w:t>
      </w:r>
      <w:r w:rsidRPr="002E1CD2">
        <w:rPr>
          <w:rFonts w:ascii="Times New Roman" w:hAnsi="Times New Roman" w:cs="Times New Roman" w:hint="eastAsia"/>
          <w:sz w:val="21"/>
          <w:szCs w:val="21"/>
        </w:rPr>
        <w:t>月</w:t>
      </w:r>
      <w:r>
        <w:rPr>
          <w:rFonts w:ascii="Times New Roman" w:hAnsi="Times New Roman" w:cs="Times New Roman"/>
          <w:sz w:val="21"/>
          <w:szCs w:val="21"/>
        </w:rPr>
        <w:t>27</w:t>
      </w:r>
      <w:r w:rsidRPr="002E1CD2">
        <w:rPr>
          <w:rFonts w:ascii="Times New Roman" w:hAnsi="Times New Roman" w:cs="Times New Roman" w:hint="eastAsia"/>
          <w:sz w:val="21"/>
          <w:szCs w:val="21"/>
        </w:rPr>
        <w:t>日，中证鹏元资信评估股份有限公司对本公司及公司于</w:t>
      </w:r>
      <w:r>
        <w:rPr>
          <w:rFonts w:ascii="Times New Roman" w:hAnsi="Times New Roman" w:cs="Times New Roman"/>
          <w:sz w:val="21"/>
          <w:szCs w:val="21"/>
        </w:rPr>
        <w:t>2020</w:t>
      </w:r>
      <w:r w:rsidRPr="002E1CD2">
        <w:rPr>
          <w:rFonts w:ascii="Times New Roman" w:hAnsi="Times New Roman" w:cs="Times New Roman" w:hint="eastAsia"/>
          <w:sz w:val="21"/>
          <w:szCs w:val="21"/>
        </w:rPr>
        <w:t>年</w:t>
      </w:r>
      <w:r>
        <w:rPr>
          <w:rFonts w:ascii="Times New Roman" w:hAnsi="Times New Roman" w:cs="Times New Roman"/>
          <w:sz w:val="21"/>
          <w:szCs w:val="21"/>
        </w:rPr>
        <w:t>12</w:t>
      </w:r>
      <w:r w:rsidRPr="002E1CD2">
        <w:rPr>
          <w:rFonts w:ascii="Times New Roman" w:hAnsi="Times New Roman" w:cs="Times New Roman" w:hint="eastAsia"/>
          <w:sz w:val="21"/>
          <w:szCs w:val="21"/>
        </w:rPr>
        <w:t>月</w:t>
      </w:r>
      <w:r>
        <w:rPr>
          <w:rFonts w:ascii="Times New Roman" w:hAnsi="Times New Roman" w:cs="Times New Roman"/>
          <w:sz w:val="21"/>
          <w:szCs w:val="21"/>
        </w:rPr>
        <w:t>21</w:t>
      </w:r>
      <w:r w:rsidRPr="002E1CD2">
        <w:rPr>
          <w:rFonts w:ascii="Times New Roman" w:hAnsi="Times New Roman" w:cs="Times New Roman" w:hint="eastAsia"/>
          <w:sz w:val="21"/>
          <w:szCs w:val="21"/>
        </w:rPr>
        <w:t>日发行的可转债跟踪评级结果为：本期债券信用等级维持为</w:t>
      </w:r>
      <w:r>
        <w:rPr>
          <w:rFonts w:ascii="Times New Roman" w:hAnsi="Times New Roman" w:cs="Times New Roman"/>
          <w:sz w:val="21"/>
          <w:szCs w:val="21"/>
        </w:rPr>
        <w:t>AA</w:t>
      </w:r>
      <w:r w:rsidRPr="002E1CD2">
        <w:rPr>
          <w:rFonts w:ascii="Times New Roman" w:hAnsi="Times New Roman" w:cs="Times New Roman" w:hint="eastAsia"/>
          <w:sz w:val="21"/>
          <w:szCs w:val="21"/>
        </w:rPr>
        <w:t>，发行主体长期信用等级维持为</w:t>
      </w:r>
      <w:r>
        <w:rPr>
          <w:rFonts w:ascii="Times New Roman" w:hAnsi="Times New Roman" w:cs="Times New Roman"/>
          <w:sz w:val="21"/>
          <w:szCs w:val="21"/>
        </w:rPr>
        <w:t>AA</w:t>
      </w:r>
      <w:r w:rsidRPr="002E1CD2">
        <w:rPr>
          <w:rFonts w:ascii="Times New Roman" w:hAnsi="Times New Roman" w:cs="Times New Roman" w:hint="eastAsia"/>
          <w:sz w:val="21"/>
          <w:szCs w:val="21"/>
        </w:rPr>
        <w:t>，评级展望维持为稳定。</w:t>
      </w:r>
    </w:p>
    <w:p w14:paraId="1C83E701" w14:textId="77777777" w:rsidR="00DC359B" w:rsidRPr="002E1CD2" w:rsidRDefault="00DC359B" w:rsidP="00DC359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E1CD2">
        <w:rPr>
          <w:rFonts w:ascii="Times New Roman" w:hAnsi="Times New Roman" w:cs="Times New Roman" w:hint="eastAsia"/>
          <w:sz w:val="21"/>
          <w:szCs w:val="21"/>
        </w:rPr>
        <w:t>公司未来偿还可转债本息的资金主要来源于公司经营活动所产生的现金流，公司目前盈利及偿债能力良好，将合理安排和使用资金，保证债务的及时偿还。</w:t>
      </w:r>
    </w:p>
    <w:p w14:paraId="0B41D3AE" w14:textId="77777777" w:rsidR="00DC359B" w:rsidRPr="002E1CD2" w:rsidRDefault="00DC359B" w:rsidP="00DC359B">
      <w:pPr>
        <w:pStyle w:val="2"/>
        <w:spacing w:before="300" w:after="300" w:line="320" w:lineRule="exact"/>
        <w:rPr>
          <w:rFonts w:ascii="Times New Roman" w:eastAsia="宋体" w:hAnsi="Times New Roman" w:cs="Times New Roman"/>
          <w:b/>
          <w:bCs/>
          <w:sz w:val="24"/>
          <w:szCs w:val="24"/>
        </w:rPr>
      </w:pPr>
      <w:bookmarkStart w:id="111" w:name="_Toc989043"/>
      <w:r w:rsidRPr="002E1CD2">
        <w:rPr>
          <w:rFonts w:ascii="Times New Roman" w:eastAsia="宋体" w:hAnsi="Times New Roman" w:cs="Times New Roman"/>
          <w:b/>
          <w:bCs/>
          <w:sz w:val="24"/>
          <w:szCs w:val="24"/>
        </w:rPr>
        <w:t>五、报告期内合并报表范围亏损超过上年末净资产</w:t>
      </w:r>
      <w:r w:rsidRPr="002E1CD2">
        <w:rPr>
          <w:rFonts w:ascii="Times New Roman" w:eastAsia="宋体" w:hAnsi="Times New Roman" w:cs="Times New Roman"/>
          <w:b/>
          <w:bCs/>
          <w:sz w:val="24"/>
          <w:szCs w:val="24"/>
        </w:rPr>
        <w:t>10%</w:t>
      </w:r>
      <w:bookmarkEnd w:id="111"/>
    </w:p>
    <w:p w14:paraId="7762642B"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4A9BB09" w14:textId="77777777" w:rsidR="00DC359B" w:rsidRDefault="00DC359B" w:rsidP="00DC359B">
      <w:pPr>
        <w:pStyle w:val="2"/>
        <w:spacing w:before="300" w:after="300" w:line="320" w:lineRule="exact"/>
        <w:rPr>
          <w:rFonts w:ascii="宋体" w:eastAsia="宋体" w:hAnsi="宋体" w:cs="宋体"/>
          <w:b/>
          <w:bCs/>
          <w:sz w:val="24"/>
          <w:szCs w:val="24"/>
        </w:rPr>
      </w:pPr>
      <w:bookmarkStart w:id="112" w:name="_Toc989044"/>
      <w:r>
        <w:rPr>
          <w:rFonts w:ascii="宋体" w:eastAsia="宋体" w:hAnsi="宋体" w:cs="宋体"/>
          <w:b/>
          <w:bCs/>
          <w:sz w:val="24"/>
          <w:szCs w:val="24"/>
        </w:rPr>
        <w:t>六、报告期末除债券外的有息债务逾期情况</w:t>
      </w:r>
      <w:bookmarkEnd w:id="112"/>
    </w:p>
    <w:p w14:paraId="4E791405"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601F629" w14:textId="77777777" w:rsidR="00DC359B" w:rsidRDefault="00DC359B" w:rsidP="00DC359B">
      <w:pPr>
        <w:pStyle w:val="2"/>
        <w:spacing w:before="300" w:after="300" w:line="320" w:lineRule="exact"/>
        <w:rPr>
          <w:rFonts w:ascii="宋体" w:eastAsia="宋体" w:hAnsi="宋体" w:cs="宋体"/>
          <w:b/>
          <w:bCs/>
          <w:sz w:val="24"/>
          <w:szCs w:val="24"/>
        </w:rPr>
      </w:pPr>
      <w:bookmarkStart w:id="113" w:name="_Toc989045"/>
      <w:r>
        <w:rPr>
          <w:rFonts w:ascii="宋体" w:eastAsia="宋体" w:hAnsi="宋体" w:cs="宋体"/>
          <w:b/>
          <w:bCs/>
          <w:sz w:val="24"/>
          <w:szCs w:val="24"/>
        </w:rPr>
        <w:t>七、报告期内是否有违反规章制度的情况</w:t>
      </w:r>
      <w:bookmarkEnd w:id="113"/>
    </w:p>
    <w:p w14:paraId="644D3D69" w14:textId="77777777" w:rsidR="00DC359B" w:rsidRDefault="00DC359B" w:rsidP="00DC359B">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0239E008" w14:textId="77777777" w:rsidR="00DC359B" w:rsidRDefault="00DC359B" w:rsidP="00DC359B">
      <w:pPr>
        <w:pStyle w:val="2"/>
        <w:spacing w:before="300" w:after="300" w:line="320" w:lineRule="exact"/>
        <w:rPr>
          <w:rFonts w:ascii="宋体" w:eastAsia="宋体" w:hAnsi="宋体" w:cs="宋体"/>
          <w:b/>
          <w:bCs/>
          <w:sz w:val="24"/>
          <w:szCs w:val="24"/>
        </w:rPr>
      </w:pPr>
      <w:bookmarkStart w:id="114" w:name="_Toc989046"/>
      <w:r>
        <w:rPr>
          <w:rFonts w:ascii="宋体" w:eastAsia="宋体" w:hAnsi="宋体" w:cs="宋体"/>
          <w:b/>
          <w:bCs/>
          <w:sz w:val="24"/>
          <w:szCs w:val="24"/>
        </w:rPr>
        <w:t>八、截至报告期末公司近两年的主要会计数据和财务指标</w:t>
      </w:r>
      <w:bookmarkEnd w:id="114"/>
    </w:p>
    <w:p w14:paraId="01544231" w14:textId="77777777" w:rsidR="00DC359B" w:rsidRDefault="00DC359B" w:rsidP="00DC359B">
      <w:pPr>
        <w:spacing w:before="40" w:after="40" w:line="240" w:lineRule="exact"/>
        <w:jc w:val="right"/>
        <w:rPr>
          <w:rFonts w:ascii="宋体" w:eastAsia="宋体" w:hAnsi="宋体" w:cs="宋体"/>
          <w:sz w:val="18"/>
          <w:szCs w:val="18"/>
        </w:rPr>
      </w:pPr>
      <w:r>
        <w:rPr>
          <w:rFonts w:ascii="宋体" w:eastAsia="宋体" w:hAnsi="宋体" w:cs="宋体"/>
          <w:sz w:val="18"/>
          <w:szCs w:val="18"/>
        </w:rPr>
        <w:t>单位：万元</w:t>
      </w:r>
    </w:p>
    <w:tbl>
      <w:tblPr>
        <w:tblW w:w="9639" w:type="dxa"/>
        <w:tblInd w:w="108" w:type="dxa"/>
        <w:tblLayout w:type="fixed"/>
        <w:tblLook w:val="0000" w:firstRow="0" w:lastRow="0" w:firstColumn="0" w:lastColumn="0" w:noHBand="0" w:noVBand="0"/>
      </w:tblPr>
      <w:tblGrid>
        <w:gridCol w:w="2409"/>
        <w:gridCol w:w="2410"/>
        <w:gridCol w:w="2410"/>
        <w:gridCol w:w="2410"/>
      </w:tblGrid>
      <w:tr w:rsidR="00C57E60" w14:paraId="2677695A"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87BF685"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AD16F0"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本报告期末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55DEF8"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上年末</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579DB9"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本报告期末比上年末增减</w:t>
            </w:r>
          </w:p>
        </w:tc>
      </w:tr>
      <w:tr w:rsidR="00C57E60" w14:paraId="0F7AEB6B"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E9A005A"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流动比率</w:t>
            </w:r>
          </w:p>
        </w:tc>
        <w:tc>
          <w:tcPr>
            <w:tcW w:w="2410" w:type="dxa"/>
            <w:tcBorders>
              <w:top w:val="single" w:sz="2" w:space="0" w:color="auto"/>
              <w:left w:val="single" w:sz="2" w:space="0" w:color="auto"/>
              <w:bottom w:val="single" w:sz="2" w:space="0" w:color="auto"/>
              <w:right w:val="single" w:sz="2" w:space="0" w:color="auto"/>
            </w:tcBorders>
            <w:vAlign w:val="center"/>
          </w:tcPr>
          <w:p w14:paraId="450C3438"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1.14</w:t>
            </w:r>
          </w:p>
        </w:tc>
        <w:tc>
          <w:tcPr>
            <w:tcW w:w="2410" w:type="dxa"/>
            <w:tcBorders>
              <w:top w:val="single" w:sz="2" w:space="0" w:color="auto"/>
              <w:left w:val="single" w:sz="2" w:space="0" w:color="auto"/>
              <w:bottom w:val="single" w:sz="2" w:space="0" w:color="auto"/>
              <w:right w:val="single" w:sz="2" w:space="0" w:color="auto"/>
            </w:tcBorders>
            <w:vAlign w:val="center"/>
          </w:tcPr>
          <w:p w14:paraId="003C12AD"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1.41</w:t>
            </w:r>
          </w:p>
        </w:tc>
        <w:tc>
          <w:tcPr>
            <w:tcW w:w="2410" w:type="dxa"/>
            <w:tcBorders>
              <w:top w:val="single" w:sz="2" w:space="0" w:color="auto"/>
              <w:left w:val="single" w:sz="2" w:space="0" w:color="auto"/>
              <w:bottom w:val="single" w:sz="2" w:space="0" w:color="auto"/>
              <w:right w:val="single" w:sz="2" w:space="0" w:color="auto"/>
            </w:tcBorders>
            <w:vAlign w:val="center"/>
          </w:tcPr>
          <w:p w14:paraId="1BA53185" w14:textId="27B3A21B"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-19.15</w:t>
            </w:r>
            <w:r w:rsidR="00DC359B" w:rsidRPr="00020BAC">
              <w:rPr>
                <w:rFonts w:ascii="Times New Roman" w:eastAsia="宋体" w:hAnsi="Times New Roman" w:cs="Times New Roman"/>
                <w:sz w:val="18"/>
                <w:szCs w:val="18"/>
              </w:rPr>
              <w:t>%</w:t>
            </w:r>
          </w:p>
        </w:tc>
      </w:tr>
      <w:tr w:rsidR="00C57E60" w14:paraId="7717789C"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816D2EF"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资产负债率</w:t>
            </w:r>
          </w:p>
        </w:tc>
        <w:tc>
          <w:tcPr>
            <w:tcW w:w="2410" w:type="dxa"/>
            <w:tcBorders>
              <w:top w:val="single" w:sz="2" w:space="0" w:color="auto"/>
              <w:left w:val="single" w:sz="2" w:space="0" w:color="auto"/>
              <w:bottom w:val="single" w:sz="2" w:space="0" w:color="auto"/>
              <w:right w:val="single" w:sz="2" w:space="0" w:color="auto"/>
            </w:tcBorders>
            <w:vAlign w:val="center"/>
          </w:tcPr>
          <w:p w14:paraId="6EA6E1DB" w14:textId="1E032EA5"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42.23</w:t>
            </w:r>
            <w:r w:rsidR="00DC359B" w:rsidRPr="00020BAC">
              <w:rPr>
                <w:rFonts w:ascii="Times New Roman" w:eastAsia="宋体" w:hAnsi="Times New Roman" w:cs="Times New Roman"/>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13336FE5"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38.18%</w:t>
            </w:r>
          </w:p>
        </w:tc>
        <w:tc>
          <w:tcPr>
            <w:tcW w:w="2410" w:type="dxa"/>
            <w:tcBorders>
              <w:top w:val="single" w:sz="2" w:space="0" w:color="auto"/>
              <w:left w:val="single" w:sz="2" w:space="0" w:color="auto"/>
              <w:bottom w:val="single" w:sz="2" w:space="0" w:color="auto"/>
              <w:right w:val="single" w:sz="2" w:space="0" w:color="auto"/>
            </w:tcBorders>
            <w:vAlign w:val="center"/>
          </w:tcPr>
          <w:p w14:paraId="375855DF" w14:textId="04507858" w:rsidR="00DC359B" w:rsidRPr="00020BAC" w:rsidRDefault="00123CA3" w:rsidP="00DC359B">
            <w:pPr>
              <w:spacing w:line="360" w:lineRule="auto"/>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增加</w:t>
            </w:r>
            <w:r w:rsidR="00F1566C" w:rsidRPr="00F1566C">
              <w:rPr>
                <w:rFonts w:ascii="Times New Roman" w:eastAsia="宋体" w:hAnsi="Times New Roman" w:cs="Times New Roman"/>
                <w:sz w:val="18"/>
                <w:szCs w:val="18"/>
              </w:rPr>
              <w:t>4.05</w:t>
            </w:r>
            <w:r w:rsidR="00F1566C">
              <w:rPr>
                <w:rFonts w:ascii="Times New Roman" w:eastAsia="宋体" w:hAnsi="Times New Roman" w:cs="Times New Roman" w:hint="eastAsia"/>
                <w:sz w:val="18"/>
                <w:szCs w:val="18"/>
              </w:rPr>
              <w:t>个百分点</w:t>
            </w:r>
          </w:p>
        </w:tc>
      </w:tr>
      <w:tr w:rsidR="00C57E60" w14:paraId="3934CBEF"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BE5B3C2"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速动比率</w:t>
            </w:r>
          </w:p>
        </w:tc>
        <w:tc>
          <w:tcPr>
            <w:tcW w:w="2410" w:type="dxa"/>
            <w:tcBorders>
              <w:top w:val="single" w:sz="2" w:space="0" w:color="auto"/>
              <w:left w:val="single" w:sz="2" w:space="0" w:color="auto"/>
              <w:bottom w:val="single" w:sz="2" w:space="0" w:color="auto"/>
              <w:right w:val="single" w:sz="2" w:space="0" w:color="auto"/>
            </w:tcBorders>
            <w:vAlign w:val="center"/>
          </w:tcPr>
          <w:p w14:paraId="662E0512"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0.77</w:t>
            </w:r>
          </w:p>
        </w:tc>
        <w:tc>
          <w:tcPr>
            <w:tcW w:w="2410" w:type="dxa"/>
            <w:tcBorders>
              <w:top w:val="single" w:sz="2" w:space="0" w:color="auto"/>
              <w:left w:val="single" w:sz="2" w:space="0" w:color="auto"/>
              <w:bottom w:val="single" w:sz="2" w:space="0" w:color="auto"/>
              <w:right w:val="single" w:sz="2" w:space="0" w:color="auto"/>
            </w:tcBorders>
            <w:vAlign w:val="center"/>
          </w:tcPr>
          <w:p w14:paraId="0E857D73"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0.99</w:t>
            </w:r>
          </w:p>
        </w:tc>
        <w:tc>
          <w:tcPr>
            <w:tcW w:w="2410" w:type="dxa"/>
            <w:tcBorders>
              <w:top w:val="single" w:sz="2" w:space="0" w:color="auto"/>
              <w:left w:val="single" w:sz="2" w:space="0" w:color="auto"/>
              <w:bottom w:val="single" w:sz="2" w:space="0" w:color="auto"/>
              <w:right w:val="single" w:sz="2" w:space="0" w:color="auto"/>
            </w:tcBorders>
            <w:vAlign w:val="center"/>
          </w:tcPr>
          <w:p w14:paraId="322A6C8F" w14:textId="651C4F83"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-22.22</w:t>
            </w:r>
            <w:r w:rsidR="00DC359B" w:rsidRPr="00020BAC">
              <w:rPr>
                <w:rFonts w:ascii="Times New Roman" w:eastAsia="宋体" w:hAnsi="Times New Roman" w:cs="Times New Roman"/>
                <w:sz w:val="18"/>
                <w:szCs w:val="18"/>
              </w:rPr>
              <w:t>%</w:t>
            </w:r>
          </w:p>
        </w:tc>
      </w:tr>
      <w:tr w:rsidR="00C57E60" w14:paraId="0F28C782"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644ED47" w14:textId="77777777" w:rsidR="00DC359B" w:rsidRPr="00020BAC" w:rsidRDefault="00DC359B" w:rsidP="00DC359B">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D4FA3D2"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本报告期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34C7FC3"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上年同期</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8CE38D4" w14:textId="77777777" w:rsidR="00DC359B" w:rsidRPr="00020BAC" w:rsidRDefault="00DC359B" w:rsidP="00DC359B">
            <w:pPr>
              <w:spacing w:before="40" w:after="40" w:line="360" w:lineRule="auto"/>
              <w:jc w:val="center"/>
              <w:rPr>
                <w:rFonts w:ascii="Times New Roman" w:eastAsia="宋体" w:hAnsi="Times New Roman" w:cs="Times New Roman"/>
                <w:sz w:val="18"/>
                <w:szCs w:val="18"/>
              </w:rPr>
            </w:pPr>
            <w:r w:rsidRPr="00020BAC">
              <w:rPr>
                <w:rFonts w:ascii="Times New Roman" w:eastAsia="宋体" w:hAnsi="Times New Roman" w:cs="Times New Roman"/>
                <w:sz w:val="18"/>
                <w:szCs w:val="18"/>
              </w:rPr>
              <w:t>本报告期比上年同期增减</w:t>
            </w:r>
          </w:p>
        </w:tc>
      </w:tr>
      <w:tr w:rsidR="00C57E60" w14:paraId="3AEBB9E9"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BD87E7"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扣除非经常性损益后净利润</w:t>
            </w:r>
          </w:p>
        </w:tc>
        <w:tc>
          <w:tcPr>
            <w:tcW w:w="2410" w:type="dxa"/>
            <w:tcBorders>
              <w:top w:val="single" w:sz="2" w:space="0" w:color="auto"/>
              <w:left w:val="single" w:sz="2" w:space="0" w:color="auto"/>
              <w:bottom w:val="single" w:sz="2" w:space="0" w:color="auto"/>
              <w:right w:val="single" w:sz="2" w:space="0" w:color="auto"/>
            </w:tcBorders>
            <w:vAlign w:val="center"/>
          </w:tcPr>
          <w:p w14:paraId="0D136085"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5,902.05</w:t>
            </w:r>
          </w:p>
        </w:tc>
        <w:tc>
          <w:tcPr>
            <w:tcW w:w="2410" w:type="dxa"/>
            <w:tcBorders>
              <w:top w:val="single" w:sz="2" w:space="0" w:color="auto"/>
              <w:left w:val="single" w:sz="2" w:space="0" w:color="auto"/>
              <w:bottom w:val="single" w:sz="2" w:space="0" w:color="auto"/>
              <w:right w:val="single" w:sz="2" w:space="0" w:color="auto"/>
            </w:tcBorders>
            <w:vAlign w:val="center"/>
          </w:tcPr>
          <w:p w14:paraId="3B6A7940"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29,464.07</w:t>
            </w:r>
          </w:p>
        </w:tc>
        <w:tc>
          <w:tcPr>
            <w:tcW w:w="2410" w:type="dxa"/>
            <w:tcBorders>
              <w:top w:val="single" w:sz="2" w:space="0" w:color="auto"/>
              <w:left w:val="single" w:sz="2" w:space="0" w:color="auto"/>
              <w:bottom w:val="single" w:sz="2" w:space="0" w:color="auto"/>
              <w:right w:val="single" w:sz="2" w:space="0" w:color="auto"/>
            </w:tcBorders>
            <w:vAlign w:val="center"/>
          </w:tcPr>
          <w:p w14:paraId="7EBA6928"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-79.97%</w:t>
            </w:r>
          </w:p>
        </w:tc>
      </w:tr>
      <w:tr w:rsidR="00C57E60" w14:paraId="65F2A7EE"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AFDA586"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EBITDA</w:t>
            </w:r>
            <w:r w:rsidRPr="00020BAC">
              <w:rPr>
                <w:rFonts w:ascii="Times New Roman" w:eastAsia="宋体" w:hAnsi="Times New Roman" w:cs="Times New Roman"/>
                <w:sz w:val="18"/>
                <w:szCs w:val="18"/>
              </w:rPr>
              <w:t>全部债务比</w:t>
            </w:r>
          </w:p>
        </w:tc>
        <w:tc>
          <w:tcPr>
            <w:tcW w:w="2410" w:type="dxa"/>
            <w:tcBorders>
              <w:top w:val="single" w:sz="2" w:space="0" w:color="auto"/>
              <w:left w:val="single" w:sz="2" w:space="0" w:color="auto"/>
              <w:bottom w:val="single" w:sz="2" w:space="0" w:color="auto"/>
              <w:right w:val="single" w:sz="2" w:space="0" w:color="auto"/>
            </w:tcBorders>
            <w:vAlign w:val="center"/>
          </w:tcPr>
          <w:p w14:paraId="2FC3EA3C" w14:textId="1726F5AC"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12.53</w:t>
            </w:r>
            <w:r w:rsidR="00DC359B" w:rsidRPr="00020BAC">
              <w:rPr>
                <w:rFonts w:ascii="Times New Roman" w:eastAsia="宋体" w:hAnsi="Times New Roman" w:cs="Times New Roman"/>
                <w:sz w:val="18"/>
                <w:szCs w:val="18"/>
              </w:rPr>
              <w:t>%</w:t>
            </w:r>
          </w:p>
        </w:tc>
        <w:tc>
          <w:tcPr>
            <w:tcW w:w="2410" w:type="dxa"/>
            <w:tcBorders>
              <w:top w:val="single" w:sz="2" w:space="0" w:color="auto"/>
              <w:left w:val="single" w:sz="2" w:space="0" w:color="auto"/>
              <w:bottom w:val="single" w:sz="2" w:space="0" w:color="auto"/>
              <w:right w:val="single" w:sz="2" w:space="0" w:color="auto"/>
            </w:tcBorders>
            <w:vAlign w:val="center"/>
          </w:tcPr>
          <w:p w14:paraId="09FDD080"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28.50%</w:t>
            </w:r>
          </w:p>
        </w:tc>
        <w:tc>
          <w:tcPr>
            <w:tcW w:w="2410" w:type="dxa"/>
            <w:tcBorders>
              <w:top w:val="single" w:sz="2" w:space="0" w:color="auto"/>
              <w:left w:val="single" w:sz="2" w:space="0" w:color="auto"/>
              <w:bottom w:val="single" w:sz="2" w:space="0" w:color="auto"/>
              <w:right w:val="single" w:sz="2" w:space="0" w:color="auto"/>
            </w:tcBorders>
            <w:vAlign w:val="center"/>
          </w:tcPr>
          <w:p w14:paraId="693463AA" w14:textId="3EAE64EB" w:rsidR="00DC359B" w:rsidRPr="00020BAC" w:rsidRDefault="00123CA3" w:rsidP="00F1566C">
            <w:pPr>
              <w:spacing w:line="360" w:lineRule="auto"/>
              <w:jc w:val="right"/>
              <w:rPr>
                <w:rFonts w:ascii="Times New Roman" w:eastAsia="宋体" w:hAnsi="Times New Roman" w:cs="Times New Roman"/>
                <w:sz w:val="18"/>
                <w:szCs w:val="18"/>
              </w:rPr>
            </w:pPr>
            <w:r>
              <w:rPr>
                <w:rFonts w:ascii="Times New Roman" w:eastAsia="宋体" w:hAnsi="Times New Roman" w:cs="Times New Roman" w:hint="eastAsia"/>
                <w:sz w:val="18"/>
                <w:szCs w:val="18"/>
              </w:rPr>
              <w:t>减少</w:t>
            </w:r>
            <w:r w:rsidR="00F1566C" w:rsidRPr="00F1566C">
              <w:rPr>
                <w:rFonts w:ascii="Times New Roman" w:eastAsia="宋体" w:hAnsi="Times New Roman" w:cs="Times New Roman"/>
                <w:sz w:val="18"/>
                <w:szCs w:val="18"/>
              </w:rPr>
              <w:t>15.97</w:t>
            </w:r>
            <w:r w:rsidR="00F1566C">
              <w:rPr>
                <w:rFonts w:ascii="Times New Roman" w:eastAsia="宋体" w:hAnsi="Times New Roman" w:cs="Times New Roman" w:hint="eastAsia"/>
                <w:sz w:val="18"/>
                <w:szCs w:val="18"/>
              </w:rPr>
              <w:t>个百分点</w:t>
            </w:r>
          </w:p>
        </w:tc>
      </w:tr>
      <w:tr w:rsidR="00C57E60" w14:paraId="7C4DF86E"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D249B0C"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利息保障倍数</w:t>
            </w:r>
          </w:p>
        </w:tc>
        <w:tc>
          <w:tcPr>
            <w:tcW w:w="2410" w:type="dxa"/>
            <w:tcBorders>
              <w:top w:val="single" w:sz="2" w:space="0" w:color="auto"/>
              <w:left w:val="single" w:sz="2" w:space="0" w:color="auto"/>
              <w:bottom w:val="single" w:sz="2" w:space="0" w:color="auto"/>
              <w:right w:val="single" w:sz="2" w:space="0" w:color="auto"/>
            </w:tcBorders>
            <w:vAlign w:val="center"/>
          </w:tcPr>
          <w:p w14:paraId="105CEEC2" w14:textId="496BC874"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2.90</w:t>
            </w:r>
          </w:p>
        </w:tc>
        <w:tc>
          <w:tcPr>
            <w:tcW w:w="2410" w:type="dxa"/>
            <w:tcBorders>
              <w:top w:val="single" w:sz="2" w:space="0" w:color="auto"/>
              <w:left w:val="single" w:sz="2" w:space="0" w:color="auto"/>
              <w:bottom w:val="single" w:sz="2" w:space="0" w:color="auto"/>
              <w:right w:val="single" w:sz="2" w:space="0" w:color="auto"/>
            </w:tcBorders>
            <w:vAlign w:val="center"/>
          </w:tcPr>
          <w:p w14:paraId="58404252"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9.33</w:t>
            </w:r>
          </w:p>
        </w:tc>
        <w:tc>
          <w:tcPr>
            <w:tcW w:w="2410" w:type="dxa"/>
            <w:tcBorders>
              <w:top w:val="single" w:sz="2" w:space="0" w:color="auto"/>
              <w:left w:val="single" w:sz="2" w:space="0" w:color="auto"/>
              <w:bottom w:val="single" w:sz="2" w:space="0" w:color="auto"/>
              <w:right w:val="single" w:sz="2" w:space="0" w:color="auto"/>
            </w:tcBorders>
            <w:vAlign w:val="center"/>
          </w:tcPr>
          <w:p w14:paraId="343D2652" w14:textId="09B1A2FA"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-68.92</w:t>
            </w:r>
            <w:r w:rsidR="00DC359B" w:rsidRPr="00020BAC">
              <w:rPr>
                <w:rFonts w:ascii="Times New Roman" w:eastAsia="宋体" w:hAnsi="Times New Roman" w:cs="Times New Roman"/>
                <w:sz w:val="18"/>
                <w:szCs w:val="18"/>
              </w:rPr>
              <w:t>%</w:t>
            </w:r>
          </w:p>
        </w:tc>
      </w:tr>
      <w:tr w:rsidR="00C57E60" w14:paraId="036A6480"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0B7A89A"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现金利息保障倍数</w:t>
            </w:r>
          </w:p>
        </w:tc>
        <w:tc>
          <w:tcPr>
            <w:tcW w:w="2410" w:type="dxa"/>
            <w:tcBorders>
              <w:top w:val="single" w:sz="2" w:space="0" w:color="auto"/>
              <w:left w:val="single" w:sz="2" w:space="0" w:color="auto"/>
              <w:bottom w:val="single" w:sz="2" w:space="0" w:color="auto"/>
              <w:right w:val="single" w:sz="2" w:space="0" w:color="auto"/>
            </w:tcBorders>
            <w:vAlign w:val="center"/>
          </w:tcPr>
          <w:p w14:paraId="10CBEF45"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48.13</w:t>
            </w:r>
          </w:p>
        </w:tc>
        <w:tc>
          <w:tcPr>
            <w:tcW w:w="2410" w:type="dxa"/>
            <w:tcBorders>
              <w:top w:val="single" w:sz="2" w:space="0" w:color="auto"/>
              <w:left w:val="single" w:sz="2" w:space="0" w:color="auto"/>
              <w:bottom w:val="single" w:sz="2" w:space="0" w:color="auto"/>
              <w:right w:val="single" w:sz="2" w:space="0" w:color="auto"/>
            </w:tcBorders>
            <w:vAlign w:val="center"/>
          </w:tcPr>
          <w:p w14:paraId="7AA6DCF1"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30.57</w:t>
            </w:r>
          </w:p>
        </w:tc>
        <w:tc>
          <w:tcPr>
            <w:tcW w:w="2410" w:type="dxa"/>
            <w:tcBorders>
              <w:top w:val="single" w:sz="2" w:space="0" w:color="auto"/>
              <w:left w:val="single" w:sz="2" w:space="0" w:color="auto"/>
              <w:bottom w:val="single" w:sz="2" w:space="0" w:color="auto"/>
              <w:right w:val="single" w:sz="2" w:space="0" w:color="auto"/>
            </w:tcBorders>
            <w:vAlign w:val="center"/>
          </w:tcPr>
          <w:p w14:paraId="6E76F033" w14:textId="2F66A5E4"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57.44%</w:t>
            </w:r>
          </w:p>
        </w:tc>
      </w:tr>
      <w:tr w:rsidR="00C57E60" w14:paraId="04D4C8AA"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B86583"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EBITDA</w:t>
            </w:r>
            <w:r w:rsidRPr="00020BAC">
              <w:rPr>
                <w:rFonts w:ascii="Times New Roman" w:eastAsia="宋体" w:hAnsi="Times New Roman" w:cs="Times New Roman"/>
                <w:sz w:val="18"/>
                <w:szCs w:val="18"/>
              </w:rPr>
              <w:t>利息保障倍数</w:t>
            </w:r>
          </w:p>
        </w:tc>
        <w:tc>
          <w:tcPr>
            <w:tcW w:w="2410" w:type="dxa"/>
            <w:tcBorders>
              <w:top w:val="single" w:sz="2" w:space="0" w:color="auto"/>
              <w:left w:val="single" w:sz="2" w:space="0" w:color="auto"/>
              <w:bottom w:val="single" w:sz="2" w:space="0" w:color="auto"/>
              <w:right w:val="single" w:sz="2" w:space="0" w:color="auto"/>
            </w:tcBorders>
            <w:vAlign w:val="center"/>
          </w:tcPr>
          <w:p w14:paraId="0C1B12E2" w14:textId="051255C6"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8.12</w:t>
            </w:r>
          </w:p>
        </w:tc>
        <w:tc>
          <w:tcPr>
            <w:tcW w:w="2410" w:type="dxa"/>
            <w:tcBorders>
              <w:top w:val="single" w:sz="2" w:space="0" w:color="auto"/>
              <w:left w:val="single" w:sz="2" w:space="0" w:color="auto"/>
              <w:bottom w:val="single" w:sz="2" w:space="0" w:color="auto"/>
              <w:right w:val="single" w:sz="2" w:space="0" w:color="auto"/>
            </w:tcBorders>
            <w:vAlign w:val="center"/>
          </w:tcPr>
          <w:p w14:paraId="05B015BD"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13.98</w:t>
            </w:r>
          </w:p>
        </w:tc>
        <w:tc>
          <w:tcPr>
            <w:tcW w:w="2410" w:type="dxa"/>
            <w:tcBorders>
              <w:top w:val="single" w:sz="2" w:space="0" w:color="auto"/>
              <w:left w:val="single" w:sz="2" w:space="0" w:color="auto"/>
              <w:bottom w:val="single" w:sz="2" w:space="0" w:color="auto"/>
              <w:right w:val="single" w:sz="2" w:space="0" w:color="auto"/>
            </w:tcBorders>
            <w:vAlign w:val="center"/>
          </w:tcPr>
          <w:p w14:paraId="4F3E9886" w14:textId="5A89AD4B" w:rsidR="00DC359B" w:rsidRPr="00020BAC"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-41.92%</w:t>
            </w:r>
          </w:p>
        </w:tc>
      </w:tr>
      <w:tr w:rsidR="00C57E60" w14:paraId="3CA6189E"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1E4F5AD"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贷款偿还率</w:t>
            </w:r>
          </w:p>
        </w:tc>
        <w:tc>
          <w:tcPr>
            <w:tcW w:w="2410" w:type="dxa"/>
            <w:tcBorders>
              <w:top w:val="single" w:sz="2" w:space="0" w:color="auto"/>
              <w:left w:val="single" w:sz="2" w:space="0" w:color="auto"/>
              <w:bottom w:val="single" w:sz="2" w:space="0" w:color="auto"/>
              <w:right w:val="single" w:sz="2" w:space="0" w:color="auto"/>
            </w:tcBorders>
            <w:vAlign w:val="center"/>
          </w:tcPr>
          <w:p w14:paraId="37B1BFBF"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14:paraId="3915CA52"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14:paraId="13FF6DA7" w14:textId="1A1369EB" w:rsidR="00DC359B" w:rsidRPr="00020BAC" w:rsidRDefault="00DC359B" w:rsidP="00DC359B">
            <w:pPr>
              <w:spacing w:line="360" w:lineRule="auto"/>
              <w:jc w:val="right"/>
              <w:rPr>
                <w:rFonts w:ascii="Times New Roman" w:eastAsia="宋体" w:hAnsi="Times New Roman" w:cs="Times New Roman"/>
                <w:sz w:val="18"/>
                <w:szCs w:val="18"/>
              </w:rPr>
            </w:pPr>
          </w:p>
        </w:tc>
      </w:tr>
      <w:tr w:rsidR="00C57E60" w14:paraId="082168DF" w14:textId="77777777" w:rsidTr="00DC359B">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36F846" w14:textId="77777777" w:rsidR="00DC359B" w:rsidRPr="00020BAC" w:rsidRDefault="00DC359B" w:rsidP="00DC359B">
            <w:pPr>
              <w:spacing w:before="40" w:after="40" w:line="360" w:lineRule="auto"/>
              <w:rPr>
                <w:rFonts w:ascii="Times New Roman" w:eastAsia="宋体" w:hAnsi="Times New Roman" w:cs="Times New Roman"/>
                <w:sz w:val="18"/>
                <w:szCs w:val="18"/>
              </w:rPr>
            </w:pPr>
            <w:r w:rsidRPr="00020BAC">
              <w:rPr>
                <w:rFonts w:ascii="Times New Roman" w:eastAsia="宋体" w:hAnsi="Times New Roman" w:cs="Times New Roman"/>
                <w:sz w:val="18"/>
                <w:szCs w:val="18"/>
              </w:rPr>
              <w:t>利息偿付率</w:t>
            </w:r>
          </w:p>
        </w:tc>
        <w:tc>
          <w:tcPr>
            <w:tcW w:w="2410" w:type="dxa"/>
            <w:tcBorders>
              <w:top w:val="single" w:sz="2" w:space="0" w:color="auto"/>
              <w:left w:val="single" w:sz="2" w:space="0" w:color="auto"/>
              <w:bottom w:val="single" w:sz="2" w:space="0" w:color="auto"/>
              <w:right w:val="single" w:sz="2" w:space="0" w:color="auto"/>
            </w:tcBorders>
            <w:vAlign w:val="center"/>
          </w:tcPr>
          <w:p w14:paraId="6ADF5EDB"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14:paraId="1646F810" w14:textId="77777777" w:rsidR="00DC359B" w:rsidRPr="00020BAC" w:rsidRDefault="00DC359B" w:rsidP="00DC359B">
            <w:pPr>
              <w:spacing w:line="360" w:lineRule="auto"/>
              <w:jc w:val="right"/>
              <w:rPr>
                <w:rFonts w:ascii="Times New Roman" w:eastAsia="宋体" w:hAnsi="Times New Roman" w:cs="Times New Roman"/>
                <w:sz w:val="18"/>
                <w:szCs w:val="18"/>
              </w:rPr>
            </w:pPr>
            <w:r w:rsidRPr="00020BAC">
              <w:rPr>
                <w:rFonts w:ascii="Times New Roman" w:eastAsia="宋体" w:hAnsi="Times New Roman" w:cs="Times New Roman"/>
                <w:sz w:val="18"/>
                <w:szCs w:val="18"/>
              </w:rPr>
              <w:t>100.00%</w:t>
            </w:r>
          </w:p>
        </w:tc>
        <w:tc>
          <w:tcPr>
            <w:tcW w:w="2410" w:type="dxa"/>
            <w:tcBorders>
              <w:top w:val="single" w:sz="2" w:space="0" w:color="auto"/>
              <w:left w:val="single" w:sz="2" w:space="0" w:color="auto"/>
              <w:bottom w:val="single" w:sz="2" w:space="0" w:color="auto"/>
              <w:right w:val="single" w:sz="2" w:space="0" w:color="auto"/>
            </w:tcBorders>
            <w:vAlign w:val="center"/>
          </w:tcPr>
          <w:p w14:paraId="3BA74512" w14:textId="75D312FE" w:rsidR="00DC359B" w:rsidRPr="00020BAC" w:rsidRDefault="00DC359B" w:rsidP="00DC359B">
            <w:pPr>
              <w:spacing w:line="360" w:lineRule="auto"/>
              <w:jc w:val="right"/>
              <w:rPr>
                <w:rFonts w:ascii="Times New Roman" w:eastAsia="宋体" w:hAnsi="Times New Roman" w:cs="Times New Roman"/>
                <w:sz w:val="18"/>
                <w:szCs w:val="18"/>
              </w:rPr>
            </w:pPr>
          </w:p>
        </w:tc>
      </w:tr>
    </w:tbl>
    <w:p w14:paraId="0C51151D" w14:textId="77777777" w:rsidR="00DC359B" w:rsidRDefault="00DC359B" w:rsidP="00DC359B">
      <w:r>
        <w:br w:type="page"/>
      </w:r>
    </w:p>
    <w:p w14:paraId="1DA3B794" w14:textId="77777777" w:rsidR="00DC359B" w:rsidRDefault="00DC359B" w:rsidP="00DC359B">
      <w:pPr>
        <w:pStyle w:val="headingh1"/>
        <w:spacing w:before="340" w:after="330" w:line="773" w:lineRule="exact"/>
        <w:jc w:val="center"/>
        <w:rPr>
          <w:rFonts w:ascii="宋体" w:eastAsia="宋体" w:hAnsi="宋体" w:cs="宋体"/>
          <w:b/>
          <w:bCs/>
          <w:sz w:val="32"/>
          <w:szCs w:val="32"/>
        </w:rPr>
      </w:pPr>
      <w:bookmarkStart w:id="115" w:name="_Toc228122509"/>
      <w:r>
        <w:rPr>
          <w:rFonts w:ascii="宋体" w:eastAsia="宋体" w:hAnsi="宋体" w:cs="宋体"/>
          <w:b/>
          <w:bCs/>
          <w:sz w:val="32"/>
          <w:szCs w:val="32"/>
        </w:rPr>
        <w:t>第八节 财务报告</w:t>
      </w:r>
      <w:bookmarkEnd w:id="115"/>
    </w:p>
    <w:p w14:paraId="2CC66B87" w14:textId="77777777" w:rsidR="00DC359B" w:rsidRDefault="00DC359B" w:rsidP="00DC359B">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一、审计报告</w:t>
      </w:r>
    </w:p>
    <w:tbl>
      <w:tblPr>
        <w:tblW w:w="9639" w:type="dxa"/>
        <w:tblInd w:w="108" w:type="dxa"/>
        <w:tblLayout w:type="fixed"/>
        <w:tblLook w:val="04A0" w:firstRow="1" w:lastRow="0" w:firstColumn="1" w:lastColumn="0" w:noHBand="0" w:noVBand="1"/>
      </w:tblPr>
      <w:tblGrid>
        <w:gridCol w:w="4820"/>
        <w:gridCol w:w="4819"/>
      </w:tblGrid>
      <w:tr w:rsidR="00CB3EF8" w14:paraId="031576F0" w14:textId="77777777" w:rsidTr="00A212D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BCC3648" w14:textId="77777777" w:rsidR="00ED7E3F" w:rsidRPr="00A212D0" w:rsidRDefault="00ED7E3F" w:rsidP="00A212D0">
            <w:pPr>
              <w:spacing w:before="40" w:after="40"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审计意见类型</w:t>
            </w:r>
          </w:p>
        </w:tc>
        <w:tc>
          <w:tcPr>
            <w:tcW w:w="4820" w:type="dxa"/>
            <w:tcBorders>
              <w:top w:val="single" w:sz="2" w:space="0" w:color="auto"/>
              <w:left w:val="single" w:sz="2" w:space="0" w:color="auto"/>
              <w:bottom w:val="single" w:sz="2" w:space="0" w:color="auto"/>
              <w:right w:val="single" w:sz="2" w:space="0" w:color="auto"/>
            </w:tcBorders>
            <w:vAlign w:val="center"/>
          </w:tcPr>
          <w:p w14:paraId="144B5003" w14:textId="77777777" w:rsidR="00ED7E3F" w:rsidRPr="00A212D0" w:rsidRDefault="00ED7E3F" w:rsidP="00A212D0">
            <w:pPr>
              <w:spacing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标准的无保留意见</w:t>
            </w:r>
          </w:p>
        </w:tc>
      </w:tr>
      <w:tr w:rsidR="00CB3EF8" w14:paraId="0521523F" w14:textId="77777777" w:rsidTr="00A212D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A5ABA63" w14:textId="77777777" w:rsidR="00ED7E3F" w:rsidRPr="00A212D0" w:rsidRDefault="00ED7E3F" w:rsidP="00A212D0">
            <w:pPr>
              <w:spacing w:before="40" w:after="40"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审计报告签署日期</w:t>
            </w:r>
          </w:p>
        </w:tc>
        <w:tc>
          <w:tcPr>
            <w:tcW w:w="4820" w:type="dxa"/>
            <w:tcBorders>
              <w:top w:val="single" w:sz="2" w:space="0" w:color="auto"/>
              <w:left w:val="single" w:sz="2" w:space="0" w:color="auto"/>
              <w:bottom w:val="single" w:sz="2" w:space="0" w:color="auto"/>
              <w:right w:val="single" w:sz="2" w:space="0" w:color="auto"/>
            </w:tcBorders>
            <w:vAlign w:val="center"/>
          </w:tcPr>
          <w:p w14:paraId="25AD2748" w14:textId="77777777" w:rsidR="00ED7E3F" w:rsidRPr="00A212D0" w:rsidRDefault="00ED7E3F" w:rsidP="00A212D0">
            <w:pPr>
              <w:spacing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2026</w:t>
            </w:r>
            <w:r w:rsidRPr="00A212D0">
              <w:rPr>
                <w:rFonts w:ascii="Times New Roman" w:eastAsia="宋体" w:hAnsi="Times New Roman" w:cs="Times New Roman"/>
                <w:sz w:val="18"/>
                <w:szCs w:val="18"/>
              </w:rPr>
              <w:t>年</w:t>
            </w:r>
            <w:r w:rsidRPr="00A212D0">
              <w:rPr>
                <w:rFonts w:ascii="Times New Roman" w:eastAsia="宋体" w:hAnsi="Times New Roman" w:cs="Times New Roman"/>
                <w:sz w:val="18"/>
                <w:szCs w:val="18"/>
              </w:rPr>
              <w:t>04</w:t>
            </w:r>
            <w:r w:rsidRPr="00A212D0">
              <w:rPr>
                <w:rFonts w:ascii="Times New Roman" w:eastAsia="宋体" w:hAnsi="Times New Roman" w:cs="Times New Roman"/>
                <w:sz w:val="18"/>
                <w:szCs w:val="18"/>
              </w:rPr>
              <w:t>月</w:t>
            </w:r>
            <w:r w:rsidRPr="00A212D0">
              <w:rPr>
                <w:rFonts w:ascii="Times New Roman" w:eastAsia="宋体" w:hAnsi="Times New Roman" w:cs="Times New Roman"/>
                <w:sz w:val="18"/>
                <w:szCs w:val="18"/>
              </w:rPr>
              <w:t>27</w:t>
            </w:r>
            <w:r w:rsidRPr="00A212D0">
              <w:rPr>
                <w:rFonts w:ascii="Times New Roman" w:eastAsia="宋体" w:hAnsi="Times New Roman" w:cs="Times New Roman"/>
                <w:sz w:val="18"/>
                <w:szCs w:val="18"/>
              </w:rPr>
              <w:t>日</w:t>
            </w:r>
          </w:p>
        </w:tc>
      </w:tr>
      <w:tr w:rsidR="00CB3EF8" w14:paraId="0CDD58AE" w14:textId="77777777" w:rsidTr="00A212D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5C5E051" w14:textId="77777777" w:rsidR="00ED7E3F" w:rsidRPr="00A212D0" w:rsidRDefault="00ED7E3F" w:rsidP="00A212D0">
            <w:pPr>
              <w:spacing w:before="40" w:after="40"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审计机构名称</w:t>
            </w:r>
          </w:p>
        </w:tc>
        <w:tc>
          <w:tcPr>
            <w:tcW w:w="4820" w:type="dxa"/>
            <w:tcBorders>
              <w:top w:val="single" w:sz="2" w:space="0" w:color="auto"/>
              <w:left w:val="single" w:sz="2" w:space="0" w:color="auto"/>
              <w:bottom w:val="single" w:sz="2" w:space="0" w:color="auto"/>
              <w:right w:val="single" w:sz="2" w:space="0" w:color="auto"/>
            </w:tcBorders>
            <w:vAlign w:val="center"/>
          </w:tcPr>
          <w:p w14:paraId="433B8CEB" w14:textId="77777777" w:rsidR="00ED7E3F" w:rsidRPr="00A212D0" w:rsidRDefault="00ED7E3F" w:rsidP="00A212D0">
            <w:pPr>
              <w:spacing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信永中和会计师事务所（特殊普通合伙）</w:t>
            </w:r>
          </w:p>
        </w:tc>
      </w:tr>
      <w:tr w:rsidR="00CB3EF8" w14:paraId="67D01BAC" w14:textId="77777777" w:rsidTr="00A212D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3F9ED99" w14:textId="77777777" w:rsidR="00ED7E3F" w:rsidRPr="00A212D0" w:rsidRDefault="00ED7E3F" w:rsidP="00A212D0">
            <w:pPr>
              <w:spacing w:before="40" w:after="40"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审计报告文号</w:t>
            </w:r>
          </w:p>
        </w:tc>
        <w:tc>
          <w:tcPr>
            <w:tcW w:w="4820" w:type="dxa"/>
            <w:tcBorders>
              <w:top w:val="single" w:sz="2" w:space="0" w:color="auto"/>
              <w:left w:val="single" w:sz="2" w:space="0" w:color="auto"/>
              <w:bottom w:val="single" w:sz="2" w:space="0" w:color="auto"/>
              <w:right w:val="single" w:sz="2" w:space="0" w:color="auto"/>
            </w:tcBorders>
            <w:vAlign w:val="center"/>
          </w:tcPr>
          <w:p w14:paraId="361CD8C8" w14:textId="77777777" w:rsidR="00ED7E3F" w:rsidRPr="00A212D0" w:rsidRDefault="00ED7E3F" w:rsidP="00A212D0">
            <w:pPr>
              <w:spacing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XYZH/2026CSAA1B0075</w:t>
            </w:r>
          </w:p>
        </w:tc>
      </w:tr>
      <w:tr w:rsidR="00CB3EF8" w14:paraId="03B920D7" w14:textId="77777777" w:rsidTr="00A212D0">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0B64CD3" w14:textId="77777777" w:rsidR="00ED7E3F" w:rsidRPr="00A212D0" w:rsidRDefault="00ED7E3F" w:rsidP="00A212D0">
            <w:pPr>
              <w:spacing w:before="40" w:after="40"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注册会计师姓名</w:t>
            </w:r>
          </w:p>
        </w:tc>
        <w:tc>
          <w:tcPr>
            <w:tcW w:w="4820" w:type="dxa"/>
            <w:tcBorders>
              <w:top w:val="single" w:sz="2" w:space="0" w:color="auto"/>
              <w:left w:val="single" w:sz="2" w:space="0" w:color="auto"/>
              <w:bottom w:val="single" w:sz="2" w:space="0" w:color="auto"/>
              <w:right w:val="single" w:sz="2" w:space="0" w:color="auto"/>
            </w:tcBorders>
            <w:vAlign w:val="center"/>
          </w:tcPr>
          <w:p w14:paraId="2CAE0907" w14:textId="77777777" w:rsidR="00ED7E3F" w:rsidRPr="00A212D0" w:rsidRDefault="00ED7E3F" w:rsidP="00A212D0">
            <w:pPr>
              <w:spacing w:line="360" w:lineRule="auto"/>
              <w:rPr>
                <w:rFonts w:ascii="Times New Roman" w:eastAsia="宋体" w:hAnsi="Times New Roman" w:cs="Times New Roman"/>
                <w:sz w:val="18"/>
                <w:szCs w:val="18"/>
              </w:rPr>
            </w:pPr>
            <w:r w:rsidRPr="00A212D0">
              <w:rPr>
                <w:rFonts w:ascii="Times New Roman" w:eastAsia="宋体" w:hAnsi="Times New Roman" w:cs="Times New Roman"/>
                <w:sz w:val="18"/>
                <w:szCs w:val="18"/>
              </w:rPr>
              <w:t>蒋盛森、潘钊</w:t>
            </w:r>
          </w:p>
        </w:tc>
      </w:tr>
    </w:tbl>
    <w:p w14:paraId="47906088" w14:textId="77777777" w:rsidR="00ED7E3F" w:rsidRDefault="00ED7E3F" w:rsidP="00ED7E3F">
      <w:pPr>
        <w:spacing w:before="100" w:after="100" w:line="240" w:lineRule="exact"/>
        <w:jc w:val="center"/>
        <w:rPr>
          <w:rFonts w:ascii="宋体" w:eastAsia="宋体" w:hAnsi="宋体" w:cs="宋体"/>
          <w:sz w:val="18"/>
          <w:szCs w:val="18"/>
        </w:rPr>
      </w:pPr>
      <w:r>
        <w:rPr>
          <w:rFonts w:ascii="宋体" w:eastAsia="宋体" w:hAnsi="宋体" w:cs="宋体"/>
          <w:sz w:val="18"/>
          <w:szCs w:val="18"/>
        </w:rPr>
        <w:t>审计报告正文</w:t>
      </w:r>
    </w:p>
    <w:p w14:paraId="1FDD71E1" w14:textId="77777777" w:rsidR="00A360C6" w:rsidRPr="00BB4067" w:rsidRDefault="00A360C6" w:rsidP="00A360C6">
      <w:pPr>
        <w:pStyle w:val="a9"/>
        <w:spacing w:before="240" w:beforeAutospacing="0" w:after="240" w:afterAutospacing="0" w:line="360" w:lineRule="atLeast"/>
        <w:jc w:val="center"/>
      </w:pPr>
      <w:r w:rsidRPr="00BB4067">
        <w:rPr>
          <w:rStyle w:val="aa"/>
          <w:rFonts w:ascii="黑体" w:eastAsia="黑体" w:hAnsi="黑体" w:hint="eastAsia"/>
          <w:spacing w:val="15"/>
          <w:sz w:val="28"/>
          <w:szCs w:val="28"/>
        </w:rPr>
        <w:t>审计报告</w:t>
      </w:r>
      <w:r w:rsidRPr="00BB4067">
        <w:rPr>
          <w:rFonts w:hint="eastAsia"/>
          <w:sz w:val="28"/>
          <w:szCs w:val="28"/>
        </w:rPr>
        <w:t xml:space="preserve"> </w:t>
      </w:r>
    </w:p>
    <w:p w14:paraId="0D6674FF" w14:textId="2A1B2DE4" w:rsidR="00A360C6" w:rsidRPr="006E783C" w:rsidRDefault="00A360C6" w:rsidP="00A360C6">
      <w:pPr>
        <w:pStyle w:val="report-section-reference-associated-number"/>
        <w:spacing w:beforeLines="50" w:before="156" w:beforeAutospacing="0" w:after="0" w:afterAutospacing="0" w:line="360" w:lineRule="exact"/>
        <w:jc w:val="right"/>
        <w:rPr>
          <w:rFonts w:ascii="Times New Roman" w:hAnsi="Times New Roman" w:cs="Times New Roman"/>
          <w:color w:val="FF0000"/>
          <w:sz w:val="21"/>
          <w:szCs w:val="21"/>
        </w:rPr>
      </w:pPr>
      <w:r w:rsidRPr="00A360C6">
        <w:rPr>
          <w:rFonts w:ascii="Times New Roman" w:hAnsi="Times New Roman" w:cs="Times New Roman"/>
          <w:sz w:val="21"/>
          <w:szCs w:val="21"/>
        </w:rPr>
        <w:t>XYZH/2026CSAA1B0075</w:t>
      </w:r>
    </w:p>
    <w:p w14:paraId="2EA30D37" w14:textId="77777777" w:rsidR="00A360C6" w:rsidRPr="006E783C" w:rsidRDefault="00A360C6" w:rsidP="00A360C6">
      <w:pPr>
        <w:pStyle w:val="report-section-reference-associated-number"/>
        <w:spacing w:before="0" w:beforeAutospacing="0" w:afterLines="50" w:after="156" w:afterAutospacing="0" w:line="360" w:lineRule="exact"/>
        <w:jc w:val="right"/>
        <w:rPr>
          <w:rFonts w:ascii="Times New Roman" w:hAnsi="Times New Roman" w:cs="Times New Roman"/>
          <w:sz w:val="21"/>
          <w:szCs w:val="21"/>
        </w:rPr>
      </w:pPr>
      <w:r w:rsidRPr="006E783C">
        <w:rPr>
          <w:rFonts w:ascii="Times New Roman" w:hAnsi="Times New Roman" w:cs="Times New Roman"/>
          <w:sz w:val="21"/>
          <w:szCs w:val="21"/>
        </w:rPr>
        <w:t>三诺生物传感股份有限公司</w:t>
      </w:r>
    </w:p>
    <w:p w14:paraId="403EC1C2" w14:textId="77777777" w:rsidR="00A360C6" w:rsidRPr="006E783C" w:rsidRDefault="00A360C6" w:rsidP="00417662">
      <w:pPr>
        <w:pStyle w:val="a9"/>
        <w:spacing w:beforeLines="50" w:before="156" w:beforeAutospacing="0" w:afterLines="50" w:after="156" w:afterAutospacing="0" w:line="360" w:lineRule="auto"/>
        <w:rPr>
          <w:sz w:val="21"/>
          <w:szCs w:val="21"/>
        </w:rPr>
      </w:pPr>
      <w:r w:rsidRPr="006E783C">
        <w:rPr>
          <w:rFonts w:ascii="Arial" w:cs="Arial" w:hint="eastAsia"/>
          <w:b/>
          <w:sz w:val="21"/>
          <w:szCs w:val="21"/>
        </w:rPr>
        <w:t>三诺生物传感</w:t>
      </w:r>
      <w:r w:rsidRPr="006E783C">
        <w:rPr>
          <w:rFonts w:ascii="Arial" w:cs="Arial"/>
          <w:b/>
          <w:sz w:val="21"/>
          <w:szCs w:val="21"/>
        </w:rPr>
        <w:t>股份有限公司</w:t>
      </w:r>
      <w:r w:rsidRPr="006E783C">
        <w:rPr>
          <w:rStyle w:val="aa"/>
          <w:rFonts w:hint="eastAsia"/>
          <w:color w:val="000000"/>
          <w:sz w:val="21"/>
          <w:szCs w:val="21"/>
        </w:rPr>
        <w:t>全体股东：</w:t>
      </w:r>
    </w:p>
    <w:p w14:paraId="787C6E5E" w14:textId="77777777" w:rsidR="00417662" w:rsidRPr="006E783C" w:rsidRDefault="00417662" w:rsidP="00417662">
      <w:pPr>
        <w:spacing w:beforeLines="50" w:before="156" w:afterLines="50" w:after="156" w:line="360" w:lineRule="auto"/>
        <w:ind w:left="420"/>
        <w:jc w:val="both"/>
        <w:rPr>
          <w:rFonts w:ascii="宋体" w:eastAsia="宋体" w:hAnsi="宋体"/>
          <w:b/>
          <w:szCs w:val="21"/>
        </w:rPr>
      </w:pPr>
      <w:r>
        <w:rPr>
          <w:rFonts w:ascii="宋体" w:eastAsia="宋体" w:hAnsi="宋体" w:hint="eastAsia"/>
          <w:b/>
          <w:szCs w:val="21"/>
        </w:rPr>
        <w:t>一、</w:t>
      </w:r>
      <w:r w:rsidRPr="006E783C">
        <w:rPr>
          <w:rFonts w:ascii="宋体" w:eastAsia="宋体" w:hAnsi="宋体" w:hint="eastAsia"/>
          <w:b/>
          <w:szCs w:val="21"/>
        </w:rPr>
        <w:t>审计意见</w:t>
      </w:r>
    </w:p>
    <w:p w14:paraId="4E674692" w14:textId="77777777" w:rsidR="00DD4C53" w:rsidRPr="00DD4C53" w:rsidRDefault="00DD4C53" w:rsidP="00C707CF">
      <w:pPr>
        <w:spacing w:line="360" w:lineRule="auto"/>
        <w:ind w:firstLineChars="200" w:firstLine="420"/>
        <w:jc w:val="both"/>
        <w:rPr>
          <w:rFonts w:ascii="Times New Roman" w:eastAsia="宋体" w:hAnsi="Times New Roman" w:cs="Times New Roman"/>
          <w:szCs w:val="21"/>
        </w:rPr>
      </w:pPr>
      <w:r w:rsidRPr="00DD4C53">
        <w:rPr>
          <w:rFonts w:ascii="Times New Roman" w:eastAsia="宋体" w:hAnsi="Times New Roman" w:cs="Times New Roman" w:hint="eastAsia"/>
          <w:szCs w:val="21"/>
        </w:rPr>
        <w:t>我们审计了三诺生物传感股份有限公司（以下简称三诺生物公司）财务报表，包括</w:t>
      </w:r>
      <w:r w:rsidRPr="00DD4C53">
        <w:rPr>
          <w:rFonts w:ascii="Times New Roman" w:eastAsia="宋体" w:hAnsi="Times New Roman" w:cs="Times New Roman"/>
          <w:szCs w:val="21"/>
        </w:rPr>
        <w:t>2025</w:t>
      </w:r>
      <w:r w:rsidRPr="00DD4C53">
        <w:rPr>
          <w:rFonts w:ascii="Times New Roman" w:eastAsia="宋体" w:hAnsi="Times New Roman" w:cs="Times New Roman"/>
          <w:szCs w:val="21"/>
        </w:rPr>
        <w:t>年</w:t>
      </w:r>
      <w:r w:rsidRPr="00DD4C53">
        <w:rPr>
          <w:rFonts w:ascii="Times New Roman" w:eastAsia="宋体" w:hAnsi="Times New Roman" w:cs="Times New Roman"/>
          <w:szCs w:val="21"/>
        </w:rPr>
        <w:t>12</w:t>
      </w:r>
      <w:r w:rsidRPr="00DD4C53">
        <w:rPr>
          <w:rFonts w:ascii="Times New Roman" w:eastAsia="宋体" w:hAnsi="Times New Roman" w:cs="Times New Roman"/>
          <w:szCs w:val="21"/>
        </w:rPr>
        <w:t>月</w:t>
      </w:r>
      <w:r w:rsidRPr="00DD4C53">
        <w:rPr>
          <w:rFonts w:ascii="Times New Roman" w:eastAsia="宋体" w:hAnsi="Times New Roman" w:cs="Times New Roman"/>
          <w:szCs w:val="21"/>
        </w:rPr>
        <w:t>31</w:t>
      </w:r>
      <w:r w:rsidRPr="00DD4C53">
        <w:rPr>
          <w:rFonts w:ascii="Times New Roman" w:eastAsia="宋体" w:hAnsi="Times New Roman" w:cs="Times New Roman"/>
          <w:szCs w:val="21"/>
        </w:rPr>
        <w:t>日的合并及母公司资产负债表，</w:t>
      </w:r>
      <w:r w:rsidRPr="00DD4C53">
        <w:rPr>
          <w:rFonts w:ascii="Times New Roman" w:eastAsia="宋体" w:hAnsi="Times New Roman" w:cs="Times New Roman"/>
          <w:szCs w:val="21"/>
        </w:rPr>
        <w:t>2025</w:t>
      </w:r>
      <w:r w:rsidRPr="00DD4C53">
        <w:rPr>
          <w:rFonts w:ascii="Times New Roman" w:eastAsia="宋体" w:hAnsi="Times New Roman" w:cs="Times New Roman"/>
          <w:szCs w:val="21"/>
        </w:rPr>
        <w:t>年度的合并及母公司利润表、合并及母公司现金流量表、合并及母公司股东权益变动表，以及相关财务报表附注。</w:t>
      </w:r>
    </w:p>
    <w:p w14:paraId="7FFE62F5" w14:textId="4198F6AB" w:rsidR="00417662" w:rsidRPr="00417662" w:rsidRDefault="00DD4C53" w:rsidP="009347F9">
      <w:pPr>
        <w:spacing w:line="360" w:lineRule="auto"/>
        <w:ind w:firstLineChars="200" w:firstLine="420"/>
        <w:jc w:val="both"/>
        <w:rPr>
          <w:rFonts w:ascii="Times New Roman" w:eastAsia="宋体" w:hAnsi="Times New Roman" w:cs="Times New Roman"/>
          <w:szCs w:val="21"/>
        </w:rPr>
      </w:pPr>
      <w:r w:rsidRPr="00DD4C53">
        <w:rPr>
          <w:rFonts w:ascii="Times New Roman" w:eastAsia="宋体" w:hAnsi="Times New Roman" w:cs="Times New Roman" w:hint="eastAsia"/>
          <w:szCs w:val="21"/>
        </w:rPr>
        <w:t>我们认为，后附的财务报表在所有重大方面按照企业会计准则的规定编制，公允反映了三诺生物公司</w:t>
      </w:r>
      <w:r w:rsidRPr="00DD4C53">
        <w:rPr>
          <w:rFonts w:ascii="Times New Roman" w:eastAsia="宋体" w:hAnsi="Times New Roman" w:cs="Times New Roman"/>
          <w:szCs w:val="21"/>
        </w:rPr>
        <w:t>2025</w:t>
      </w:r>
      <w:r w:rsidRPr="00DD4C53">
        <w:rPr>
          <w:rFonts w:ascii="Times New Roman" w:eastAsia="宋体" w:hAnsi="Times New Roman" w:cs="Times New Roman"/>
          <w:szCs w:val="21"/>
        </w:rPr>
        <w:t>年</w:t>
      </w:r>
      <w:r w:rsidRPr="00DD4C53">
        <w:rPr>
          <w:rFonts w:ascii="Times New Roman" w:eastAsia="宋体" w:hAnsi="Times New Roman" w:cs="Times New Roman"/>
          <w:szCs w:val="21"/>
        </w:rPr>
        <w:t>12</w:t>
      </w:r>
      <w:r w:rsidRPr="00DD4C53">
        <w:rPr>
          <w:rFonts w:ascii="Times New Roman" w:eastAsia="宋体" w:hAnsi="Times New Roman" w:cs="Times New Roman"/>
          <w:szCs w:val="21"/>
        </w:rPr>
        <w:t>月</w:t>
      </w:r>
      <w:r w:rsidRPr="00DD4C53">
        <w:rPr>
          <w:rFonts w:ascii="Times New Roman" w:eastAsia="宋体" w:hAnsi="Times New Roman" w:cs="Times New Roman"/>
          <w:szCs w:val="21"/>
        </w:rPr>
        <w:t>31</w:t>
      </w:r>
      <w:r w:rsidRPr="00DD4C53">
        <w:rPr>
          <w:rFonts w:ascii="Times New Roman" w:eastAsia="宋体" w:hAnsi="Times New Roman" w:cs="Times New Roman"/>
          <w:szCs w:val="21"/>
        </w:rPr>
        <w:t>日的合并及母公司财务状况以及</w:t>
      </w:r>
      <w:r w:rsidRPr="00DD4C53">
        <w:rPr>
          <w:rFonts w:ascii="Times New Roman" w:eastAsia="宋体" w:hAnsi="Times New Roman" w:cs="Times New Roman"/>
          <w:szCs w:val="21"/>
        </w:rPr>
        <w:t>2025</w:t>
      </w:r>
      <w:r w:rsidRPr="00DD4C53">
        <w:rPr>
          <w:rFonts w:ascii="Times New Roman" w:eastAsia="宋体" w:hAnsi="Times New Roman" w:cs="Times New Roman"/>
          <w:szCs w:val="21"/>
        </w:rPr>
        <w:t>年度的合并及母公司经营成果和现金流量。</w:t>
      </w:r>
    </w:p>
    <w:p w14:paraId="5D2743F1" w14:textId="77777777" w:rsidR="00417662" w:rsidRPr="006E783C" w:rsidRDefault="00417662" w:rsidP="009347F9">
      <w:pPr>
        <w:spacing w:beforeLines="50" w:before="156" w:afterLines="50" w:after="156" w:line="360" w:lineRule="auto"/>
        <w:ind w:left="420"/>
        <w:jc w:val="both"/>
        <w:rPr>
          <w:rFonts w:ascii="宋体" w:eastAsia="宋体" w:hAnsi="宋体"/>
          <w:b/>
          <w:szCs w:val="21"/>
        </w:rPr>
      </w:pPr>
      <w:r>
        <w:rPr>
          <w:rFonts w:ascii="宋体" w:eastAsia="宋体" w:hAnsi="宋体" w:hint="eastAsia"/>
          <w:b/>
          <w:szCs w:val="21"/>
        </w:rPr>
        <w:t>二、</w:t>
      </w:r>
      <w:r w:rsidRPr="006E783C">
        <w:rPr>
          <w:rFonts w:ascii="宋体" w:eastAsia="宋体" w:hAnsi="宋体" w:hint="eastAsia"/>
          <w:b/>
          <w:szCs w:val="21"/>
        </w:rPr>
        <w:t>形成审计意见的基础</w:t>
      </w:r>
    </w:p>
    <w:p w14:paraId="466666F7" w14:textId="27996160" w:rsidR="00417662" w:rsidRPr="009347F9" w:rsidRDefault="00DD4C53" w:rsidP="009347F9">
      <w:pPr>
        <w:spacing w:line="360" w:lineRule="auto"/>
        <w:ind w:firstLineChars="200" w:firstLine="420"/>
        <w:jc w:val="both"/>
        <w:rPr>
          <w:rFonts w:ascii="Times New Roman" w:eastAsia="宋体" w:hAnsi="Times New Roman" w:cs="Times New Roman"/>
          <w:szCs w:val="21"/>
        </w:rPr>
      </w:pPr>
      <w:r w:rsidRPr="00DD4C53">
        <w:rPr>
          <w:rFonts w:ascii="Times New Roman" w:eastAsia="宋体" w:hAnsi="Times New Roman" w:cs="Times New Roman" w:hint="eastAsia"/>
          <w:szCs w:val="21"/>
        </w:rPr>
        <w:t>我们按照中国注册会计师审计准则的规定执行了审计工作。审计报告的“注册会计师对财务报表审计的责任”部分进一步阐述了我们在这些准则下的责任。按照中国注册会计师独立性准则和中国注册会计师职业道德守则中适用于公众利益实体财务报表审计的独立性要求，我们独立于三诺生物公司，并履行了独立性和职业道德方面的其他责任。我们相信，我们获取的审计证据是充分、适当的，为发表审计意见提供了基础。</w:t>
      </w:r>
    </w:p>
    <w:p w14:paraId="6188F994" w14:textId="77777777" w:rsidR="00417662" w:rsidRPr="006E783C" w:rsidRDefault="00417662" w:rsidP="00B71498">
      <w:pPr>
        <w:spacing w:beforeLines="50" w:before="156" w:afterLines="50" w:after="156" w:line="360" w:lineRule="auto"/>
        <w:ind w:left="420"/>
        <w:jc w:val="both"/>
        <w:rPr>
          <w:rFonts w:ascii="宋体" w:eastAsia="宋体" w:hAnsi="宋体"/>
          <w:b/>
          <w:szCs w:val="21"/>
        </w:rPr>
      </w:pPr>
      <w:r>
        <w:rPr>
          <w:rFonts w:ascii="宋体" w:eastAsia="宋体" w:hAnsi="宋体" w:hint="eastAsia"/>
          <w:b/>
          <w:szCs w:val="21"/>
        </w:rPr>
        <w:t>三、</w:t>
      </w:r>
      <w:r w:rsidRPr="006E783C">
        <w:rPr>
          <w:rFonts w:ascii="宋体" w:eastAsia="宋体" w:hAnsi="宋体" w:hint="eastAsia"/>
          <w:b/>
          <w:szCs w:val="21"/>
        </w:rPr>
        <w:t>关键审计事项</w:t>
      </w:r>
    </w:p>
    <w:p w14:paraId="5EDB9987" w14:textId="30CBA0FE" w:rsidR="00417662" w:rsidRPr="009347F9" w:rsidRDefault="00DD4C53" w:rsidP="009347F9">
      <w:pPr>
        <w:spacing w:line="360" w:lineRule="auto"/>
        <w:ind w:firstLineChars="200" w:firstLine="420"/>
        <w:jc w:val="both"/>
        <w:rPr>
          <w:rFonts w:ascii="Times New Roman" w:eastAsia="宋体" w:hAnsi="Times New Roman" w:cs="Times New Roman"/>
          <w:szCs w:val="21"/>
        </w:rPr>
      </w:pPr>
      <w:r w:rsidRPr="00DD4C53">
        <w:rPr>
          <w:rFonts w:ascii="Times New Roman" w:eastAsia="宋体" w:hAnsi="Times New Roman" w:cs="Times New Roman" w:hint="eastAsia"/>
          <w:szCs w:val="21"/>
        </w:rPr>
        <w:t>关键审计事项是我们根据职业判断，认为对本期财务报表审计最为重要的事项。这些事项的应对以对财务报表整体进行审计并形成审计意见为背景，我们不对这些事项单独发表意见。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5149"/>
      </w:tblGrid>
      <w:tr w:rsidR="00417662" w:rsidRPr="009347F9" w14:paraId="1FF87B5F" w14:textId="77777777" w:rsidTr="009347F9">
        <w:trPr>
          <w:trHeight w:val="319"/>
          <w:jc w:val="center"/>
        </w:trPr>
        <w:tc>
          <w:tcPr>
            <w:tcW w:w="5000" w:type="pct"/>
            <w:gridSpan w:val="2"/>
            <w:vAlign w:val="center"/>
          </w:tcPr>
          <w:p w14:paraId="299DA610" w14:textId="77777777" w:rsidR="00417662" w:rsidRPr="009347F9" w:rsidRDefault="00417662" w:rsidP="00AF7CC4">
            <w:pPr>
              <w:numPr>
                <w:ilvl w:val="0"/>
                <w:numId w:val="1"/>
              </w:numPr>
              <w:tabs>
                <w:tab w:val="left" w:pos="0"/>
                <w:tab w:val="left" w:pos="284"/>
              </w:tabs>
              <w:spacing w:line="360" w:lineRule="auto"/>
              <w:ind w:left="0" w:firstLine="0"/>
              <w:rPr>
                <w:rFonts w:ascii="宋体" w:eastAsia="宋体" w:hAnsi="宋体"/>
                <w:b/>
                <w:sz w:val="18"/>
                <w:szCs w:val="18"/>
              </w:rPr>
            </w:pPr>
            <w:r w:rsidRPr="009347F9">
              <w:rPr>
                <w:rFonts w:ascii="宋体" w:eastAsia="宋体" w:hAnsi="宋体" w:hint="eastAsia"/>
                <w:b/>
                <w:sz w:val="18"/>
                <w:szCs w:val="18"/>
              </w:rPr>
              <w:t>收入确认</w:t>
            </w:r>
          </w:p>
        </w:tc>
      </w:tr>
      <w:tr w:rsidR="00417662" w:rsidRPr="009347F9" w14:paraId="149B0664" w14:textId="77777777" w:rsidTr="009347F9">
        <w:trPr>
          <w:trHeight w:val="397"/>
          <w:jc w:val="center"/>
        </w:trPr>
        <w:tc>
          <w:tcPr>
            <w:tcW w:w="2387" w:type="pct"/>
            <w:vAlign w:val="center"/>
          </w:tcPr>
          <w:p w14:paraId="1AA1B0E6" w14:textId="77777777" w:rsidR="00417662" w:rsidRPr="009347F9" w:rsidRDefault="00417662" w:rsidP="009347F9">
            <w:pPr>
              <w:spacing w:line="360" w:lineRule="auto"/>
              <w:jc w:val="center"/>
              <w:rPr>
                <w:rFonts w:ascii="宋体" w:eastAsia="宋体" w:hAnsi="宋体"/>
                <w:bCs/>
                <w:i/>
                <w:iCs/>
                <w:color w:val="FF0000"/>
                <w:sz w:val="18"/>
                <w:szCs w:val="18"/>
              </w:rPr>
            </w:pPr>
            <w:r w:rsidRPr="009347F9">
              <w:rPr>
                <w:rFonts w:ascii="宋体" w:eastAsia="宋体" w:hAnsi="宋体" w:hint="eastAsia"/>
                <w:b/>
                <w:sz w:val="18"/>
                <w:szCs w:val="18"/>
              </w:rPr>
              <w:t>关键审计事项</w:t>
            </w:r>
          </w:p>
        </w:tc>
        <w:tc>
          <w:tcPr>
            <w:tcW w:w="2613" w:type="pct"/>
            <w:vAlign w:val="center"/>
          </w:tcPr>
          <w:p w14:paraId="480C22AC" w14:textId="77777777" w:rsidR="00417662" w:rsidRPr="009347F9" w:rsidRDefault="00417662" w:rsidP="009347F9">
            <w:pPr>
              <w:spacing w:line="360" w:lineRule="auto"/>
              <w:jc w:val="center"/>
              <w:rPr>
                <w:rFonts w:ascii="宋体" w:eastAsia="宋体" w:hAnsi="宋体"/>
                <w:b/>
                <w:sz w:val="18"/>
                <w:szCs w:val="18"/>
              </w:rPr>
            </w:pPr>
            <w:r w:rsidRPr="009347F9">
              <w:rPr>
                <w:rFonts w:ascii="宋体" w:eastAsia="宋体" w:hAnsi="宋体" w:hint="eastAsia"/>
                <w:b/>
                <w:sz w:val="18"/>
                <w:szCs w:val="18"/>
              </w:rPr>
              <w:t>审计中的应对</w:t>
            </w:r>
          </w:p>
        </w:tc>
      </w:tr>
      <w:tr w:rsidR="00417662" w:rsidRPr="009347F9" w14:paraId="3E3324E0" w14:textId="77777777" w:rsidTr="009347F9">
        <w:trPr>
          <w:trHeight w:val="397"/>
          <w:jc w:val="center"/>
        </w:trPr>
        <w:tc>
          <w:tcPr>
            <w:tcW w:w="2387" w:type="pct"/>
          </w:tcPr>
          <w:p w14:paraId="1A50DF01" w14:textId="5098106F" w:rsidR="00417662" w:rsidRPr="009347F9" w:rsidRDefault="00417662" w:rsidP="008B0461">
            <w:pPr>
              <w:spacing w:line="360" w:lineRule="auto"/>
              <w:ind w:firstLineChars="200" w:firstLine="360"/>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如三诺生物公司财务报表附</w:t>
            </w:r>
            <w:r w:rsidRPr="00424B75">
              <w:rPr>
                <w:rFonts w:ascii="Times New Roman" w:eastAsia="宋体" w:hAnsi="Times New Roman" w:cs="Times New Roman"/>
                <w:bCs/>
                <w:sz w:val="18"/>
                <w:szCs w:val="18"/>
              </w:rPr>
              <w:t>注</w:t>
            </w:r>
            <w:r w:rsidR="00D73562">
              <w:rPr>
                <w:rFonts w:ascii="Times New Roman" w:eastAsia="宋体" w:hAnsi="Times New Roman" w:cs="Times New Roman" w:hint="eastAsia"/>
                <w:bCs/>
                <w:sz w:val="18"/>
                <w:szCs w:val="18"/>
              </w:rPr>
              <w:t>七</w:t>
            </w:r>
            <w:r w:rsidRPr="00424B75">
              <w:rPr>
                <w:rFonts w:ascii="Times New Roman" w:eastAsia="宋体" w:hAnsi="Times New Roman" w:cs="Times New Roman"/>
                <w:bCs/>
                <w:sz w:val="18"/>
                <w:szCs w:val="18"/>
              </w:rPr>
              <w:t>、</w:t>
            </w:r>
            <w:r w:rsidR="00D73562" w:rsidRPr="00447B2A">
              <w:rPr>
                <w:rFonts w:ascii="Times New Roman" w:eastAsia="宋体" w:hAnsi="Times New Roman" w:cs="Times New Roman"/>
                <w:bCs/>
                <w:sz w:val="18"/>
                <w:szCs w:val="18"/>
              </w:rPr>
              <w:t>4</w:t>
            </w:r>
            <w:r w:rsidR="00D73562">
              <w:rPr>
                <w:rFonts w:ascii="Times New Roman" w:eastAsia="宋体" w:hAnsi="Times New Roman" w:cs="Times New Roman"/>
                <w:bCs/>
                <w:sz w:val="18"/>
                <w:szCs w:val="18"/>
              </w:rPr>
              <w:t>5</w:t>
            </w:r>
            <w:r w:rsidRPr="009347F9">
              <w:rPr>
                <w:rFonts w:ascii="Times New Roman" w:eastAsia="宋体" w:hAnsi="Times New Roman" w:cs="Times New Roman"/>
                <w:bCs/>
                <w:sz w:val="18"/>
                <w:szCs w:val="18"/>
              </w:rPr>
              <w:t>所述，于</w:t>
            </w:r>
            <w:r w:rsidR="00DD4C53" w:rsidRPr="009347F9">
              <w:rPr>
                <w:rFonts w:ascii="Times New Roman" w:eastAsia="宋体" w:hAnsi="Times New Roman" w:cs="Times New Roman"/>
                <w:bCs/>
                <w:sz w:val="18"/>
                <w:szCs w:val="18"/>
              </w:rPr>
              <w:t>202</w:t>
            </w:r>
            <w:r w:rsidR="00DD4C53">
              <w:rPr>
                <w:rFonts w:ascii="Times New Roman" w:eastAsia="宋体" w:hAnsi="Times New Roman" w:cs="Times New Roman"/>
                <w:bCs/>
                <w:sz w:val="18"/>
                <w:szCs w:val="18"/>
              </w:rPr>
              <w:t>5</w:t>
            </w:r>
            <w:r w:rsidRPr="009347F9">
              <w:rPr>
                <w:rFonts w:ascii="Times New Roman" w:eastAsia="宋体" w:hAnsi="Times New Roman" w:cs="Times New Roman"/>
                <w:bCs/>
                <w:sz w:val="18"/>
                <w:szCs w:val="18"/>
              </w:rPr>
              <w:t>年度实现营业收入</w:t>
            </w:r>
            <w:r w:rsidR="00DD4C53" w:rsidRPr="00DD4C53">
              <w:rPr>
                <w:rFonts w:ascii="Times New Roman" w:eastAsia="宋体" w:hAnsi="Times New Roman" w:cs="Times New Roman"/>
                <w:bCs/>
                <w:sz w:val="18"/>
                <w:szCs w:val="18"/>
              </w:rPr>
              <w:t>465,933.59</w:t>
            </w:r>
            <w:r w:rsidRPr="009347F9">
              <w:rPr>
                <w:rFonts w:ascii="Times New Roman" w:eastAsia="宋体" w:hAnsi="Times New Roman" w:cs="Times New Roman"/>
                <w:bCs/>
                <w:sz w:val="18"/>
                <w:szCs w:val="18"/>
              </w:rPr>
              <w:t>万元，主要为血糖监测系统相关收入。</w:t>
            </w:r>
          </w:p>
          <w:p w14:paraId="2B87F771" w14:textId="77777777" w:rsidR="00417662" w:rsidRPr="009347F9" w:rsidRDefault="00417662" w:rsidP="008B0461">
            <w:pPr>
              <w:spacing w:line="360" w:lineRule="auto"/>
              <w:ind w:firstLineChars="200" w:firstLine="360"/>
              <w:jc w:val="both"/>
              <w:rPr>
                <w:rFonts w:ascii="Times New Roman" w:eastAsia="宋体" w:hAnsi="Times New Roman" w:cs="Times New Roman"/>
                <w:bCs/>
                <w:i/>
                <w:iCs/>
                <w:color w:val="FF0000"/>
                <w:sz w:val="18"/>
                <w:szCs w:val="18"/>
              </w:rPr>
            </w:pPr>
            <w:r w:rsidRPr="009347F9">
              <w:rPr>
                <w:rFonts w:ascii="Times New Roman" w:eastAsia="宋体" w:hAnsi="Times New Roman" w:cs="Times New Roman"/>
                <w:bCs/>
                <w:sz w:val="18"/>
                <w:szCs w:val="18"/>
              </w:rPr>
              <w:t>由于营业收入是三诺生物公司关键业绩指标之一，且存在可能调节收入以达到特定目标或预期的固有风险，因此我们将收入确认识别为关键审计事项。</w:t>
            </w:r>
          </w:p>
        </w:tc>
        <w:tc>
          <w:tcPr>
            <w:tcW w:w="2613" w:type="pct"/>
          </w:tcPr>
          <w:p w14:paraId="1A2C67DF" w14:textId="77777777" w:rsidR="00417662" w:rsidRPr="009347F9" w:rsidRDefault="00417662" w:rsidP="008B0461">
            <w:pPr>
              <w:spacing w:line="360" w:lineRule="auto"/>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我们执行的主要审计程序包括：</w:t>
            </w:r>
          </w:p>
          <w:p w14:paraId="349983DE" w14:textId="77777777" w:rsidR="00417662" w:rsidRPr="009347F9" w:rsidRDefault="00417662" w:rsidP="008B0461">
            <w:pPr>
              <w:spacing w:line="360" w:lineRule="auto"/>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1</w:t>
            </w:r>
            <w:r w:rsidRPr="009347F9">
              <w:rPr>
                <w:rFonts w:ascii="Times New Roman" w:eastAsia="宋体" w:hAnsi="Times New Roman" w:cs="Times New Roman"/>
                <w:bCs/>
                <w:sz w:val="18"/>
                <w:szCs w:val="18"/>
              </w:rPr>
              <w:t>、了解及评价了与收入确认事项有关的内部控制设计的有效性，并测试了关键控制执行的有效性；</w:t>
            </w:r>
          </w:p>
          <w:p w14:paraId="0064BBC9" w14:textId="77777777" w:rsidR="00417662" w:rsidRPr="009347F9" w:rsidRDefault="00417662" w:rsidP="008B0461">
            <w:pPr>
              <w:spacing w:line="360" w:lineRule="auto"/>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2</w:t>
            </w:r>
            <w:r w:rsidRPr="009347F9">
              <w:rPr>
                <w:rFonts w:ascii="Times New Roman" w:eastAsia="宋体" w:hAnsi="Times New Roman" w:cs="Times New Roman"/>
                <w:bCs/>
                <w:sz w:val="18"/>
                <w:szCs w:val="18"/>
              </w:rPr>
              <w:t>、执行分析性复核程序，主要分客户、分产品、分月度对毛利波动进行分析，并将本期与上期金额、公司毛利与同行业毛利进行对比分析；</w:t>
            </w:r>
          </w:p>
          <w:p w14:paraId="3384C338" w14:textId="77777777" w:rsidR="00417662" w:rsidRPr="009347F9" w:rsidRDefault="00417662" w:rsidP="008B0461">
            <w:pPr>
              <w:spacing w:line="360" w:lineRule="auto"/>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3</w:t>
            </w:r>
            <w:r w:rsidRPr="009347F9">
              <w:rPr>
                <w:rFonts w:ascii="Times New Roman" w:eastAsia="宋体" w:hAnsi="Times New Roman" w:cs="Times New Roman"/>
                <w:bCs/>
                <w:sz w:val="18"/>
                <w:szCs w:val="18"/>
              </w:rPr>
              <w:t>、选取样本获取销售合同，检查合同的主要条款及内容，识别与商品所有权上的风险和报酬转移相关的条款与条件，以评估收入确认政策的合理性，是否符合企业会计准则的要求；</w:t>
            </w:r>
          </w:p>
          <w:p w14:paraId="074213D7" w14:textId="77777777" w:rsidR="00417662" w:rsidRPr="009347F9" w:rsidRDefault="00417662" w:rsidP="008B0461">
            <w:pPr>
              <w:spacing w:line="360" w:lineRule="auto"/>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4</w:t>
            </w:r>
            <w:r w:rsidRPr="009347F9">
              <w:rPr>
                <w:rFonts w:ascii="Times New Roman" w:eastAsia="宋体" w:hAnsi="Times New Roman" w:cs="Times New Roman"/>
                <w:bCs/>
                <w:sz w:val="18"/>
                <w:szCs w:val="18"/>
              </w:rPr>
              <w:t>、抽样获取与收入确认相关的支持性文件，包括销售合同、出库单据、发运凭单、发票、报关单、提单、收货确认函、回款单等，检查原始凭证记录，执行细节测试，对于本期新增客户进行股东背景调查，充分关注是否是存在特意安排以及是否存在关联方关系；</w:t>
            </w:r>
          </w:p>
          <w:p w14:paraId="0CFFCE77" w14:textId="77777777" w:rsidR="00417662" w:rsidRPr="009347F9" w:rsidRDefault="00417662" w:rsidP="008B0461">
            <w:pPr>
              <w:spacing w:line="360" w:lineRule="auto"/>
              <w:jc w:val="both"/>
              <w:rPr>
                <w:rFonts w:ascii="Times New Roman" w:eastAsia="宋体" w:hAnsi="Times New Roman" w:cs="Times New Roman"/>
                <w:bCs/>
                <w:sz w:val="18"/>
                <w:szCs w:val="18"/>
              </w:rPr>
            </w:pPr>
            <w:r w:rsidRPr="009347F9">
              <w:rPr>
                <w:rFonts w:ascii="Times New Roman" w:eastAsia="宋体" w:hAnsi="Times New Roman" w:cs="Times New Roman"/>
                <w:bCs/>
                <w:sz w:val="18"/>
                <w:szCs w:val="18"/>
              </w:rPr>
              <w:t>5</w:t>
            </w:r>
            <w:r w:rsidRPr="009347F9">
              <w:rPr>
                <w:rFonts w:ascii="Times New Roman" w:eastAsia="宋体" w:hAnsi="Times New Roman" w:cs="Times New Roman"/>
                <w:bCs/>
                <w:sz w:val="18"/>
                <w:szCs w:val="18"/>
              </w:rPr>
              <w:t>、对本期新增、交易金额较大等的客户执行交易金额的函证程序；</w:t>
            </w:r>
          </w:p>
          <w:p w14:paraId="4CA056EA" w14:textId="77777777" w:rsidR="00417662" w:rsidRPr="009347F9" w:rsidRDefault="00417662" w:rsidP="008B0461">
            <w:pPr>
              <w:spacing w:line="360" w:lineRule="auto"/>
              <w:jc w:val="both"/>
              <w:rPr>
                <w:rFonts w:ascii="Times New Roman" w:eastAsia="宋体" w:hAnsi="Times New Roman" w:cs="Times New Roman"/>
                <w:b/>
                <w:i/>
                <w:iCs/>
                <w:color w:val="FF0000"/>
                <w:sz w:val="18"/>
                <w:szCs w:val="18"/>
              </w:rPr>
            </w:pPr>
            <w:r w:rsidRPr="009347F9">
              <w:rPr>
                <w:rFonts w:ascii="Times New Roman" w:eastAsia="宋体" w:hAnsi="Times New Roman" w:cs="Times New Roman"/>
                <w:bCs/>
                <w:sz w:val="18"/>
                <w:szCs w:val="18"/>
              </w:rPr>
              <w:t>6</w:t>
            </w:r>
            <w:r w:rsidRPr="009347F9">
              <w:rPr>
                <w:rFonts w:ascii="Times New Roman" w:eastAsia="宋体" w:hAnsi="Times New Roman" w:cs="Times New Roman"/>
                <w:bCs/>
                <w:sz w:val="18"/>
                <w:szCs w:val="18"/>
              </w:rPr>
              <w:t>、检查在财务报表中有关营业收入的披露是否符合企业会计准则的要求。</w:t>
            </w:r>
          </w:p>
        </w:tc>
      </w:tr>
      <w:tr w:rsidR="00417662" w:rsidRPr="009347F9" w14:paraId="537AE80C" w14:textId="77777777" w:rsidTr="009347F9">
        <w:trPr>
          <w:trHeight w:val="531"/>
          <w:jc w:val="center"/>
        </w:trPr>
        <w:tc>
          <w:tcPr>
            <w:tcW w:w="5000" w:type="pct"/>
            <w:gridSpan w:val="2"/>
          </w:tcPr>
          <w:p w14:paraId="4B1A855C" w14:textId="77777777" w:rsidR="00417662" w:rsidRPr="009347F9" w:rsidRDefault="00417662" w:rsidP="00AF7CC4">
            <w:pPr>
              <w:numPr>
                <w:ilvl w:val="0"/>
                <w:numId w:val="1"/>
              </w:numPr>
              <w:tabs>
                <w:tab w:val="left" w:pos="0"/>
                <w:tab w:val="left" w:pos="284"/>
              </w:tabs>
              <w:spacing w:line="360" w:lineRule="auto"/>
              <w:ind w:left="0" w:firstLine="0"/>
              <w:rPr>
                <w:rFonts w:ascii="宋体" w:eastAsia="宋体" w:hAnsi="宋体"/>
                <w:b/>
                <w:sz w:val="18"/>
                <w:szCs w:val="18"/>
              </w:rPr>
            </w:pPr>
            <w:r w:rsidRPr="009347F9">
              <w:rPr>
                <w:rFonts w:ascii="宋体" w:eastAsia="宋体" w:hAnsi="宋体" w:hint="eastAsia"/>
                <w:b/>
                <w:sz w:val="18"/>
                <w:szCs w:val="18"/>
              </w:rPr>
              <w:t>商誉减值</w:t>
            </w:r>
          </w:p>
        </w:tc>
      </w:tr>
      <w:tr w:rsidR="00417662" w:rsidRPr="009347F9" w14:paraId="640A47DB" w14:textId="77777777" w:rsidTr="009347F9">
        <w:trPr>
          <w:trHeight w:val="397"/>
          <w:jc w:val="center"/>
        </w:trPr>
        <w:tc>
          <w:tcPr>
            <w:tcW w:w="2387" w:type="pct"/>
            <w:vAlign w:val="center"/>
          </w:tcPr>
          <w:p w14:paraId="2D24F518" w14:textId="77777777" w:rsidR="00417662" w:rsidRPr="009347F9" w:rsidRDefault="00417662" w:rsidP="009347F9">
            <w:pPr>
              <w:spacing w:line="360" w:lineRule="auto"/>
              <w:jc w:val="center"/>
              <w:rPr>
                <w:rFonts w:ascii="宋体" w:eastAsia="宋体" w:hAnsi="宋体"/>
                <w:color w:val="FF0000"/>
                <w:sz w:val="18"/>
                <w:szCs w:val="18"/>
              </w:rPr>
            </w:pPr>
            <w:r w:rsidRPr="009347F9">
              <w:rPr>
                <w:rFonts w:ascii="宋体" w:eastAsia="宋体" w:hAnsi="宋体" w:hint="eastAsia"/>
                <w:b/>
                <w:sz w:val="18"/>
                <w:szCs w:val="18"/>
              </w:rPr>
              <w:t>关键审计事项</w:t>
            </w:r>
          </w:p>
        </w:tc>
        <w:tc>
          <w:tcPr>
            <w:tcW w:w="2613" w:type="pct"/>
            <w:vAlign w:val="center"/>
          </w:tcPr>
          <w:p w14:paraId="7DDB604C" w14:textId="77777777" w:rsidR="00417662" w:rsidRPr="009347F9" w:rsidRDefault="00417662" w:rsidP="009347F9">
            <w:pPr>
              <w:spacing w:line="360" w:lineRule="auto"/>
              <w:jc w:val="center"/>
              <w:rPr>
                <w:rFonts w:ascii="宋体" w:eastAsia="宋体" w:hAnsi="宋体"/>
                <w:color w:val="FF0000"/>
                <w:sz w:val="18"/>
                <w:szCs w:val="18"/>
              </w:rPr>
            </w:pPr>
            <w:r w:rsidRPr="009347F9">
              <w:rPr>
                <w:rFonts w:ascii="宋体" w:eastAsia="宋体" w:hAnsi="宋体" w:hint="eastAsia"/>
                <w:b/>
                <w:sz w:val="18"/>
                <w:szCs w:val="18"/>
              </w:rPr>
              <w:t>审计中的应对</w:t>
            </w:r>
          </w:p>
        </w:tc>
      </w:tr>
      <w:tr w:rsidR="00417662" w:rsidRPr="009347F9" w14:paraId="5E0F0FB6" w14:textId="77777777" w:rsidTr="009347F9">
        <w:trPr>
          <w:trHeight w:val="397"/>
          <w:jc w:val="center"/>
        </w:trPr>
        <w:tc>
          <w:tcPr>
            <w:tcW w:w="2387" w:type="pct"/>
          </w:tcPr>
          <w:p w14:paraId="79738D53" w14:textId="6AB4D408" w:rsidR="00417662" w:rsidRPr="009347F9" w:rsidRDefault="00417662" w:rsidP="008B0461">
            <w:pPr>
              <w:spacing w:line="360" w:lineRule="auto"/>
              <w:ind w:firstLineChars="200" w:firstLine="360"/>
              <w:jc w:val="both"/>
              <w:rPr>
                <w:rFonts w:ascii="Times New Roman" w:eastAsia="宋体" w:hAnsi="Times New Roman" w:cs="Times New Roman"/>
                <w:sz w:val="18"/>
                <w:szCs w:val="18"/>
              </w:rPr>
            </w:pPr>
            <w:r w:rsidRPr="009347F9">
              <w:rPr>
                <w:rFonts w:ascii="Times New Roman" w:eastAsia="宋体" w:hAnsi="Times New Roman" w:cs="Times New Roman"/>
                <w:sz w:val="18"/>
                <w:szCs w:val="18"/>
              </w:rPr>
              <w:t>如三诺生物公司财务报表</w:t>
            </w:r>
            <w:r w:rsidRPr="00424B75">
              <w:rPr>
                <w:rFonts w:ascii="Times New Roman" w:eastAsia="宋体" w:hAnsi="Times New Roman" w:cs="Times New Roman"/>
                <w:sz w:val="18"/>
                <w:szCs w:val="18"/>
              </w:rPr>
              <w:t>附注</w:t>
            </w:r>
            <w:r w:rsidR="00D73562" w:rsidRPr="00C707CF">
              <w:rPr>
                <w:rFonts w:ascii="Times New Roman" w:eastAsia="宋体" w:hAnsi="Times New Roman" w:cs="Times New Roman" w:hint="eastAsia"/>
                <w:sz w:val="18"/>
                <w:szCs w:val="18"/>
              </w:rPr>
              <w:t>七</w:t>
            </w:r>
            <w:r w:rsidRPr="00424B75">
              <w:rPr>
                <w:rFonts w:ascii="Times New Roman" w:eastAsia="宋体" w:hAnsi="Times New Roman" w:cs="Times New Roman"/>
                <w:sz w:val="18"/>
                <w:szCs w:val="18"/>
              </w:rPr>
              <w:t>、</w:t>
            </w:r>
            <w:r w:rsidR="00D73562" w:rsidRPr="00447B2A">
              <w:rPr>
                <w:rFonts w:ascii="Times New Roman" w:eastAsia="宋体" w:hAnsi="Times New Roman" w:cs="Times New Roman"/>
                <w:sz w:val="18"/>
                <w:szCs w:val="18"/>
              </w:rPr>
              <w:t>19</w:t>
            </w:r>
            <w:r w:rsidRPr="009347F9">
              <w:rPr>
                <w:rFonts w:ascii="Times New Roman" w:eastAsia="宋体" w:hAnsi="Times New Roman" w:cs="Times New Roman"/>
                <w:sz w:val="18"/>
                <w:szCs w:val="18"/>
              </w:rPr>
              <w:t>所述，于</w:t>
            </w:r>
            <w:r w:rsidR="00DD4C53" w:rsidRPr="009347F9">
              <w:rPr>
                <w:rFonts w:ascii="Times New Roman" w:eastAsia="宋体" w:hAnsi="Times New Roman" w:cs="Times New Roman"/>
                <w:sz w:val="18"/>
                <w:szCs w:val="18"/>
              </w:rPr>
              <w:t>202</w:t>
            </w:r>
            <w:r w:rsidR="00DD4C53">
              <w:rPr>
                <w:rFonts w:ascii="Times New Roman" w:eastAsia="宋体" w:hAnsi="Times New Roman" w:cs="Times New Roman"/>
                <w:sz w:val="18"/>
                <w:szCs w:val="18"/>
              </w:rPr>
              <w:t>5</w:t>
            </w:r>
            <w:r w:rsidRPr="009347F9">
              <w:rPr>
                <w:rFonts w:ascii="Times New Roman" w:eastAsia="宋体" w:hAnsi="Times New Roman" w:cs="Times New Roman"/>
                <w:sz w:val="18"/>
                <w:szCs w:val="18"/>
              </w:rPr>
              <w:t>年</w:t>
            </w:r>
            <w:r w:rsidRPr="009347F9">
              <w:rPr>
                <w:rFonts w:ascii="Times New Roman" w:eastAsia="宋体" w:hAnsi="Times New Roman" w:cs="Times New Roman"/>
                <w:sz w:val="18"/>
                <w:szCs w:val="18"/>
              </w:rPr>
              <w:t>12</w:t>
            </w:r>
            <w:r w:rsidRPr="009347F9">
              <w:rPr>
                <w:rFonts w:ascii="Times New Roman" w:eastAsia="宋体" w:hAnsi="Times New Roman" w:cs="Times New Roman"/>
                <w:sz w:val="18"/>
                <w:szCs w:val="18"/>
              </w:rPr>
              <w:t>月</w:t>
            </w:r>
            <w:r w:rsidRPr="009347F9">
              <w:rPr>
                <w:rFonts w:ascii="Times New Roman" w:eastAsia="宋体" w:hAnsi="Times New Roman" w:cs="Times New Roman"/>
                <w:sz w:val="18"/>
                <w:szCs w:val="18"/>
              </w:rPr>
              <w:t>31</w:t>
            </w:r>
            <w:r w:rsidRPr="009347F9">
              <w:rPr>
                <w:rFonts w:ascii="Times New Roman" w:eastAsia="宋体" w:hAnsi="Times New Roman" w:cs="Times New Roman"/>
                <w:sz w:val="18"/>
                <w:szCs w:val="18"/>
              </w:rPr>
              <w:t>日，合并财务报表中商誉账面价值为</w:t>
            </w:r>
            <w:r w:rsidR="00DD4C53" w:rsidRPr="00DD4C53">
              <w:rPr>
                <w:rFonts w:ascii="Times New Roman" w:eastAsia="宋体" w:hAnsi="Times New Roman" w:cs="Times New Roman"/>
                <w:sz w:val="18"/>
                <w:szCs w:val="18"/>
              </w:rPr>
              <w:t>97,019.95</w:t>
            </w:r>
            <w:r w:rsidRPr="009347F9">
              <w:rPr>
                <w:rFonts w:ascii="Times New Roman" w:eastAsia="宋体" w:hAnsi="Times New Roman" w:cs="Times New Roman"/>
                <w:sz w:val="18"/>
                <w:szCs w:val="18"/>
              </w:rPr>
              <w:t>万元，根据企业会计准则的规定，管理层须每年对商誉进行减值测试。</w:t>
            </w:r>
          </w:p>
          <w:p w14:paraId="61019127" w14:textId="77777777" w:rsidR="00417662" w:rsidRPr="009347F9" w:rsidRDefault="00417662" w:rsidP="008B0461">
            <w:pPr>
              <w:spacing w:line="360" w:lineRule="auto"/>
              <w:ind w:firstLineChars="200" w:firstLine="360"/>
              <w:jc w:val="both"/>
              <w:rPr>
                <w:rFonts w:ascii="Times New Roman" w:eastAsia="宋体" w:hAnsi="Times New Roman" w:cs="Times New Roman"/>
                <w:i/>
                <w:iCs/>
                <w:color w:val="FF0000"/>
                <w:sz w:val="18"/>
                <w:szCs w:val="18"/>
              </w:rPr>
            </w:pPr>
            <w:r w:rsidRPr="009347F9">
              <w:rPr>
                <w:rFonts w:ascii="Times New Roman" w:eastAsia="宋体" w:hAnsi="Times New Roman" w:cs="Times New Roman"/>
                <w:sz w:val="18"/>
                <w:szCs w:val="18"/>
              </w:rPr>
              <w:t>由于商誉的账面价值对合并财务报表的重要性，同时商誉减值测试过程涉及管理层的重大判断，测试结果很大程度上依赖于管理层所做的估计和采用的假设，对商誉进行减值测试时，需要对与其相关的资产组或者资产组组合的使用价值进行估计，管理层需要结合未来经济变化、市场需求、收入和毛利的变动等情况，估计资产组或者资产组组合的预期未来现金流量，并选择恰当的折现率计算该等现金流量的现值，这些关键假设受到管理层对未来市场以及经济环境判断的影响，采用不同的估计和假设会对商誉所在资产组之可收回价值有很大的影响，因此该事项对于我们的审计而言是重要的，为此我们将合并财务报表中商誉减值的评估识别为关键审计事项。</w:t>
            </w:r>
          </w:p>
        </w:tc>
        <w:tc>
          <w:tcPr>
            <w:tcW w:w="2613" w:type="pct"/>
          </w:tcPr>
          <w:p w14:paraId="142A6381" w14:textId="77777777" w:rsidR="00417662" w:rsidRPr="009347F9" w:rsidRDefault="00417662" w:rsidP="008B0461">
            <w:pPr>
              <w:spacing w:line="360" w:lineRule="auto"/>
              <w:jc w:val="both"/>
              <w:rPr>
                <w:rFonts w:ascii="Times New Roman" w:eastAsia="宋体" w:hAnsi="Times New Roman" w:cs="Times New Roman"/>
                <w:sz w:val="18"/>
                <w:szCs w:val="18"/>
              </w:rPr>
            </w:pPr>
            <w:r w:rsidRPr="009347F9">
              <w:rPr>
                <w:rFonts w:ascii="Times New Roman" w:eastAsia="宋体" w:hAnsi="Times New Roman" w:cs="Times New Roman"/>
                <w:sz w:val="18"/>
                <w:szCs w:val="18"/>
              </w:rPr>
              <w:t>我们在审计过程中对商誉的减值测试执行的审计程序主要包括：</w:t>
            </w:r>
          </w:p>
          <w:p w14:paraId="393819A4" w14:textId="77777777" w:rsidR="00417662" w:rsidRPr="009347F9" w:rsidRDefault="00417662" w:rsidP="008B0461">
            <w:pPr>
              <w:spacing w:line="360" w:lineRule="auto"/>
              <w:jc w:val="both"/>
              <w:rPr>
                <w:rFonts w:ascii="Times New Roman" w:eastAsia="宋体" w:hAnsi="Times New Roman" w:cs="Times New Roman"/>
                <w:sz w:val="18"/>
                <w:szCs w:val="18"/>
              </w:rPr>
            </w:pPr>
            <w:r w:rsidRPr="009347F9">
              <w:rPr>
                <w:rFonts w:ascii="Times New Roman" w:eastAsia="宋体" w:hAnsi="Times New Roman" w:cs="Times New Roman"/>
                <w:sz w:val="18"/>
                <w:szCs w:val="18"/>
              </w:rPr>
              <w:t>1</w:t>
            </w:r>
            <w:r w:rsidRPr="009347F9">
              <w:rPr>
                <w:rFonts w:ascii="Times New Roman" w:eastAsia="宋体" w:hAnsi="Times New Roman" w:cs="Times New Roman"/>
                <w:sz w:val="18"/>
                <w:szCs w:val="18"/>
              </w:rPr>
              <w:t>、了解和评估与商誉确认及减值测试相关的关键内部控制的设计和运行有效性；</w:t>
            </w:r>
          </w:p>
          <w:p w14:paraId="383C70E2" w14:textId="77777777" w:rsidR="00417662" w:rsidRPr="009347F9" w:rsidRDefault="00417662" w:rsidP="008B0461">
            <w:pPr>
              <w:spacing w:line="360" w:lineRule="auto"/>
              <w:jc w:val="both"/>
              <w:rPr>
                <w:rFonts w:ascii="Times New Roman" w:eastAsia="宋体" w:hAnsi="Times New Roman" w:cs="Times New Roman"/>
                <w:sz w:val="18"/>
                <w:szCs w:val="18"/>
              </w:rPr>
            </w:pPr>
            <w:r w:rsidRPr="009347F9">
              <w:rPr>
                <w:rFonts w:ascii="Times New Roman" w:eastAsia="宋体" w:hAnsi="Times New Roman" w:cs="Times New Roman"/>
                <w:sz w:val="18"/>
                <w:szCs w:val="18"/>
              </w:rPr>
              <w:t>2</w:t>
            </w:r>
            <w:r w:rsidRPr="009347F9">
              <w:rPr>
                <w:rFonts w:ascii="Times New Roman" w:eastAsia="宋体" w:hAnsi="Times New Roman" w:cs="Times New Roman"/>
                <w:sz w:val="18"/>
                <w:szCs w:val="18"/>
              </w:rPr>
              <w:t>、了解管理层在进行减值测试时，认定的与商誉相关的资产组或资产组组合资产组及其分摊的商誉金额与购买日是否保持一致；</w:t>
            </w:r>
          </w:p>
          <w:p w14:paraId="01C372CF" w14:textId="77777777" w:rsidR="00417662" w:rsidRPr="009347F9" w:rsidRDefault="00417662" w:rsidP="008B0461">
            <w:pPr>
              <w:spacing w:line="360" w:lineRule="auto"/>
              <w:jc w:val="both"/>
              <w:rPr>
                <w:rFonts w:ascii="Times New Roman" w:eastAsia="宋体" w:hAnsi="Times New Roman" w:cs="Times New Roman"/>
                <w:sz w:val="18"/>
                <w:szCs w:val="18"/>
              </w:rPr>
            </w:pPr>
            <w:r w:rsidRPr="009347F9">
              <w:rPr>
                <w:rFonts w:ascii="Times New Roman" w:eastAsia="宋体" w:hAnsi="Times New Roman" w:cs="Times New Roman"/>
                <w:sz w:val="18"/>
                <w:szCs w:val="18"/>
              </w:rPr>
              <w:t>3</w:t>
            </w:r>
            <w:r w:rsidRPr="009347F9">
              <w:rPr>
                <w:rFonts w:ascii="Times New Roman" w:eastAsia="宋体" w:hAnsi="Times New Roman" w:cs="Times New Roman"/>
                <w:sz w:val="18"/>
                <w:szCs w:val="18"/>
              </w:rPr>
              <w:t>、评估管理层采用的商誉减值测试方法及预测数据；</w:t>
            </w:r>
          </w:p>
          <w:p w14:paraId="42182778" w14:textId="77777777" w:rsidR="00417662" w:rsidRPr="009347F9" w:rsidRDefault="00417662" w:rsidP="008B0461">
            <w:pPr>
              <w:spacing w:line="360" w:lineRule="auto"/>
              <w:jc w:val="both"/>
              <w:rPr>
                <w:rFonts w:ascii="Times New Roman" w:eastAsia="宋体" w:hAnsi="Times New Roman" w:cs="Times New Roman"/>
                <w:sz w:val="18"/>
                <w:szCs w:val="18"/>
              </w:rPr>
            </w:pPr>
            <w:r w:rsidRPr="009347F9">
              <w:rPr>
                <w:rFonts w:ascii="Times New Roman" w:eastAsia="宋体" w:hAnsi="Times New Roman" w:cs="Times New Roman"/>
                <w:sz w:val="18"/>
                <w:szCs w:val="18"/>
              </w:rPr>
              <w:t>4</w:t>
            </w:r>
            <w:r w:rsidRPr="009347F9">
              <w:rPr>
                <w:rFonts w:ascii="Times New Roman" w:eastAsia="宋体" w:hAnsi="Times New Roman" w:cs="Times New Roman"/>
                <w:sz w:val="18"/>
                <w:szCs w:val="18"/>
              </w:rPr>
              <w:t>、评估各资产组的关键假设，并将收入增长率等关键输入值与过往业绩、管理层预测进行比较，审慎评价编制折现现金流预测中采用的关键假设及判断；</w:t>
            </w:r>
          </w:p>
          <w:p w14:paraId="33AF103F" w14:textId="77777777" w:rsidR="00417662" w:rsidRPr="009347F9" w:rsidRDefault="00417662" w:rsidP="008B0461">
            <w:pPr>
              <w:spacing w:line="360" w:lineRule="auto"/>
              <w:jc w:val="both"/>
              <w:rPr>
                <w:rFonts w:ascii="Times New Roman" w:eastAsia="宋体" w:hAnsi="Times New Roman" w:cs="Times New Roman"/>
                <w:i/>
                <w:iCs/>
                <w:color w:val="FF0000"/>
                <w:sz w:val="18"/>
                <w:szCs w:val="18"/>
              </w:rPr>
            </w:pPr>
            <w:r w:rsidRPr="009347F9">
              <w:rPr>
                <w:rFonts w:ascii="Times New Roman" w:eastAsia="宋体" w:hAnsi="Times New Roman" w:cs="Times New Roman"/>
                <w:sz w:val="18"/>
                <w:szCs w:val="18"/>
              </w:rPr>
              <w:t>5</w:t>
            </w:r>
            <w:r w:rsidRPr="009347F9">
              <w:rPr>
                <w:rFonts w:ascii="Times New Roman" w:eastAsia="宋体" w:hAnsi="Times New Roman" w:cs="Times New Roman"/>
                <w:sz w:val="18"/>
                <w:szCs w:val="18"/>
              </w:rPr>
              <w:t>、复核管理层对商誉的相关披露。</w:t>
            </w:r>
          </w:p>
        </w:tc>
      </w:tr>
    </w:tbl>
    <w:p w14:paraId="02DA9642" w14:textId="77777777" w:rsidR="00417662" w:rsidRPr="006E783C" w:rsidRDefault="00417662" w:rsidP="00B71498">
      <w:pPr>
        <w:spacing w:beforeLines="50" w:before="156" w:afterLines="50" w:after="156" w:line="360" w:lineRule="auto"/>
        <w:ind w:left="420"/>
        <w:jc w:val="both"/>
        <w:rPr>
          <w:rFonts w:ascii="宋体" w:eastAsia="宋体" w:hAnsi="宋体"/>
          <w:b/>
          <w:szCs w:val="21"/>
        </w:rPr>
      </w:pPr>
      <w:r>
        <w:rPr>
          <w:rFonts w:ascii="宋体" w:eastAsia="宋体" w:hAnsi="宋体" w:hint="eastAsia"/>
          <w:b/>
          <w:szCs w:val="21"/>
        </w:rPr>
        <w:t>四、</w:t>
      </w:r>
      <w:r w:rsidRPr="006E783C">
        <w:rPr>
          <w:rFonts w:ascii="宋体" w:eastAsia="宋体" w:hAnsi="宋体" w:hint="eastAsia"/>
          <w:b/>
          <w:szCs w:val="21"/>
        </w:rPr>
        <w:t>其他信息</w:t>
      </w:r>
    </w:p>
    <w:p w14:paraId="19B8A045" w14:textId="77777777" w:rsidR="00B71498" w:rsidRPr="00B71498" w:rsidRDefault="00B71498" w:rsidP="00B71498">
      <w:pPr>
        <w:spacing w:line="360" w:lineRule="auto"/>
        <w:ind w:firstLineChars="200" w:firstLine="420"/>
        <w:jc w:val="both"/>
        <w:rPr>
          <w:rFonts w:ascii="Times New Roman" w:eastAsia="宋体" w:hAnsi="Times New Roman" w:cs="Times New Roman"/>
          <w:szCs w:val="21"/>
        </w:rPr>
      </w:pPr>
      <w:r w:rsidRPr="00B71498">
        <w:rPr>
          <w:rFonts w:ascii="Times New Roman" w:eastAsia="宋体" w:hAnsi="Times New Roman" w:cs="Times New Roman" w:hint="eastAsia"/>
          <w:szCs w:val="21"/>
        </w:rPr>
        <w:t>三诺生物公司管理层</w:t>
      </w:r>
      <w:r w:rsidRPr="00B71498">
        <w:rPr>
          <w:rFonts w:ascii="Times New Roman" w:eastAsia="宋体" w:hAnsi="Times New Roman" w:cs="Times New Roman" w:hint="eastAsia"/>
          <w:szCs w:val="21"/>
        </w:rPr>
        <w:t>(</w:t>
      </w:r>
      <w:r w:rsidRPr="00B71498">
        <w:rPr>
          <w:rFonts w:ascii="Times New Roman" w:eastAsia="宋体" w:hAnsi="Times New Roman" w:cs="Times New Roman" w:hint="eastAsia"/>
          <w:szCs w:val="21"/>
        </w:rPr>
        <w:t>以下简称管理层</w:t>
      </w:r>
      <w:r w:rsidRPr="00B71498">
        <w:rPr>
          <w:rFonts w:ascii="Times New Roman" w:eastAsia="宋体" w:hAnsi="Times New Roman" w:cs="Times New Roman" w:hint="eastAsia"/>
          <w:szCs w:val="21"/>
        </w:rPr>
        <w:t>)</w:t>
      </w:r>
      <w:r w:rsidRPr="00B71498">
        <w:rPr>
          <w:rFonts w:ascii="Times New Roman" w:eastAsia="宋体" w:hAnsi="Times New Roman" w:cs="Times New Roman" w:hint="eastAsia"/>
          <w:szCs w:val="21"/>
        </w:rPr>
        <w:t>对其他信息负责。其他信息包括三诺生物公司</w:t>
      </w:r>
      <w:r w:rsidRPr="00B71498">
        <w:rPr>
          <w:rFonts w:ascii="Times New Roman" w:eastAsia="宋体" w:hAnsi="Times New Roman" w:cs="Times New Roman" w:hint="eastAsia"/>
          <w:szCs w:val="21"/>
        </w:rPr>
        <w:t>2025</w:t>
      </w:r>
      <w:r w:rsidRPr="00B71498">
        <w:rPr>
          <w:rFonts w:ascii="Times New Roman" w:eastAsia="宋体" w:hAnsi="Times New Roman" w:cs="Times New Roman" w:hint="eastAsia"/>
          <w:szCs w:val="21"/>
        </w:rPr>
        <w:t>年年度报告中涵盖的信息，但不包括财务报表和我们的审计报告。</w:t>
      </w:r>
    </w:p>
    <w:p w14:paraId="5AE93E66" w14:textId="77777777" w:rsidR="00B71498" w:rsidRPr="00B71498" w:rsidRDefault="00B71498" w:rsidP="00B71498">
      <w:pPr>
        <w:spacing w:line="360" w:lineRule="auto"/>
        <w:ind w:firstLineChars="200" w:firstLine="420"/>
        <w:jc w:val="both"/>
        <w:rPr>
          <w:rFonts w:ascii="Times New Roman" w:eastAsia="宋体" w:hAnsi="Times New Roman" w:cs="Times New Roman"/>
          <w:szCs w:val="21"/>
        </w:rPr>
      </w:pPr>
      <w:r w:rsidRPr="00B71498">
        <w:rPr>
          <w:rFonts w:ascii="Times New Roman" w:eastAsia="宋体" w:hAnsi="Times New Roman" w:cs="Times New Roman" w:hint="eastAsia"/>
          <w:szCs w:val="21"/>
        </w:rPr>
        <w:t>我们对财务报表发表的审计意见不涵盖其他信息，我们也不对其他信息发表任何形式的鉴证结论。</w:t>
      </w:r>
    </w:p>
    <w:p w14:paraId="410BA5E6" w14:textId="77777777" w:rsidR="00B71498" w:rsidRPr="00B71498" w:rsidRDefault="00B71498" w:rsidP="00B71498">
      <w:pPr>
        <w:spacing w:line="360" w:lineRule="auto"/>
        <w:ind w:firstLineChars="200" w:firstLine="420"/>
        <w:jc w:val="both"/>
        <w:rPr>
          <w:rFonts w:ascii="Times New Roman" w:eastAsia="宋体" w:hAnsi="Times New Roman" w:cs="Times New Roman"/>
          <w:szCs w:val="21"/>
        </w:rPr>
      </w:pPr>
      <w:r w:rsidRPr="00B71498">
        <w:rPr>
          <w:rFonts w:ascii="Times New Roman" w:eastAsia="宋体" w:hAnsi="Times New Roman" w:cs="Times New Roman" w:hint="eastAsia"/>
          <w:szCs w:val="21"/>
        </w:rPr>
        <w:t>结合我们对财务报表的审计，我们的责任是阅读其他信息，在此过程中，考虑其他信息是否与财务报表或我们在审计过程中了解到的情况存在重大不一致或者似乎存在重大错报。</w:t>
      </w:r>
    </w:p>
    <w:p w14:paraId="5E1E5840" w14:textId="76E83009" w:rsidR="00417662" w:rsidRPr="00B71498" w:rsidRDefault="00B71498" w:rsidP="00B71498">
      <w:pPr>
        <w:spacing w:line="360" w:lineRule="auto"/>
        <w:ind w:firstLineChars="200" w:firstLine="420"/>
        <w:jc w:val="both"/>
        <w:rPr>
          <w:rFonts w:ascii="Times New Roman" w:eastAsia="宋体" w:hAnsi="Times New Roman" w:cs="Times New Roman"/>
          <w:szCs w:val="21"/>
        </w:rPr>
      </w:pPr>
      <w:r w:rsidRPr="00B71498">
        <w:rPr>
          <w:rFonts w:ascii="Times New Roman" w:eastAsia="宋体" w:hAnsi="Times New Roman" w:cs="Times New Roman" w:hint="eastAsia"/>
          <w:szCs w:val="21"/>
        </w:rPr>
        <w:t>基于我们已执行的工作，如果我们确定其他信息存在重大错报，我们应当报告该事实。在这方面，我们无任何事项需要报告。</w:t>
      </w:r>
    </w:p>
    <w:p w14:paraId="4D2C6A23" w14:textId="77777777" w:rsidR="00417662" w:rsidRPr="006E783C" w:rsidRDefault="00417662" w:rsidP="00B71498">
      <w:pPr>
        <w:spacing w:beforeLines="50" w:before="156" w:afterLines="50" w:after="156" w:line="360" w:lineRule="auto"/>
        <w:ind w:left="420"/>
        <w:jc w:val="both"/>
        <w:rPr>
          <w:rFonts w:ascii="宋体" w:eastAsia="宋体" w:hAnsi="宋体"/>
          <w:b/>
          <w:szCs w:val="21"/>
        </w:rPr>
      </w:pPr>
      <w:r>
        <w:rPr>
          <w:rFonts w:ascii="宋体" w:eastAsia="宋体" w:hAnsi="宋体" w:hint="eastAsia"/>
          <w:b/>
          <w:szCs w:val="21"/>
        </w:rPr>
        <w:t>五、</w:t>
      </w:r>
      <w:r w:rsidRPr="006E783C">
        <w:rPr>
          <w:rFonts w:ascii="宋体" w:eastAsia="宋体" w:hAnsi="宋体" w:hint="eastAsia"/>
          <w:b/>
          <w:szCs w:val="21"/>
        </w:rPr>
        <w:t>管理层和治理层对财务报表的责任</w:t>
      </w:r>
    </w:p>
    <w:p w14:paraId="5217B22A" w14:textId="77777777" w:rsidR="000A460D"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管理层负责按照企业会计准则的规定编制财务报表，使其实现公允反映，并设计、执行和维护必要的内部控制，以使财务报表不存在由于舞弊或错误导致的重大错报。</w:t>
      </w:r>
      <w:r w:rsidRPr="000A460D">
        <w:rPr>
          <w:rFonts w:ascii="Times New Roman" w:eastAsia="宋体" w:hAnsi="Times New Roman" w:cs="Times New Roman" w:hint="eastAsia"/>
          <w:szCs w:val="21"/>
        </w:rPr>
        <w:t xml:space="preserve"> </w:t>
      </w:r>
    </w:p>
    <w:p w14:paraId="721AE905" w14:textId="77777777" w:rsidR="000A460D"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在编制财务报表时，管理层负责评估三诺生物公司的持续经营能力，披露与持续经营相关的事项（如适用），并运用持续经营假设，除非管理层计划清算三诺生物公司、终止运营或别无其他现实的选择。</w:t>
      </w:r>
    </w:p>
    <w:p w14:paraId="6A46A3E3" w14:textId="0D6A5703" w:rsidR="00417662"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治理层负责监督三诺生物公司的财务报告过程。</w:t>
      </w:r>
    </w:p>
    <w:p w14:paraId="330A22A4" w14:textId="77777777" w:rsidR="00417662" w:rsidRPr="006E783C" w:rsidRDefault="00417662" w:rsidP="000A460D">
      <w:pPr>
        <w:spacing w:beforeLines="50" w:before="156" w:afterLines="50" w:after="156" w:line="360" w:lineRule="auto"/>
        <w:ind w:left="420"/>
        <w:jc w:val="both"/>
        <w:rPr>
          <w:rFonts w:ascii="宋体" w:eastAsia="宋体" w:hAnsi="宋体"/>
          <w:b/>
          <w:szCs w:val="21"/>
        </w:rPr>
      </w:pPr>
      <w:r>
        <w:rPr>
          <w:rFonts w:ascii="宋体" w:eastAsia="宋体" w:hAnsi="宋体" w:hint="eastAsia"/>
          <w:b/>
          <w:szCs w:val="21"/>
        </w:rPr>
        <w:t>六、</w:t>
      </w:r>
      <w:r w:rsidRPr="006E783C">
        <w:rPr>
          <w:rFonts w:ascii="宋体" w:eastAsia="宋体" w:hAnsi="宋体" w:hint="eastAsia"/>
          <w:b/>
          <w:szCs w:val="21"/>
        </w:rPr>
        <w:t>注册会计师对财务报表审计的责任</w:t>
      </w:r>
    </w:p>
    <w:p w14:paraId="35694BB6" w14:textId="77777777" w:rsidR="000A460D"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72A17DA7" w14:textId="238A5392" w:rsidR="00417662"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在按照审计准则执行审计工作的过程中，我们运用职业判断，并保持职业怀疑。同时，我们也执行以下工作：</w:t>
      </w:r>
    </w:p>
    <w:p w14:paraId="385E5A38" w14:textId="012DE4EB" w:rsidR="00417662" w:rsidRPr="003855C5" w:rsidRDefault="00417662" w:rsidP="000A460D">
      <w:pPr>
        <w:spacing w:line="360" w:lineRule="auto"/>
        <w:ind w:firstLineChars="200" w:firstLine="420"/>
        <w:jc w:val="both"/>
        <w:rPr>
          <w:rFonts w:ascii="Times New Roman" w:eastAsia="宋体" w:hAnsi="Times New Roman" w:cs="Times New Roman"/>
          <w:szCs w:val="21"/>
        </w:rPr>
      </w:pPr>
      <w:r w:rsidRPr="003855C5">
        <w:rPr>
          <w:rFonts w:ascii="Times New Roman" w:eastAsia="宋体" w:hAnsi="Times New Roman" w:cs="Times New Roman"/>
          <w:szCs w:val="21"/>
        </w:rPr>
        <w:t>（</w:t>
      </w:r>
      <w:r w:rsidRPr="003855C5">
        <w:rPr>
          <w:rFonts w:ascii="Times New Roman" w:eastAsia="宋体" w:hAnsi="Times New Roman" w:cs="Times New Roman"/>
          <w:szCs w:val="21"/>
        </w:rPr>
        <w:t>1</w:t>
      </w:r>
      <w:r w:rsidRPr="003855C5">
        <w:rPr>
          <w:rFonts w:ascii="Times New Roman" w:eastAsia="宋体" w:hAnsi="Times New Roman" w:cs="Times New Roman"/>
          <w:szCs w:val="21"/>
        </w:rPr>
        <w:t>）</w:t>
      </w:r>
      <w:r w:rsidR="000A460D" w:rsidRPr="000A460D">
        <w:rPr>
          <w:rFonts w:ascii="Times New Roman" w:eastAsia="宋体" w:hAnsi="Times New Roman" w:cs="Times New Roman" w:hint="eastAsia"/>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16B7D536" w14:textId="2230B84C" w:rsidR="00417662" w:rsidRPr="003855C5" w:rsidRDefault="00417662" w:rsidP="000A460D">
      <w:pPr>
        <w:spacing w:line="360" w:lineRule="auto"/>
        <w:ind w:firstLineChars="200" w:firstLine="420"/>
        <w:jc w:val="both"/>
        <w:rPr>
          <w:rFonts w:ascii="Times New Roman" w:eastAsia="宋体" w:hAnsi="Times New Roman" w:cs="Times New Roman"/>
          <w:szCs w:val="21"/>
        </w:rPr>
      </w:pPr>
      <w:r w:rsidRPr="003855C5">
        <w:rPr>
          <w:rFonts w:ascii="Times New Roman" w:eastAsia="宋体" w:hAnsi="Times New Roman" w:cs="Times New Roman"/>
          <w:szCs w:val="21"/>
        </w:rPr>
        <w:t>（</w:t>
      </w:r>
      <w:r w:rsidRPr="003855C5">
        <w:rPr>
          <w:rFonts w:ascii="Times New Roman" w:eastAsia="宋体" w:hAnsi="Times New Roman" w:cs="Times New Roman"/>
          <w:szCs w:val="21"/>
        </w:rPr>
        <w:t>2</w:t>
      </w:r>
      <w:r w:rsidRPr="003855C5">
        <w:rPr>
          <w:rFonts w:ascii="Times New Roman" w:eastAsia="宋体" w:hAnsi="Times New Roman" w:cs="Times New Roman"/>
          <w:szCs w:val="21"/>
        </w:rPr>
        <w:t>）</w:t>
      </w:r>
      <w:r w:rsidR="000A460D" w:rsidRPr="000A460D">
        <w:rPr>
          <w:rFonts w:ascii="Times New Roman" w:eastAsia="宋体" w:hAnsi="Times New Roman" w:cs="Times New Roman" w:hint="eastAsia"/>
          <w:szCs w:val="21"/>
        </w:rPr>
        <w:t>了解与审计相关的内部控制，以设计恰当的审计程序。</w:t>
      </w:r>
    </w:p>
    <w:p w14:paraId="257B3B4E" w14:textId="7A04D4B7" w:rsidR="00417662" w:rsidRPr="003855C5" w:rsidRDefault="00417662" w:rsidP="000A460D">
      <w:pPr>
        <w:spacing w:line="360" w:lineRule="auto"/>
        <w:ind w:firstLineChars="200" w:firstLine="420"/>
        <w:jc w:val="both"/>
        <w:rPr>
          <w:rFonts w:ascii="Times New Roman" w:eastAsia="宋体" w:hAnsi="Times New Roman" w:cs="Times New Roman"/>
          <w:szCs w:val="21"/>
        </w:rPr>
      </w:pPr>
      <w:r w:rsidRPr="003855C5">
        <w:rPr>
          <w:rFonts w:ascii="Times New Roman" w:eastAsia="宋体" w:hAnsi="Times New Roman" w:cs="Times New Roman"/>
          <w:szCs w:val="21"/>
        </w:rPr>
        <w:t>（</w:t>
      </w:r>
      <w:r w:rsidRPr="003855C5">
        <w:rPr>
          <w:rFonts w:ascii="Times New Roman" w:eastAsia="宋体" w:hAnsi="Times New Roman" w:cs="Times New Roman"/>
          <w:szCs w:val="21"/>
        </w:rPr>
        <w:t>3</w:t>
      </w:r>
      <w:r w:rsidRPr="003855C5">
        <w:rPr>
          <w:rFonts w:ascii="Times New Roman" w:eastAsia="宋体" w:hAnsi="Times New Roman" w:cs="Times New Roman"/>
          <w:szCs w:val="21"/>
        </w:rPr>
        <w:t>）</w:t>
      </w:r>
      <w:r w:rsidR="000A460D" w:rsidRPr="000A460D">
        <w:rPr>
          <w:rFonts w:ascii="Times New Roman" w:eastAsia="宋体" w:hAnsi="Times New Roman" w:cs="Times New Roman" w:hint="eastAsia"/>
          <w:szCs w:val="21"/>
        </w:rPr>
        <w:t>评价管理层选用会计政策的恰当性和作出会计估计及相关披露的合理性。</w:t>
      </w:r>
    </w:p>
    <w:p w14:paraId="039EEC24" w14:textId="5BF3199E" w:rsidR="00417662" w:rsidRPr="003855C5" w:rsidRDefault="00417662" w:rsidP="000A460D">
      <w:pPr>
        <w:spacing w:line="360" w:lineRule="auto"/>
        <w:ind w:firstLineChars="200" w:firstLine="420"/>
        <w:jc w:val="both"/>
        <w:rPr>
          <w:rFonts w:ascii="Times New Roman" w:eastAsia="宋体" w:hAnsi="Times New Roman" w:cs="Times New Roman"/>
          <w:szCs w:val="21"/>
        </w:rPr>
      </w:pPr>
      <w:r w:rsidRPr="003855C5">
        <w:rPr>
          <w:rFonts w:ascii="Times New Roman" w:eastAsia="宋体" w:hAnsi="Times New Roman" w:cs="Times New Roman"/>
          <w:szCs w:val="21"/>
        </w:rPr>
        <w:t>（</w:t>
      </w:r>
      <w:r w:rsidRPr="003855C5">
        <w:rPr>
          <w:rFonts w:ascii="Times New Roman" w:eastAsia="宋体" w:hAnsi="Times New Roman" w:cs="Times New Roman"/>
          <w:szCs w:val="21"/>
        </w:rPr>
        <w:t>4</w:t>
      </w:r>
      <w:r w:rsidRPr="003855C5">
        <w:rPr>
          <w:rFonts w:ascii="Times New Roman" w:eastAsia="宋体" w:hAnsi="Times New Roman" w:cs="Times New Roman"/>
          <w:szCs w:val="21"/>
        </w:rPr>
        <w:t>）</w:t>
      </w:r>
      <w:r w:rsidR="000A460D" w:rsidRPr="000A460D">
        <w:rPr>
          <w:rFonts w:ascii="Times New Roman" w:eastAsia="宋体" w:hAnsi="Times New Roman" w:cs="Times New Roman" w:hint="eastAsia"/>
          <w:szCs w:val="21"/>
        </w:rPr>
        <w:t>对管理层使用持续经营假设的恰当性得出结论。同时，根据获取的审计证据，就可能导致对三诺生物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三诺生物公司不能持续经营。</w:t>
      </w:r>
    </w:p>
    <w:p w14:paraId="02D5DB87" w14:textId="33F81094" w:rsidR="00417662" w:rsidRPr="003855C5" w:rsidRDefault="00417662" w:rsidP="000A460D">
      <w:pPr>
        <w:spacing w:line="360" w:lineRule="auto"/>
        <w:ind w:firstLineChars="200" w:firstLine="420"/>
        <w:jc w:val="both"/>
        <w:rPr>
          <w:rFonts w:ascii="Times New Roman" w:eastAsia="宋体" w:hAnsi="Times New Roman" w:cs="Times New Roman"/>
          <w:szCs w:val="21"/>
        </w:rPr>
      </w:pPr>
      <w:r w:rsidRPr="003855C5">
        <w:rPr>
          <w:rFonts w:ascii="Times New Roman" w:eastAsia="宋体" w:hAnsi="Times New Roman" w:cs="Times New Roman"/>
          <w:szCs w:val="21"/>
        </w:rPr>
        <w:t>（</w:t>
      </w:r>
      <w:r w:rsidRPr="003855C5">
        <w:rPr>
          <w:rFonts w:ascii="Times New Roman" w:eastAsia="宋体" w:hAnsi="Times New Roman" w:cs="Times New Roman"/>
          <w:szCs w:val="21"/>
        </w:rPr>
        <w:t>5</w:t>
      </w:r>
      <w:r w:rsidRPr="003855C5">
        <w:rPr>
          <w:rFonts w:ascii="Times New Roman" w:eastAsia="宋体" w:hAnsi="Times New Roman" w:cs="Times New Roman"/>
          <w:szCs w:val="21"/>
        </w:rPr>
        <w:t>）</w:t>
      </w:r>
      <w:r w:rsidR="000A460D" w:rsidRPr="000A460D">
        <w:rPr>
          <w:rFonts w:ascii="Times New Roman" w:eastAsia="宋体" w:hAnsi="Times New Roman" w:cs="Times New Roman" w:hint="eastAsia"/>
          <w:szCs w:val="21"/>
        </w:rPr>
        <w:t>评价财务报表的总体列报、结构和内容，并评价财务报表是否公允反映相关交易和事项。</w:t>
      </w:r>
    </w:p>
    <w:p w14:paraId="6153713B" w14:textId="46D9B25A" w:rsidR="00417662" w:rsidRPr="003855C5" w:rsidRDefault="00417662" w:rsidP="000A460D">
      <w:pPr>
        <w:spacing w:line="360" w:lineRule="auto"/>
        <w:ind w:firstLineChars="200" w:firstLine="420"/>
        <w:jc w:val="both"/>
        <w:rPr>
          <w:rFonts w:ascii="Times New Roman" w:eastAsia="宋体" w:hAnsi="Times New Roman" w:cs="Times New Roman"/>
          <w:szCs w:val="21"/>
        </w:rPr>
      </w:pPr>
      <w:r w:rsidRPr="003855C5">
        <w:rPr>
          <w:rFonts w:ascii="Times New Roman" w:eastAsia="宋体" w:hAnsi="Times New Roman" w:cs="Times New Roman"/>
          <w:szCs w:val="21"/>
        </w:rPr>
        <w:t>（</w:t>
      </w:r>
      <w:r w:rsidRPr="003855C5">
        <w:rPr>
          <w:rFonts w:ascii="Times New Roman" w:eastAsia="宋体" w:hAnsi="Times New Roman" w:cs="Times New Roman"/>
          <w:szCs w:val="21"/>
        </w:rPr>
        <w:t>6</w:t>
      </w:r>
      <w:r w:rsidRPr="003855C5">
        <w:rPr>
          <w:rFonts w:ascii="Times New Roman" w:eastAsia="宋体" w:hAnsi="Times New Roman" w:cs="Times New Roman"/>
          <w:szCs w:val="21"/>
        </w:rPr>
        <w:t>）</w:t>
      </w:r>
      <w:r w:rsidR="000A460D" w:rsidRPr="000A460D">
        <w:rPr>
          <w:rFonts w:ascii="Times New Roman" w:eastAsia="宋体" w:hAnsi="Times New Roman" w:cs="Times New Roman" w:hint="eastAsia"/>
          <w:szCs w:val="21"/>
        </w:rPr>
        <w:t>就三诺生物公司中实体或业务活动的财务信息获取充分、适当的审计证据，以对财务报表发表审计意见。我们负责指导、监督和执行集团审计，并对审计意见承担全部责任。</w:t>
      </w:r>
    </w:p>
    <w:p w14:paraId="1371BB7A" w14:textId="77777777" w:rsidR="000A460D"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我们与治理层就计划的审计范围、时间安排和重大审计发现等事项进行沟通，包括沟通我们在审计中识别出的值得关注的内部控制缺陷。</w:t>
      </w:r>
    </w:p>
    <w:p w14:paraId="7E2C8C3B" w14:textId="0D3201A8" w:rsidR="00417662"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我们还就已遵守与独立性相关的职业道德要求向治理层提供声明，并与治理层沟通可能被合理认为影响我们独立性的所有关系和其他事项，以及相关的防范措施（如适用）。</w:t>
      </w:r>
    </w:p>
    <w:p w14:paraId="0E0CAE3F" w14:textId="51F3F41A" w:rsidR="00417662" w:rsidRPr="000A460D" w:rsidRDefault="000A460D" w:rsidP="000A460D">
      <w:pPr>
        <w:spacing w:line="360" w:lineRule="auto"/>
        <w:ind w:firstLineChars="200" w:firstLine="420"/>
        <w:jc w:val="both"/>
        <w:rPr>
          <w:rFonts w:ascii="Times New Roman" w:eastAsia="宋体" w:hAnsi="Times New Roman" w:cs="Times New Roman"/>
          <w:szCs w:val="21"/>
        </w:rPr>
      </w:pPr>
      <w:r w:rsidRPr="000A460D">
        <w:rPr>
          <w:rFonts w:ascii="Times New Roman" w:eastAsia="宋体" w:hAnsi="Times New Roman" w:cs="Times New Roman" w:hint="eastAsia"/>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17854F47" w14:textId="77777777" w:rsidR="00417662" w:rsidRDefault="00417662" w:rsidP="00417662">
      <w:pPr>
        <w:spacing w:beforeLines="50" w:before="156" w:afterLines="50" w:after="156" w:line="360" w:lineRule="exact"/>
        <w:ind w:firstLineChars="200" w:firstLine="420"/>
        <w:rPr>
          <w:rFonts w:ascii="宋体" w:eastAsia="宋体" w:hAnsi="宋体"/>
          <w:szCs w:val="21"/>
        </w:rPr>
      </w:pPr>
    </w:p>
    <w:p w14:paraId="703F0698" w14:textId="77777777" w:rsidR="00417662" w:rsidRPr="006E783C" w:rsidRDefault="00417662" w:rsidP="00417662">
      <w:pPr>
        <w:spacing w:beforeLines="50" w:before="156" w:afterLines="50" w:after="156" w:line="360" w:lineRule="exact"/>
        <w:ind w:firstLineChars="200" w:firstLine="420"/>
        <w:rPr>
          <w:rFonts w:ascii="宋体" w:eastAsia="宋体" w:hAnsi="宋体"/>
          <w:szCs w:val="21"/>
        </w:rPr>
      </w:pPr>
    </w:p>
    <w:tbl>
      <w:tblPr>
        <w:tblW w:w="5000" w:type="pct"/>
        <w:jc w:val="center"/>
        <w:tblLook w:val="04A0" w:firstRow="1" w:lastRow="0" w:firstColumn="1" w:lastColumn="0" w:noHBand="0" w:noVBand="1"/>
      </w:tblPr>
      <w:tblGrid>
        <w:gridCol w:w="4707"/>
        <w:gridCol w:w="438"/>
        <w:gridCol w:w="4708"/>
      </w:tblGrid>
      <w:tr w:rsidR="00417662" w:rsidRPr="006E783C" w14:paraId="23D428C9" w14:textId="77777777" w:rsidTr="00996663">
        <w:trPr>
          <w:trHeight w:val="1604"/>
          <w:jc w:val="center"/>
        </w:trPr>
        <w:tc>
          <w:tcPr>
            <w:tcW w:w="4604" w:type="dxa"/>
          </w:tcPr>
          <w:p w14:paraId="3CECF113" w14:textId="77777777" w:rsidR="00417662" w:rsidRPr="006E783C" w:rsidRDefault="00417662" w:rsidP="00996663">
            <w:pPr>
              <w:spacing w:line="480" w:lineRule="auto"/>
              <w:rPr>
                <w:rFonts w:ascii="宋体" w:eastAsia="宋体" w:hAnsi="宋体"/>
                <w:szCs w:val="21"/>
              </w:rPr>
            </w:pPr>
            <w:r w:rsidRPr="006E783C">
              <w:rPr>
                <w:rFonts w:ascii="宋体" w:eastAsia="宋体" w:hAnsi="宋体" w:hint="eastAsia"/>
                <w:szCs w:val="21"/>
              </w:rPr>
              <w:t>信永中和会计师事务所(特殊普通合伙)</w:t>
            </w:r>
          </w:p>
          <w:p w14:paraId="68E9497B" w14:textId="77777777" w:rsidR="00417662" w:rsidRPr="006E783C" w:rsidRDefault="00417662" w:rsidP="00996663">
            <w:pPr>
              <w:spacing w:line="480" w:lineRule="auto"/>
              <w:rPr>
                <w:rFonts w:ascii="宋体" w:eastAsia="宋体" w:hAnsi="宋体"/>
                <w:szCs w:val="21"/>
              </w:rPr>
            </w:pPr>
          </w:p>
        </w:tc>
        <w:tc>
          <w:tcPr>
            <w:tcW w:w="428" w:type="dxa"/>
          </w:tcPr>
          <w:p w14:paraId="58B4DCE2" w14:textId="77777777" w:rsidR="00417662" w:rsidRPr="006E783C" w:rsidRDefault="00417662" w:rsidP="00996663">
            <w:pPr>
              <w:spacing w:line="480" w:lineRule="auto"/>
              <w:rPr>
                <w:rFonts w:ascii="宋体" w:eastAsia="宋体" w:hAnsi="宋体"/>
                <w:szCs w:val="21"/>
              </w:rPr>
            </w:pPr>
            <w:r w:rsidRPr="006E783C">
              <w:rPr>
                <w:rFonts w:ascii="宋体" w:eastAsia="宋体" w:hAnsi="宋体" w:hint="eastAsia"/>
                <w:szCs w:val="21"/>
              </w:rPr>
              <w:t xml:space="preserve">  </w:t>
            </w:r>
          </w:p>
        </w:tc>
        <w:tc>
          <w:tcPr>
            <w:tcW w:w="4605" w:type="dxa"/>
          </w:tcPr>
          <w:p w14:paraId="2D8AA4D7" w14:textId="77777777" w:rsidR="00417662" w:rsidRPr="006E783C" w:rsidRDefault="00417662" w:rsidP="00996663">
            <w:pPr>
              <w:spacing w:line="480" w:lineRule="auto"/>
              <w:rPr>
                <w:rFonts w:ascii="宋体" w:eastAsia="宋体" w:hAnsi="宋体"/>
                <w:szCs w:val="21"/>
              </w:rPr>
            </w:pPr>
            <w:r w:rsidRPr="006E783C">
              <w:rPr>
                <w:rFonts w:ascii="宋体" w:eastAsia="宋体" w:hAnsi="宋体" w:hint="eastAsia"/>
                <w:szCs w:val="21"/>
              </w:rPr>
              <w:t>中国注册会计师：</w:t>
            </w:r>
          </w:p>
          <w:p w14:paraId="3AE2A4AC" w14:textId="77777777" w:rsidR="00417662" w:rsidRPr="006E783C" w:rsidRDefault="00417662" w:rsidP="00996663">
            <w:pPr>
              <w:spacing w:line="480" w:lineRule="auto"/>
              <w:rPr>
                <w:rFonts w:ascii="宋体" w:eastAsia="宋体" w:hAnsi="宋体"/>
                <w:i/>
                <w:iCs/>
                <w:szCs w:val="21"/>
              </w:rPr>
            </w:pPr>
            <w:r w:rsidRPr="006E783C">
              <w:rPr>
                <w:rFonts w:ascii="宋体" w:eastAsia="宋体" w:hAnsi="宋体" w:hint="eastAsia"/>
                <w:szCs w:val="21"/>
              </w:rPr>
              <w:t xml:space="preserve">（项目合伙人） </w:t>
            </w:r>
            <w:r w:rsidRPr="006E783C">
              <w:rPr>
                <w:rFonts w:ascii="宋体" w:eastAsia="宋体" w:hAnsi="宋体" w:hint="eastAsia"/>
                <w:i/>
                <w:iCs/>
                <w:szCs w:val="21"/>
              </w:rPr>
              <w:t xml:space="preserve">      </w:t>
            </w:r>
          </w:p>
        </w:tc>
      </w:tr>
      <w:tr w:rsidR="00417662" w:rsidRPr="006E783C" w14:paraId="40BEDCC9" w14:textId="77777777" w:rsidTr="00996663">
        <w:trPr>
          <w:trHeight w:val="397"/>
          <w:jc w:val="center"/>
        </w:trPr>
        <w:tc>
          <w:tcPr>
            <w:tcW w:w="4604" w:type="dxa"/>
          </w:tcPr>
          <w:p w14:paraId="1D2D79BE" w14:textId="77777777" w:rsidR="00417662" w:rsidRPr="006E783C" w:rsidRDefault="00417662" w:rsidP="00996663">
            <w:pPr>
              <w:spacing w:line="480" w:lineRule="auto"/>
              <w:jc w:val="center"/>
              <w:rPr>
                <w:rFonts w:ascii="宋体" w:eastAsia="宋体" w:hAnsi="宋体"/>
                <w:szCs w:val="21"/>
              </w:rPr>
            </w:pPr>
          </w:p>
        </w:tc>
        <w:tc>
          <w:tcPr>
            <w:tcW w:w="428" w:type="dxa"/>
          </w:tcPr>
          <w:p w14:paraId="74A435E0" w14:textId="77777777" w:rsidR="00417662" w:rsidRPr="006E783C" w:rsidRDefault="00417662" w:rsidP="00996663">
            <w:pPr>
              <w:spacing w:line="480" w:lineRule="auto"/>
              <w:rPr>
                <w:rFonts w:ascii="宋体" w:eastAsia="宋体" w:hAnsi="宋体"/>
                <w:szCs w:val="21"/>
              </w:rPr>
            </w:pPr>
          </w:p>
        </w:tc>
        <w:tc>
          <w:tcPr>
            <w:tcW w:w="4605" w:type="dxa"/>
          </w:tcPr>
          <w:p w14:paraId="5AB3D9FE" w14:textId="77777777" w:rsidR="00417662" w:rsidRPr="006E783C" w:rsidRDefault="00417662" w:rsidP="00996663">
            <w:pPr>
              <w:spacing w:line="480" w:lineRule="auto"/>
              <w:rPr>
                <w:rFonts w:ascii="宋体" w:eastAsia="宋体" w:hAnsi="宋体"/>
                <w:szCs w:val="21"/>
              </w:rPr>
            </w:pPr>
            <w:r w:rsidRPr="006E783C">
              <w:rPr>
                <w:rFonts w:ascii="宋体" w:eastAsia="宋体" w:hAnsi="宋体" w:hint="eastAsia"/>
                <w:szCs w:val="21"/>
              </w:rPr>
              <w:t>中国注册会计师：</w:t>
            </w:r>
          </w:p>
        </w:tc>
      </w:tr>
      <w:tr w:rsidR="00417662" w:rsidRPr="006E783C" w14:paraId="25E3065E" w14:textId="77777777" w:rsidTr="00996663">
        <w:trPr>
          <w:trHeight w:val="397"/>
          <w:jc w:val="center"/>
        </w:trPr>
        <w:tc>
          <w:tcPr>
            <w:tcW w:w="4604" w:type="dxa"/>
          </w:tcPr>
          <w:p w14:paraId="7528D9FE" w14:textId="77777777" w:rsidR="00417662" w:rsidRPr="006E783C" w:rsidRDefault="00417662" w:rsidP="00996663">
            <w:pPr>
              <w:spacing w:line="480" w:lineRule="auto"/>
              <w:rPr>
                <w:rFonts w:ascii="宋体" w:eastAsia="宋体" w:hAnsi="宋体"/>
                <w:szCs w:val="21"/>
              </w:rPr>
            </w:pPr>
          </w:p>
        </w:tc>
        <w:tc>
          <w:tcPr>
            <w:tcW w:w="428" w:type="dxa"/>
          </w:tcPr>
          <w:p w14:paraId="3B3FD059" w14:textId="77777777" w:rsidR="00417662" w:rsidRPr="006E783C" w:rsidRDefault="00417662" w:rsidP="00996663">
            <w:pPr>
              <w:spacing w:line="480" w:lineRule="auto"/>
              <w:rPr>
                <w:rFonts w:ascii="宋体" w:eastAsia="宋体" w:hAnsi="宋体"/>
                <w:szCs w:val="21"/>
              </w:rPr>
            </w:pPr>
          </w:p>
        </w:tc>
        <w:tc>
          <w:tcPr>
            <w:tcW w:w="4605" w:type="dxa"/>
          </w:tcPr>
          <w:p w14:paraId="1A28AF8A" w14:textId="77777777" w:rsidR="00417662" w:rsidRPr="006E783C" w:rsidRDefault="00417662" w:rsidP="00996663">
            <w:pPr>
              <w:spacing w:line="480" w:lineRule="auto"/>
              <w:rPr>
                <w:rFonts w:ascii="宋体" w:eastAsia="宋体" w:hAnsi="宋体"/>
                <w:szCs w:val="21"/>
              </w:rPr>
            </w:pPr>
          </w:p>
        </w:tc>
      </w:tr>
      <w:tr w:rsidR="00417662" w:rsidRPr="006E783C" w14:paraId="03702883" w14:textId="77777777" w:rsidTr="00996663">
        <w:trPr>
          <w:trHeight w:val="397"/>
          <w:jc w:val="center"/>
        </w:trPr>
        <w:tc>
          <w:tcPr>
            <w:tcW w:w="4604" w:type="dxa"/>
          </w:tcPr>
          <w:p w14:paraId="117817B2" w14:textId="77777777" w:rsidR="00417662" w:rsidRPr="006E783C" w:rsidRDefault="00417662" w:rsidP="00996663">
            <w:pPr>
              <w:spacing w:line="480" w:lineRule="auto"/>
              <w:jc w:val="center"/>
              <w:rPr>
                <w:rFonts w:ascii="宋体" w:eastAsia="宋体" w:hAnsi="宋体"/>
                <w:szCs w:val="21"/>
              </w:rPr>
            </w:pPr>
            <w:r w:rsidRPr="006E783C">
              <w:rPr>
                <w:rFonts w:ascii="宋体" w:eastAsia="宋体" w:hAnsi="宋体" w:hint="eastAsia"/>
                <w:szCs w:val="21"/>
              </w:rPr>
              <w:t xml:space="preserve">中国 </w:t>
            </w:r>
            <w:r w:rsidRPr="006E783C">
              <w:rPr>
                <w:rFonts w:ascii="宋体" w:eastAsia="宋体" w:hAnsi="宋体"/>
                <w:szCs w:val="21"/>
              </w:rPr>
              <w:t xml:space="preserve"> </w:t>
            </w:r>
            <w:r w:rsidRPr="006E783C">
              <w:rPr>
                <w:rFonts w:ascii="宋体" w:eastAsia="宋体" w:hAnsi="宋体" w:hint="eastAsia"/>
                <w:szCs w:val="21"/>
              </w:rPr>
              <w:t>北京</w:t>
            </w:r>
          </w:p>
        </w:tc>
        <w:tc>
          <w:tcPr>
            <w:tcW w:w="428" w:type="dxa"/>
          </w:tcPr>
          <w:p w14:paraId="4731CF72" w14:textId="77777777" w:rsidR="00417662" w:rsidRPr="006E783C" w:rsidRDefault="00417662" w:rsidP="00996663">
            <w:pPr>
              <w:spacing w:line="480" w:lineRule="auto"/>
              <w:rPr>
                <w:rFonts w:ascii="宋体" w:eastAsia="宋体" w:hAnsi="宋体"/>
                <w:szCs w:val="21"/>
              </w:rPr>
            </w:pPr>
          </w:p>
        </w:tc>
        <w:tc>
          <w:tcPr>
            <w:tcW w:w="4605" w:type="dxa"/>
            <w:shd w:val="clear" w:color="auto" w:fill="auto"/>
          </w:tcPr>
          <w:p w14:paraId="5CF022B4" w14:textId="6ADD2D50" w:rsidR="00417662" w:rsidRPr="006E783C" w:rsidRDefault="000A460D" w:rsidP="000A460D">
            <w:pPr>
              <w:spacing w:line="480" w:lineRule="auto"/>
              <w:rPr>
                <w:rFonts w:ascii="宋体" w:eastAsia="宋体" w:hAnsi="宋体"/>
                <w:szCs w:val="21"/>
              </w:rPr>
            </w:pPr>
            <w:r w:rsidRPr="000A460D">
              <w:rPr>
                <w:rFonts w:ascii="宋体" w:eastAsia="宋体" w:hAnsi="宋体" w:hint="eastAsia"/>
                <w:szCs w:val="21"/>
              </w:rPr>
              <w:t>二○二六年四月二十七日</w:t>
            </w:r>
          </w:p>
        </w:tc>
      </w:tr>
    </w:tbl>
    <w:p w14:paraId="47A745EE" w14:textId="77777777" w:rsidR="00417662" w:rsidRDefault="00417662" w:rsidP="00DC359B">
      <w:pPr>
        <w:pStyle w:val="2"/>
        <w:spacing w:before="300" w:after="300" w:line="320" w:lineRule="exact"/>
        <w:rPr>
          <w:rFonts w:ascii="宋体" w:eastAsia="宋体" w:hAnsi="宋体" w:cs="宋体"/>
          <w:b/>
          <w:bCs/>
          <w:sz w:val="24"/>
          <w:szCs w:val="24"/>
        </w:rPr>
        <w:sectPr w:rsidR="00417662">
          <w:pgSz w:w="11905" w:h="16840"/>
          <w:pgMar w:top="1440" w:right="1134" w:bottom="1440" w:left="1134" w:header="850" w:footer="992" w:gutter="0"/>
          <w:cols w:space="720"/>
          <w:docGrid w:type="linesAndChars" w:linePitch="312"/>
        </w:sectPr>
      </w:pPr>
    </w:p>
    <w:p w14:paraId="0C6B9F4D" w14:textId="31DEB3DF" w:rsidR="00DC359B" w:rsidRDefault="00DC359B" w:rsidP="00DC359B">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二、财务报表</w:t>
      </w:r>
    </w:p>
    <w:p w14:paraId="17CAFD3B"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财务附注中报表的单位为：元</w:t>
      </w:r>
    </w:p>
    <w:p w14:paraId="61617302" w14:textId="77777777" w:rsidR="00DC359B" w:rsidRPr="00EA03E6" w:rsidRDefault="00DC359B" w:rsidP="00DC359B">
      <w:pPr>
        <w:pStyle w:val="3"/>
        <w:spacing w:line="280" w:lineRule="exact"/>
        <w:jc w:val="left"/>
        <w:rPr>
          <w:rFonts w:ascii="Times New Roman" w:hAnsi="Times New Roman" w:cs="Times New Roman"/>
          <w:b/>
          <w:bCs/>
        </w:rPr>
      </w:pPr>
      <w:r w:rsidRPr="00EA03E6">
        <w:rPr>
          <w:rFonts w:ascii="Times New Roman" w:hAnsi="Times New Roman" w:cs="Times New Roman"/>
          <w:b/>
          <w:bCs/>
        </w:rPr>
        <w:t>1</w:t>
      </w:r>
      <w:r w:rsidRPr="00EA03E6">
        <w:rPr>
          <w:rFonts w:ascii="Times New Roman" w:hAnsi="Times New Roman" w:cs="Times New Roman"/>
          <w:b/>
          <w:bCs/>
        </w:rPr>
        <w:t>、合并资产负债表</w:t>
      </w:r>
    </w:p>
    <w:p w14:paraId="728604DE"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编制单位：三诺生物传感股份有限公司</w:t>
      </w:r>
    </w:p>
    <w:p w14:paraId="1A759D21" w14:textId="77777777" w:rsidR="00DC359B" w:rsidRPr="004B2D36" w:rsidRDefault="00DC359B" w:rsidP="00DC359B">
      <w:pPr>
        <w:spacing w:line="240" w:lineRule="exact"/>
        <w:jc w:val="center"/>
        <w:rPr>
          <w:rFonts w:ascii="Times New Roman" w:eastAsia="宋体" w:hAnsi="Times New Roman" w:cs="Times New Roman"/>
          <w:sz w:val="18"/>
          <w:szCs w:val="18"/>
        </w:rPr>
      </w:pPr>
      <w:r w:rsidRPr="004B2D36">
        <w:rPr>
          <w:rFonts w:ascii="Times New Roman" w:eastAsia="宋体" w:hAnsi="Times New Roman" w:cs="Times New Roman"/>
          <w:sz w:val="18"/>
          <w:szCs w:val="18"/>
        </w:rPr>
        <w:t>2025</w:t>
      </w:r>
      <w:r w:rsidRPr="004B2D36">
        <w:rPr>
          <w:rFonts w:ascii="Times New Roman" w:eastAsia="宋体" w:hAnsi="Times New Roman" w:cs="Times New Roman"/>
          <w:sz w:val="18"/>
          <w:szCs w:val="18"/>
        </w:rPr>
        <w:t>年</w:t>
      </w:r>
      <w:r w:rsidRPr="004B2D36">
        <w:rPr>
          <w:rFonts w:ascii="Times New Roman" w:eastAsia="宋体" w:hAnsi="Times New Roman" w:cs="Times New Roman"/>
          <w:sz w:val="18"/>
          <w:szCs w:val="18"/>
        </w:rPr>
        <w:t>12</w:t>
      </w:r>
      <w:r w:rsidRPr="004B2D36">
        <w:rPr>
          <w:rFonts w:ascii="Times New Roman" w:eastAsia="宋体" w:hAnsi="Times New Roman" w:cs="Times New Roman"/>
          <w:sz w:val="18"/>
          <w:szCs w:val="18"/>
        </w:rPr>
        <w:t>月</w:t>
      </w:r>
      <w:r w:rsidRPr="004B2D36">
        <w:rPr>
          <w:rFonts w:ascii="Times New Roman" w:eastAsia="宋体" w:hAnsi="Times New Roman" w:cs="Times New Roman"/>
          <w:sz w:val="18"/>
          <w:szCs w:val="18"/>
        </w:rPr>
        <w:t>31</w:t>
      </w:r>
      <w:r w:rsidRPr="004B2D36">
        <w:rPr>
          <w:rFonts w:ascii="Times New Roman" w:eastAsia="宋体" w:hAnsi="Times New Roman" w:cs="Times New Roman"/>
          <w:sz w:val="18"/>
          <w:szCs w:val="18"/>
        </w:rPr>
        <w:t>日</w:t>
      </w:r>
    </w:p>
    <w:p w14:paraId="2D19C4CB" w14:textId="77777777" w:rsidR="00DC359B" w:rsidRDefault="00DC359B" w:rsidP="00DC359B">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000" w:firstRow="0" w:lastRow="0" w:firstColumn="0" w:lastColumn="0" w:noHBand="0" w:noVBand="0"/>
      </w:tblPr>
      <w:tblGrid>
        <w:gridCol w:w="3213"/>
        <w:gridCol w:w="3213"/>
        <w:gridCol w:w="3213"/>
      </w:tblGrid>
      <w:tr w:rsidR="00C57E60" w14:paraId="6FEDDEB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9F765D" w14:textId="77777777" w:rsidR="00DC359B" w:rsidRPr="004B2D36" w:rsidRDefault="00DC359B" w:rsidP="00DC359B">
            <w:pPr>
              <w:spacing w:before="40" w:after="40" w:line="360" w:lineRule="auto"/>
              <w:jc w:val="center"/>
              <w:rPr>
                <w:rFonts w:ascii="Times New Roman" w:eastAsia="宋体" w:hAnsi="Times New Roman" w:cs="Times New Roman"/>
                <w:sz w:val="18"/>
                <w:szCs w:val="18"/>
              </w:rPr>
            </w:pPr>
            <w:r w:rsidRPr="004B2D36">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8CA6BA" w14:textId="77777777" w:rsidR="00DC359B" w:rsidRPr="004B2D36" w:rsidRDefault="00DC359B" w:rsidP="00DC359B">
            <w:pPr>
              <w:spacing w:before="40" w:after="40" w:line="360" w:lineRule="auto"/>
              <w:jc w:val="center"/>
              <w:rPr>
                <w:rFonts w:ascii="Times New Roman" w:eastAsia="宋体" w:hAnsi="Times New Roman" w:cs="Times New Roman"/>
                <w:sz w:val="18"/>
                <w:szCs w:val="18"/>
              </w:rPr>
            </w:pPr>
            <w:r w:rsidRPr="004B2D36">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E4F858" w14:textId="77777777" w:rsidR="00DC359B" w:rsidRPr="004B2D36" w:rsidRDefault="00DC359B" w:rsidP="00DC359B">
            <w:pPr>
              <w:spacing w:before="40" w:after="40" w:line="360" w:lineRule="auto"/>
              <w:jc w:val="center"/>
              <w:rPr>
                <w:rFonts w:ascii="Times New Roman" w:eastAsia="宋体" w:hAnsi="Times New Roman" w:cs="Times New Roman"/>
                <w:sz w:val="18"/>
                <w:szCs w:val="18"/>
              </w:rPr>
            </w:pPr>
            <w:r w:rsidRPr="004B2D36">
              <w:rPr>
                <w:rFonts w:ascii="Times New Roman" w:eastAsia="宋体" w:hAnsi="Times New Roman" w:cs="Times New Roman"/>
                <w:sz w:val="18"/>
                <w:szCs w:val="18"/>
              </w:rPr>
              <w:t>期初余额</w:t>
            </w:r>
          </w:p>
        </w:tc>
      </w:tr>
      <w:tr w:rsidR="00C57E60" w14:paraId="0A7BC29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2DBF5F"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134FC4" w14:textId="77777777" w:rsidR="00DC359B" w:rsidRPr="004B2D3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E7EB25" w14:textId="77777777" w:rsidR="00DC359B" w:rsidRPr="004B2D36" w:rsidRDefault="00DC359B" w:rsidP="00DC359B">
            <w:pPr>
              <w:spacing w:line="360" w:lineRule="auto"/>
              <w:rPr>
                <w:rFonts w:ascii="Times New Roman" w:hAnsi="Times New Roman" w:cs="Times New Roman"/>
              </w:rPr>
            </w:pPr>
          </w:p>
        </w:tc>
      </w:tr>
      <w:tr w:rsidR="00C57E60" w14:paraId="3B73EB3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1909D3"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4E9AAD62"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779,062,564.07</w:t>
            </w:r>
          </w:p>
        </w:tc>
        <w:tc>
          <w:tcPr>
            <w:tcW w:w="3213" w:type="dxa"/>
            <w:tcBorders>
              <w:top w:val="single" w:sz="2" w:space="0" w:color="auto"/>
              <w:left w:val="single" w:sz="2" w:space="0" w:color="auto"/>
              <w:bottom w:val="single" w:sz="2" w:space="0" w:color="auto"/>
              <w:right w:val="single" w:sz="2" w:space="0" w:color="auto"/>
            </w:tcBorders>
            <w:vAlign w:val="center"/>
          </w:tcPr>
          <w:p w14:paraId="1EFA584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844,696,443.76</w:t>
            </w:r>
          </w:p>
        </w:tc>
      </w:tr>
      <w:tr w:rsidR="00C57E60" w14:paraId="178065C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000378"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结算备付金</w:t>
            </w:r>
          </w:p>
        </w:tc>
        <w:tc>
          <w:tcPr>
            <w:tcW w:w="3213" w:type="dxa"/>
            <w:tcBorders>
              <w:top w:val="single" w:sz="2" w:space="0" w:color="auto"/>
              <w:left w:val="single" w:sz="2" w:space="0" w:color="auto"/>
              <w:bottom w:val="single" w:sz="2" w:space="0" w:color="auto"/>
              <w:right w:val="single" w:sz="2" w:space="0" w:color="auto"/>
            </w:tcBorders>
            <w:vAlign w:val="center"/>
          </w:tcPr>
          <w:p w14:paraId="3C91D43B"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87B9C5"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73B51F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F1604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拆出资金</w:t>
            </w:r>
          </w:p>
        </w:tc>
        <w:tc>
          <w:tcPr>
            <w:tcW w:w="3213" w:type="dxa"/>
            <w:tcBorders>
              <w:top w:val="single" w:sz="2" w:space="0" w:color="auto"/>
              <w:left w:val="single" w:sz="2" w:space="0" w:color="auto"/>
              <w:bottom w:val="single" w:sz="2" w:space="0" w:color="auto"/>
              <w:right w:val="single" w:sz="2" w:space="0" w:color="auto"/>
            </w:tcBorders>
            <w:vAlign w:val="center"/>
          </w:tcPr>
          <w:p w14:paraId="1A074223"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380F0FD"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7F4CF4D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97A55A"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0BAF2D8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244,345,429.99</w:t>
            </w:r>
          </w:p>
        </w:tc>
        <w:tc>
          <w:tcPr>
            <w:tcW w:w="3213" w:type="dxa"/>
            <w:tcBorders>
              <w:top w:val="single" w:sz="2" w:space="0" w:color="auto"/>
              <w:left w:val="single" w:sz="2" w:space="0" w:color="auto"/>
              <w:bottom w:val="single" w:sz="2" w:space="0" w:color="auto"/>
              <w:right w:val="single" w:sz="2" w:space="0" w:color="auto"/>
            </w:tcBorders>
            <w:vAlign w:val="center"/>
          </w:tcPr>
          <w:p w14:paraId="5A72B15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110,000,000.00</w:t>
            </w:r>
          </w:p>
        </w:tc>
      </w:tr>
      <w:tr w:rsidR="00C57E60" w14:paraId="2B3047A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F6F2EA"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41D1E794"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CADFA2D"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8C409A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F13E8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21F8B51C"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D48B482"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0A3813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A478FB"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6FC2225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513,215,346.08</w:t>
            </w:r>
          </w:p>
        </w:tc>
        <w:tc>
          <w:tcPr>
            <w:tcW w:w="3213" w:type="dxa"/>
            <w:tcBorders>
              <w:top w:val="single" w:sz="2" w:space="0" w:color="auto"/>
              <w:left w:val="single" w:sz="2" w:space="0" w:color="auto"/>
              <w:bottom w:val="single" w:sz="2" w:space="0" w:color="auto"/>
              <w:right w:val="single" w:sz="2" w:space="0" w:color="auto"/>
            </w:tcBorders>
            <w:vAlign w:val="center"/>
          </w:tcPr>
          <w:p w14:paraId="05ACC99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620,256,105.14</w:t>
            </w:r>
          </w:p>
        </w:tc>
      </w:tr>
      <w:tr w:rsidR="00C57E60" w14:paraId="0C9CB35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D854CC"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0539C3E5"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34,732,047.93</w:t>
            </w:r>
          </w:p>
        </w:tc>
        <w:tc>
          <w:tcPr>
            <w:tcW w:w="3213" w:type="dxa"/>
            <w:tcBorders>
              <w:top w:val="single" w:sz="2" w:space="0" w:color="auto"/>
              <w:left w:val="single" w:sz="2" w:space="0" w:color="auto"/>
              <w:bottom w:val="single" w:sz="2" w:space="0" w:color="auto"/>
              <w:right w:val="single" w:sz="2" w:space="0" w:color="auto"/>
            </w:tcBorders>
            <w:vAlign w:val="center"/>
          </w:tcPr>
          <w:p w14:paraId="141CDAFF"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30,993,722.23</w:t>
            </w:r>
          </w:p>
        </w:tc>
      </w:tr>
      <w:tr w:rsidR="00C57E60" w14:paraId="76A7D58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C58C1F"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3A9D4C1E"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50,052,343.95</w:t>
            </w:r>
          </w:p>
        </w:tc>
        <w:tc>
          <w:tcPr>
            <w:tcW w:w="3213" w:type="dxa"/>
            <w:tcBorders>
              <w:top w:val="single" w:sz="2" w:space="0" w:color="auto"/>
              <w:left w:val="single" w:sz="2" w:space="0" w:color="auto"/>
              <w:bottom w:val="single" w:sz="2" w:space="0" w:color="auto"/>
              <w:right w:val="single" w:sz="2" w:space="0" w:color="auto"/>
            </w:tcBorders>
            <w:vAlign w:val="center"/>
          </w:tcPr>
          <w:p w14:paraId="3F7DDFF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47,128,273.25</w:t>
            </w:r>
          </w:p>
        </w:tc>
      </w:tr>
      <w:tr w:rsidR="00C57E60" w14:paraId="70DB42E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3BAA8E"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应收保费</w:t>
            </w:r>
          </w:p>
        </w:tc>
        <w:tc>
          <w:tcPr>
            <w:tcW w:w="3213" w:type="dxa"/>
            <w:tcBorders>
              <w:top w:val="single" w:sz="2" w:space="0" w:color="auto"/>
              <w:left w:val="single" w:sz="2" w:space="0" w:color="auto"/>
              <w:bottom w:val="single" w:sz="2" w:space="0" w:color="auto"/>
              <w:right w:val="single" w:sz="2" w:space="0" w:color="auto"/>
            </w:tcBorders>
            <w:vAlign w:val="center"/>
          </w:tcPr>
          <w:p w14:paraId="7D0AE31F"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5B81ECA"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CE7F82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BC53A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应收分保账款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35E24BFE"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58A21B2"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38909E3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114A7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应收分保合同准备金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1A62AD18"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9740D8"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3D5EE85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C34CCA"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5D65A065"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7,375,631.08</w:t>
            </w:r>
          </w:p>
        </w:tc>
        <w:tc>
          <w:tcPr>
            <w:tcW w:w="3213" w:type="dxa"/>
            <w:tcBorders>
              <w:top w:val="single" w:sz="2" w:space="0" w:color="auto"/>
              <w:left w:val="single" w:sz="2" w:space="0" w:color="auto"/>
              <w:bottom w:val="single" w:sz="2" w:space="0" w:color="auto"/>
              <w:right w:val="single" w:sz="2" w:space="0" w:color="auto"/>
            </w:tcBorders>
            <w:vAlign w:val="center"/>
          </w:tcPr>
          <w:p w14:paraId="1EC739AE"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10,840,127.86</w:t>
            </w:r>
          </w:p>
        </w:tc>
      </w:tr>
      <w:tr w:rsidR="00C57E60" w14:paraId="2F3B24E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B14321" w14:textId="77777777" w:rsidR="00DC359B" w:rsidRPr="004B2D36" w:rsidRDefault="00DC359B" w:rsidP="00DC359B">
            <w:pPr>
              <w:spacing w:before="40" w:after="40"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6568E921"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4C49446"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0EF8FF4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15C5E9" w14:textId="77777777" w:rsidR="00DC359B" w:rsidRPr="004B2D36" w:rsidRDefault="00DC359B" w:rsidP="00DC359B">
            <w:pPr>
              <w:spacing w:before="40" w:after="40" w:line="360" w:lineRule="auto"/>
              <w:ind w:firstLineChars="500" w:firstLine="900"/>
              <w:rPr>
                <w:rFonts w:ascii="Times New Roman" w:eastAsia="宋体" w:hAnsi="Times New Roman" w:cs="Times New Roman"/>
                <w:sz w:val="18"/>
                <w:szCs w:val="18"/>
              </w:rPr>
            </w:pPr>
            <w:r w:rsidRPr="004B2D36">
              <w:rPr>
                <w:rFonts w:ascii="Times New Roman" w:eastAsia="宋体" w:hAnsi="Times New Roman" w:cs="Times New Roman"/>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2B563C16"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64BD390"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DF74D4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CB924A"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买入返售金融资产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04B7CAD9"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9ED8F85"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1242085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A477A5"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008ED9F3"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760,184,154.98</w:t>
            </w:r>
          </w:p>
        </w:tc>
        <w:tc>
          <w:tcPr>
            <w:tcW w:w="3213" w:type="dxa"/>
            <w:tcBorders>
              <w:top w:val="single" w:sz="2" w:space="0" w:color="auto"/>
              <w:left w:val="single" w:sz="2" w:space="0" w:color="auto"/>
              <w:bottom w:val="single" w:sz="2" w:space="0" w:color="auto"/>
              <w:right w:val="single" w:sz="2" w:space="0" w:color="auto"/>
            </w:tcBorders>
            <w:vAlign w:val="center"/>
          </w:tcPr>
          <w:p w14:paraId="034BED1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662,843,666.87</w:t>
            </w:r>
          </w:p>
        </w:tc>
      </w:tr>
      <w:tr w:rsidR="00C57E60" w14:paraId="615C556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C63F38" w14:textId="77777777" w:rsidR="00DC359B" w:rsidRPr="004B2D36" w:rsidRDefault="00DC359B" w:rsidP="00DC359B">
            <w:pPr>
              <w:spacing w:before="40" w:after="40"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6474171A"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4A73B24"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0CA746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820650"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4F38F2FE"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CEE27F"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3585970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44EBA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47112F19"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948AC38"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751CE37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FE6CE2"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4BA3F7D6"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380,592.09</w:t>
            </w:r>
          </w:p>
        </w:tc>
        <w:tc>
          <w:tcPr>
            <w:tcW w:w="3213" w:type="dxa"/>
            <w:tcBorders>
              <w:top w:val="single" w:sz="2" w:space="0" w:color="auto"/>
              <w:left w:val="single" w:sz="2" w:space="0" w:color="auto"/>
              <w:bottom w:val="single" w:sz="2" w:space="0" w:color="auto"/>
              <w:right w:val="single" w:sz="2" w:space="0" w:color="auto"/>
            </w:tcBorders>
            <w:vAlign w:val="center"/>
          </w:tcPr>
          <w:p w14:paraId="6C67AF7F"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400,274.26</w:t>
            </w:r>
          </w:p>
        </w:tc>
      </w:tr>
      <w:tr w:rsidR="00C57E60" w14:paraId="22B748D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1891EC"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3FA30C83"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75,410,513.24</w:t>
            </w:r>
          </w:p>
        </w:tc>
        <w:tc>
          <w:tcPr>
            <w:tcW w:w="3213" w:type="dxa"/>
            <w:tcBorders>
              <w:top w:val="single" w:sz="2" w:space="0" w:color="auto"/>
              <w:left w:val="single" w:sz="2" w:space="0" w:color="auto"/>
              <w:bottom w:val="single" w:sz="2" w:space="0" w:color="auto"/>
              <w:right w:val="single" w:sz="2" w:space="0" w:color="auto"/>
            </w:tcBorders>
            <w:vAlign w:val="center"/>
          </w:tcPr>
          <w:p w14:paraId="6D23C82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54,720,662.21</w:t>
            </w:r>
          </w:p>
        </w:tc>
      </w:tr>
      <w:tr w:rsidR="00C57E60" w14:paraId="14CA1E2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FA86B1"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0F0E372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2,464,758,623.41</w:t>
            </w:r>
          </w:p>
        </w:tc>
        <w:tc>
          <w:tcPr>
            <w:tcW w:w="3213" w:type="dxa"/>
            <w:tcBorders>
              <w:top w:val="single" w:sz="2" w:space="0" w:color="auto"/>
              <w:left w:val="single" w:sz="2" w:space="0" w:color="auto"/>
              <w:bottom w:val="single" w:sz="2" w:space="0" w:color="auto"/>
              <w:right w:val="single" w:sz="2" w:space="0" w:color="auto"/>
            </w:tcBorders>
            <w:vAlign w:val="center"/>
          </w:tcPr>
          <w:p w14:paraId="2F65A629"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2,381,879,275.58</w:t>
            </w:r>
          </w:p>
        </w:tc>
      </w:tr>
      <w:tr w:rsidR="00C57E60" w14:paraId="1A2E48B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C7D4FF"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432555" w14:textId="77777777" w:rsidR="00DC359B" w:rsidRPr="004B2D3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FC20E5" w14:textId="77777777" w:rsidR="00DC359B" w:rsidRPr="004B2D36" w:rsidRDefault="00DC359B" w:rsidP="00DC359B">
            <w:pPr>
              <w:spacing w:line="360" w:lineRule="auto"/>
              <w:rPr>
                <w:rFonts w:ascii="Times New Roman" w:hAnsi="Times New Roman" w:cs="Times New Roman"/>
              </w:rPr>
            </w:pPr>
          </w:p>
        </w:tc>
      </w:tr>
      <w:tr w:rsidR="00C57E60" w14:paraId="6FD1D06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1F4F7B"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发放贷款和垫款</w:t>
            </w:r>
          </w:p>
        </w:tc>
        <w:tc>
          <w:tcPr>
            <w:tcW w:w="3213" w:type="dxa"/>
            <w:tcBorders>
              <w:top w:val="single" w:sz="2" w:space="0" w:color="auto"/>
              <w:left w:val="single" w:sz="2" w:space="0" w:color="auto"/>
              <w:bottom w:val="single" w:sz="2" w:space="0" w:color="auto"/>
              <w:right w:val="single" w:sz="2" w:space="0" w:color="auto"/>
            </w:tcBorders>
            <w:vAlign w:val="center"/>
          </w:tcPr>
          <w:p w14:paraId="1B38D037"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D98A019"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7CBE1DA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EFC01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13A92DB1"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C4A9207"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70F98D9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77933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13576F76"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C5BCAA0"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5B1654B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7D5FEB"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49D57FE7"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E98B05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345,569.37</w:t>
            </w:r>
          </w:p>
        </w:tc>
      </w:tr>
      <w:tr w:rsidR="00C57E60" w14:paraId="7AA547D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DC69B4"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03D00BC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9,481,848.60</w:t>
            </w:r>
          </w:p>
        </w:tc>
        <w:tc>
          <w:tcPr>
            <w:tcW w:w="3213" w:type="dxa"/>
            <w:tcBorders>
              <w:top w:val="single" w:sz="2" w:space="0" w:color="auto"/>
              <w:left w:val="single" w:sz="2" w:space="0" w:color="auto"/>
              <w:bottom w:val="single" w:sz="2" w:space="0" w:color="auto"/>
              <w:right w:val="single" w:sz="2" w:space="0" w:color="auto"/>
            </w:tcBorders>
            <w:vAlign w:val="center"/>
          </w:tcPr>
          <w:p w14:paraId="5F60FF5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14,875,560.06</w:t>
            </w:r>
          </w:p>
        </w:tc>
      </w:tr>
      <w:tr w:rsidR="00C57E60" w14:paraId="01AE69C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99F1AD"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58D9472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255,099,703.58</w:t>
            </w:r>
          </w:p>
        </w:tc>
        <w:tc>
          <w:tcPr>
            <w:tcW w:w="3213" w:type="dxa"/>
            <w:tcBorders>
              <w:top w:val="single" w:sz="2" w:space="0" w:color="auto"/>
              <w:left w:val="single" w:sz="2" w:space="0" w:color="auto"/>
              <w:bottom w:val="single" w:sz="2" w:space="0" w:color="auto"/>
              <w:right w:val="single" w:sz="2" w:space="0" w:color="auto"/>
            </w:tcBorders>
            <w:vAlign w:val="center"/>
          </w:tcPr>
          <w:p w14:paraId="228C4E35"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298,718,825.99</w:t>
            </w:r>
          </w:p>
        </w:tc>
      </w:tr>
      <w:tr w:rsidR="00C57E60" w14:paraId="202732B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150C2C"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1580F2D7"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EF0E984"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68EF9A9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F046C8"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3AD82572"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1216880"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052AC11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D99CE1"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0B645B2D"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1,533,647,065.02</w:t>
            </w:r>
          </w:p>
        </w:tc>
        <w:tc>
          <w:tcPr>
            <w:tcW w:w="3213" w:type="dxa"/>
            <w:tcBorders>
              <w:top w:val="single" w:sz="2" w:space="0" w:color="auto"/>
              <w:left w:val="single" w:sz="2" w:space="0" w:color="auto"/>
              <w:bottom w:val="single" w:sz="2" w:space="0" w:color="auto"/>
              <w:right w:val="single" w:sz="2" w:space="0" w:color="auto"/>
            </w:tcBorders>
            <w:vAlign w:val="center"/>
          </w:tcPr>
          <w:p w14:paraId="240A955B"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1,622,513,646.62</w:t>
            </w:r>
          </w:p>
        </w:tc>
      </w:tr>
      <w:tr w:rsidR="00C57E60" w14:paraId="1501362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F9CF9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589D6F4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305,924,903.28</w:t>
            </w:r>
          </w:p>
        </w:tc>
        <w:tc>
          <w:tcPr>
            <w:tcW w:w="3213" w:type="dxa"/>
            <w:tcBorders>
              <w:top w:val="single" w:sz="2" w:space="0" w:color="auto"/>
              <w:left w:val="single" w:sz="2" w:space="0" w:color="auto"/>
              <w:bottom w:val="single" w:sz="2" w:space="0" w:color="auto"/>
              <w:right w:val="single" w:sz="2" w:space="0" w:color="auto"/>
            </w:tcBorders>
            <w:vAlign w:val="center"/>
          </w:tcPr>
          <w:p w14:paraId="2AC2E31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210,876,362.92</w:t>
            </w:r>
          </w:p>
        </w:tc>
      </w:tr>
      <w:tr w:rsidR="00C57E60" w14:paraId="084E4D3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59B72D"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17D4F0A6"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F20C5BA"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3AA409C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77AE0F"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5E5D73C7"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22F7C93"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17659F0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1C2ACB"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4FA284D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11,871,018.48</w:t>
            </w:r>
          </w:p>
        </w:tc>
        <w:tc>
          <w:tcPr>
            <w:tcW w:w="3213" w:type="dxa"/>
            <w:tcBorders>
              <w:top w:val="single" w:sz="2" w:space="0" w:color="auto"/>
              <w:left w:val="single" w:sz="2" w:space="0" w:color="auto"/>
              <w:bottom w:val="single" w:sz="2" w:space="0" w:color="auto"/>
              <w:right w:val="single" w:sz="2" w:space="0" w:color="auto"/>
            </w:tcBorders>
            <w:vAlign w:val="center"/>
          </w:tcPr>
          <w:p w14:paraId="28CDFBF3"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22,015,303.18</w:t>
            </w:r>
          </w:p>
        </w:tc>
      </w:tr>
      <w:tr w:rsidR="00C57E60" w14:paraId="0F43758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E17A0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6113398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245,849,070.10</w:t>
            </w:r>
          </w:p>
        </w:tc>
        <w:tc>
          <w:tcPr>
            <w:tcW w:w="3213" w:type="dxa"/>
            <w:tcBorders>
              <w:top w:val="single" w:sz="2" w:space="0" w:color="auto"/>
              <w:left w:val="single" w:sz="2" w:space="0" w:color="auto"/>
              <w:bottom w:val="single" w:sz="2" w:space="0" w:color="auto"/>
              <w:right w:val="single" w:sz="2" w:space="0" w:color="auto"/>
            </w:tcBorders>
            <w:vAlign w:val="center"/>
          </w:tcPr>
          <w:p w14:paraId="399202D6"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264,465,770.30</w:t>
            </w:r>
          </w:p>
        </w:tc>
      </w:tr>
      <w:tr w:rsidR="00C57E60" w14:paraId="4D164B5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1286B6" w14:textId="77777777" w:rsidR="00DC359B" w:rsidRPr="004B2D36" w:rsidRDefault="00DC359B" w:rsidP="00DC359B">
            <w:pPr>
              <w:spacing w:before="40" w:after="40"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5EC6AF4F"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7405693"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876A32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F98673"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17A7F0C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0CDA83D"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8A8152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CF3BBD" w14:textId="77777777" w:rsidR="00DC359B" w:rsidRPr="004B2D36" w:rsidRDefault="00DC359B" w:rsidP="00DC359B">
            <w:pPr>
              <w:spacing w:before="40" w:after="40"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2633809A"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0D95D9A"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84C587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26CC4E"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7878BCB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970,199,524.97</w:t>
            </w:r>
          </w:p>
        </w:tc>
        <w:tc>
          <w:tcPr>
            <w:tcW w:w="3213" w:type="dxa"/>
            <w:tcBorders>
              <w:top w:val="single" w:sz="2" w:space="0" w:color="auto"/>
              <w:left w:val="single" w:sz="2" w:space="0" w:color="auto"/>
              <w:bottom w:val="single" w:sz="2" w:space="0" w:color="auto"/>
              <w:right w:val="single" w:sz="2" w:space="0" w:color="auto"/>
            </w:tcBorders>
            <w:vAlign w:val="center"/>
          </w:tcPr>
          <w:p w14:paraId="4AED1718"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1,130,805,300.22</w:t>
            </w:r>
          </w:p>
        </w:tc>
      </w:tr>
      <w:tr w:rsidR="00C57E60" w14:paraId="7250F6F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2FCF61"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5333B865"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12,909,116.72</w:t>
            </w:r>
          </w:p>
        </w:tc>
        <w:tc>
          <w:tcPr>
            <w:tcW w:w="3213" w:type="dxa"/>
            <w:tcBorders>
              <w:top w:val="single" w:sz="2" w:space="0" w:color="auto"/>
              <w:left w:val="single" w:sz="2" w:space="0" w:color="auto"/>
              <w:bottom w:val="single" w:sz="2" w:space="0" w:color="auto"/>
              <w:right w:val="single" w:sz="2" w:space="0" w:color="auto"/>
            </w:tcBorders>
            <w:vAlign w:val="center"/>
          </w:tcPr>
          <w:p w14:paraId="0235D3B6"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15,419,618.32</w:t>
            </w:r>
          </w:p>
        </w:tc>
      </w:tr>
      <w:tr w:rsidR="00C57E60" w14:paraId="12D9013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7246DC"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5715470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127,650,137.03</w:t>
            </w:r>
          </w:p>
        </w:tc>
        <w:tc>
          <w:tcPr>
            <w:tcW w:w="3213" w:type="dxa"/>
            <w:tcBorders>
              <w:top w:val="single" w:sz="2" w:space="0" w:color="auto"/>
              <w:left w:val="single" w:sz="2" w:space="0" w:color="auto"/>
              <w:bottom w:val="single" w:sz="2" w:space="0" w:color="auto"/>
              <w:right w:val="single" w:sz="2" w:space="0" w:color="auto"/>
            </w:tcBorders>
            <w:vAlign w:val="center"/>
          </w:tcPr>
          <w:p w14:paraId="6652C0F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110,574,156.43</w:t>
            </w:r>
          </w:p>
        </w:tc>
      </w:tr>
      <w:tr w:rsidR="00C57E60" w14:paraId="7E8DE81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0B3614"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6A266CB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24,830,392.10</w:t>
            </w:r>
          </w:p>
        </w:tc>
        <w:tc>
          <w:tcPr>
            <w:tcW w:w="3213" w:type="dxa"/>
            <w:tcBorders>
              <w:top w:val="single" w:sz="2" w:space="0" w:color="auto"/>
              <w:left w:val="single" w:sz="2" w:space="0" w:color="auto"/>
              <w:bottom w:val="single" w:sz="2" w:space="0" w:color="auto"/>
              <w:right w:val="single" w:sz="2" w:space="0" w:color="auto"/>
            </w:tcBorders>
            <w:vAlign w:val="center"/>
          </w:tcPr>
          <w:p w14:paraId="5F248A75"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25,075,563.39</w:t>
            </w:r>
          </w:p>
        </w:tc>
      </w:tr>
      <w:tr w:rsidR="00C57E60" w14:paraId="0BCE9DA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CC1AF2"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2332787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3,497,462,779.88</w:t>
            </w:r>
          </w:p>
        </w:tc>
        <w:tc>
          <w:tcPr>
            <w:tcW w:w="3213" w:type="dxa"/>
            <w:tcBorders>
              <w:top w:val="single" w:sz="2" w:space="0" w:color="auto"/>
              <w:left w:val="single" w:sz="2" w:space="0" w:color="auto"/>
              <w:bottom w:val="single" w:sz="2" w:space="0" w:color="auto"/>
              <w:right w:val="single" w:sz="2" w:space="0" w:color="auto"/>
            </w:tcBorders>
            <w:vAlign w:val="center"/>
          </w:tcPr>
          <w:p w14:paraId="6243B90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3,715,685,676.80</w:t>
            </w:r>
          </w:p>
        </w:tc>
      </w:tr>
      <w:tr w:rsidR="00C57E60" w14:paraId="7E6F0EB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D66350"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17ACAE82"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5,962,221,403.29</w:t>
            </w:r>
          </w:p>
        </w:tc>
        <w:tc>
          <w:tcPr>
            <w:tcW w:w="3213" w:type="dxa"/>
            <w:tcBorders>
              <w:top w:val="single" w:sz="2" w:space="0" w:color="auto"/>
              <w:left w:val="single" w:sz="2" w:space="0" w:color="auto"/>
              <w:bottom w:val="single" w:sz="2" w:space="0" w:color="auto"/>
              <w:right w:val="single" w:sz="2" w:space="0" w:color="auto"/>
            </w:tcBorders>
            <w:vAlign w:val="center"/>
          </w:tcPr>
          <w:p w14:paraId="56AF7EC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6,097,564,952.38</w:t>
            </w:r>
          </w:p>
        </w:tc>
      </w:tr>
      <w:tr w:rsidR="00C57E60" w14:paraId="0EA5077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E77426"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5FD9AD" w14:textId="77777777" w:rsidR="00DC359B" w:rsidRPr="004B2D3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2EB610" w14:textId="77777777" w:rsidR="00DC359B" w:rsidRPr="004B2D36" w:rsidRDefault="00DC359B" w:rsidP="00DC359B">
            <w:pPr>
              <w:spacing w:line="360" w:lineRule="auto"/>
              <w:rPr>
                <w:rFonts w:ascii="Times New Roman" w:hAnsi="Times New Roman" w:cs="Times New Roman"/>
              </w:rPr>
            </w:pPr>
          </w:p>
        </w:tc>
      </w:tr>
      <w:tr w:rsidR="00C57E60" w14:paraId="18EB65A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823372"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3BFC777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112,327,085.86</w:t>
            </w:r>
          </w:p>
        </w:tc>
        <w:tc>
          <w:tcPr>
            <w:tcW w:w="3213" w:type="dxa"/>
            <w:tcBorders>
              <w:top w:val="single" w:sz="2" w:space="0" w:color="auto"/>
              <w:left w:val="single" w:sz="2" w:space="0" w:color="auto"/>
              <w:bottom w:val="single" w:sz="2" w:space="0" w:color="auto"/>
              <w:right w:val="single" w:sz="2" w:space="0" w:color="auto"/>
            </w:tcBorders>
            <w:vAlign w:val="center"/>
          </w:tcPr>
          <w:p w14:paraId="5F7F6B3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130,076,388.25</w:t>
            </w:r>
          </w:p>
        </w:tc>
      </w:tr>
      <w:tr w:rsidR="00C57E60" w14:paraId="3BA87C2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D6561C"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向中央银行借款</w:t>
            </w:r>
          </w:p>
        </w:tc>
        <w:tc>
          <w:tcPr>
            <w:tcW w:w="3213" w:type="dxa"/>
            <w:tcBorders>
              <w:top w:val="single" w:sz="2" w:space="0" w:color="auto"/>
              <w:left w:val="single" w:sz="2" w:space="0" w:color="auto"/>
              <w:bottom w:val="single" w:sz="2" w:space="0" w:color="auto"/>
              <w:right w:val="single" w:sz="2" w:space="0" w:color="auto"/>
            </w:tcBorders>
            <w:vAlign w:val="center"/>
          </w:tcPr>
          <w:p w14:paraId="17B276AC"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47F59C2"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6C88129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E5286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拆入资金</w:t>
            </w:r>
          </w:p>
        </w:tc>
        <w:tc>
          <w:tcPr>
            <w:tcW w:w="3213" w:type="dxa"/>
            <w:tcBorders>
              <w:top w:val="single" w:sz="2" w:space="0" w:color="auto"/>
              <w:left w:val="single" w:sz="2" w:space="0" w:color="auto"/>
              <w:bottom w:val="single" w:sz="2" w:space="0" w:color="auto"/>
              <w:right w:val="single" w:sz="2" w:space="0" w:color="auto"/>
            </w:tcBorders>
            <w:vAlign w:val="center"/>
          </w:tcPr>
          <w:p w14:paraId="304BA846"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1834963"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CB894F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7A82FB"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5EFF84B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B943149"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5E4127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63D38E3"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75BC0B84"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12C9DA"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A72B67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5D373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5F1C1092"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6,907,681.66</w:t>
            </w:r>
          </w:p>
        </w:tc>
        <w:tc>
          <w:tcPr>
            <w:tcW w:w="3213" w:type="dxa"/>
            <w:tcBorders>
              <w:top w:val="single" w:sz="2" w:space="0" w:color="auto"/>
              <w:left w:val="single" w:sz="2" w:space="0" w:color="auto"/>
              <w:bottom w:val="single" w:sz="2" w:space="0" w:color="auto"/>
              <w:right w:val="single" w:sz="2" w:space="0" w:color="auto"/>
            </w:tcBorders>
            <w:vAlign w:val="center"/>
          </w:tcPr>
          <w:p w14:paraId="52B497D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3,920,000.00</w:t>
            </w:r>
          </w:p>
        </w:tc>
      </w:tr>
      <w:tr w:rsidR="00C57E60" w14:paraId="42E586C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92439F"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3E38ED39"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354,495,976.86</w:t>
            </w:r>
          </w:p>
        </w:tc>
        <w:tc>
          <w:tcPr>
            <w:tcW w:w="3213" w:type="dxa"/>
            <w:tcBorders>
              <w:top w:val="single" w:sz="2" w:space="0" w:color="auto"/>
              <w:left w:val="single" w:sz="2" w:space="0" w:color="auto"/>
              <w:bottom w:val="single" w:sz="2" w:space="0" w:color="auto"/>
              <w:right w:val="single" w:sz="2" w:space="0" w:color="auto"/>
            </w:tcBorders>
            <w:vAlign w:val="center"/>
          </w:tcPr>
          <w:p w14:paraId="28F181F8"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341,903,698.54</w:t>
            </w:r>
          </w:p>
        </w:tc>
      </w:tr>
      <w:tr w:rsidR="00C57E60" w14:paraId="2574932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CEE35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19F48B4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590C4C4"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34F7443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EE540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3A1A885B"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540,008,146.93</w:t>
            </w:r>
          </w:p>
        </w:tc>
        <w:tc>
          <w:tcPr>
            <w:tcW w:w="3213" w:type="dxa"/>
            <w:tcBorders>
              <w:top w:val="single" w:sz="2" w:space="0" w:color="auto"/>
              <w:left w:val="single" w:sz="2" w:space="0" w:color="auto"/>
              <w:bottom w:val="single" w:sz="2" w:space="0" w:color="auto"/>
              <w:right w:val="single" w:sz="2" w:space="0" w:color="auto"/>
            </w:tcBorders>
            <w:vAlign w:val="center"/>
          </w:tcPr>
          <w:p w14:paraId="26EDCF8B"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446,358,451.33</w:t>
            </w:r>
          </w:p>
        </w:tc>
      </w:tr>
      <w:tr w:rsidR="00C57E60" w14:paraId="56354FE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D130A0"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卖出回购金融资产款</w:t>
            </w:r>
          </w:p>
        </w:tc>
        <w:tc>
          <w:tcPr>
            <w:tcW w:w="3213" w:type="dxa"/>
            <w:tcBorders>
              <w:top w:val="single" w:sz="2" w:space="0" w:color="auto"/>
              <w:left w:val="single" w:sz="2" w:space="0" w:color="auto"/>
              <w:bottom w:val="single" w:sz="2" w:space="0" w:color="auto"/>
              <w:right w:val="single" w:sz="2" w:space="0" w:color="auto"/>
            </w:tcBorders>
            <w:vAlign w:val="center"/>
          </w:tcPr>
          <w:p w14:paraId="39431A4E"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E54F44E"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7AEB461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6D56AF"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吸收存款及同业存放</w:t>
            </w:r>
          </w:p>
        </w:tc>
        <w:tc>
          <w:tcPr>
            <w:tcW w:w="3213" w:type="dxa"/>
            <w:tcBorders>
              <w:top w:val="single" w:sz="2" w:space="0" w:color="auto"/>
              <w:left w:val="single" w:sz="2" w:space="0" w:color="auto"/>
              <w:bottom w:val="single" w:sz="2" w:space="0" w:color="auto"/>
              <w:right w:val="single" w:sz="2" w:space="0" w:color="auto"/>
            </w:tcBorders>
            <w:vAlign w:val="center"/>
          </w:tcPr>
          <w:p w14:paraId="2DA36B31"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53F4C4"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65AE2B0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28D27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代理买卖证券款</w:t>
            </w:r>
          </w:p>
        </w:tc>
        <w:tc>
          <w:tcPr>
            <w:tcW w:w="3213" w:type="dxa"/>
            <w:tcBorders>
              <w:top w:val="single" w:sz="2" w:space="0" w:color="auto"/>
              <w:left w:val="single" w:sz="2" w:space="0" w:color="auto"/>
              <w:bottom w:val="single" w:sz="2" w:space="0" w:color="auto"/>
              <w:right w:val="single" w:sz="2" w:space="0" w:color="auto"/>
            </w:tcBorders>
            <w:vAlign w:val="center"/>
          </w:tcPr>
          <w:p w14:paraId="561EE31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9FBBF1A"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68617FE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DC5D8B"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代理承销证券款</w:t>
            </w:r>
          </w:p>
        </w:tc>
        <w:tc>
          <w:tcPr>
            <w:tcW w:w="3213" w:type="dxa"/>
            <w:tcBorders>
              <w:top w:val="single" w:sz="2" w:space="0" w:color="auto"/>
              <w:left w:val="single" w:sz="2" w:space="0" w:color="auto"/>
              <w:bottom w:val="single" w:sz="2" w:space="0" w:color="auto"/>
              <w:right w:val="single" w:sz="2" w:space="0" w:color="auto"/>
            </w:tcBorders>
            <w:vAlign w:val="center"/>
          </w:tcPr>
          <w:p w14:paraId="2AFD6547"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6232F15"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E2A2FB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663F6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1C9B95F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218,145,587.95</w:t>
            </w:r>
          </w:p>
        </w:tc>
        <w:tc>
          <w:tcPr>
            <w:tcW w:w="3213" w:type="dxa"/>
            <w:tcBorders>
              <w:top w:val="single" w:sz="2" w:space="0" w:color="auto"/>
              <w:left w:val="single" w:sz="2" w:space="0" w:color="auto"/>
              <w:bottom w:val="single" w:sz="2" w:space="0" w:color="auto"/>
              <w:right w:val="single" w:sz="2" w:space="0" w:color="auto"/>
            </w:tcBorders>
            <w:vAlign w:val="center"/>
          </w:tcPr>
          <w:p w14:paraId="17D59B52"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210,547,550.32</w:t>
            </w:r>
          </w:p>
        </w:tc>
      </w:tr>
      <w:tr w:rsidR="00C57E60" w14:paraId="361C5CA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598AC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522DACB7" w14:textId="6891F7BC" w:rsidR="00DC359B" w:rsidRPr="004B2D36"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47,909,105.72</w:t>
            </w:r>
          </w:p>
        </w:tc>
        <w:tc>
          <w:tcPr>
            <w:tcW w:w="3213" w:type="dxa"/>
            <w:tcBorders>
              <w:top w:val="single" w:sz="2" w:space="0" w:color="auto"/>
              <w:left w:val="single" w:sz="2" w:space="0" w:color="auto"/>
              <w:bottom w:val="single" w:sz="2" w:space="0" w:color="auto"/>
              <w:right w:val="single" w:sz="2" w:space="0" w:color="auto"/>
            </w:tcBorders>
            <w:vAlign w:val="center"/>
          </w:tcPr>
          <w:p w14:paraId="3D47B9B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50,347,844.12</w:t>
            </w:r>
          </w:p>
        </w:tc>
      </w:tr>
      <w:tr w:rsidR="00C57E60" w14:paraId="459E4BF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2F17D4"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1EB20FE3"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139,167,306.63</w:t>
            </w:r>
          </w:p>
        </w:tc>
        <w:tc>
          <w:tcPr>
            <w:tcW w:w="3213" w:type="dxa"/>
            <w:tcBorders>
              <w:top w:val="single" w:sz="2" w:space="0" w:color="auto"/>
              <w:left w:val="single" w:sz="2" w:space="0" w:color="auto"/>
              <w:bottom w:val="single" w:sz="2" w:space="0" w:color="auto"/>
              <w:right w:val="single" w:sz="2" w:space="0" w:color="auto"/>
            </w:tcBorders>
            <w:vAlign w:val="center"/>
          </w:tcPr>
          <w:p w14:paraId="30183249"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140,105,564.01</w:t>
            </w:r>
          </w:p>
        </w:tc>
      </w:tr>
      <w:tr w:rsidR="00C57E60" w14:paraId="70E68D3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45BA61" w14:textId="77777777" w:rsidR="00DC359B" w:rsidRPr="004B2D36" w:rsidRDefault="00DC359B" w:rsidP="00DC359B">
            <w:pPr>
              <w:spacing w:before="40" w:after="40"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1C0C0E2E" w14:textId="7C25230D"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88C69E"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0FEA630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3998EA" w14:textId="77777777" w:rsidR="00DC359B" w:rsidRPr="004B2D36" w:rsidRDefault="00DC359B" w:rsidP="00DC359B">
            <w:pPr>
              <w:spacing w:before="40" w:after="40" w:line="360" w:lineRule="auto"/>
              <w:ind w:firstLineChars="500" w:firstLine="900"/>
              <w:rPr>
                <w:rFonts w:ascii="Times New Roman" w:eastAsia="宋体" w:hAnsi="Times New Roman" w:cs="Times New Roman"/>
                <w:sz w:val="18"/>
                <w:szCs w:val="18"/>
              </w:rPr>
            </w:pPr>
            <w:r w:rsidRPr="004B2D36">
              <w:rPr>
                <w:rFonts w:ascii="Times New Roman" w:eastAsia="宋体" w:hAnsi="Times New Roman" w:cs="Times New Roman"/>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0EAC44A5"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1D21655"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A446E7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9C9112"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应付手续费及佣金</w:t>
            </w:r>
          </w:p>
        </w:tc>
        <w:tc>
          <w:tcPr>
            <w:tcW w:w="3213" w:type="dxa"/>
            <w:tcBorders>
              <w:top w:val="single" w:sz="2" w:space="0" w:color="auto"/>
              <w:left w:val="single" w:sz="2" w:space="0" w:color="auto"/>
              <w:bottom w:val="single" w:sz="2" w:space="0" w:color="auto"/>
              <w:right w:val="single" w:sz="2" w:space="0" w:color="auto"/>
            </w:tcBorders>
            <w:vAlign w:val="center"/>
          </w:tcPr>
          <w:p w14:paraId="307633AF"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1A999BD"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140FB22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9B531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应付分保账款</w:t>
            </w:r>
          </w:p>
        </w:tc>
        <w:tc>
          <w:tcPr>
            <w:tcW w:w="3213" w:type="dxa"/>
            <w:tcBorders>
              <w:top w:val="single" w:sz="2" w:space="0" w:color="auto"/>
              <w:left w:val="single" w:sz="2" w:space="0" w:color="auto"/>
              <w:bottom w:val="single" w:sz="2" w:space="0" w:color="auto"/>
              <w:right w:val="single" w:sz="2" w:space="0" w:color="auto"/>
            </w:tcBorders>
            <w:vAlign w:val="center"/>
          </w:tcPr>
          <w:p w14:paraId="3ECF3DD9"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F8472EB"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02E8AA4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E8476C"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0708C312"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6302BEE"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5D9A263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061A18"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5F23DE3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512,876,445.44</w:t>
            </w:r>
          </w:p>
        </w:tc>
        <w:tc>
          <w:tcPr>
            <w:tcW w:w="3213" w:type="dxa"/>
            <w:tcBorders>
              <w:top w:val="single" w:sz="2" w:space="0" w:color="auto"/>
              <w:left w:val="single" w:sz="2" w:space="0" w:color="auto"/>
              <w:bottom w:val="single" w:sz="2" w:space="0" w:color="auto"/>
              <w:right w:val="single" w:sz="2" w:space="0" w:color="auto"/>
            </w:tcBorders>
            <w:vAlign w:val="center"/>
          </w:tcPr>
          <w:p w14:paraId="7E0FBE9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233,874,703.61</w:t>
            </w:r>
          </w:p>
        </w:tc>
      </w:tr>
      <w:tr w:rsidR="00C57E60" w14:paraId="4B7AA9F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F6C92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4B8FEE14" w14:textId="68D78480" w:rsidR="00DC359B" w:rsidRPr="004B2D36"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224,253,560.25</w:t>
            </w:r>
          </w:p>
        </w:tc>
        <w:tc>
          <w:tcPr>
            <w:tcW w:w="3213" w:type="dxa"/>
            <w:tcBorders>
              <w:top w:val="single" w:sz="2" w:space="0" w:color="auto"/>
              <w:left w:val="single" w:sz="2" w:space="0" w:color="auto"/>
              <w:bottom w:val="single" w:sz="2" w:space="0" w:color="auto"/>
              <w:right w:val="single" w:sz="2" w:space="0" w:color="auto"/>
            </w:tcBorders>
            <w:vAlign w:val="center"/>
          </w:tcPr>
          <w:p w14:paraId="6BAD5A5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136,576,527.18</w:t>
            </w:r>
          </w:p>
        </w:tc>
      </w:tr>
      <w:tr w:rsidR="00C57E60" w14:paraId="542BD01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B5A3AB"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3C54DD9E" w14:textId="6E03B46A"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w:t>
            </w:r>
            <w:r w:rsidR="00F1566C" w:rsidRPr="00F1566C">
              <w:rPr>
                <w:rFonts w:ascii="Times New Roman" w:eastAsia="宋体" w:hAnsi="Times New Roman" w:cs="Times New Roman"/>
                <w:sz w:val="18"/>
                <w:szCs w:val="18"/>
              </w:rPr>
              <w:t>156,090,897.30</w:t>
            </w:r>
          </w:p>
        </w:tc>
        <w:tc>
          <w:tcPr>
            <w:tcW w:w="3213" w:type="dxa"/>
            <w:tcBorders>
              <w:top w:val="single" w:sz="2" w:space="0" w:color="auto"/>
              <w:left w:val="single" w:sz="2" w:space="0" w:color="auto"/>
              <w:bottom w:val="single" w:sz="2" w:space="0" w:color="auto"/>
              <w:right w:val="single" w:sz="2" w:space="0" w:color="auto"/>
            </w:tcBorders>
            <w:vAlign w:val="center"/>
          </w:tcPr>
          <w:p w14:paraId="1EC6D20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1,693,710,727.36</w:t>
            </w:r>
          </w:p>
        </w:tc>
      </w:tr>
      <w:tr w:rsidR="00C57E60" w14:paraId="1D29E9A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C80325"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2D79A9" w14:textId="77777777" w:rsidR="00DC359B" w:rsidRPr="004B2D3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A10C5B" w14:textId="77777777" w:rsidR="00DC359B" w:rsidRPr="004B2D36" w:rsidRDefault="00DC359B" w:rsidP="00DC359B">
            <w:pPr>
              <w:spacing w:line="360" w:lineRule="auto"/>
              <w:rPr>
                <w:rFonts w:ascii="Times New Roman" w:hAnsi="Times New Roman" w:cs="Times New Roman"/>
              </w:rPr>
            </w:pPr>
          </w:p>
        </w:tc>
      </w:tr>
      <w:tr w:rsidR="00C57E60" w14:paraId="27C6EF2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11F1EA"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保险合同准备金</w:t>
            </w:r>
          </w:p>
        </w:tc>
        <w:tc>
          <w:tcPr>
            <w:tcW w:w="3213" w:type="dxa"/>
            <w:tcBorders>
              <w:top w:val="single" w:sz="2" w:space="0" w:color="auto"/>
              <w:left w:val="single" w:sz="2" w:space="0" w:color="auto"/>
              <w:bottom w:val="single" w:sz="2" w:space="0" w:color="auto"/>
              <w:right w:val="single" w:sz="2" w:space="0" w:color="auto"/>
            </w:tcBorders>
            <w:vAlign w:val="center"/>
          </w:tcPr>
          <w:p w14:paraId="277A4B91"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9B1BDF0"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B01161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E0F301"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13D742C9"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201,700,000.00</w:t>
            </w:r>
          </w:p>
        </w:tc>
        <w:tc>
          <w:tcPr>
            <w:tcW w:w="3213" w:type="dxa"/>
            <w:tcBorders>
              <w:top w:val="single" w:sz="2" w:space="0" w:color="auto"/>
              <w:left w:val="single" w:sz="2" w:space="0" w:color="auto"/>
              <w:bottom w:val="single" w:sz="2" w:space="0" w:color="auto"/>
              <w:right w:val="single" w:sz="2" w:space="0" w:color="auto"/>
            </w:tcBorders>
            <w:vAlign w:val="center"/>
          </w:tcPr>
          <w:p w14:paraId="4429CF3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120,000.00</w:t>
            </w:r>
          </w:p>
        </w:tc>
      </w:tr>
      <w:tr w:rsidR="00C57E60" w14:paraId="52DF0AC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47C3A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4A29B961" w14:textId="37BEAC79"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DB9A4AA"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456,036,319.65</w:t>
            </w:r>
          </w:p>
        </w:tc>
      </w:tr>
      <w:tr w:rsidR="00C57E60" w14:paraId="6D621D6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F53636" w14:textId="77777777" w:rsidR="00DC359B" w:rsidRPr="004B2D36" w:rsidRDefault="00DC359B" w:rsidP="00DC359B">
            <w:pPr>
              <w:spacing w:before="40" w:after="40"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7C2D760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716D904"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347F73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881C18" w14:textId="77777777" w:rsidR="00DC359B" w:rsidRPr="004B2D36" w:rsidRDefault="00DC359B" w:rsidP="00DC359B">
            <w:pPr>
              <w:spacing w:before="40" w:after="40" w:line="360" w:lineRule="auto"/>
              <w:ind w:firstLineChars="500" w:firstLine="900"/>
              <w:rPr>
                <w:rFonts w:ascii="Times New Roman" w:eastAsia="宋体" w:hAnsi="Times New Roman" w:cs="Times New Roman"/>
                <w:sz w:val="18"/>
                <w:szCs w:val="18"/>
              </w:rPr>
            </w:pPr>
            <w:r w:rsidRPr="004B2D36">
              <w:rPr>
                <w:rFonts w:ascii="Times New Roman" w:eastAsia="宋体" w:hAnsi="Times New Roman" w:cs="Times New Roman"/>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1EAA97E4"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191D122"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3FB13C8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B72A58"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02E06A9B"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1,929,160.42</w:t>
            </w:r>
          </w:p>
        </w:tc>
        <w:tc>
          <w:tcPr>
            <w:tcW w:w="3213" w:type="dxa"/>
            <w:tcBorders>
              <w:top w:val="single" w:sz="2" w:space="0" w:color="auto"/>
              <w:left w:val="single" w:sz="2" w:space="0" w:color="auto"/>
              <w:bottom w:val="single" w:sz="2" w:space="0" w:color="auto"/>
              <w:right w:val="single" w:sz="2" w:space="0" w:color="auto"/>
            </w:tcBorders>
            <w:vAlign w:val="center"/>
          </w:tcPr>
          <w:p w14:paraId="766680DD"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11,102,029.64</w:t>
            </w:r>
          </w:p>
        </w:tc>
      </w:tr>
      <w:tr w:rsidR="00C57E60" w14:paraId="19107F3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771CD6"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2F9A38E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86A740"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A44FD8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1283BE"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3754E18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30,460.01</w:t>
            </w:r>
          </w:p>
        </w:tc>
        <w:tc>
          <w:tcPr>
            <w:tcW w:w="3213" w:type="dxa"/>
            <w:tcBorders>
              <w:top w:val="single" w:sz="2" w:space="0" w:color="auto"/>
              <w:left w:val="single" w:sz="2" w:space="0" w:color="auto"/>
              <w:bottom w:val="single" w:sz="2" w:space="0" w:color="auto"/>
              <w:right w:val="single" w:sz="2" w:space="0" w:color="auto"/>
            </w:tcBorders>
            <w:vAlign w:val="center"/>
          </w:tcPr>
          <w:p w14:paraId="4E5D835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1,588,539.79</w:t>
            </w:r>
          </w:p>
        </w:tc>
      </w:tr>
      <w:tr w:rsidR="00C57E60" w14:paraId="43B69AE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9AAE68"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7921C53D"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989FEF"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62631FD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5C2F09"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58853E5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131,086,331.13</w:t>
            </w:r>
          </w:p>
        </w:tc>
        <w:tc>
          <w:tcPr>
            <w:tcW w:w="3213" w:type="dxa"/>
            <w:tcBorders>
              <w:top w:val="single" w:sz="2" w:space="0" w:color="auto"/>
              <w:left w:val="single" w:sz="2" w:space="0" w:color="auto"/>
              <w:bottom w:val="single" w:sz="2" w:space="0" w:color="auto"/>
              <w:right w:val="single" w:sz="2" w:space="0" w:color="auto"/>
            </w:tcBorders>
            <w:vAlign w:val="center"/>
          </w:tcPr>
          <w:p w14:paraId="0AB47F4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132,467,466.20</w:t>
            </w:r>
          </w:p>
        </w:tc>
      </w:tr>
      <w:tr w:rsidR="00C57E60" w14:paraId="4D81569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1A0E50E"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4480512F"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27,202,695.45</w:t>
            </w:r>
          </w:p>
        </w:tc>
        <w:tc>
          <w:tcPr>
            <w:tcW w:w="3213" w:type="dxa"/>
            <w:tcBorders>
              <w:top w:val="single" w:sz="2" w:space="0" w:color="auto"/>
              <w:left w:val="single" w:sz="2" w:space="0" w:color="auto"/>
              <w:bottom w:val="single" w:sz="2" w:space="0" w:color="auto"/>
              <w:right w:val="single" w:sz="2" w:space="0" w:color="auto"/>
            </w:tcBorders>
            <w:vAlign w:val="center"/>
          </w:tcPr>
          <w:p w14:paraId="09B73EBC"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32,923,687.22</w:t>
            </w:r>
          </w:p>
        </w:tc>
      </w:tr>
      <w:tr w:rsidR="00C57E60" w14:paraId="6718C82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69BB97"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6E4E7142"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25BF646"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58ACDDB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1CE06E"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05DA992E"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361,948,647.01</w:t>
            </w:r>
          </w:p>
        </w:tc>
        <w:tc>
          <w:tcPr>
            <w:tcW w:w="3213" w:type="dxa"/>
            <w:tcBorders>
              <w:top w:val="single" w:sz="2" w:space="0" w:color="auto"/>
              <w:left w:val="single" w:sz="2" w:space="0" w:color="auto"/>
              <w:bottom w:val="single" w:sz="2" w:space="0" w:color="auto"/>
              <w:right w:val="single" w:sz="2" w:space="0" w:color="auto"/>
            </w:tcBorders>
            <w:vAlign w:val="center"/>
          </w:tcPr>
          <w:p w14:paraId="2E333C8D"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634,238,042.50</w:t>
            </w:r>
          </w:p>
        </w:tc>
      </w:tr>
      <w:tr w:rsidR="00C57E60" w14:paraId="196D9B8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045F78" w14:textId="77777777" w:rsidR="00DC359B" w:rsidRPr="004B2D36" w:rsidRDefault="00DC359B" w:rsidP="00DC359B">
            <w:pPr>
              <w:spacing w:before="40" w:after="40"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0BCF6254" w14:textId="5E5ABD41"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w:t>
            </w:r>
            <w:r w:rsidR="00F1566C" w:rsidRPr="00F1566C">
              <w:rPr>
                <w:rFonts w:ascii="Times New Roman" w:eastAsia="宋体" w:hAnsi="Times New Roman" w:cs="Times New Roman"/>
                <w:sz w:val="18"/>
                <w:szCs w:val="18"/>
              </w:rPr>
              <w:t>518,039,544.31</w:t>
            </w:r>
          </w:p>
        </w:tc>
        <w:tc>
          <w:tcPr>
            <w:tcW w:w="3213" w:type="dxa"/>
            <w:tcBorders>
              <w:top w:val="single" w:sz="2" w:space="0" w:color="auto"/>
              <w:left w:val="single" w:sz="2" w:space="0" w:color="auto"/>
              <w:bottom w:val="single" w:sz="2" w:space="0" w:color="auto"/>
              <w:right w:val="single" w:sz="2" w:space="0" w:color="auto"/>
            </w:tcBorders>
            <w:vAlign w:val="center"/>
          </w:tcPr>
          <w:p w14:paraId="2DFBDAED"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2,327,948,769.86</w:t>
            </w:r>
          </w:p>
        </w:tc>
      </w:tr>
      <w:tr w:rsidR="00C57E60" w14:paraId="47FB881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270888" w14:textId="77777777" w:rsidR="00DC359B" w:rsidRPr="004B2D36" w:rsidRDefault="00DC359B" w:rsidP="00DC359B">
            <w:pPr>
              <w:spacing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97F3707" w14:textId="77777777" w:rsidR="00DC359B" w:rsidRPr="004B2D3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6ED76B" w14:textId="77777777" w:rsidR="00DC359B" w:rsidRPr="004B2D36" w:rsidRDefault="00DC359B" w:rsidP="00DC359B">
            <w:pPr>
              <w:spacing w:line="360" w:lineRule="auto"/>
              <w:rPr>
                <w:rFonts w:ascii="Times New Roman" w:hAnsi="Times New Roman" w:cs="Times New Roman"/>
              </w:rPr>
            </w:pPr>
          </w:p>
        </w:tc>
      </w:tr>
      <w:tr w:rsidR="00C57E60" w14:paraId="0DD9D50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0D1D95D"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0D8C878D"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560,267,306.00</w:t>
            </w:r>
          </w:p>
        </w:tc>
        <w:tc>
          <w:tcPr>
            <w:tcW w:w="3213" w:type="dxa"/>
            <w:tcBorders>
              <w:top w:val="single" w:sz="2" w:space="0" w:color="auto"/>
              <w:left w:val="single" w:sz="2" w:space="0" w:color="auto"/>
              <w:bottom w:val="single" w:sz="2" w:space="0" w:color="auto"/>
              <w:right w:val="single" w:sz="2" w:space="0" w:color="auto"/>
            </w:tcBorders>
            <w:vAlign w:val="center"/>
          </w:tcPr>
          <w:p w14:paraId="6338D9A1"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564,265,375.00</w:t>
            </w:r>
          </w:p>
        </w:tc>
      </w:tr>
      <w:tr w:rsidR="00C57E60" w14:paraId="474060D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A21276"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0DAAFFD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123,942,959.86</w:t>
            </w:r>
          </w:p>
        </w:tc>
        <w:tc>
          <w:tcPr>
            <w:tcW w:w="3213" w:type="dxa"/>
            <w:tcBorders>
              <w:top w:val="single" w:sz="2" w:space="0" w:color="auto"/>
              <w:left w:val="single" w:sz="2" w:space="0" w:color="auto"/>
              <w:bottom w:val="single" w:sz="2" w:space="0" w:color="auto"/>
              <w:right w:val="single" w:sz="2" w:space="0" w:color="auto"/>
            </w:tcBorders>
            <w:vAlign w:val="center"/>
          </w:tcPr>
          <w:p w14:paraId="74251C03"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123,953,405.74</w:t>
            </w:r>
          </w:p>
        </w:tc>
      </w:tr>
      <w:tr w:rsidR="00C57E60" w14:paraId="3C8B72C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320E1C" w14:textId="77777777" w:rsidR="00DC359B" w:rsidRPr="004B2D36" w:rsidRDefault="00DC359B" w:rsidP="00DC359B">
            <w:pPr>
              <w:spacing w:line="360" w:lineRule="auto"/>
              <w:ind w:firstLineChars="200" w:firstLine="360"/>
              <w:rPr>
                <w:rFonts w:ascii="Times New Roman" w:eastAsia="宋体" w:hAnsi="Times New Roman" w:cs="Times New Roman"/>
                <w:sz w:val="18"/>
                <w:szCs w:val="18"/>
              </w:rPr>
            </w:pPr>
            <w:r w:rsidRPr="004B2D36">
              <w:rPr>
                <w:rFonts w:ascii="Times New Roman" w:eastAsia="宋体" w:hAnsi="Times New Roman" w:cs="Times New Roman"/>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4054465A"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C1BC009"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4BE5C79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713027" w14:textId="77777777" w:rsidR="00DC359B" w:rsidRPr="004B2D36" w:rsidRDefault="00DC359B" w:rsidP="00DC359B">
            <w:pPr>
              <w:spacing w:line="360" w:lineRule="auto"/>
              <w:ind w:firstLineChars="500" w:firstLine="900"/>
              <w:rPr>
                <w:rFonts w:ascii="Times New Roman" w:eastAsia="宋体" w:hAnsi="Times New Roman" w:cs="Times New Roman"/>
                <w:sz w:val="18"/>
                <w:szCs w:val="18"/>
              </w:rPr>
            </w:pPr>
            <w:r w:rsidRPr="004B2D36">
              <w:rPr>
                <w:rFonts w:ascii="Times New Roman" w:eastAsia="宋体" w:hAnsi="Times New Roman" w:cs="Times New Roman"/>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17510DDB"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B8D3B31"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0F5EA00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CA2F18"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487D9212"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1,025,350,220.96</w:t>
            </w:r>
          </w:p>
        </w:tc>
        <w:tc>
          <w:tcPr>
            <w:tcW w:w="3213" w:type="dxa"/>
            <w:tcBorders>
              <w:top w:val="single" w:sz="2" w:space="0" w:color="auto"/>
              <w:left w:val="single" w:sz="2" w:space="0" w:color="auto"/>
              <w:bottom w:val="single" w:sz="2" w:space="0" w:color="auto"/>
              <w:right w:val="single" w:sz="2" w:space="0" w:color="auto"/>
            </w:tcBorders>
            <w:vAlign w:val="center"/>
          </w:tcPr>
          <w:p w14:paraId="14599B07"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1,104,915,880.07</w:t>
            </w:r>
          </w:p>
        </w:tc>
      </w:tr>
      <w:tr w:rsidR="00C57E60" w14:paraId="6EB1E7E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09DE141"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03D76012"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286,616,623.68</w:t>
            </w:r>
          </w:p>
        </w:tc>
        <w:tc>
          <w:tcPr>
            <w:tcW w:w="3213" w:type="dxa"/>
            <w:tcBorders>
              <w:top w:val="single" w:sz="2" w:space="0" w:color="auto"/>
              <w:left w:val="single" w:sz="2" w:space="0" w:color="auto"/>
              <w:bottom w:val="single" w:sz="2" w:space="0" w:color="auto"/>
              <w:right w:val="single" w:sz="2" w:space="0" w:color="auto"/>
            </w:tcBorders>
            <w:vAlign w:val="center"/>
          </w:tcPr>
          <w:p w14:paraId="788D43C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181,302,394.30</w:t>
            </w:r>
          </w:p>
        </w:tc>
      </w:tr>
      <w:tr w:rsidR="00C57E60" w14:paraId="4EE1F12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2D114C"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11FD5399"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86,014,769.51</w:t>
            </w:r>
          </w:p>
        </w:tc>
        <w:tc>
          <w:tcPr>
            <w:tcW w:w="3213" w:type="dxa"/>
            <w:tcBorders>
              <w:top w:val="single" w:sz="2" w:space="0" w:color="auto"/>
              <w:left w:val="single" w:sz="2" w:space="0" w:color="auto"/>
              <w:bottom w:val="single" w:sz="2" w:space="0" w:color="auto"/>
              <w:right w:val="single" w:sz="2" w:space="0" w:color="auto"/>
            </w:tcBorders>
            <w:vAlign w:val="center"/>
          </w:tcPr>
          <w:p w14:paraId="3E7CD6E5"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136,397,201.91</w:t>
            </w:r>
          </w:p>
        </w:tc>
      </w:tr>
      <w:tr w:rsidR="00C57E60" w14:paraId="504D1A8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279A00" w14:textId="77777777" w:rsidR="00DC359B" w:rsidRPr="004B2D36" w:rsidRDefault="00DC359B" w:rsidP="00DC359B">
            <w:pPr>
              <w:spacing w:before="40" w:after="40"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304BE40B"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A783F01"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2699CA2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66604B"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7888F668" w14:textId="5183242E" w:rsidR="00DC359B" w:rsidRPr="004B2D36" w:rsidRDefault="00F1566C" w:rsidP="00DC359B">
            <w:pPr>
              <w:spacing w:line="360" w:lineRule="auto"/>
              <w:jc w:val="right"/>
              <w:rPr>
                <w:rFonts w:ascii="Times New Roman" w:eastAsia="宋体" w:hAnsi="Times New Roman" w:cs="Times New Roman"/>
                <w:sz w:val="18"/>
                <w:szCs w:val="18"/>
              </w:rPr>
            </w:pPr>
            <w:r w:rsidRPr="00F1566C">
              <w:rPr>
                <w:rFonts w:ascii="Times New Roman" w:eastAsia="宋体" w:hAnsi="Times New Roman" w:cs="Times New Roman"/>
                <w:sz w:val="18"/>
                <w:szCs w:val="18"/>
              </w:rPr>
              <w:t>532,880,185.50</w:t>
            </w:r>
          </w:p>
        </w:tc>
        <w:tc>
          <w:tcPr>
            <w:tcW w:w="3213" w:type="dxa"/>
            <w:tcBorders>
              <w:top w:val="single" w:sz="2" w:space="0" w:color="auto"/>
              <w:left w:val="single" w:sz="2" w:space="0" w:color="auto"/>
              <w:bottom w:val="single" w:sz="2" w:space="0" w:color="auto"/>
              <w:right w:val="single" w:sz="2" w:space="0" w:color="auto"/>
            </w:tcBorders>
            <w:vAlign w:val="center"/>
          </w:tcPr>
          <w:p w14:paraId="3961F9D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482,490,060.31</w:t>
            </w:r>
          </w:p>
        </w:tc>
      </w:tr>
      <w:tr w:rsidR="00C57E60" w14:paraId="1D43594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594D13"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一般风险准备</w:t>
            </w:r>
          </w:p>
        </w:tc>
        <w:tc>
          <w:tcPr>
            <w:tcW w:w="3213" w:type="dxa"/>
            <w:tcBorders>
              <w:top w:val="single" w:sz="2" w:space="0" w:color="auto"/>
              <w:left w:val="single" w:sz="2" w:space="0" w:color="auto"/>
              <w:bottom w:val="single" w:sz="2" w:space="0" w:color="auto"/>
              <w:right w:val="single" w:sz="2" w:space="0" w:color="auto"/>
            </w:tcBorders>
            <w:vAlign w:val="center"/>
          </w:tcPr>
          <w:p w14:paraId="53EEB93A" w14:textId="77777777" w:rsidR="00DC359B" w:rsidRPr="004B2D3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844D26C" w14:textId="77777777" w:rsidR="00DC359B" w:rsidRPr="004B2D36" w:rsidRDefault="00DC359B" w:rsidP="00DC359B">
            <w:pPr>
              <w:spacing w:line="360" w:lineRule="auto"/>
              <w:jc w:val="right"/>
              <w:rPr>
                <w:rFonts w:ascii="Times New Roman" w:eastAsia="宋体" w:hAnsi="Times New Roman" w:cs="Times New Roman"/>
                <w:sz w:val="18"/>
                <w:szCs w:val="18"/>
              </w:rPr>
            </w:pPr>
          </w:p>
        </w:tc>
      </w:tr>
      <w:tr w:rsidR="00C57E60" w14:paraId="03B85D3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456ACF"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7D1F653B" w14:textId="7B16255D"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w:t>
            </w:r>
            <w:r w:rsidR="00F1566C" w:rsidRPr="00F1566C">
              <w:rPr>
                <w:rFonts w:ascii="Times New Roman" w:eastAsia="宋体" w:hAnsi="Times New Roman" w:cs="Times New Roman"/>
                <w:sz w:val="18"/>
                <w:szCs w:val="18"/>
              </w:rPr>
              <w:t>071,018,512.63</w:t>
            </w:r>
          </w:p>
        </w:tc>
        <w:tc>
          <w:tcPr>
            <w:tcW w:w="3213" w:type="dxa"/>
            <w:tcBorders>
              <w:top w:val="single" w:sz="2" w:space="0" w:color="auto"/>
              <w:left w:val="single" w:sz="2" w:space="0" w:color="auto"/>
              <w:bottom w:val="single" w:sz="2" w:space="0" w:color="auto"/>
              <w:right w:val="single" w:sz="2" w:space="0" w:color="auto"/>
            </w:tcBorders>
            <w:vAlign w:val="center"/>
          </w:tcPr>
          <w:p w14:paraId="387B8710"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1,127,020,330.07</w:t>
            </w:r>
          </w:p>
        </w:tc>
      </w:tr>
      <w:tr w:rsidR="00C57E60" w14:paraId="1FC3ACB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8F3BE3" w14:textId="77777777" w:rsidR="00DC359B" w:rsidRPr="004B2D36" w:rsidRDefault="00DC359B" w:rsidP="00DC359B">
            <w:pPr>
              <w:spacing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归属于母公司所有者权益合计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4CF97E75" w14:textId="2C347BD6"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w:t>
            </w:r>
            <w:r w:rsidR="00F1566C" w:rsidRPr="00F1566C">
              <w:rPr>
                <w:rFonts w:ascii="Times New Roman" w:eastAsia="宋体" w:hAnsi="Times New Roman" w:cs="Times New Roman"/>
                <w:sz w:val="18"/>
                <w:szCs w:val="18"/>
              </w:rPr>
              <w:t>112,857,330.78</w:t>
            </w:r>
          </w:p>
        </w:tc>
        <w:tc>
          <w:tcPr>
            <w:tcW w:w="3213" w:type="dxa"/>
            <w:tcBorders>
              <w:top w:val="single" w:sz="2" w:space="0" w:color="auto"/>
              <w:left w:val="single" w:sz="2" w:space="0" w:color="auto"/>
              <w:bottom w:val="single" w:sz="2" w:space="0" w:color="auto"/>
              <w:right w:val="single" w:sz="2" w:space="0" w:color="auto"/>
            </w:tcBorders>
            <w:vAlign w:val="center"/>
          </w:tcPr>
          <w:p w14:paraId="1A75263F"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3,357,739,858.80</w:t>
            </w:r>
          </w:p>
        </w:tc>
      </w:tr>
      <w:tr w:rsidR="00C57E60" w14:paraId="2403457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8E9D07" w14:textId="77777777" w:rsidR="00DC359B" w:rsidRPr="004B2D36" w:rsidRDefault="00DC359B" w:rsidP="00DC359B">
            <w:pPr>
              <w:spacing w:line="360" w:lineRule="auto"/>
              <w:ind w:firstLineChars="100" w:firstLine="180"/>
              <w:rPr>
                <w:rFonts w:ascii="Times New Roman" w:eastAsia="宋体" w:hAnsi="Times New Roman" w:cs="Times New Roman"/>
                <w:sz w:val="18"/>
                <w:szCs w:val="18"/>
              </w:rPr>
            </w:pPr>
            <w:r w:rsidRPr="004B2D36">
              <w:rPr>
                <w:rFonts w:ascii="Times New Roman" w:eastAsia="宋体" w:hAnsi="Times New Roman" w:cs="Times New Roman"/>
                <w:sz w:val="18"/>
                <w:szCs w:val="18"/>
              </w:rPr>
              <w:t>少数股东权益</w:t>
            </w:r>
          </w:p>
        </w:tc>
        <w:tc>
          <w:tcPr>
            <w:tcW w:w="3213" w:type="dxa"/>
            <w:tcBorders>
              <w:top w:val="single" w:sz="2" w:space="0" w:color="auto"/>
              <w:left w:val="single" w:sz="2" w:space="0" w:color="auto"/>
              <w:bottom w:val="single" w:sz="2" w:space="0" w:color="auto"/>
              <w:right w:val="single" w:sz="2" w:space="0" w:color="auto"/>
            </w:tcBorders>
            <w:vAlign w:val="center"/>
          </w:tcPr>
          <w:p w14:paraId="662AFFA4"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331,324,528.20</w:t>
            </w:r>
          </w:p>
        </w:tc>
        <w:tc>
          <w:tcPr>
            <w:tcW w:w="3213" w:type="dxa"/>
            <w:tcBorders>
              <w:top w:val="single" w:sz="2" w:space="0" w:color="auto"/>
              <w:left w:val="single" w:sz="2" w:space="0" w:color="auto"/>
              <w:bottom w:val="single" w:sz="2" w:space="0" w:color="auto"/>
              <w:right w:val="single" w:sz="2" w:space="0" w:color="auto"/>
            </w:tcBorders>
            <w:vAlign w:val="center"/>
          </w:tcPr>
          <w:p w14:paraId="1A9E1836"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411,876,323.72</w:t>
            </w:r>
          </w:p>
        </w:tc>
      </w:tr>
      <w:tr w:rsidR="00C57E60" w14:paraId="2348C79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7E7485" w14:textId="77777777" w:rsidR="00DC359B" w:rsidRPr="004B2D36" w:rsidRDefault="00DC359B" w:rsidP="00DC359B">
            <w:pPr>
              <w:spacing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3B48BAC7" w14:textId="44A6D923"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w:t>
            </w:r>
            <w:r w:rsidR="00F1566C" w:rsidRPr="00F1566C">
              <w:rPr>
                <w:rFonts w:ascii="Times New Roman" w:eastAsia="宋体" w:hAnsi="Times New Roman" w:cs="Times New Roman"/>
                <w:sz w:val="18"/>
                <w:szCs w:val="18"/>
              </w:rPr>
              <w:t>444,181,858.98</w:t>
            </w:r>
          </w:p>
        </w:tc>
        <w:tc>
          <w:tcPr>
            <w:tcW w:w="3213" w:type="dxa"/>
            <w:tcBorders>
              <w:top w:val="single" w:sz="2" w:space="0" w:color="auto"/>
              <w:left w:val="single" w:sz="2" w:space="0" w:color="auto"/>
              <w:bottom w:val="single" w:sz="2" w:space="0" w:color="auto"/>
              <w:right w:val="single" w:sz="2" w:space="0" w:color="auto"/>
            </w:tcBorders>
            <w:vAlign w:val="center"/>
          </w:tcPr>
          <w:p w14:paraId="7032416D"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3,769,616,182.52</w:t>
            </w:r>
          </w:p>
        </w:tc>
      </w:tr>
      <w:tr w:rsidR="00C57E60" w14:paraId="3AF2BDF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9EA2E8" w14:textId="77777777" w:rsidR="00DC359B" w:rsidRPr="004B2D36" w:rsidRDefault="00DC359B" w:rsidP="00DC359B">
            <w:pPr>
              <w:spacing w:line="360" w:lineRule="auto"/>
              <w:rPr>
                <w:rFonts w:ascii="Times New Roman" w:eastAsia="宋体" w:hAnsi="Times New Roman" w:cs="Times New Roman"/>
                <w:sz w:val="18"/>
                <w:szCs w:val="18"/>
              </w:rPr>
            </w:pPr>
            <w:r w:rsidRPr="004B2D36">
              <w:rPr>
                <w:rFonts w:ascii="Times New Roman" w:eastAsia="宋体" w:hAnsi="Times New Roman" w:cs="Times New Roman"/>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26DC8AEE"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5,962,221,403.29</w:t>
            </w:r>
          </w:p>
        </w:tc>
        <w:tc>
          <w:tcPr>
            <w:tcW w:w="3213" w:type="dxa"/>
            <w:tcBorders>
              <w:top w:val="single" w:sz="2" w:space="0" w:color="auto"/>
              <w:left w:val="single" w:sz="2" w:space="0" w:color="auto"/>
              <w:bottom w:val="single" w:sz="2" w:space="0" w:color="auto"/>
              <w:right w:val="single" w:sz="2" w:space="0" w:color="auto"/>
            </w:tcBorders>
            <w:vAlign w:val="center"/>
          </w:tcPr>
          <w:p w14:paraId="75CA8E9F" w14:textId="77777777" w:rsidR="00DC359B" w:rsidRPr="004B2D36" w:rsidRDefault="00DC359B" w:rsidP="00DC359B">
            <w:pPr>
              <w:spacing w:line="360" w:lineRule="auto"/>
              <w:jc w:val="right"/>
              <w:rPr>
                <w:rFonts w:ascii="Times New Roman" w:eastAsia="宋体" w:hAnsi="Times New Roman" w:cs="Times New Roman"/>
                <w:sz w:val="18"/>
                <w:szCs w:val="18"/>
              </w:rPr>
            </w:pPr>
            <w:r w:rsidRPr="004B2D36">
              <w:rPr>
                <w:rFonts w:ascii="Times New Roman" w:eastAsia="宋体" w:hAnsi="Times New Roman" w:cs="Times New Roman"/>
                <w:sz w:val="18"/>
                <w:szCs w:val="18"/>
              </w:rPr>
              <w:t>6,097,564,952.38</w:t>
            </w:r>
          </w:p>
        </w:tc>
      </w:tr>
    </w:tbl>
    <w:p w14:paraId="64404307"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法定代表人：李少波                    主管会计工作负责人：何竹子                     会计机构负责人：谈波</w:t>
      </w:r>
    </w:p>
    <w:p w14:paraId="105862D9" w14:textId="77777777" w:rsidR="00DC359B" w:rsidRDefault="00DC359B" w:rsidP="00DC359B">
      <w:pPr>
        <w:pStyle w:val="3"/>
        <w:spacing w:line="320" w:lineRule="exact"/>
        <w:jc w:val="left"/>
        <w:rPr>
          <w:rFonts w:ascii="宋体" w:hAnsi="宋体" w:cs="宋体"/>
          <w:b/>
          <w:bCs/>
          <w:sz w:val="24"/>
          <w:szCs w:val="24"/>
        </w:rPr>
        <w:sectPr w:rsidR="00DC359B">
          <w:pgSz w:w="11905" w:h="16840"/>
          <w:pgMar w:top="1440" w:right="1134" w:bottom="1440" w:left="1134" w:header="850" w:footer="992" w:gutter="0"/>
          <w:cols w:space="720"/>
          <w:docGrid w:type="linesAndChars" w:linePitch="312"/>
        </w:sectPr>
      </w:pPr>
    </w:p>
    <w:p w14:paraId="29D4E99D" w14:textId="77777777" w:rsidR="00DC359B" w:rsidRPr="00EA03E6" w:rsidRDefault="00DC359B" w:rsidP="00DC359B">
      <w:pPr>
        <w:pStyle w:val="3"/>
        <w:spacing w:line="320" w:lineRule="exact"/>
        <w:jc w:val="left"/>
        <w:rPr>
          <w:rFonts w:ascii="Times New Roman" w:hAnsi="Times New Roman" w:cs="Times New Roman"/>
          <w:b/>
          <w:bCs/>
          <w:sz w:val="24"/>
          <w:szCs w:val="24"/>
        </w:rPr>
      </w:pPr>
      <w:r w:rsidRPr="00EA03E6">
        <w:rPr>
          <w:rFonts w:ascii="Times New Roman" w:hAnsi="Times New Roman" w:cs="Times New Roman"/>
          <w:b/>
          <w:bCs/>
          <w:sz w:val="24"/>
          <w:szCs w:val="24"/>
        </w:rPr>
        <w:t>2</w:t>
      </w:r>
      <w:r w:rsidRPr="00EA03E6">
        <w:rPr>
          <w:rFonts w:ascii="Times New Roman" w:hAnsi="Times New Roman" w:cs="Times New Roman"/>
          <w:b/>
          <w:bCs/>
          <w:sz w:val="24"/>
          <w:szCs w:val="24"/>
        </w:rPr>
        <w:t>、母公司资产负债表</w:t>
      </w:r>
    </w:p>
    <w:p w14:paraId="6812EA26" w14:textId="77777777" w:rsidR="00DC359B" w:rsidRDefault="00DC359B" w:rsidP="00DC359B">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000" w:firstRow="0" w:lastRow="0" w:firstColumn="0" w:lastColumn="0" w:noHBand="0" w:noVBand="0"/>
      </w:tblPr>
      <w:tblGrid>
        <w:gridCol w:w="3213"/>
        <w:gridCol w:w="3213"/>
        <w:gridCol w:w="3213"/>
      </w:tblGrid>
      <w:tr w:rsidR="00C57E60" w14:paraId="411974B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ADA3E6" w14:textId="77777777" w:rsidR="00DC359B" w:rsidRPr="00EA03E6" w:rsidRDefault="00DC359B" w:rsidP="00DC359B">
            <w:pPr>
              <w:spacing w:before="40" w:after="40" w:line="360" w:lineRule="auto"/>
              <w:jc w:val="center"/>
              <w:rPr>
                <w:rFonts w:ascii="Times New Roman" w:eastAsia="宋体" w:hAnsi="Times New Roman" w:cs="Times New Roman"/>
                <w:sz w:val="18"/>
                <w:szCs w:val="18"/>
              </w:rPr>
            </w:pPr>
            <w:r w:rsidRPr="00EA03E6">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757E33" w14:textId="77777777" w:rsidR="00DC359B" w:rsidRPr="00EA03E6" w:rsidRDefault="00DC359B" w:rsidP="00DC359B">
            <w:pPr>
              <w:spacing w:before="40" w:after="40" w:line="360" w:lineRule="auto"/>
              <w:jc w:val="center"/>
              <w:rPr>
                <w:rFonts w:ascii="Times New Roman" w:eastAsia="宋体" w:hAnsi="Times New Roman" w:cs="Times New Roman"/>
                <w:sz w:val="18"/>
                <w:szCs w:val="18"/>
              </w:rPr>
            </w:pPr>
            <w:r w:rsidRPr="00EA03E6">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776DF3" w14:textId="77777777" w:rsidR="00DC359B" w:rsidRPr="00EA03E6" w:rsidRDefault="00DC359B" w:rsidP="00DC359B">
            <w:pPr>
              <w:spacing w:before="40" w:after="40" w:line="360" w:lineRule="auto"/>
              <w:jc w:val="center"/>
              <w:rPr>
                <w:rFonts w:ascii="Times New Roman" w:eastAsia="宋体" w:hAnsi="Times New Roman" w:cs="Times New Roman"/>
                <w:sz w:val="18"/>
                <w:szCs w:val="18"/>
              </w:rPr>
            </w:pPr>
            <w:r w:rsidRPr="00EA03E6">
              <w:rPr>
                <w:rFonts w:ascii="Times New Roman" w:eastAsia="宋体" w:hAnsi="Times New Roman" w:cs="Times New Roman"/>
                <w:sz w:val="18"/>
                <w:szCs w:val="18"/>
              </w:rPr>
              <w:t>期初余额</w:t>
            </w:r>
          </w:p>
        </w:tc>
      </w:tr>
      <w:tr w:rsidR="00C57E60" w14:paraId="758B330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C1F1BC"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63B5C1" w14:textId="77777777" w:rsidR="00DC359B" w:rsidRPr="00EA03E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407BA4" w14:textId="77777777" w:rsidR="00DC359B" w:rsidRPr="00EA03E6" w:rsidRDefault="00DC359B" w:rsidP="00DC359B">
            <w:pPr>
              <w:spacing w:line="360" w:lineRule="auto"/>
              <w:rPr>
                <w:rFonts w:ascii="Times New Roman" w:hAnsi="Times New Roman" w:cs="Times New Roman"/>
              </w:rPr>
            </w:pPr>
          </w:p>
        </w:tc>
      </w:tr>
      <w:tr w:rsidR="00C57E60" w14:paraId="00D54A8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A430F7"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05F72FE7"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231,501,392.30</w:t>
            </w:r>
          </w:p>
        </w:tc>
        <w:tc>
          <w:tcPr>
            <w:tcW w:w="3213" w:type="dxa"/>
            <w:tcBorders>
              <w:top w:val="single" w:sz="2" w:space="0" w:color="auto"/>
              <w:left w:val="single" w:sz="2" w:space="0" w:color="auto"/>
              <w:bottom w:val="single" w:sz="2" w:space="0" w:color="auto"/>
              <w:right w:val="single" w:sz="2" w:space="0" w:color="auto"/>
            </w:tcBorders>
            <w:vAlign w:val="center"/>
          </w:tcPr>
          <w:p w14:paraId="76F55EE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254,403,330.38</w:t>
            </w:r>
          </w:p>
        </w:tc>
      </w:tr>
      <w:tr w:rsidR="00C57E60" w14:paraId="2D875B5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E5BF3B"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69E61AA4"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244,345,429.99</w:t>
            </w:r>
          </w:p>
        </w:tc>
        <w:tc>
          <w:tcPr>
            <w:tcW w:w="3213" w:type="dxa"/>
            <w:tcBorders>
              <w:top w:val="single" w:sz="2" w:space="0" w:color="auto"/>
              <w:left w:val="single" w:sz="2" w:space="0" w:color="auto"/>
              <w:bottom w:val="single" w:sz="2" w:space="0" w:color="auto"/>
              <w:right w:val="single" w:sz="2" w:space="0" w:color="auto"/>
            </w:tcBorders>
            <w:vAlign w:val="center"/>
          </w:tcPr>
          <w:p w14:paraId="3B98E81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110,000,000.00</w:t>
            </w:r>
          </w:p>
        </w:tc>
      </w:tr>
      <w:tr w:rsidR="00C57E60" w14:paraId="0A2DE08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8AF234"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衍生金融资产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167A884A"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5CB38B9"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776538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922BE4"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4CAA9881"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7A95C10"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5D99D81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E657BB"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应收账款</w:t>
            </w:r>
          </w:p>
        </w:tc>
        <w:tc>
          <w:tcPr>
            <w:tcW w:w="3213" w:type="dxa"/>
            <w:tcBorders>
              <w:top w:val="single" w:sz="2" w:space="0" w:color="auto"/>
              <w:left w:val="single" w:sz="2" w:space="0" w:color="auto"/>
              <w:bottom w:val="single" w:sz="2" w:space="0" w:color="auto"/>
              <w:right w:val="single" w:sz="2" w:space="0" w:color="auto"/>
            </w:tcBorders>
            <w:vAlign w:val="center"/>
          </w:tcPr>
          <w:p w14:paraId="56C06052"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294,391,152.73</w:t>
            </w:r>
          </w:p>
        </w:tc>
        <w:tc>
          <w:tcPr>
            <w:tcW w:w="3213" w:type="dxa"/>
            <w:tcBorders>
              <w:top w:val="single" w:sz="2" w:space="0" w:color="auto"/>
              <w:left w:val="single" w:sz="2" w:space="0" w:color="auto"/>
              <w:bottom w:val="single" w:sz="2" w:space="0" w:color="auto"/>
              <w:right w:val="single" w:sz="2" w:space="0" w:color="auto"/>
            </w:tcBorders>
            <w:vAlign w:val="center"/>
          </w:tcPr>
          <w:p w14:paraId="2D3C1D4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422,662,256.97</w:t>
            </w:r>
          </w:p>
        </w:tc>
      </w:tr>
      <w:tr w:rsidR="00C57E60" w14:paraId="4226E20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D1B9E4"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应收款项融资</w:t>
            </w:r>
          </w:p>
        </w:tc>
        <w:tc>
          <w:tcPr>
            <w:tcW w:w="3213" w:type="dxa"/>
            <w:tcBorders>
              <w:top w:val="single" w:sz="2" w:space="0" w:color="auto"/>
              <w:left w:val="single" w:sz="2" w:space="0" w:color="auto"/>
              <w:bottom w:val="single" w:sz="2" w:space="0" w:color="auto"/>
              <w:right w:val="single" w:sz="2" w:space="0" w:color="auto"/>
            </w:tcBorders>
            <w:vAlign w:val="center"/>
          </w:tcPr>
          <w:p w14:paraId="0CD53B2B"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34,732,047.93</w:t>
            </w:r>
          </w:p>
        </w:tc>
        <w:tc>
          <w:tcPr>
            <w:tcW w:w="3213" w:type="dxa"/>
            <w:tcBorders>
              <w:top w:val="single" w:sz="2" w:space="0" w:color="auto"/>
              <w:left w:val="single" w:sz="2" w:space="0" w:color="auto"/>
              <w:bottom w:val="single" w:sz="2" w:space="0" w:color="auto"/>
              <w:right w:val="single" w:sz="2" w:space="0" w:color="auto"/>
            </w:tcBorders>
            <w:vAlign w:val="center"/>
          </w:tcPr>
          <w:p w14:paraId="6B4BA434"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30,993,722.23</w:t>
            </w:r>
          </w:p>
        </w:tc>
      </w:tr>
      <w:tr w:rsidR="00C57E60" w14:paraId="3E18B60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4C3811"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预付款项</w:t>
            </w:r>
          </w:p>
        </w:tc>
        <w:tc>
          <w:tcPr>
            <w:tcW w:w="3213" w:type="dxa"/>
            <w:tcBorders>
              <w:top w:val="single" w:sz="2" w:space="0" w:color="auto"/>
              <w:left w:val="single" w:sz="2" w:space="0" w:color="auto"/>
              <w:bottom w:val="single" w:sz="2" w:space="0" w:color="auto"/>
              <w:right w:val="single" w:sz="2" w:space="0" w:color="auto"/>
            </w:tcBorders>
            <w:vAlign w:val="center"/>
          </w:tcPr>
          <w:p w14:paraId="7C0FE38D"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23,527,031.23</w:t>
            </w:r>
          </w:p>
        </w:tc>
        <w:tc>
          <w:tcPr>
            <w:tcW w:w="3213" w:type="dxa"/>
            <w:tcBorders>
              <w:top w:val="single" w:sz="2" w:space="0" w:color="auto"/>
              <w:left w:val="single" w:sz="2" w:space="0" w:color="auto"/>
              <w:bottom w:val="single" w:sz="2" w:space="0" w:color="auto"/>
              <w:right w:val="single" w:sz="2" w:space="0" w:color="auto"/>
            </w:tcBorders>
            <w:vAlign w:val="center"/>
          </w:tcPr>
          <w:p w14:paraId="08999056"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18,486,336.82</w:t>
            </w:r>
          </w:p>
        </w:tc>
      </w:tr>
      <w:tr w:rsidR="00C57E60" w14:paraId="5941FAC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96E722"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482DF1B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529,199,071.38</w:t>
            </w:r>
          </w:p>
        </w:tc>
        <w:tc>
          <w:tcPr>
            <w:tcW w:w="3213" w:type="dxa"/>
            <w:tcBorders>
              <w:top w:val="single" w:sz="2" w:space="0" w:color="auto"/>
              <w:left w:val="single" w:sz="2" w:space="0" w:color="auto"/>
              <w:bottom w:val="single" w:sz="2" w:space="0" w:color="auto"/>
              <w:right w:val="single" w:sz="2" w:space="0" w:color="auto"/>
            </w:tcBorders>
            <w:vAlign w:val="center"/>
          </w:tcPr>
          <w:p w14:paraId="259F0F0A"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301,435,565.99</w:t>
            </w:r>
          </w:p>
        </w:tc>
      </w:tr>
      <w:tr w:rsidR="00C57E60" w14:paraId="2B77A5E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F1AD1E" w14:textId="77777777" w:rsidR="00DC359B" w:rsidRPr="00EA03E6" w:rsidRDefault="00DC359B" w:rsidP="00DC359B">
            <w:pPr>
              <w:spacing w:before="40" w:after="40"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其中：应收利息</w:t>
            </w:r>
          </w:p>
        </w:tc>
        <w:tc>
          <w:tcPr>
            <w:tcW w:w="3213" w:type="dxa"/>
            <w:tcBorders>
              <w:top w:val="single" w:sz="2" w:space="0" w:color="auto"/>
              <w:left w:val="single" w:sz="2" w:space="0" w:color="auto"/>
              <w:bottom w:val="single" w:sz="2" w:space="0" w:color="auto"/>
              <w:right w:val="single" w:sz="2" w:space="0" w:color="auto"/>
            </w:tcBorders>
            <w:vAlign w:val="center"/>
          </w:tcPr>
          <w:p w14:paraId="708B1DCE"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40353BC"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1954DAD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3C865B" w14:textId="77777777" w:rsidR="00DC359B" w:rsidRPr="00EA03E6" w:rsidRDefault="00DC359B" w:rsidP="00DC359B">
            <w:pPr>
              <w:spacing w:before="40" w:after="40" w:line="360" w:lineRule="auto"/>
              <w:ind w:firstLineChars="500" w:firstLine="900"/>
              <w:rPr>
                <w:rFonts w:ascii="Times New Roman" w:eastAsia="宋体" w:hAnsi="Times New Roman" w:cs="Times New Roman"/>
                <w:sz w:val="18"/>
                <w:szCs w:val="18"/>
              </w:rPr>
            </w:pPr>
            <w:r w:rsidRPr="00EA03E6">
              <w:rPr>
                <w:rFonts w:ascii="Times New Roman" w:eastAsia="宋体" w:hAnsi="Times New Roman" w:cs="Times New Roman"/>
                <w:sz w:val="18"/>
                <w:szCs w:val="18"/>
              </w:rPr>
              <w:t>应收股利</w:t>
            </w:r>
          </w:p>
        </w:tc>
        <w:tc>
          <w:tcPr>
            <w:tcW w:w="3213" w:type="dxa"/>
            <w:tcBorders>
              <w:top w:val="single" w:sz="2" w:space="0" w:color="auto"/>
              <w:left w:val="single" w:sz="2" w:space="0" w:color="auto"/>
              <w:bottom w:val="single" w:sz="2" w:space="0" w:color="auto"/>
              <w:right w:val="single" w:sz="2" w:space="0" w:color="auto"/>
            </w:tcBorders>
            <w:vAlign w:val="center"/>
          </w:tcPr>
          <w:p w14:paraId="6DFB2CD8"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7F447DD"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A92D29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EAE75E"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04BABE12"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303,618,658.87</w:t>
            </w:r>
          </w:p>
        </w:tc>
        <w:tc>
          <w:tcPr>
            <w:tcW w:w="3213" w:type="dxa"/>
            <w:tcBorders>
              <w:top w:val="single" w:sz="2" w:space="0" w:color="auto"/>
              <w:left w:val="single" w:sz="2" w:space="0" w:color="auto"/>
              <w:bottom w:val="single" w:sz="2" w:space="0" w:color="auto"/>
              <w:right w:val="single" w:sz="2" w:space="0" w:color="auto"/>
            </w:tcBorders>
            <w:vAlign w:val="center"/>
          </w:tcPr>
          <w:p w14:paraId="0B1A5F8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229,070,058.74</w:t>
            </w:r>
          </w:p>
        </w:tc>
      </w:tr>
      <w:tr w:rsidR="00C57E60" w14:paraId="1F626E1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5F3C46" w14:textId="77777777" w:rsidR="00DC359B" w:rsidRPr="00EA03E6" w:rsidRDefault="00DC359B" w:rsidP="00DC359B">
            <w:pPr>
              <w:spacing w:before="40" w:after="40"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29825D1"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1EF9B57"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1E75270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B57AD8"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合同资产</w:t>
            </w:r>
          </w:p>
        </w:tc>
        <w:tc>
          <w:tcPr>
            <w:tcW w:w="3213" w:type="dxa"/>
            <w:tcBorders>
              <w:top w:val="single" w:sz="2" w:space="0" w:color="auto"/>
              <w:left w:val="single" w:sz="2" w:space="0" w:color="auto"/>
              <w:bottom w:val="single" w:sz="2" w:space="0" w:color="auto"/>
              <w:right w:val="single" w:sz="2" w:space="0" w:color="auto"/>
            </w:tcBorders>
            <w:vAlign w:val="center"/>
          </w:tcPr>
          <w:p w14:paraId="19367794"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9962AB4"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6EFBB31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E25473"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持有待售资产</w:t>
            </w:r>
          </w:p>
        </w:tc>
        <w:tc>
          <w:tcPr>
            <w:tcW w:w="3213" w:type="dxa"/>
            <w:tcBorders>
              <w:top w:val="single" w:sz="2" w:space="0" w:color="auto"/>
              <w:left w:val="single" w:sz="2" w:space="0" w:color="auto"/>
              <w:bottom w:val="single" w:sz="2" w:space="0" w:color="auto"/>
              <w:right w:val="single" w:sz="2" w:space="0" w:color="auto"/>
            </w:tcBorders>
            <w:vAlign w:val="center"/>
          </w:tcPr>
          <w:p w14:paraId="07CEB019"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F466D5A"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78D64DF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6281268"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一年内到期的非流动资产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3A56FDAB"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64E5373"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0173A72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0A3EA7"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11128096"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10,824,255.41</w:t>
            </w:r>
          </w:p>
        </w:tc>
        <w:tc>
          <w:tcPr>
            <w:tcW w:w="3213" w:type="dxa"/>
            <w:tcBorders>
              <w:top w:val="single" w:sz="2" w:space="0" w:color="auto"/>
              <w:left w:val="single" w:sz="2" w:space="0" w:color="auto"/>
              <w:bottom w:val="single" w:sz="2" w:space="0" w:color="auto"/>
              <w:right w:val="single" w:sz="2" w:space="0" w:color="auto"/>
            </w:tcBorders>
            <w:vAlign w:val="center"/>
          </w:tcPr>
          <w:p w14:paraId="0DDBADE5"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10,725,693.82</w:t>
            </w:r>
          </w:p>
        </w:tc>
      </w:tr>
      <w:tr w:rsidR="00C57E60" w14:paraId="6EBD6EA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81D2B4"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3B7D113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1,672,139,039.84</w:t>
            </w:r>
          </w:p>
        </w:tc>
        <w:tc>
          <w:tcPr>
            <w:tcW w:w="3213" w:type="dxa"/>
            <w:tcBorders>
              <w:top w:val="single" w:sz="2" w:space="0" w:color="auto"/>
              <w:left w:val="single" w:sz="2" w:space="0" w:color="auto"/>
              <w:bottom w:val="single" w:sz="2" w:space="0" w:color="auto"/>
              <w:right w:val="single" w:sz="2" w:space="0" w:color="auto"/>
            </w:tcBorders>
            <w:vAlign w:val="center"/>
          </w:tcPr>
          <w:p w14:paraId="480B46C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1,377,776,964.95</w:t>
            </w:r>
          </w:p>
        </w:tc>
      </w:tr>
      <w:tr w:rsidR="00C57E60" w14:paraId="59C2912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63C550"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非流动资产：</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954DD4" w14:textId="77777777" w:rsidR="00DC359B" w:rsidRPr="00EA03E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D78798" w14:textId="77777777" w:rsidR="00DC359B" w:rsidRPr="00EA03E6" w:rsidRDefault="00DC359B" w:rsidP="00DC359B">
            <w:pPr>
              <w:spacing w:line="360" w:lineRule="auto"/>
              <w:rPr>
                <w:rFonts w:ascii="Times New Roman" w:hAnsi="Times New Roman" w:cs="Times New Roman"/>
              </w:rPr>
            </w:pPr>
          </w:p>
        </w:tc>
      </w:tr>
      <w:tr w:rsidR="00C57E60" w14:paraId="68DA268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ECB49F"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7CDA2EBF"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940404F"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150608E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16A25A"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其他债权投资</w:t>
            </w:r>
          </w:p>
        </w:tc>
        <w:tc>
          <w:tcPr>
            <w:tcW w:w="3213" w:type="dxa"/>
            <w:tcBorders>
              <w:top w:val="single" w:sz="2" w:space="0" w:color="auto"/>
              <w:left w:val="single" w:sz="2" w:space="0" w:color="auto"/>
              <w:bottom w:val="single" w:sz="2" w:space="0" w:color="auto"/>
              <w:right w:val="single" w:sz="2" w:space="0" w:color="auto"/>
            </w:tcBorders>
            <w:vAlign w:val="center"/>
          </w:tcPr>
          <w:p w14:paraId="3C5F4FDB"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F875362"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5A53571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7A2B09"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36D1B5F0"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63D7E79"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112C6DE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6A69E7"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长期股权投资</w:t>
            </w:r>
          </w:p>
        </w:tc>
        <w:tc>
          <w:tcPr>
            <w:tcW w:w="3213" w:type="dxa"/>
            <w:tcBorders>
              <w:top w:val="single" w:sz="2" w:space="0" w:color="auto"/>
              <w:left w:val="single" w:sz="2" w:space="0" w:color="auto"/>
              <w:bottom w:val="single" w:sz="2" w:space="0" w:color="auto"/>
              <w:right w:val="single" w:sz="2" w:space="0" w:color="auto"/>
            </w:tcBorders>
            <w:vAlign w:val="center"/>
          </w:tcPr>
          <w:p w14:paraId="026DC8D2"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1,989,123,588.49</w:t>
            </w:r>
          </w:p>
        </w:tc>
        <w:tc>
          <w:tcPr>
            <w:tcW w:w="3213" w:type="dxa"/>
            <w:tcBorders>
              <w:top w:val="single" w:sz="2" w:space="0" w:color="auto"/>
              <w:left w:val="single" w:sz="2" w:space="0" w:color="auto"/>
              <w:bottom w:val="single" w:sz="2" w:space="0" w:color="auto"/>
              <w:right w:val="single" w:sz="2" w:space="0" w:color="auto"/>
            </w:tcBorders>
            <w:vAlign w:val="center"/>
          </w:tcPr>
          <w:p w14:paraId="48BDC42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1,991,118,211.69</w:t>
            </w:r>
          </w:p>
        </w:tc>
      </w:tr>
      <w:tr w:rsidR="00C57E60" w14:paraId="0D78E57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3D9382"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其他权益工具投资</w:t>
            </w:r>
          </w:p>
        </w:tc>
        <w:tc>
          <w:tcPr>
            <w:tcW w:w="3213" w:type="dxa"/>
            <w:tcBorders>
              <w:top w:val="single" w:sz="2" w:space="0" w:color="auto"/>
              <w:left w:val="single" w:sz="2" w:space="0" w:color="auto"/>
              <w:bottom w:val="single" w:sz="2" w:space="0" w:color="auto"/>
              <w:right w:val="single" w:sz="2" w:space="0" w:color="auto"/>
            </w:tcBorders>
            <w:vAlign w:val="center"/>
          </w:tcPr>
          <w:p w14:paraId="1F50CC8D"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3,900,000.00</w:t>
            </w:r>
          </w:p>
        </w:tc>
        <w:tc>
          <w:tcPr>
            <w:tcW w:w="3213" w:type="dxa"/>
            <w:tcBorders>
              <w:top w:val="single" w:sz="2" w:space="0" w:color="auto"/>
              <w:left w:val="single" w:sz="2" w:space="0" w:color="auto"/>
              <w:bottom w:val="single" w:sz="2" w:space="0" w:color="auto"/>
              <w:right w:val="single" w:sz="2" w:space="0" w:color="auto"/>
            </w:tcBorders>
            <w:vAlign w:val="center"/>
          </w:tcPr>
          <w:p w14:paraId="79C40D65"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43,720,250.34</w:t>
            </w:r>
          </w:p>
        </w:tc>
      </w:tr>
      <w:tr w:rsidR="00C57E60" w14:paraId="3B6F850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461C9E"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其他非流动金融资产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01C4A4B5"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FEF55EB"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9A500E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27EB376"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投资性房地产</w:t>
            </w:r>
          </w:p>
        </w:tc>
        <w:tc>
          <w:tcPr>
            <w:tcW w:w="3213" w:type="dxa"/>
            <w:tcBorders>
              <w:top w:val="single" w:sz="2" w:space="0" w:color="auto"/>
              <w:left w:val="single" w:sz="2" w:space="0" w:color="auto"/>
              <w:bottom w:val="single" w:sz="2" w:space="0" w:color="auto"/>
              <w:right w:val="single" w:sz="2" w:space="0" w:color="auto"/>
            </w:tcBorders>
            <w:vAlign w:val="center"/>
          </w:tcPr>
          <w:p w14:paraId="71B77135"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57EF910"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4208993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E6CF7B"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7FB2772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957,101,555.58</w:t>
            </w:r>
          </w:p>
        </w:tc>
        <w:tc>
          <w:tcPr>
            <w:tcW w:w="3213" w:type="dxa"/>
            <w:tcBorders>
              <w:top w:val="single" w:sz="2" w:space="0" w:color="auto"/>
              <w:left w:val="single" w:sz="2" w:space="0" w:color="auto"/>
              <w:bottom w:val="single" w:sz="2" w:space="0" w:color="auto"/>
              <w:right w:val="single" w:sz="2" w:space="0" w:color="auto"/>
            </w:tcBorders>
            <w:vAlign w:val="center"/>
          </w:tcPr>
          <w:p w14:paraId="7C92DCD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989,720,770.76</w:t>
            </w:r>
          </w:p>
        </w:tc>
      </w:tr>
      <w:tr w:rsidR="00C57E60" w14:paraId="6B98CA1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522989"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74102590"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260,732,682.39</w:t>
            </w:r>
          </w:p>
        </w:tc>
        <w:tc>
          <w:tcPr>
            <w:tcW w:w="3213" w:type="dxa"/>
            <w:tcBorders>
              <w:top w:val="single" w:sz="2" w:space="0" w:color="auto"/>
              <w:left w:val="single" w:sz="2" w:space="0" w:color="auto"/>
              <w:bottom w:val="single" w:sz="2" w:space="0" w:color="auto"/>
              <w:right w:val="single" w:sz="2" w:space="0" w:color="auto"/>
            </w:tcBorders>
            <w:vAlign w:val="center"/>
          </w:tcPr>
          <w:p w14:paraId="2A7DF96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173,952,293.92</w:t>
            </w:r>
          </w:p>
        </w:tc>
      </w:tr>
      <w:tr w:rsidR="00C57E60" w14:paraId="6752A54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C9331A"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生产性生物资产</w:t>
            </w:r>
          </w:p>
        </w:tc>
        <w:tc>
          <w:tcPr>
            <w:tcW w:w="3213" w:type="dxa"/>
            <w:tcBorders>
              <w:top w:val="single" w:sz="2" w:space="0" w:color="auto"/>
              <w:left w:val="single" w:sz="2" w:space="0" w:color="auto"/>
              <w:bottom w:val="single" w:sz="2" w:space="0" w:color="auto"/>
              <w:right w:val="single" w:sz="2" w:space="0" w:color="auto"/>
            </w:tcBorders>
            <w:vAlign w:val="center"/>
          </w:tcPr>
          <w:p w14:paraId="32BA2039"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972F1E4"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DC2384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757C06"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油气资产</w:t>
            </w:r>
          </w:p>
        </w:tc>
        <w:tc>
          <w:tcPr>
            <w:tcW w:w="3213" w:type="dxa"/>
            <w:tcBorders>
              <w:top w:val="single" w:sz="2" w:space="0" w:color="auto"/>
              <w:left w:val="single" w:sz="2" w:space="0" w:color="auto"/>
              <w:bottom w:val="single" w:sz="2" w:space="0" w:color="auto"/>
              <w:right w:val="single" w:sz="2" w:space="0" w:color="auto"/>
            </w:tcBorders>
            <w:vAlign w:val="center"/>
          </w:tcPr>
          <w:p w14:paraId="1B23AFD9"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31DDE1D"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E30627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4D5375"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使用权资产</w:t>
            </w:r>
          </w:p>
        </w:tc>
        <w:tc>
          <w:tcPr>
            <w:tcW w:w="3213" w:type="dxa"/>
            <w:tcBorders>
              <w:top w:val="single" w:sz="2" w:space="0" w:color="auto"/>
              <w:left w:val="single" w:sz="2" w:space="0" w:color="auto"/>
              <w:bottom w:val="single" w:sz="2" w:space="0" w:color="auto"/>
              <w:right w:val="single" w:sz="2" w:space="0" w:color="auto"/>
            </w:tcBorders>
            <w:vAlign w:val="center"/>
          </w:tcPr>
          <w:p w14:paraId="6E878F0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831,370.15</w:t>
            </w:r>
          </w:p>
        </w:tc>
        <w:tc>
          <w:tcPr>
            <w:tcW w:w="3213" w:type="dxa"/>
            <w:tcBorders>
              <w:top w:val="single" w:sz="2" w:space="0" w:color="auto"/>
              <w:left w:val="single" w:sz="2" w:space="0" w:color="auto"/>
              <w:bottom w:val="single" w:sz="2" w:space="0" w:color="auto"/>
              <w:right w:val="single" w:sz="2" w:space="0" w:color="auto"/>
            </w:tcBorders>
            <w:vAlign w:val="center"/>
          </w:tcPr>
          <w:p w14:paraId="61873CCF"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1,039,216.10</w:t>
            </w:r>
          </w:p>
        </w:tc>
      </w:tr>
      <w:tr w:rsidR="00C57E60" w14:paraId="2972982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553979"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508A9B5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110,489,043.43</w:t>
            </w:r>
          </w:p>
        </w:tc>
        <w:tc>
          <w:tcPr>
            <w:tcW w:w="3213" w:type="dxa"/>
            <w:tcBorders>
              <w:top w:val="single" w:sz="2" w:space="0" w:color="auto"/>
              <w:left w:val="single" w:sz="2" w:space="0" w:color="auto"/>
              <w:bottom w:val="single" w:sz="2" w:space="0" w:color="auto"/>
              <w:right w:val="single" w:sz="2" w:space="0" w:color="auto"/>
            </w:tcBorders>
            <w:vAlign w:val="center"/>
          </w:tcPr>
          <w:p w14:paraId="707738C4"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117,075,076.16</w:t>
            </w:r>
          </w:p>
        </w:tc>
      </w:tr>
      <w:tr w:rsidR="00C57E60" w14:paraId="4A1AFF5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E475AB" w14:textId="77777777" w:rsidR="00DC359B" w:rsidRPr="00EA03E6" w:rsidRDefault="00DC359B" w:rsidP="00DC359B">
            <w:pPr>
              <w:spacing w:before="40" w:after="40"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6682FD95"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A471C83"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4E9F3A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FD4980"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开发支出</w:t>
            </w:r>
          </w:p>
        </w:tc>
        <w:tc>
          <w:tcPr>
            <w:tcW w:w="3213" w:type="dxa"/>
            <w:tcBorders>
              <w:top w:val="single" w:sz="2" w:space="0" w:color="auto"/>
              <w:left w:val="single" w:sz="2" w:space="0" w:color="auto"/>
              <w:bottom w:val="single" w:sz="2" w:space="0" w:color="auto"/>
              <w:right w:val="single" w:sz="2" w:space="0" w:color="auto"/>
            </w:tcBorders>
            <w:vAlign w:val="center"/>
          </w:tcPr>
          <w:p w14:paraId="55F99D73"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1A189F"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085E86C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D225AD" w14:textId="77777777" w:rsidR="00DC359B" w:rsidRPr="00EA03E6" w:rsidRDefault="00DC359B" w:rsidP="00DC359B">
            <w:pPr>
              <w:spacing w:before="40" w:after="40"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其中：数据资源</w:t>
            </w:r>
          </w:p>
        </w:tc>
        <w:tc>
          <w:tcPr>
            <w:tcW w:w="3213" w:type="dxa"/>
            <w:tcBorders>
              <w:top w:val="single" w:sz="2" w:space="0" w:color="auto"/>
              <w:left w:val="single" w:sz="2" w:space="0" w:color="auto"/>
              <w:bottom w:val="single" w:sz="2" w:space="0" w:color="auto"/>
              <w:right w:val="single" w:sz="2" w:space="0" w:color="auto"/>
            </w:tcBorders>
            <w:vAlign w:val="center"/>
          </w:tcPr>
          <w:p w14:paraId="4EFC3477"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C75922C"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F85C1E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DA5953"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商誉</w:t>
            </w:r>
          </w:p>
        </w:tc>
        <w:tc>
          <w:tcPr>
            <w:tcW w:w="3213" w:type="dxa"/>
            <w:tcBorders>
              <w:top w:val="single" w:sz="2" w:space="0" w:color="auto"/>
              <w:left w:val="single" w:sz="2" w:space="0" w:color="auto"/>
              <w:bottom w:val="single" w:sz="2" w:space="0" w:color="auto"/>
              <w:right w:val="single" w:sz="2" w:space="0" w:color="auto"/>
            </w:tcBorders>
            <w:vAlign w:val="center"/>
          </w:tcPr>
          <w:p w14:paraId="47A16885"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63385F8"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14AD8AC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2E0327"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长期待摊费用</w:t>
            </w:r>
          </w:p>
        </w:tc>
        <w:tc>
          <w:tcPr>
            <w:tcW w:w="3213" w:type="dxa"/>
            <w:tcBorders>
              <w:top w:val="single" w:sz="2" w:space="0" w:color="auto"/>
              <w:left w:val="single" w:sz="2" w:space="0" w:color="auto"/>
              <w:bottom w:val="single" w:sz="2" w:space="0" w:color="auto"/>
              <w:right w:val="single" w:sz="2" w:space="0" w:color="auto"/>
            </w:tcBorders>
            <w:vAlign w:val="center"/>
          </w:tcPr>
          <w:p w14:paraId="7E3BB0CD"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5,554,011.71</w:t>
            </w:r>
          </w:p>
        </w:tc>
        <w:tc>
          <w:tcPr>
            <w:tcW w:w="3213" w:type="dxa"/>
            <w:tcBorders>
              <w:top w:val="single" w:sz="2" w:space="0" w:color="auto"/>
              <w:left w:val="single" w:sz="2" w:space="0" w:color="auto"/>
              <w:bottom w:val="single" w:sz="2" w:space="0" w:color="auto"/>
              <w:right w:val="single" w:sz="2" w:space="0" w:color="auto"/>
            </w:tcBorders>
            <w:vAlign w:val="center"/>
          </w:tcPr>
          <w:p w14:paraId="52FAAD2B"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6,666,937.30</w:t>
            </w:r>
          </w:p>
        </w:tc>
      </w:tr>
      <w:tr w:rsidR="00C57E60" w14:paraId="29C6323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C16705"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递延所得税资产</w:t>
            </w:r>
          </w:p>
        </w:tc>
        <w:tc>
          <w:tcPr>
            <w:tcW w:w="3213" w:type="dxa"/>
            <w:tcBorders>
              <w:top w:val="single" w:sz="2" w:space="0" w:color="auto"/>
              <w:left w:val="single" w:sz="2" w:space="0" w:color="auto"/>
              <w:bottom w:val="single" w:sz="2" w:space="0" w:color="auto"/>
              <w:right w:val="single" w:sz="2" w:space="0" w:color="auto"/>
            </w:tcBorders>
            <w:vAlign w:val="center"/>
          </w:tcPr>
          <w:p w14:paraId="1F99E530"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90,268,089.05</w:t>
            </w:r>
          </w:p>
        </w:tc>
        <w:tc>
          <w:tcPr>
            <w:tcW w:w="3213" w:type="dxa"/>
            <w:tcBorders>
              <w:top w:val="single" w:sz="2" w:space="0" w:color="auto"/>
              <w:left w:val="single" w:sz="2" w:space="0" w:color="auto"/>
              <w:bottom w:val="single" w:sz="2" w:space="0" w:color="auto"/>
              <w:right w:val="single" w:sz="2" w:space="0" w:color="auto"/>
            </w:tcBorders>
            <w:vAlign w:val="center"/>
          </w:tcPr>
          <w:p w14:paraId="6DFA2904"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85,319,783.86</w:t>
            </w:r>
          </w:p>
        </w:tc>
      </w:tr>
      <w:tr w:rsidR="00C57E60" w14:paraId="10CCCE6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16FDCC"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其他非流动资产</w:t>
            </w:r>
          </w:p>
        </w:tc>
        <w:tc>
          <w:tcPr>
            <w:tcW w:w="3213" w:type="dxa"/>
            <w:tcBorders>
              <w:top w:val="single" w:sz="2" w:space="0" w:color="auto"/>
              <w:left w:val="single" w:sz="2" w:space="0" w:color="auto"/>
              <w:bottom w:val="single" w:sz="2" w:space="0" w:color="auto"/>
              <w:right w:val="single" w:sz="2" w:space="0" w:color="auto"/>
            </w:tcBorders>
            <w:vAlign w:val="center"/>
          </w:tcPr>
          <w:p w14:paraId="2E133CBF"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24,154,565.62</w:t>
            </w:r>
          </w:p>
        </w:tc>
        <w:tc>
          <w:tcPr>
            <w:tcW w:w="3213" w:type="dxa"/>
            <w:tcBorders>
              <w:top w:val="single" w:sz="2" w:space="0" w:color="auto"/>
              <w:left w:val="single" w:sz="2" w:space="0" w:color="auto"/>
              <w:bottom w:val="single" w:sz="2" w:space="0" w:color="auto"/>
              <w:right w:val="single" w:sz="2" w:space="0" w:color="auto"/>
            </w:tcBorders>
            <w:vAlign w:val="center"/>
          </w:tcPr>
          <w:p w14:paraId="330E49B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23,221,398.77</w:t>
            </w:r>
          </w:p>
        </w:tc>
      </w:tr>
      <w:tr w:rsidR="00C57E60" w14:paraId="4D98A60D"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EB8ADB"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非流动资产合计</w:t>
            </w:r>
          </w:p>
        </w:tc>
        <w:tc>
          <w:tcPr>
            <w:tcW w:w="3213" w:type="dxa"/>
            <w:tcBorders>
              <w:top w:val="single" w:sz="2" w:space="0" w:color="auto"/>
              <w:left w:val="single" w:sz="2" w:space="0" w:color="auto"/>
              <w:bottom w:val="single" w:sz="2" w:space="0" w:color="auto"/>
              <w:right w:val="single" w:sz="2" w:space="0" w:color="auto"/>
            </w:tcBorders>
            <w:vAlign w:val="center"/>
          </w:tcPr>
          <w:p w14:paraId="083AB1E7"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3,442,154,906.42</w:t>
            </w:r>
          </w:p>
        </w:tc>
        <w:tc>
          <w:tcPr>
            <w:tcW w:w="3213" w:type="dxa"/>
            <w:tcBorders>
              <w:top w:val="single" w:sz="2" w:space="0" w:color="auto"/>
              <w:left w:val="single" w:sz="2" w:space="0" w:color="auto"/>
              <w:bottom w:val="single" w:sz="2" w:space="0" w:color="auto"/>
              <w:right w:val="single" w:sz="2" w:space="0" w:color="auto"/>
            </w:tcBorders>
            <w:vAlign w:val="center"/>
          </w:tcPr>
          <w:p w14:paraId="4EC7A330"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3,431,833,938.90</w:t>
            </w:r>
          </w:p>
        </w:tc>
      </w:tr>
      <w:tr w:rsidR="00C57E60" w14:paraId="191F0FE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75F42D"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资产总计</w:t>
            </w:r>
          </w:p>
        </w:tc>
        <w:tc>
          <w:tcPr>
            <w:tcW w:w="3213" w:type="dxa"/>
            <w:tcBorders>
              <w:top w:val="single" w:sz="2" w:space="0" w:color="auto"/>
              <w:left w:val="single" w:sz="2" w:space="0" w:color="auto"/>
              <w:bottom w:val="single" w:sz="2" w:space="0" w:color="auto"/>
              <w:right w:val="single" w:sz="2" w:space="0" w:color="auto"/>
            </w:tcBorders>
            <w:vAlign w:val="center"/>
          </w:tcPr>
          <w:p w14:paraId="7025488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5,114,293,946.26</w:t>
            </w:r>
          </w:p>
        </w:tc>
        <w:tc>
          <w:tcPr>
            <w:tcW w:w="3213" w:type="dxa"/>
            <w:tcBorders>
              <w:top w:val="single" w:sz="2" w:space="0" w:color="auto"/>
              <w:left w:val="single" w:sz="2" w:space="0" w:color="auto"/>
              <w:bottom w:val="single" w:sz="2" w:space="0" w:color="auto"/>
              <w:right w:val="single" w:sz="2" w:space="0" w:color="auto"/>
            </w:tcBorders>
            <w:vAlign w:val="center"/>
          </w:tcPr>
          <w:p w14:paraId="615D19C5"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4,809,610,903.85</w:t>
            </w:r>
          </w:p>
        </w:tc>
      </w:tr>
      <w:tr w:rsidR="00C57E60" w14:paraId="6A3E2AC5"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AF79DE"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E2FBA8" w14:textId="77777777" w:rsidR="00DC359B" w:rsidRPr="00EA03E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DD5D35" w14:textId="77777777" w:rsidR="00DC359B" w:rsidRPr="00EA03E6" w:rsidRDefault="00DC359B" w:rsidP="00DC359B">
            <w:pPr>
              <w:spacing w:line="360" w:lineRule="auto"/>
              <w:rPr>
                <w:rFonts w:ascii="Times New Roman" w:hAnsi="Times New Roman" w:cs="Times New Roman"/>
              </w:rPr>
            </w:pPr>
          </w:p>
        </w:tc>
      </w:tr>
      <w:tr w:rsidR="00C57E60" w14:paraId="6C5742D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11A48F"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短期借款</w:t>
            </w:r>
          </w:p>
        </w:tc>
        <w:tc>
          <w:tcPr>
            <w:tcW w:w="3213" w:type="dxa"/>
            <w:tcBorders>
              <w:top w:val="single" w:sz="2" w:space="0" w:color="auto"/>
              <w:left w:val="single" w:sz="2" w:space="0" w:color="auto"/>
              <w:bottom w:val="single" w:sz="2" w:space="0" w:color="auto"/>
              <w:right w:val="single" w:sz="2" w:space="0" w:color="auto"/>
            </w:tcBorders>
            <w:vAlign w:val="center"/>
          </w:tcPr>
          <w:p w14:paraId="4BE2FB68"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DD3AF8D"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546FD72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E1F602"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交易性金融负债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19A75A89"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448E8E6"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1343C04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4B58AF"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衍生金融负债</w:t>
            </w:r>
          </w:p>
        </w:tc>
        <w:tc>
          <w:tcPr>
            <w:tcW w:w="3213" w:type="dxa"/>
            <w:tcBorders>
              <w:top w:val="single" w:sz="2" w:space="0" w:color="auto"/>
              <w:left w:val="single" w:sz="2" w:space="0" w:color="auto"/>
              <w:bottom w:val="single" w:sz="2" w:space="0" w:color="auto"/>
              <w:right w:val="single" w:sz="2" w:space="0" w:color="auto"/>
            </w:tcBorders>
            <w:vAlign w:val="center"/>
          </w:tcPr>
          <w:p w14:paraId="6495EA11"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6418CBA"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5BC802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BCDA71"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应付票据</w:t>
            </w:r>
          </w:p>
        </w:tc>
        <w:tc>
          <w:tcPr>
            <w:tcW w:w="3213" w:type="dxa"/>
            <w:tcBorders>
              <w:top w:val="single" w:sz="2" w:space="0" w:color="auto"/>
              <w:left w:val="single" w:sz="2" w:space="0" w:color="auto"/>
              <w:bottom w:val="single" w:sz="2" w:space="0" w:color="auto"/>
              <w:right w:val="single" w:sz="2" w:space="0" w:color="auto"/>
            </w:tcBorders>
            <w:vAlign w:val="center"/>
          </w:tcPr>
          <w:p w14:paraId="2A14E71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29,957,676.50</w:t>
            </w:r>
          </w:p>
        </w:tc>
        <w:tc>
          <w:tcPr>
            <w:tcW w:w="3213" w:type="dxa"/>
            <w:tcBorders>
              <w:top w:val="single" w:sz="2" w:space="0" w:color="auto"/>
              <w:left w:val="single" w:sz="2" w:space="0" w:color="auto"/>
              <w:bottom w:val="single" w:sz="2" w:space="0" w:color="auto"/>
              <w:right w:val="single" w:sz="2" w:space="0" w:color="auto"/>
            </w:tcBorders>
            <w:vAlign w:val="center"/>
          </w:tcPr>
          <w:p w14:paraId="7EF2F0A3"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3,920,000.00</w:t>
            </w:r>
          </w:p>
        </w:tc>
      </w:tr>
      <w:tr w:rsidR="00C57E60" w14:paraId="6BB9AA10"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D18C9A"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应付账款</w:t>
            </w:r>
          </w:p>
        </w:tc>
        <w:tc>
          <w:tcPr>
            <w:tcW w:w="3213" w:type="dxa"/>
            <w:tcBorders>
              <w:top w:val="single" w:sz="2" w:space="0" w:color="auto"/>
              <w:left w:val="single" w:sz="2" w:space="0" w:color="auto"/>
              <w:bottom w:val="single" w:sz="2" w:space="0" w:color="auto"/>
              <w:right w:val="single" w:sz="2" w:space="0" w:color="auto"/>
            </w:tcBorders>
            <w:vAlign w:val="center"/>
          </w:tcPr>
          <w:p w14:paraId="450BA54B"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253,049,294.83</w:t>
            </w:r>
          </w:p>
        </w:tc>
        <w:tc>
          <w:tcPr>
            <w:tcW w:w="3213" w:type="dxa"/>
            <w:tcBorders>
              <w:top w:val="single" w:sz="2" w:space="0" w:color="auto"/>
              <w:left w:val="single" w:sz="2" w:space="0" w:color="auto"/>
              <w:bottom w:val="single" w:sz="2" w:space="0" w:color="auto"/>
              <w:right w:val="single" w:sz="2" w:space="0" w:color="auto"/>
            </w:tcBorders>
            <w:vAlign w:val="center"/>
          </w:tcPr>
          <w:p w14:paraId="6AD114A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243,718,029.85</w:t>
            </w:r>
          </w:p>
        </w:tc>
      </w:tr>
      <w:tr w:rsidR="00C57E60" w14:paraId="3329749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8BA1ED"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预收款项</w:t>
            </w:r>
          </w:p>
        </w:tc>
        <w:tc>
          <w:tcPr>
            <w:tcW w:w="3213" w:type="dxa"/>
            <w:tcBorders>
              <w:top w:val="single" w:sz="2" w:space="0" w:color="auto"/>
              <w:left w:val="single" w:sz="2" w:space="0" w:color="auto"/>
              <w:bottom w:val="single" w:sz="2" w:space="0" w:color="auto"/>
              <w:right w:val="single" w:sz="2" w:space="0" w:color="auto"/>
            </w:tcBorders>
            <w:vAlign w:val="center"/>
          </w:tcPr>
          <w:p w14:paraId="16CFF5EA"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319CC4D"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A3DFF2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68CB4A"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合同负债</w:t>
            </w:r>
          </w:p>
        </w:tc>
        <w:tc>
          <w:tcPr>
            <w:tcW w:w="3213" w:type="dxa"/>
            <w:tcBorders>
              <w:top w:val="single" w:sz="2" w:space="0" w:color="auto"/>
              <w:left w:val="single" w:sz="2" w:space="0" w:color="auto"/>
              <w:bottom w:val="single" w:sz="2" w:space="0" w:color="auto"/>
              <w:right w:val="single" w:sz="2" w:space="0" w:color="auto"/>
            </w:tcBorders>
            <w:vAlign w:val="center"/>
          </w:tcPr>
          <w:p w14:paraId="094B797A"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174,297,687.98</w:t>
            </w:r>
          </w:p>
        </w:tc>
        <w:tc>
          <w:tcPr>
            <w:tcW w:w="3213" w:type="dxa"/>
            <w:tcBorders>
              <w:top w:val="single" w:sz="2" w:space="0" w:color="auto"/>
              <w:left w:val="single" w:sz="2" w:space="0" w:color="auto"/>
              <w:bottom w:val="single" w:sz="2" w:space="0" w:color="auto"/>
              <w:right w:val="single" w:sz="2" w:space="0" w:color="auto"/>
            </w:tcBorders>
            <w:vAlign w:val="center"/>
          </w:tcPr>
          <w:p w14:paraId="2F7FFB84"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186,913,480.19</w:t>
            </w:r>
          </w:p>
        </w:tc>
      </w:tr>
      <w:tr w:rsidR="00C57E60" w14:paraId="060C3FF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0A7BBB"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4839A7B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107,920,071.05</w:t>
            </w:r>
          </w:p>
        </w:tc>
        <w:tc>
          <w:tcPr>
            <w:tcW w:w="3213" w:type="dxa"/>
            <w:tcBorders>
              <w:top w:val="single" w:sz="2" w:space="0" w:color="auto"/>
              <w:left w:val="single" w:sz="2" w:space="0" w:color="auto"/>
              <w:bottom w:val="single" w:sz="2" w:space="0" w:color="auto"/>
              <w:right w:val="single" w:sz="2" w:space="0" w:color="auto"/>
            </w:tcBorders>
            <w:vAlign w:val="center"/>
          </w:tcPr>
          <w:p w14:paraId="66E4488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110,577,949.72</w:t>
            </w:r>
          </w:p>
        </w:tc>
      </w:tr>
      <w:tr w:rsidR="00C57E60" w14:paraId="09099E8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4E08FC"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应交税费</w:t>
            </w:r>
          </w:p>
        </w:tc>
        <w:tc>
          <w:tcPr>
            <w:tcW w:w="3213" w:type="dxa"/>
            <w:tcBorders>
              <w:top w:val="single" w:sz="2" w:space="0" w:color="auto"/>
              <w:left w:val="single" w:sz="2" w:space="0" w:color="auto"/>
              <w:bottom w:val="single" w:sz="2" w:space="0" w:color="auto"/>
              <w:right w:val="single" w:sz="2" w:space="0" w:color="auto"/>
            </w:tcBorders>
            <w:vAlign w:val="center"/>
          </w:tcPr>
          <w:p w14:paraId="2ABBAE39" w14:textId="523423E1" w:rsidR="00DC359B" w:rsidRPr="00EA03E6" w:rsidRDefault="006E166C" w:rsidP="00DC359B">
            <w:pPr>
              <w:spacing w:line="360" w:lineRule="auto"/>
              <w:jc w:val="right"/>
              <w:rPr>
                <w:rFonts w:ascii="Times New Roman" w:eastAsia="宋体" w:hAnsi="Times New Roman" w:cs="Times New Roman"/>
                <w:sz w:val="18"/>
                <w:szCs w:val="18"/>
              </w:rPr>
            </w:pPr>
            <w:r w:rsidRPr="006E166C">
              <w:rPr>
                <w:rFonts w:ascii="Times New Roman" w:eastAsia="宋体" w:hAnsi="Times New Roman" w:cs="Times New Roman"/>
                <w:sz w:val="18"/>
                <w:szCs w:val="18"/>
              </w:rPr>
              <w:t>32,528,065.94</w:t>
            </w:r>
          </w:p>
        </w:tc>
        <w:tc>
          <w:tcPr>
            <w:tcW w:w="3213" w:type="dxa"/>
            <w:tcBorders>
              <w:top w:val="single" w:sz="2" w:space="0" w:color="auto"/>
              <w:left w:val="single" w:sz="2" w:space="0" w:color="auto"/>
              <w:bottom w:val="single" w:sz="2" w:space="0" w:color="auto"/>
              <w:right w:val="single" w:sz="2" w:space="0" w:color="auto"/>
            </w:tcBorders>
            <w:vAlign w:val="center"/>
          </w:tcPr>
          <w:p w14:paraId="7D179227"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29,995,857.51</w:t>
            </w:r>
          </w:p>
        </w:tc>
      </w:tr>
      <w:tr w:rsidR="00C57E60" w14:paraId="69D2AFB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1BED31"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3867495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232,151,843.47</w:t>
            </w:r>
          </w:p>
        </w:tc>
        <w:tc>
          <w:tcPr>
            <w:tcW w:w="3213" w:type="dxa"/>
            <w:tcBorders>
              <w:top w:val="single" w:sz="2" w:space="0" w:color="auto"/>
              <w:left w:val="single" w:sz="2" w:space="0" w:color="auto"/>
              <w:bottom w:val="single" w:sz="2" w:space="0" w:color="auto"/>
              <w:right w:val="single" w:sz="2" w:space="0" w:color="auto"/>
            </w:tcBorders>
            <w:vAlign w:val="center"/>
          </w:tcPr>
          <w:p w14:paraId="6D766972"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176,868,830.97</w:t>
            </w:r>
          </w:p>
        </w:tc>
      </w:tr>
      <w:tr w:rsidR="00C57E60" w14:paraId="1072E5A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9C7D5C" w14:textId="77777777" w:rsidR="00DC359B" w:rsidRPr="00EA03E6" w:rsidRDefault="00DC359B" w:rsidP="00DC359B">
            <w:pPr>
              <w:spacing w:before="40" w:after="40"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其中：应付利息</w:t>
            </w:r>
          </w:p>
        </w:tc>
        <w:tc>
          <w:tcPr>
            <w:tcW w:w="3213" w:type="dxa"/>
            <w:tcBorders>
              <w:top w:val="single" w:sz="2" w:space="0" w:color="auto"/>
              <w:left w:val="single" w:sz="2" w:space="0" w:color="auto"/>
              <w:bottom w:val="single" w:sz="2" w:space="0" w:color="auto"/>
              <w:right w:val="single" w:sz="2" w:space="0" w:color="auto"/>
            </w:tcBorders>
            <w:vAlign w:val="center"/>
          </w:tcPr>
          <w:p w14:paraId="5181ED64" w14:textId="28EB7673"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07CED4C"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EB489C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B3BD5E" w14:textId="77777777" w:rsidR="00DC359B" w:rsidRPr="00EA03E6" w:rsidRDefault="00DC359B" w:rsidP="00DC359B">
            <w:pPr>
              <w:spacing w:before="40" w:after="40" w:line="360" w:lineRule="auto"/>
              <w:ind w:firstLineChars="500" w:firstLine="900"/>
              <w:rPr>
                <w:rFonts w:ascii="Times New Roman" w:eastAsia="宋体" w:hAnsi="Times New Roman" w:cs="Times New Roman"/>
                <w:sz w:val="18"/>
                <w:szCs w:val="18"/>
              </w:rPr>
            </w:pPr>
            <w:r w:rsidRPr="00EA03E6">
              <w:rPr>
                <w:rFonts w:ascii="Times New Roman" w:eastAsia="宋体" w:hAnsi="Times New Roman" w:cs="Times New Roman"/>
                <w:sz w:val="18"/>
                <w:szCs w:val="18"/>
              </w:rPr>
              <w:t>应付股利</w:t>
            </w:r>
          </w:p>
        </w:tc>
        <w:tc>
          <w:tcPr>
            <w:tcW w:w="3213" w:type="dxa"/>
            <w:tcBorders>
              <w:top w:val="single" w:sz="2" w:space="0" w:color="auto"/>
              <w:left w:val="single" w:sz="2" w:space="0" w:color="auto"/>
              <w:bottom w:val="single" w:sz="2" w:space="0" w:color="auto"/>
              <w:right w:val="single" w:sz="2" w:space="0" w:color="auto"/>
            </w:tcBorders>
            <w:vAlign w:val="center"/>
          </w:tcPr>
          <w:p w14:paraId="4574B5D6"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970A1CB"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6C68D74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457E9C"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持有待售负债</w:t>
            </w:r>
          </w:p>
        </w:tc>
        <w:tc>
          <w:tcPr>
            <w:tcW w:w="3213" w:type="dxa"/>
            <w:tcBorders>
              <w:top w:val="single" w:sz="2" w:space="0" w:color="auto"/>
              <w:left w:val="single" w:sz="2" w:space="0" w:color="auto"/>
              <w:bottom w:val="single" w:sz="2" w:space="0" w:color="auto"/>
              <w:right w:val="single" w:sz="2" w:space="0" w:color="auto"/>
            </w:tcBorders>
            <w:vAlign w:val="center"/>
          </w:tcPr>
          <w:p w14:paraId="0C16E551"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5680234"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09009902"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DC9DC8D"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一年内到期的非流动负债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741F0BB3"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500,474,030.00</w:t>
            </w:r>
          </w:p>
        </w:tc>
        <w:tc>
          <w:tcPr>
            <w:tcW w:w="3213" w:type="dxa"/>
            <w:tcBorders>
              <w:top w:val="single" w:sz="2" w:space="0" w:color="auto"/>
              <w:left w:val="single" w:sz="2" w:space="0" w:color="auto"/>
              <w:bottom w:val="single" w:sz="2" w:space="0" w:color="auto"/>
              <w:right w:val="single" w:sz="2" w:space="0" w:color="auto"/>
            </w:tcBorders>
            <w:vAlign w:val="center"/>
          </w:tcPr>
          <w:p w14:paraId="6610C33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500,366.52</w:t>
            </w:r>
          </w:p>
        </w:tc>
      </w:tr>
      <w:tr w:rsidR="00C57E60" w14:paraId="057A263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4451F0"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5E083017" w14:textId="28BF4E91" w:rsidR="00DC359B" w:rsidRPr="00EA03E6" w:rsidRDefault="006E166C" w:rsidP="00DC359B">
            <w:pPr>
              <w:spacing w:line="360" w:lineRule="auto"/>
              <w:jc w:val="right"/>
              <w:rPr>
                <w:rFonts w:ascii="Times New Roman" w:eastAsia="宋体" w:hAnsi="Times New Roman" w:cs="Times New Roman"/>
                <w:sz w:val="18"/>
                <w:szCs w:val="18"/>
              </w:rPr>
            </w:pPr>
            <w:r w:rsidRPr="006E166C">
              <w:rPr>
                <w:rFonts w:ascii="Times New Roman" w:eastAsia="宋体" w:hAnsi="Times New Roman" w:cs="Times New Roman"/>
                <w:sz w:val="18"/>
                <w:szCs w:val="18"/>
              </w:rPr>
              <w:t>85,084,106.54</w:t>
            </w:r>
          </w:p>
        </w:tc>
        <w:tc>
          <w:tcPr>
            <w:tcW w:w="3213" w:type="dxa"/>
            <w:tcBorders>
              <w:top w:val="single" w:sz="2" w:space="0" w:color="auto"/>
              <w:left w:val="single" w:sz="2" w:space="0" w:color="auto"/>
              <w:bottom w:val="single" w:sz="2" w:space="0" w:color="auto"/>
              <w:right w:val="single" w:sz="2" w:space="0" w:color="auto"/>
            </w:tcBorders>
            <w:vAlign w:val="center"/>
          </w:tcPr>
          <w:p w14:paraId="7B29BC44"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58,197,232.24</w:t>
            </w:r>
          </w:p>
        </w:tc>
      </w:tr>
      <w:tr w:rsidR="00C57E60" w14:paraId="7A88A7E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1EA419"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518A28A6" w14:textId="39ECEB6F"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w:t>
            </w:r>
            <w:r w:rsidR="006E166C" w:rsidRPr="006E166C">
              <w:rPr>
                <w:rFonts w:ascii="Times New Roman" w:eastAsia="宋体" w:hAnsi="Times New Roman" w:cs="Times New Roman"/>
                <w:sz w:val="18"/>
                <w:szCs w:val="18"/>
              </w:rPr>
              <w:t>415,462,776.31</w:t>
            </w:r>
          </w:p>
        </w:tc>
        <w:tc>
          <w:tcPr>
            <w:tcW w:w="3213" w:type="dxa"/>
            <w:tcBorders>
              <w:top w:val="single" w:sz="2" w:space="0" w:color="auto"/>
              <w:left w:val="single" w:sz="2" w:space="0" w:color="auto"/>
              <w:bottom w:val="single" w:sz="2" w:space="0" w:color="auto"/>
              <w:right w:val="single" w:sz="2" w:space="0" w:color="auto"/>
            </w:tcBorders>
            <w:vAlign w:val="center"/>
          </w:tcPr>
          <w:p w14:paraId="3C4652C7"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810,691,747.00</w:t>
            </w:r>
          </w:p>
        </w:tc>
      </w:tr>
      <w:tr w:rsidR="00C57E60" w14:paraId="36CB13B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7EA0A7"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非流动负债：</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E5FB6A" w14:textId="77777777" w:rsidR="00DC359B" w:rsidRPr="00EA03E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EAD5B2" w14:textId="77777777" w:rsidR="00DC359B" w:rsidRPr="00EA03E6" w:rsidRDefault="00DC359B" w:rsidP="00DC359B">
            <w:pPr>
              <w:spacing w:line="360" w:lineRule="auto"/>
              <w:rPr>
                <w:rFonts w:ascii="Times New Roman" w:hAnsi="Times New Roman" w:cs="Times New Roman"/>
              </w:rPr>
            </w:pPr>
          </w:p>
        </w:tc>
      </w:tr>
      <w:tr w:rsidR="00C57E60" w14:paraId="701BE19E"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F1805A"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17D5D1B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163,700,000.00</w:t>
            </w:r>
          </w:p>
        </w:tc>
        <w:tc>
          <w:tcPr>
            <w:tcW w:w="3213" w:type="dxa"/>
            <w:tcBorders>
              <w:top w:val="single" w:sz="2" w:space="0" w:color="auto"/>
              <w:left w:val="single" w:sz="2" w:space="0" w:color="auto"/>
              <w:bottom w:val="single" w:sz="2" w:space="0" w:color="auto"/>
              <w:right w:val="single" w:sz="2" w:space="0" w:color="auto"/>
            </w:tcBorders>
            <w:vAlign w:val="center"/>
          </w:tcPr>
          <w:p w14:paraId="00DC1FB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120,000.00</w:t>
            </w:r>
          </w:p>
        </w:tc>
      </w:tr>
      <w:tr w:rsidR="00C57E60" w14:paraId="62760FA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CC674D"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64A3C76E" w14:textId="6C2BE11B"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A26B002"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456,036,319.65</w:t>
            </w:r>
          </w:p>
        </w:tc>
      </w:tr>
      <w:tr w:rsidR="00C57E60" w14:paraId="451D37E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A91EB6" w14:textId="77777777" w:rsidR="00DC359B" w:rsidRPr="00EA03E6" w:rsidRDefault="00DC359B" w:rsidP="00DC359B">
            <w:pPr>
              <w:spacing w:before="40" w:after="40"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290C00A3"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C8142DC"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5532CB3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D582FE" w14:textId="77777777" w:rsidR="00DC359B" w:rsidRPr="00EA03E6" w:rsidRDefault="00DC359B" w:rsidP="00DC359B">
            <w:pPr>
              <w:spacing w:before="40" w:after="40" w:line="360" w:lineRule="auto"/>
              <w:ind w:firstLineChars="500" w:firstLine="900"/>
              <w:rPr>
                <w:rFonts w:ascii="Times New Roman" w:eastAsia="宋体" w:hAnsi="Times New Roman" w:cs="Times New Roman"/>
                <w:sz w:val="18"/>
                <w:szCs w:val="18"/>
              </w:rPr>
            </w:pPr>
            <w:r w:rsidRPr="00EA03E6">
              <w:rPr>
                <w:rFonts w:ascii="Times New Roman" w:eastAsia="宋体" w:hAnsi="Times New Roman" w:cs="Times New Roman"/>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540F0385"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F06D677"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78B900F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5CC842"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1D7B7C4C"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90,710.78</w:t>
            </w:r>
          </w:p>
        </w:tc>
        <w:tc>
          <w:tcPr>
            <w:tcW w:w="3213" w:type="dxa"/>
            <w:tcBorders>
              <w:top w:val="single" w:sz="2" w:space="0" w:color="auto"/>
              <w:left w:val="single" w:sz="2" w:space="0" w:color="auto"/>
              <w:bottom w:val="single" w:sz="2" w:space="0" w:color="auto"/>
              <w:right w:val="single" w:sz="2" w:space="0" w:color="auto"/>
            </w:tcBorders>
            <w:vAlign w:val="center"/>
          </w:tcPr>
          <w:p w14:paraId="255C2DCD"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494,191.52</w:t>
            </w:r>
          </w:p>
        </w:tc>
      </w:tr>
      <w:tr w:rsidR="00C57E60" w14:paraId="23A4917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D27D83"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长期应付款</w:t>
            </w:r>
          </w:p>
        </w:tc>
        <w:tc>
          <w:tcPr>
            <w:tcW w:w="3213" w:type="dxa"/>
            <w:tcBorders>
              <w:top w:val="single" w:sz="2" w:space="0" w:color="auto"/>
              <w:left w:val="single" w:sz="2" w:space="0" w:color="auto"/>
              <w:bottom w:val="single" w:sz="2" w:space="0" w:color="auto"/>
              <w:right w:val="single" w:sz="2" w:space="0" w:color="auto"/>
            </w:tcBorders>
            <w:vAlign w:val="center"/>
          </w:tcPr>
          <w:p w14:paraId="5725E806"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4431B6C"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2D553181"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59AB7C"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长期应付职工薪酬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8147037"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321C25A"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4918F5E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7A48BE"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预计负债</w:t>
            </w:r>
          </w:p>
        </w:tc>
        <w:tc>
          <w:tcPr>
            <w:tcW w:w="3213" w:type="dxa"/>
            <w:tcBorders>
              <w:top w:val="single" w:sz="2" w:space="0" w:color="auto"/>
              <w:left w:val="single" w:sz="2" w:space="0" w:color="auto"/>
              <w:bottom w:val="single" w:sz="2" w:space="0" w:color="auto"/>
              <w:right w:val="single" w:sz="2" w:space="0" w:color="auto"/>
            </w:tcBorders>
            <w:vAlign w:val="center"/>
          </w:tcPr>
          <w:p w14:paraId="034553E7"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B08536"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4374CC9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A9777C"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递延收益</w:t>
            </w:r>
          </w:p>
        </w:tc>
        <w:tc>
          <w:tcPr>
            <w:tcW w:w="3213" w:type="dxa"/>
            <w:tcBorders>
              <w:top w:val="single" w:sz="2" w:space="0" w:color="auto"/>
              <w:left w:val="single" w:sz="2" w:space="0" w:color="auto"/>
              <w:bottom w:val="single" w:sz="2" w:space="0" w:color="auto"/>
              <w:right w:val="single" w:sz="2" w:space="0" w:color="auto"/>
            </w:tcBorders>
            <w:vAlign w:val="center"/>
          </w:tcPr>
          <w:p w14:paraId="4F59888B"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127,498,134.38</w:t>
            </w:r>
          </w:p>
        </w:tc>
        <w:tc>
          <w:tcPr>
            <w:tcW w:w="3213" w:type="dxa"/>
            <w:tcBorders>
              <w:top w:val="single" w:sz="2" w:space="0" w:color="auto"/>
              <w:left w:val="single" w:sz="2" w:space="0" w:color="auto"/>
              <w:bottom w:val="single" w:sz="2" w:space="0" w:color="auto"/>
              <w:right w:val="single" w:sz="2" w:space="0" w:color="auto"/>
            </w:tcBorders>
            <w:vAlign w:val="center"/>
          </w:tcPr>
          <w:p w14:paraId="38D814B0"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128,698,349.05</w:t>
            </w:r>
          </w:p>
        </w:tc>
      </w:tr>
      <w:tr w:rsidR="00C57E60" w14:paraId="35B587A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187ACD"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6C2BF6D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811,297.46</w:t>
            </w:r>
          </w:p>
        </w:tc>
        <w:tc>
          <w:tcPr>
            <w:tcW w:w="3213" w:type="dxa"/>
            <w:tcBorders>
              <w:top w:val="single" w:sz="2" w:space="0" w:color="auto"/>
              <w:left w:val="single" w:sz="2" w:space="0" w:color="auto"/>
              <w:bottom w:val="single" w:sz="2" w:space="0" w:color="auto"/>
              <w:right w:val="single" w:sz="2" w:space="0" w:color="auto"/>
            </w:tcBorders>
            <w:vAlign w:val="center"/>
          </w:tcPr>
          <w:p w14:paraId="6DA8A2CA"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4,284,264.73</w:t>
            </w:r>
          </w:p>
        </w:tc>
      </w:tr>
      <w:tr w:rsidR="00C57E60" w14:paraId="7EE4BC7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FB7331"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其他非流动负债</w:t>
            </w:r>
          </w:p>
        </w:tc>
        <w:tc>
          <w:tcPr>
            <w:tcW w:w="3213" w:type="dxa"/>
            <w:tcBorders>
              <w:top w:val="single" w:sz="2" w:space="0" w:color="auto"/>
              <w:left w:val="single" w:sz="2" w:space="0" w:color="auto"/>
              <w:bottom w:val="single" w:sz="2" w:space="0" w:color="auto"/>
              <w:right w:val="single" w:sz="2" w:space="0" w:color="auto"/>
            </w:tcBorders>
            <w:vAlign w:val="center"/>
          </w:tcPr>
          <w:p w14:paraId="1E7EF9FE"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8493AED"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34D24B43"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B71DA73"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非流动负债合计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59D66D6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292,100,142.62</w:t>
            </w:r>
          </w:p>
        </w:tc>
        <w:tc>
          <w:tcPr>
            <w:tcW w:w="3213" w:type="dxa"/>
            <w:tcBorders>
              <w:top w:val="single" w:sz="2" w:space="0" w:color="auto"/>
              <w:left w:val="single" w:sz="2" w:space="0" w:color="auto"/>
              <w:bottom w:val="single" w:sz="2" w:space="0" w:color="auto"/>
              <w:right w:val="single" w:sz="2" w:space="0" w:color="auto"/>
            </w:tcBorders>
            <w:vAlign w:val="center"/>
          </w:tcPr>
          <w:p w14:paraId="122F08F8"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589,633,124.95</w:t>
            </w:r>
          </w:p>
        </w:tc>
      </w:tr>
      <w:tr w:rsidR="00C57E60" w14:paraId="05376A3A"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0E61C5" w14:textId="77777777" w:rsidR="00DC359B" w:rsidRPr="00EA03E6" w:rsidRDefault="00DC359B" w:rsidP="00DC359B">
            <w:pPr>
              <w:spacing w:before="40" w:after="40"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负债合计</w:t>
            </w:r>
          </w:p>
        </w:tc>
        <w:tc>
          <w:tcPr>
            <w:tcW w:w="3213" w:type="dxa"/>
            <w:tcBorders>
              <w:top w:val="single" w:sz="2" w:space="0" w:color="auto"/>
              <w:left w:val="single" w:sz="2" w:space="0" w:color="auto"/>
              <w:bottom w:val="single" w:sz="2" w:space="0" w:color="auto"/>
              <w:right w:val="single" w:sz="2" w:space="0" w:color="auto"/>
            </w:tcBorders>
            <w:vAlign w:val="center"/>
          </w:tcPr>
          <w:p w14:paraId="51C9AADE" w14:textId="32398936" w:rsidR="00DC359B" w:rsidRPr="00EA03E6" w:rsidRDefault="006E166C" w:rsidP="00DC359B">
            <w:pPr>
              <w:spacing w:line="360" w:lineRule="auto"/>
              <w:jc w:val="right"/>
              <w:rPr>
                <w:rFonts w:ascii="Times New Roman" w:eastAsia="宋体" w:hAnsi="Times New Roman" w:cs="Times New Roman"/>
                <w:sz w:val="18"/>
                <w:szCs w:val="18"/>
              </w:rPr>
            </w:pPr>
            <w:r>
              <w:rPr>
                <w:rFonts w:ascii="Times New Roman" w:eastAsia="宋体" w:hAnsi="Times New Roman" w:cs="Times New Roman"/>
                <w:sz w:val="18"/>
                <w:szCs w:val="18"/>
              </w:rPr>
              <w:t>1,</w:t>
            </w:r>
            <w:r w:rsidRPr="006E166C">
              <w:rPr>
                <w:rFonts w:ascii="Times New Roman" w:eastAsia="宋体" w:hAnsi="Times New Roman" w:cs="Times New Roman"/>
                <w:sz w:val="18"/>
                <w:szCs w:val="18"/>
              </w:rPr>
              <w:t>707,562,918.93</w:t>
            </w:r>
          </w:p>
        </w:tc>
        <w:tc>
          <w:tcPr>
            <w:tcW w:w="3213" w:type="dxa"/>
            <w:tcBorders>
              <w:top w:val="single" w:sz="2" w:space="0" w:color="auto"/>
              <w:left w:val="single" w:sz="2" w:space="0" w:color="auto"/>
              <w:bottom w:val="single" w:sz="2" w:space="0" w:color="auto"/>
              <w:right w:val="single" w:sz="2" w:space="0" w:color="auto"/>
            </w:tcBorders>
            <w:vAlign w:val="center"/>
          </w:tcPr>
          <w:p w14:paraId="40ACDA7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1,400,324,871.95</w:t>
            </w:r>
          </w:p>
        </w:tc>
      </w:tr>
      <w:tr w:rsidR="00C57E60" w14:paraId="36301547"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78F00C4" w14:textId="77777777" w:rsidR="00DC359B" w:rsidRPr="00EA03E6" w:rsidRDefault="00DC359B" w:rsidP="00DC359B">
            <w:pPr>
              <w:spacing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所有者权益：</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1D35D3" w14:textId="77777777" w:rsidR="00DC359B" w:rsidRPr="00EA03E6" w:rsidRDefault="00DC359B" w:rsidP="00DC359B">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A6923A" w14:textId="77777777" w:rsidR="00DC359B" w:rsidRPr="00EA03E6" w:rsidRDefault="00DC359B" w:rsidP="00DC359B">
            <w:pPr>
              <w:spacing w:line="360" w:lineRule="auto"/>
              <w:rPr>
                <w:rFonts w:ascii="Times New Roman" w:hAnsi="Times New Roman" w:cs="Times New Roman"/>
              </w:rPr>
            </w:pPr>
          </w:p>
        </w:tc>
      </w:tr>
      <w:tr w:rsidR="00C57E60" w14:paraId="226F21B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8F783F"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股本</w:t>
            </w:r>
          </w:p>
        </w:tc>
        <w:tc>
          <w:tcPr>
            <w:tcW w:w="3213" w:type="dxa"/>
            <w:tcBorders>
              <w:top w:val="single" w:sz="2" w:space="0" w:color="auto"/>
              <w:left w:val="single" w:sz="2" w:space="0" w:color="auto"/>
              <w:bottom w:val="single" w:sz="2" w:space="0" w:color="auto"/>
              <w:right w:val="single" w:sz="2" w:space="0" w:color="auto"/>
            </w:tcBorders>
            <w:vAlign w:val="center"/>
          </w:tcPr>
          <w:p w14:paraId="5004E08D"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560,267,306.00</w:t>
            </w:r>
          </w:p>
        </w:tc>
        <w:tc>
          <w:tcPr>
            <w:tcW w:w="3213" w:type="dxa"/>
            <w:tcBorders>
              <w:top w:val="single" w:sz="2" w:space="0" w:color="auto"/>
              <w:left w:val="single" w:sz="2" w:space="0" w:color="auto"/>
              <w:bottom w:val="single" w:sz="2" w:space="0" w:color="auto"/>
              <w:right w:val="single" w:sz="2" w:space="0" w:color="auto"/>
            </w:tcBorders>
            <w:vAlign w:val="center"/>
          </w:tcPr>
          <w:p w14:paraId="66276EFE"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564,265,375.00</w:t>
            </w:r>
          </w:p>
        </w:tc>
      </w:tr>
      <w:tr w:rsidR="00C57E60" w14:paraId="10F3ED5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0FE35A"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其他权益工具</w:t>
            </w:r>
          </w:p>
        </w:tc>
        <w:tc>
          <w:tcPr>
            <w:tcW w:w="3213" w:type="dxa"/>
            <w:tcBorders>
              <w:top w:val="single" w:sz="2" w:space="0" w:color="auto"/>
              <w:left w:val="single" w:sz="2" w:space="0" w:color="auto"/>
              <w:bottom w:val="single" w:sz="2" w:space="0" w:color="auto"/>
              <w:right w:val="single" w:sz="2" w:space="0" w:color="auto"/>
            </w:tcBorders>
            <w:vAlign w:val="center"/>
          </w:tcPr>
          <w:p w14:paraId="4F91D8D9"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123,942,959.86</w:t>
            </w:r>
          </w:p>
        </w:tc>
        <w:tc>
          <w:tcPr>
            <w:tcW w:w="3213" w:type="dxa"/>
            <w:tcBorders>
              <w:top w:val="single" w:sz="2" w:space="0" w:color="auto"/>
              <w:left w:val="single" w:sz="2" w:space="0" w:color="auto"/>
              <w:bottom w:val="single" w:sz="2" w:space="0" w:color="auto"/>
              <w:right w:val="single" w:sz="2" w:space="0" w:color="auto"/>
            </w:tcBorders>
            <w:vAlign w:val="center"/>
          </w:tcPr>
          <w:p w14:paraId="2938DF1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123,953,405.74</w:t>
            </w:r>
          </w:p>
        </w:tc>
      </w:tr>
      <w:tr w:rsidR="00C57E60" w14:paraId="172DD2D6"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1469AC" w14:textId="77777777" w:rsidR="00DC359B" w:rsidRPr="00EA03E6" w:rsidRDefault="00DC359B" w:rsidP="00DC359B">
            <w:pPr>
              <w:spacing w:line="360" w:lineRule="auto"/>
              <w:ind w:firstLineChars="200" w:firstLine="360"/>
              <w:rPr>
                <w:rFonts w:ascii="Times New Roman" w:eastAsia="宋体" w:hAnsi="Times New Roman" w:cs="Times New Roman"/>
                <w:sz w:val="18"/>
                <w:szCs w:val="18"/>
              </w:rPr>
            </w:pPr>
            <w:r w:rsidRPr="00EA03E6">
              <w:rPr>
                <w:rFonts w:ascii="Times New Roman" w:eastAsia="宋体" w:hAnsi="Times New Roman" w:cs="Times New Roman"/>
                <w:sz w:val="18"/>
                <w:szCs w:val="18"/>
              </w:rPr>
              <w:t>其中：优先股</w:t>
            </w:r>
          </w:p>
        </w:tc>
        <w:tc>
          <w:tcPr>
            <w:tcW w:w="3213" w:type="dxa"/>
            <w:tcBorders>
              <w:top w:val="single" w:sz="2" w:space="0" w:color="auto"/>
              <w:left w:val="single" w:sz="2" w:space="0" w:color="auto"/>
              <w:bottom w:val="single" w:sz="2" w:space="0" w:color="auto"/>
              <w:right w:val="single" w:sz="2" w:space="0" w:color="auto"/>
            </w:tcBorders>
            <w:vAlign w:val="center"/>
          </w:tcPr>
          <w:p w14:paraId="7D26E3AA"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7F8FE72"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58BC796C"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13EB036" w14:textId="77777777" w:rsidR="00DC359B" w:rsidRPr="00EA03E6" w:rsidRDefault="00DC359B" w:rsidP="00DC359B">
            <w:pPr>
              <w:spacing w:line="360" w:lineRule="auto"/>
              <w:ind w:firstLineChars="500" w:firstLine="900"/>
              <w:rPr>
                <w:rFonts w:ascii="Times New Roman" w:eastAsia="宋体" w:hAnsi="Times New Roman" w:cs="Times New Roman"/>
                <w:sz w:val="18"/>
                <w:szCs w:val="18"/>
              </w:rPr>
            </w:pPr>
            <w:r w:rsidRPr="00EA03E6">
              <w:rPr>
                <w:rFonts w:ascii="Times New Roman" w:eastAsia="宋体" w:hAnsi="Times New Roman" w:cs="Times New Roman"/>
                <w:sz w:val="18"/>
                <w:szCs w:val="18"/>
              </w:rPr>
              <w:t>永续债</w:t>
            </w:r>
          </w:p>
        </w:tc>
        <w:tc>
          <w:tcPr>
            <w:tcW w:w="3213" w:type="dxa"/>
            <w:tcBorders>
              <w:top w:val="single" w:sz="2" w:space="0" w:color="auto"/>
              <w:left w:val="single" w:sz="2" w:space="0" w:color="auto"/>
              <w:bottom w:val="single" w:sz="2" w:space="0" w:color="auto"/>
              <w:right w:val="single" w:sz="2" w:space="0" w:color="auto"/>
            </w:tcBorders>
            <w:vAlign w:val="center"/>
          </w:tcPr>
          <w:p w14:paraId="6CFAEECB"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1A7C027"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5EE2924F"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B5CF0E"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资本公积</w:t>
            </w:r>
          </w:p>
        </w:tc>
        <w:tc>
          <w:tcPr>
            <w:tcW w:w="3213" w:type="dxa"/>
            <w:tcBorders>
              <w:top w:val="single" w:sz="2" w:space="0" w:color="auto"/>
              <w:left w:val="single" w:sz="2" w:space="0" w:color="auto"/>
              <w:bottom w:val="single" w:sz="2" w:space="0" w:color="auto"/>
              <w:right w:val="single" w:sz="2" w:space="0" w:color="auto"/>
            </w:tcBorders>
            <w:vAlign w:val="center"/>
          </w:tcPr>
          <w:p w14:paraId="06D511C6"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975,712,300.25</w:t>
            </w:r>
          </w:p>
        </w:tc>
        <w:tc>
          <w:tcPr>
            <w:tcW w:w="3213" w:type="dxa"/>
            <w:tcBorders>
              <w:top w:val="single" w:sz="2" w:space="0" w:color="auto"/>
              <w:left w:val="single" w:sz="2" w:space="0" w:color="auto"/>
              <w:bottom w:val="single" w:sz="2" w:space="0" w:color="auto"/>
              <w:right w:val="single" w:sz="2" w:space="0" w:color="auto"/>
            </w:tcBorders>
            <w:vAlign w:val="center"/>
          </w:tcPr>
          <w:p w14:paraId="3717898F"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1,055,267,228.01</w:t>
            </w:r>
          </w:p>
        </w:tc>
      </w:tr>
      <w:tr w:rsidR="00C57E60" w14:paraId="55CD596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1EDAAF"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减：库存股</w:t>
            </w:r>
          </w:p>
        </w:tc>
        <w:tc>
          <w:tcPr>
            <w:tcW w:w="3213" w:type="dxa"/>
            <w:tcBorders>
              <w:top w:val="single" w:sz="2" w:space="0" w:color="auto"/>
              <w:left w:val="single" w:sz="2" w:space="0" w:color="auto"/>
              <w:bottom w:val="single" w:sz="2" w:space="0" w:color="auto"/>
              <w:right w:val="single" w:sz="2" w:space="0" w:color="auto"/>
            </w:tcBorders>
            <w:vAlign w:val="center"/>
          </w:tcPr>
          <w:p w14:paraId="6BB851ED"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286,616,623.68</w:t>
            </w:r>
          </w:p>
        </w:tc>
        <w:tc>
          <w:tcPr>
            <w:tcW w:w="3213" w:type="dxa"/>
            <w:tcBorders>
              <w:top w:val="single" w:sz="2" w:space="0" w:color="auto"/>
              <w:left w:val="single" w:sz="2" w:space="0" w:color="auto"/>
              <w:bottom w:val="single" w:sz="2" w:space="0" w:color="auto"/>
              <w:right w:val="single" w:sz="2" w:space="0" w:color="auto"/>
            </w:tcBorders>
            <w:vAlign w:val="center"/>
          </w:tcPr>
          <w:p w14:paraId="192BCF96"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181,302,394.30</w:t>
            </w:r>
          </w:p>
        </w:tc>
      </w:tr>
      <w:tr w:rsidR="00C57E60" w14:paraId="1F0248B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2A9867"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其他综合收益</w:t>
            </w:r>
          </w:p>
        </w:tc>
        <w:tc>
          <w:tcPr>
            <w:tcW w:w="3213" w:type="dxa"/>
            <w:tcBorders>
              <w:top w:val="single" w:sz="2" w:space="0" w:color="auto"/>
              <w:left w:val="single" w:sz="2" w:space="0" w:color="auto"/>
              <w:bottom w:val="single" w:sz="2" w:space="0" w:color="auto"/>
              <w:right w:val="single" w:sz="2" w:space="0" w:color="auto"/>
            </w:tcBorders>
            <w:vAlign w:val="center"/>
          </w:tcPr>
          <w:p w14:paraId="492588C0"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-9,031,334.29</w:t>
            </w:r>
          </w:p>
        </w:tc>
        <w:tc>
          <w:tcPr>
            <w:tcW w:w="3213" w:type="dxa"/>
            <w:tcBorders>
              <w:top w:val="single" w:sz="2" w:space="0" w:color="auto"/>
              <w:left w:val="single" w:sz="2" w:space="0" w:color="auto"/>
              <w:bottom w:val="single" w:sz="2" w:space="0" w:color="auto"/>
              <w:right w:val="single" w:sz="2" w:space="0" w:color="auto"/>
            </w:tcBorders>
            <w:vAlign w:val="center"/>
          </w:tcPr>
          <w:p w14:paraId="3FFC05B7"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18,925,448.81</w:t>
            </w:r>
          </w:p>
        </w:tc>
      </w:tr>
      <w:tr w:rsidR="00C57E60" w14:paraId="1F92F1F9"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19A62A" w14:textId="77777777" w:rsidR="00DC359B" w:rsidRPr="00EA03E6" w:rsidRDefault="00DC359B" w:rsidP="00DC359B">
            <w:pPr>
              <w:spacing w:before="40" w:after="40"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专项储备</w:t>
            </w:r>
          </w:p>
        </w:tc>
        <w:tc>
          <w:tcPr>
            <w:tcW w:w="3213" w:type="dxa"/>
            <w:tcBorders>
              <w:top w:val="single" w:sz="2" w:space="0" w:color="auto"/>
              <w:left w:val="single" w:sz="2" w:space="0" w:color="auto"/>
              <w:bottom w:val="single" w:sz="2" w:space="0" w:color="auto"/>
              <w:right w:val="single" w:sz="2" w:space="0" w:color="auto"/>
            </w:tcBorders>
            <w:vAlign w:val="center"/>
          </w:tcPr>
          <w:p w14:paraId="7F08847A" w14:textId="77777777" w:rsidR="00DC359B" w:rsidRPr="00EA03E6" w:rsidRDefault="00DC359B" w:rsidP="00DC359B">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4CF39D4" w14:textId="77777777" w:rsidR="00DC359B" w:rsidRPr="00EA03E6" w:rsidRDefault="00DC359B" w:rsidP="00DC359B">
            <w:pPr>
              <w:spacing w:line="360" w:lineRule="auto"/>
              <w:jc w:val="right"/>
              <w:rPr>
                <w:rFonts w:ascii="Times New Roman" w:eastAsia="宋体" w:hAnsi="Times New Roman" w:cs="Times New Roman"/>
                <w:sz w:val="18"/>
                <w:szCs w:val="18"/>
              </w:rPr>
            </w:pPr>
          </w:p>
        </w:tc>
      </w:tr>
      <w:tr w:rsidR="00C57E60" w14:paraId="00D19334"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4FFBE4"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盈余公积</w:t>
            </w:r>
          </w:p>
        </w:tc>
        <w:tc>
          <w:tcPr>
            <w:tcW w:w="3213" w:type="dxa"/>
            <w:tcBorders>
              <w:top w:val="single" w:sz="2" w:space="0" w:color="auto"/>
              <w:left w:val="single" w:sz="2" w:space="0" w:color="auto"/>
              <w:bottom w:val="single" w:sz="2" w:space="0" w:color="auto"/>
              <w:right w:val="single" w:sz="2" w:space="0" w:color="auto"/>
            </w:tcBorders>
            <w:vAlign w:val="center"/>
          </w:tcPr>
          <w:p w14:paraId="777F3CCE" w14:textId="200BBD99" w:rsidR="00DC359B" w:rsidRPr="00EA03E6" w:rsidRDefault="006E166C" w:rsidP="00DC359B">
            <w:pPr>
              <w:spacing w:line="360" w:lineRule="auto"/>
              <w:jc w:val="right"/>
              <w:rPr>
                <w:rFonts w:ascii="Times New Roman" w:eastAsia="宋体" w:hAnsi="Times New Roman" w:cs="Times New Roman"/>
                <w:sz w:val="18"/>
                <w:szCs w:val="18"/>
              </w:rPr>
            </w:pPr>
            <w:r w:rsidRPr="006E166C">
              <w:rPr>
                <w:rFonts w:ascii="Times New Roman" w:eastAsia="宋体" w:hAnsi="Times New Roman" w:cs="Times New Roman"/>
                <w:sz w:val="18"/>
                <w:szCs w:val="18"/>
              </w:rPr>
              <w:t>532,880,185.50</w:t>
            </w:r>
          </w:p>
        </w:tc>
        <w:tc>
          <w:tcPr>
            <w:tcW w:w="3213" w:type="dxa"/>
            <w:tcBorders>
              <w:top w:val="single" w:sz="2" w:space="0" w:color="auto"/>
              <w:left w:val="single" w:sz="2" w:space="0" w:color="auto"/>
              <w:bottom w:val="single" w:sz="2" w:space="0" w:color="auto"/>
              <w:right w:val="single" w:sz="2" w:space="0" w:color="auto"/>
            </w:tcBorders>
            <w:vAlign w:val="center"/>
          </w:tcPr>
          <w:p w14:paraId="674CA903"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482,490,060.31</w:t>
            </w:r>
          </w:p>
        </w:tc>
      </w:tr>
      <w:tr w:rsidR="00C57E60" w14:paraId="0748995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560EAE" w14:textId="77777777" w:rsidR="00DC359B" w:rsidRPr="00EA03E6" w:rsidRDefault="00DC359B" w:rsidP="00DC359B">
            <w:pPr>
              <w:spacing w:line="360" w:lineRule="auto"/>
              <w:ind w:firstLineChars="100" w:firstLine="180"/>
              <w:rPr>
                <w:rFonts w:ascii="Times New Roman" w:eastAsia="宋体" w:hAnsi="Times New Roman" w:cs="Times New Roman"/>
                <w:sz w:val="18"/>
                <w:szCs w:val="18"/>
              </w:rPr>
            </w:pPr>
            <w:r w:rsidRPr="00EA03E6">
              <w:rPr>
                <w:rFonts w:ascii="Times New Roman" w:eastAsia="宋体" w:hAnsi="Times New Roman" w:cs="Times New Roman"/>
                <w:sz w:val="18"/>
                <w:szCs w:val="18"/>
              </w:rPr>
              <w:t>未分配利润</w:t>
            </w:r>
          </w:p>
        </w:tc>
        <w:tc>
          <w:tcPr>
            <w:tcW w:w="3213" w:type="dxa"/>
            <w:tcBorders>
              <w:top w:val="single" w:sz="2" w:space="0" w:color="auto"/>
              <w:left w:val="single" w:sz="2" w:space="0" w:color="auto"/>
              <w:bottom w:val="single" w:sz="2" w:space="0" w:color="auto"/>
              <w:right w:val="single" w:sz="2" w:space="0" w:color="auto"/>
            </w:tcBorders>
            <w:vAlign w:val="center"/>
          </w:tcPr>
          <w:p w14:paraId="587DED52" w14:textId="07D890D8"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w:t>
            </w:r>
            <w:r w:rsidR="006E166C" w:rsidRPr="006E166C">
              <w:rPr>
                <w:rFonts w:ascii="Times New Roman" w:eastAsia="宋体" w:hAnsi="Times New Roman" w:cs="Times New Roman"/>
                <w:sz w:val="18"/>
                <w:szCs w:val="18"/>
              </w:rPr>
              <w:t>509,576,233.69</w:t>
            </w:r>
          </w:p>
        </w:tc>
        <w:tc>
          <w:tcPr>
            <w:tcW w:w="3213" w:type="dxa"/>
            <w:tcBorders>
              <w:top w:val="single" w:sz="2" w:space="0" w:color="auto"/>
              <w:left w:val="single" w:sz="2" w:space="0" w:color="auto"/>
              <w:bottom w:val="single" w:sz="2" w:space="0" w:color="auto"/>
              <w:right w:val="single" w:sz="2" w:space="0" w:color="auto"/>
            </w:tcBorders>
            <w:vAlign w:val="center"/>
          </w:tcPr>
          <w:p w14:paraId="720657E6"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1,345,686,908.33</w:t>
            </w:r>
          </w:p>
        </w:tc>
      </w:tr>
      <w:tr w:rsidR="00C57E60" w14:paraId="418D0AC8"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BA94A3" w14:textId="77777777" w:rsidR="00DC359B" w:rsidRPr="00EA03E6" w:rsidRDefault="00DC359B" w:rsidP="00DC359B">
            <w:pPr>
              <w:spacing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所有者权益合计</w:t>
            </w:r>
          </w:p>
        </w:tc>
        <w:tc>
          <w:tcPr>
            <w:tcW w:w="3213" w:type="dxa"/>
            <w:tcBorders>
              <w:top w:val="single" w:sz="2" w:space="0" w:color="auto"/>
              <w:left w:val="single" w:sz="2" w:space="0" w:color="auto"/>
              <w:bottom w:val="single" w:sz="2" w:space="0" w:color="auto"/>
              <w:right w:val="single" w:sz="2" w:space="0" w:color="auto"/>
            </w:tcBorders>
            <w:vAlign w:val="center"/>
          </w:tcPr>
          <w:p w14:paraId="24E4FC5F" w14:textId="47D5CB02"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w:t>
            </w:r>
            <w:r w:rsidR="006E166C" w:rsidRPr="006E166C">
              <w:rPr>
                <w:rFonts w:ascii="Times New Roman" w:eastAsia="宋体" w:hAnsi="Times New Roman" w:cs="Times New Roman"/>
                <w:sz w:val="18"/>
                <w:szCs w:val="18"/>
              </w:rPr>
              <w:t>406,731,027.33</w:t>
            </w:r>
          </w:p>
        </w:tc>
        <w:tc>
          <w:tcPr>
            <w:tcW w:w="3213" w:type="dxa"/>
            <w:tcBorders>
              <w:top w:val="single" w:sz="2" w:space="0" w:color="auto"/>
              <w:left w:val="single" w:sz="2" w:space="0" w:color="auto"/>
              <w:bottom w:val="single" w:sz="2" w:space="0" w:color="auto"/>
              <w:right w:val="single" w:sz="2" w:space="0" w:color="auto"/>
            </w:tcBorders>
            <w:vAlign w:val="center"/>
          </w:tcPr>
          <w:p w14:paraId="7FB2831A"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3,409,286,031.90</w:t>
            </w:r>
          </w:p>
        </w:tc>
      </w:tr>
      <w:tr w:rsidR="00C57E60" w14:paraId="60EE315B" w14:textId="77777777" w:rsidTr="00DC359B">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65FB35" w14:textId="77777777" w:rsidR="00DC359B" w:rsidRPr="00EA03E6" w:rsidRDefault="00DC359B" w:rsidP="00DC359B">
            <w:pPr>
              <w:spacing w:line="360" w:lineRule="auto"/>
              <w:rPr>
                <w:rFonts w:ascii="Times New Roman" w:eastAsia="宋体" w:hAnsi="Times New Roman" w:cs="Times New Roman"/>
                <w:sz w:val="18"/>
                <w:szCs w:val="18"/>
              </w:rPr>
            </w:pPr>
            <w:r w:rsidRPr="00EA03E6">
              <w:rPr>
                <w:rFonts w:ascii="Times New Roman" w:eastAsia="宋体" w:hAnsi="Times New Roman" w:cs="Times New Roman"/>
                <w:sz w:val="18"/>
                <w:szCs w:val="18"/>
              </w:rPr>
              <w:t>负债和所有者权益总计</w:t>
            </w:r>
          </w:p>
        </w:tc>
        <w:tc>
          <w:tcPr>
            <w:tcW w:w="3213" w:type="dxa"/>
            <w:tcBorders>
              <w:top w:val="single" w:sz="2" w:space="0" w:color="auto"/>
              <w:left w:val="single" w:sz="2" w:space="0" w:color="auto"/>
              <w:bottom w:val="single" w:sz="2" w:space="0" w:color="auto"/>
              <w:right w:val="single" w:sz="2" w:space="0" w:color="auto"/>
            </w:tcBorders>
            <w:vAlign w:val="center"/>
          </w:tcPr>
          <w:p w14:paraId="0C62F2C1"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5,114,293,946.26</w:t>
            </w:r>
          </w:p>
        </w:tc>
        <w:tc>
          <w:tcPr>
            <w:tcW w:w="3213" w:type="dxa"/>
            <w:tcBorders>
              <w:top w:val="single" w:sz="2" w:space="0" w:color="auto"/>
              <w:left w:val="single" w:sz="2" w:space="0" w:color="auto"/>
              <w:bottom w:val="single" w:sz="2" w:space="0" w:color="auto"/>
              <w:right w:val="single" w:sz="2" w:space="0" w:color="auto"/>
            </w:tcBorders>
            <w:vAlign w:val="center"/>
          </w:tcPr>
          <w:p w14:paraId="4B078910" w14:textId="77777777" w:rsidR="00DC359B" w:rsidRPr="00EA03E6" w:rsidRDefault="00DC359B" w:rsidP="00DC359B">
            <w:pPr>
              <w:spacing w:line="360" w:lineRule="auto"/>
              <w:jc w:val="right"/>
              <w:rPr>
                <w:rFonts w:ascii="Times New Roman" w:eastAsia="宋体" w:hAnsi="Times New Roman" w:cs="Times New Roman"/>
                <w:sz w:val="18"/>
                <w:szCs w:val="18"/>
              </w:rPr>
            </w:pPr>
            <w:r w:rsidRPr="00EA03E6">
              <w:rPr>
                <w:rFonts w:ascii="Times New Roman" w:eastAsia="宋体" w:hAnsi="Times New Roman" w:cs="Times New Roman"/>
                <w:sz w:val="18"/>
                <w:szCs w:val="18"/>
              </w:rPr>
              <w:t>4,809,610,903.85</w:t>
            </w:r>
          </w:p>
        </w:tc>
      </w:tr>
    </w:tbl>
    <w:p w14:paraId="66102A32" w14:textId="77777777" w:rsidR="00DC359B" w:rsidRDefault="00DC359B" w:rsidP="00DC359B">
      <w:pPr>
        <w:pStyle w:val="3"/>
        <w:spacing w:line="280" w:lineRule="exact"/>
        <w:jc w:val="left"/>
        <w:rPr>
          <w:rFonts w:ascii="宋体" w:hAnsi="宋体" w:cs="宋体"/>
          <w:b/>
          <w:bCs/>
        </w:rPr>
        <w:sectPr w:rsidR="00DC359B">
          <w:headerReference w:type="default" r:id="rId13"/>
          <w:footerReference w:type="default" r:id="rId14"/>
          <w:pgSz w:w="11905" w:h="16840"/>
          <w:pgMar w:top="1440" w:right="1134" w:bottom="1440" w:left="1134" w:header="850" w:footer="992" w:gutter="0"/>
          <w:cols w:space="720"/>
          <w:docGrid w:type="linesAndChars" w:linePitch="312"/>
        </w:sectPr>
      </w:pPr>
    </w:p>
    <w:p w14:paraId="152FB248" w14:textId="77777777" w:rsidR="00DC359B" w:rsidRPr="00314658" w:rsidRDefault="00DC359B" w:rsidP="00DC359B">
      <w:pPr>
        <w:pStyle w:val="3"/>
        <w:spacing w:line="280" w:lineRule="exact"/>
        <w:jc w:val="left"/>
        <w:rPr>
          <w:rFonts w:ascii="Times New Roman" w:hAnsi="Times New Roman" w:cs="Times New Roman"/>
          <w:b/>
          <w:bCs/>
        </w:rPr>
      </w:pPr>
      <w:r w:rsidRPr="00314658">
        <w:rPr>
          <w:rFonts w:ascii="Times New Roman" w:hAnsi="Times New Roman" w:cs="Times New Roman"/>
          <w:b/>
          <w:bCs/>
        </w:rPr>
        <w:t>3</w:t>
      </w:r>
      <w:r w:rsidRPr="00314658">
        <w:rPr>
          <w:rFonts w:ascii="Times New Roman" w:hAnsi="Times New Roman" w:cs="Times New Roman"/>
          <w:b/>
          <w:bCs/>
        </w:rPr>
        <w:t>、合并利润表</w:t>
      </w:r>
    </w:p>
    <w:p w14:paraId="61D74022" w14:textId="77777777" w:rsidR="00DC359B" w:rsidRDefault="00DC359B" w:rsidP="00DC359B">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000" w:firstRow="0" w:lastRow="0" w:firstColumn="0" w:lastColumn="0" w:noHBand="0" w:noVBand="0"/>
      </w:tblPr>
      <w:tblGrid>
        <w:gridCol w:w="4962"/>
        <w:gridCol w:w="2338"/>
        <w:gridCol w:w="2339"/>
      </w:tblGrid>
      <w:tr w:rsidR="00C57E60" w14:paraId="69D1A6E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9C4393D" w14:textId="77777777" w:rsidR="00DC359B" w:rsidRPr="00314658" w:rsidRDefault="00DC359B" w:rsidP="00DC359B">
            <w:pPr>
              <w:spacing w:before="40" w:after="40" w:line="348" w:lineRule="auto"/>
              <w:jc w:val="center"/>
              <w:rPr>
                <w:rFonts w:ascii="Times New Roman" w:eastAsia="宋体" w:hAnsi="Times New Roman" w:cs="Times New Roman"/>
                <w:sz w:val="18"/>
                <w:szCs w:val="18"/>
              </w:rPr>
            </w:pPr>
            <w:r w:rsidRPr="00314658">
              <w:rPr>
                <w:rFonts w:ascii="Times New Roman" w:eastAsia="宋体" w:hAnsi="Times New Roman" w:cs="Times New Roman"/>
                <w:sz w:val="18"/>
                <w:szCs w:val="18"/>
              </w:rPr>
              <w:t>项目</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17D48752" w14:textId="77777777" w:rsidR="00DC359B" w:rsidRPr="00314658" w:rsidRDefault="00DC359B" w:rsidP="00DC359B">
            <w:pPr>
              <w:spacing w:before="40" w:after="40" w:line="348" w:lineRule="auto"/>
              <w:jc w:val="center"/>
              <w:rPr>
                <w:rFonts w:ascii="Times New Roman" w:eastAsia="宋体" w:hAnsi="Times New Roman" w:cs="Times New Roman"/>
                <w:sz w:val="18"/>
                <w:szCs w:val="18"/>
              </w:rPr>
            </w:pPr>
            <w:r w:rsidRPr="00314658">
              <w:rPr>
                <w:rFonts w:ascii="Times New Roman" w:eastAsia="宋体" w:hAnsi="Times New Roman" w:cs="Times New Roman"/>
                <w:sz w:val="18"/>
                <w:szCs w:val="18"/>
              </w:rPr>
              <w:t>2025</w:t>
            </w:r>
            <w:r w:rsidRPr="00314658">
              <w:rPr>
                <w:rFonts w:ascii="Times New Roman" w:eastAsia="宋体" w:hAnsi="Times New Roman" w:cs="Times New Roman"/>
                <w:sz w:val="18"/>
                <w:szCs w:val="18"/>
              </w:rPr>
              <w:t>年度</w:t>
            </w: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4F580411" w14:textId="77777777" w:rsidR="00DC359B" w:rsidRPr="00314658" w:rsidRDefault="00DC359B" w:rsidP="00DC359B">
            <w:pPr>
              <w:spacing w:before="40" w:after="40" w:line="348" w:lineRule="auto"/>
              <w:jc w:val="center"/>
              <w:rPr>
                <w:rFonts w:ascii="Times New Roman" w:eastAsia="宋体" w:hAnsi="Times New Roman" w:cs="Times New Roman"/>
                <w:sz w:val="18"/>
                <w:szCs w:val="18"/>
              </w:rPr>
            </w:pPr>
            <w:r w:rsidRPr="00314658">
              <w:rPr>
                <w:rFonts w:ascii="Times New Roman" w:eastAsia="宋体" w:hAnsi="Times New Roman" w:cs="Times New Roman"/>
                <w:sz w:val="18"/>
                <w:szCs w:val="18"/>
              </w:rPr>
              <w:t>2024</w:t>
            </w:r>
            <w:r w:rsidRPr="00314658">
              <w:rPr>
                <w:rFonts w:ascii="Times New Roman" w:eastAsia="宋体" w:hAnsi="Times New Roman" w:cs="Times New Roman"/>
                <w:sz w:val="18"/>
                <w:szCs w:val="18"/>
              </w:rPr>
              <w:t>年度</w:t>
            </w:r>
          </w:p>
        </w:tc>
      </w:tr>
      <w:tr w:rsidR="00C57E60" w14:paraId="4BA39AB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F621462" w14:textId="77777777" w:rsidR="00DC359B" w:rsidRPr="00314658" w:rsidRDefault="00DC359B" w:rsidP="00DC359B">
            <w:pPr>
              <w:spacing w:before="40" w:after="40"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一、营业总收入</w:t>
            </w:r>
          </w:p>
        </w:tc>
        <w:tc>
          <w:tcPr>
            <w:tcW w:w="2338" w:type="dxa"/>
            <w:tcBorders>
              <w:top w:val="single" w:sz="2" w:space="0" w:color="auto"/>
              <w:left w:val="single" w:sz="2" w:space="0" w:color="auto"/>
              <w:bottom w:val="single" w:sz="2" w:space="0" w:color="auto"/>
              <w:right w:val="single" w:sz="2" w:space="0" w:color="auto"/>
            </w:tcBorders>
            <w:vAlign w:val="center"/>
          </w:tcPr>
          <w:p w14:paraId="70B4F9A5"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4,659,335,913.50</w:t>
            </w:r>
          </w:p>
        </w:tc>
        <w:tc>
          <w:tcPr>
            <w:tcW w:w="2339" w:type="dxa"/>
            <w:tcBorders>
              <w:top w:val="single" w:sz="2" w:space="0" w:color="auto"/>
              <w:left w:val="single" w:sz="2" w:space="0" w:color="auto"/>
              <w:bottom w:val="single" w:sz="2" w:space="0" w:color="auto"/>
              <w:right w:val="single" w:sz="2" w:space="0" w:color="auto"/>
            </w:tcBorders>
            <w:vAlign w:val="center"/>
          </w:tcPr>
          <w:p w14:paraId="69DA2D7E"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4,443,123,570.61</w:t>
            </w:r>
          </w:p>
        </w:tc>
      </w:tr>
      <w:tr w:rsidR="00C57E60" w14:paraId="2070BA7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282A833" w14:textId="77777777" w:rsidR="00DC359B" w:rsidRPr="00314658" w:rsidRDefault="00DC359B" w:rsidP="00DC359B">
            <w:pPr>
              <w:spacing w:before="40" w:after="40"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其中：营业收入</w:t>
            </w:r>
          </w:p>
        </w:tc>
        <w:tc>
          <w:tcPr>
            <w:tcW w:w="2338" w:type="dxa"/>
            <w:tcBorders>
              <w:top w:val="single" w:sz="2" w:space="0" w:color="auto"/>
              <w:left w:val="single" w:sz="2" w:space="0" w:color="auto"/>
              <w:bottom w:val="single" w:sz="2" w:space="0" w:color="auto"/>
              <w:right w:val="single" w:sz="2" w:space="0" w:color="auto"/>
            </w:tcBorders>
            <w:vAlign w:val="center"/>
          </w:tcPr>
          <w:p w14:paraId="197B94C1"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4,659,335,913.50</w:t>
            </w:r>
          </w:p>
        </w:tc>
        <w:tc>
          <w:tcPr>
            <w:tcW w:w="2339" w:type="dxa"/>
            <w:tcBorders>
              <w:top w:val="single" w:sz="2" w:space="0" w:color="auto"/>
              <w:left w:val="single" w:sz="2" w:space="0" w:color="auto"/>
              <w:bottom w:val="single" w:sz="2" w:space="0" w:color="auto"/>
              <w:right w:val="single" w:sz="2" w:space="0" w:color="auto"/>
            </w:tcBorders>
            <w:vAlign w:val="center"/>
          </w:tcPr>
          <w:p w14:paraId="35067D11"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4,443,123,570.61</w:t>
            </w:r>
          </w:p>
        </w:tc>
      </w:tr>
      <w:tr w:rsidR="00C57E60" w14:paraId="23698FE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58CDC42"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利息收入</w:t>
            </w:r>
          </w:p>
        </w:tc>
        <w:tc>
          <w:tcPr>
            <w:tcW w:w="2338" w:type="dxa"/>
            <w:tcBorders>
              <w:top w:val="single" w:sz="2" w:space="0" w:color="auto"/>
              <w:left w:val="single" w:sz="2" w:space="0" w:color="auto"/>
              <w:bottom w:val="single" w:sz="2" w:space="0" w:color="auto"/>
              <w:right w:val="single" w:sz="2" w:space="0" w:color="auto"/>
            </w:tcBorders>
            <w:vAlign w:val="center"/>
          </w:tcPr>
          <w:p w14:paraId="67EAAA7D"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09B676F"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6BCFCA8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35FA683"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已赚保费</w:t>
            </w:r>
          </w:p>
        </w:tc>
        <w:tc>
          <w:tcPr>
            <w:tcW w:w="2338" w:type="dxa"/>
            <w:tcBorders>
              <w:top w:val="single" w:sz="2" w:space="0" w:color="auto"/>
              <w:left w:val="single" w:sz="2" w:space="0" w:color="auto"/>
              <w:bottom w:val="single" w:sz="2" w:space="0" w:color="auto"/>
              <w:right w:val="single" w:sz="2" w:space="0" w:color="auto"/>
            </w:tcBorders>
            <w:vAlign w:val="center"/>
          </w:tcPr>
          <w:p w14:paraId="57839BA6"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EF701A6"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02F3C41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FA4AF02"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手续费及佣金收入</w:t>
            </w:r>
          </w:p>
        </w:tc>
        <w:tc>
          <w:tcPr>
            <w:tcW w:w="2338" w:type="dxa"/>
            <w:tcBorders>
              <w:top w:val="single" w:sz="2" w:space="0" w:color="auto"/>
              <w:left w:val="single" w:sz="2" w:space="0" w:color="auto"/>
              <w:bottom w:val="single" w:sz="2" w:space="0" w:color="auto"/>
              <w:right w:val="single" w:sz="2" w:space="0" w:color="auto"/>
            </w:tcBorders>
            <w:vAlign w:val="center"/>
          </w:tcPr>
          <w:p w14:paraId="7BDABCC9"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1895BCA"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08E6DD1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EC37C05" w14:textId="77777777" w:rsidR="00DC359B" w:rsidRPr="00314658" w:rsidRDefault="00DC359B" w:rsidP="00DC359B">
            <w:pPr>
              <w:spacing w:before="40" w:after="40"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二、营业总成本</w:t>
            </w:r>
          </w:p>
        </w:tc>
        <w:tc>
          <w:tcPr>
            <w:tcW w:w="2338" w:type="dxa"/>
            <w:tcBorders>
              <w:top w:val="single" w:sz="2" w:space="0" w:color="auto"/>
              <w:left w:val="single" w:sz="2" w:space="0" w:color="auto"/>
              <w:bottom w:val="single" w:sz="2" w:space="0" w:color="auto"/>
              <w:right w:val="single" w:sz="2" w:space="0" w:color="auto"/>
            </w:tcBorders>
            <w:vAlign w:val="center"/>
          </w:tcPr>
          <w:p w14:paraId="5C79BBD5"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4,459,321,309.32</w:t>
            </w:r>
          </w:p>
        </w:tc>
        <w:tc>
          <w:tcPr>
            <w:tcW w:w="2339" w:type="dxa"/>
            <w:tcBorders>
              <w:top w:val="single" w:sz="2" w:space="0" w:color="auto"/>
              <w:left w:val="single" w:sz="2" w:space="0" w:color="auto"/>
              <w:bottom w:val="single" w:sz="2" w:space="0" w:color="auto"/>
              <w:right w:val="single" w:sz="2" w:space="0" w:color="auto"/>
            </w:tcBorders>
            <w:vAlign w:val="center"/>
          </w:tcPr>
          <w:p w14:paraId="4527C97F"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4,041,229,082.16</w:t>
            </w:r>
          </w:p>
        </w:tc>
      </w:tr>
      <w:tr w:rsidR="00C57E60" w14:paraId="3D63F0A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5F3DDCA" w14:textId="77777777" w:rsidR="00DC359B" w:rsidRPr="00314658" w:rsidRDefault="00DC359B" w:rsidP="00DC359B">
            <w:pPr>
              <w:spacing w:before="40" w:after="40"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其中：营业成本</w:t>
            </w:r>
          </w:p>
        </w:tc>
        <w:tc>
          <w:tcPr>
            <w:tcW w:w="2338" w:type="dxa"/>
            <w:tcBorders>
              <w:top w:val="single" w:sz="2" w:space="0" w:color="auto"/>
              <w:left w:val="single" w:sz="2" w:space="0" w:color="auto"/>
              <w:bottom w:val="single" w:sz="2" w:space="0" w:color="auto"/>
              <w:right w:val="single" w:sz="2" w:space="0" w:color="auto"/>
            </w:tcBorders>
            <w:vAlign w:val="center"/>
          </w:tcPr>
          <w:p w14:paraId="07907A49"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2,388,466,450.20</w:t>
            </w:r>
          </w:p>
        </w:tc>
        <w:tc>
          <w:tcPr>
            <w:tcW w:w="2339" w:type="dxa"/>
            <w:tcBorders>
              <w:top w:val="single" w:sz="2" w:space="0" w:color="auto"/>
              <w:left w:val="single" w:sz="2" w:space="0" w:color="auto"/>
              <w:bottom w:val="single" w:sz="2" w:space="0" w:color="auto"/>
              <w:right w:val="single" w:sz="2" w:space="0" w:color="auto"/>
            </w:tcBorders>
            <w:vAlign w:val="center"/>
          </w:tcPr>
          <w:p w14:paraId="4CAFE53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2,004,722,409.58</w:t>
            </w:r>
          </w:p>
        </w:tc>
      </w:tr>
      <w:tr w:rsidR="00C57E60" w14:paraId="2A9AC2E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B3E4D94"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利息支出</w:t>
            </w:r>
          </w:p>
        </w:tc>
        <w:tc>
          <w:tcPr>
            <w:tcW w:w="2338" w:type="dxa"/>
            <w:tcBorders>
              <w:top w:val="single" w:sz="2" w:space="0" w:color="auto"/>
              <w:left w:val="single" w:sz="2" w:space="0" w:color="auto"/>
              <w:bottom w:val="single" w:sz="2" w:space="0" w:color="auto"/>
              <w:right w:val="single" w:sz="2" w:space="0" w:color="auto"/>
            </w:tcBorders>
            <w:vAlign w:val="center"/>
          </w:tcPr>
          <w:p w14:paraId="2033142A"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2994A39"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64172B4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0341B8C"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手续费及佣金支出</w:t>
            </w:r>
          </w:p>
        </w:tc>
        <w:tc>
          <w:tcPr>
            <w:tcW w:w="2338" w:type="dxa"/>
            <w:tcBorders>
              <w:top w:val="single" w:sz="2" w:space="0" w:color="auto"/>
              <w:left w:val="single" w:sz="2" w:space="0" w:color="auto"/>
              <w:bottom w:val="single" w:sz="2" w:space="0" w:color="auto"/>
              <w:right w:val="single" w:sz="2" w:space="0" w:color="auto"/>
            </w:tcBorders>
            <w:vAlign w:val="center"/>
          </w:tcPr>
          <w:p w14:paraId="1A11BD8D"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5A18F15"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22709C3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2CA5C0D"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退保金</w:t>
            </w:r>
          </w:p>
        </w:tc>
        <w:tc>
          <w:tcPr>
            <w:tcW w:w="2338" w:type="dxa"/>
            <w:tcBorders>
              <w:top w:val="single" w:sz="2" w:space="0" w:color="auto"/>
              <w:left w:val="single" w:sz="2" w:space="0" w:color="auto"/>
              <w:bottom w:val="single" w:sz="2" w:space="0" w:color="auto"/>
              <w:right w:val="single" w:sz="2" w:space="0" w:color="auto"/>
            </w:tcBorders>
            <w:vAlign w:val="center"/>
          </w:tcPr>
          <w:p w14:paraId="083A3724"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C622071"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484BC88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B86E290"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赔付支出净额</w:t>
            </w:r>
          </w:p>
        </w:tc>
        <w:tc>
          <w:tcPr>
            <w:tcW w:w="2338" w:type="dxa"/>
            <w:tcBorders>
              <w:top w:val="single" w:sz="2" w:space="0" w:color="auto"/>
              <w:left w:val="single" w:sz="2" w:space="0" w:color="auto"/>
              <w:bottom w:val="single" w:sz="2" w:space="0" w:color="auto"/>
              <w:right w:val="single" w:sz="2" w:space="0" w:color="auto"/>
            </w:tcBorders>
            <w:vAlign w:val="center"/>
          </w:tcPr>
          <w:p w14:paraId="20AE7040"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F151B18"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6E617F0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4016BAE"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提取保险责任合同准备金净额</w:t>
            </w:r>
          </w:p>
        </w:tc>
        <w:tc>
          <w:tcPr>
            <w:tcW w:w="2338" w:type="dxa"/>
            <w:tcBorders>
              <w:top w:val="single" w:sz="2" w:space="0" w:color="auto"/>
              <w:left w:val="single" w:sz="2" w:space="0" w:color="auto"/>
              <w:bottom w:val="single" w:sz="2" w:space="0" w:color="auto"/>
              <w:right w:val="single" w:sz="2" w:space="0" w:color="auto"/>
            </w:tcBorders>
            <w:vAlign w:val="center"/>
          </w:tcPr>
          <w:p w14:paraId="058CC8D5"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50145F6"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7559D10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E3CE723"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保单红利支出</w:t>
            </w:r>
          </w:p>
        </w:tc>
        <w:tc>
          <w:tcPr>
            <w:tcW w:w="2338" w:type="dxa"/>
            <w:tcBorders>
              <w:top w:val="single" w:sz="2" w:space="0" w:color="auto"/>
              <w:left w:val="single" w:sz="2" w:space="0" w:color="auto"/>
              <w:bottom w:val="single" w:sz="2" w:space="0" w:color="auto"/>
              <w:right w:val="single" w:sz="2" w:space="0" w:color="auto"/>
            </w:tcBorders>
            <w:vAlign w:val="center"/>
          </w:tcPr>
          <w:p w14:paraId="717BF371"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B372C10"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6A1CA0A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155C1A6"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分保费用</w:t>
            </w:r>
          </w:p>
        </w:tc>
        <w:tc>
          <w:tcPr>
            <w:tcW w:w="2338" w:type="dxa"/>
            <w:tcBorders>
              <w:top w:val="single" w:sz="2" w:space="0" w:color="auto"/>
              <w:left w:val="single" w:sz="2" w:space="0" w:color="auto"/>
              <w:bottom w:val="single" w:sz="2" w:space="0" w:color="auto"/>
              <w:right w:val="single" w:sz="2" w:space="0" w:color="auto"/>
            </w:tcBorders>
            <w:vAlign w:val="center"/>
          </w:tcPr>
          <w:p w14:paraId="11F2E130"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DB5A6C9"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1766DEE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171527F"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税金及附加</w:t>
            </w:r>
          </w:p>
        </w:tc>
        <w:tc>
          <w:tcPr>
            <w:tcW w:w="2338" w:type="dxa"/>
            <w:tcBorders>
              <w:top w:val="single" w:sz="2" w:space="0" w:color="auto"/>
              <w:left w:val="single" w:sz="2" w:space="0" w:color="auto"/>
              <w:bottom w:val="single" w:sz="2" w:space="0" w:color="auto"/>
              <w:right w:val="single" w:sz="2" w:space="0" w:color="auto"/>
            </w:tcBorders>
            <w:vAlign w:val="center"/>
          </w:tcPr>
          <w:p w14:paraId="63769259"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45,934,051.40</w:t>
            </w:r>
          </w:p>
        </w:tc>
        <w:tc>
          <w:tcPr>
            <w:tcW w:w="2339" w:type="dxa"/>
            <w:tcBorders>
              <w:top w:val="single" w:sz="2" w:space="0" w:color="auto"/>
              <w:left w:val="single" w:sz="2" w:space="0" w:color="auto"/>
              <w:bottom w:val="single" w:sz="2" w:space="0" w:color="auto"/>
              <w:right w:val="single" w:sz="2" w:space="0" w:color="auto"/>
            </w:tcBorders>
            <w:vAlign w:val="center"/>
          </w:tcPr>
          <w:p w14:paraId="56D953B8"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44,132,130.82</w:t>
            </w:r>
          </w:p>
        </w:tc>
      </w:tr>
      <w:tr w:rsidR="00C57E60" w14:paraId="2392F6C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CF4C224"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销售费用</w:t>
            </w:r>
          </w:p>
        </w:tc>
        <w:tc>
          <w:tcPr>
            <w:tcW w:w="2338" w:type="dxa"/>
            <w:tcBorders>
              <w:top w:val="single" w:sz="2" w:space="0" w:color="auto"/>
              <w:left w:val="single" w:sz="2" w:space="0" w:color="auto"/>
              <w:bottom w:val="single" w:sz="2" w:space="0" w:color="auto"/>
              <w:right w:val="single" w:sz="2" w:space="0" w:color="auto"/>
            </w:tcBorders>
            <w:vAlign w:val="center"/>
          </w:tcPr>
          <w:p w14:paraId="24C8939B"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1,258,301,474.99</w:t>
            </w:r>
          </w:p>
        </w:tc>
        <w:tc>
          <w:tcPr>
            <w:tcW w:w="2339" w:type="dxa"/>
            <w:tcBorders>
              <w:top w:val="single" w:sz="2" w:space="0" w:color="auto"/>
              <w:left w:val="single" w:sz="2" w:space="0" w:color="auto"/>
              <w:bottom w:val="single" w:sz="2" w:space="0" w:color="auto"/>
              <w:right w:val="single" w:sz="2" w:space="0" w:color="auto"/>
            </w:tcBorders>
            <w:vAlign w:val="center"/>
          </w:tcPr>
          <w:p w14:paraId="3DD36173"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1,191,774,591.77</w:t>
            </w:r>
          </w:p>
        </w:tc>
      </w:tr>
      <w:tr w:rsidR="00C57E60" w14:paraId="5A0CD1D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1CD6B36"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管理费用</w:t>
            </w:r>
          </w:p>
        </w:tc>
        <w:tc>
          <w:tcPr>
            <w:tcW w:w="2338" w:type="dxa"/>
            <w:tcBorders>
              <w:top w:val="single" w:sz="2" w:space="0" w:color="auto"/>
              <w:left w:val="single" w:sz="2" w:space="0" w:color="auto"/>
              <w:bottom w:val="single" w:sz="2" w:space="0" w:color="auto"/>
              <w:right w:val="single" w:sz="2" w:space="0" w:color="auto"/>
            </w:tcBorders>
            <w:vAlign w:val="center"/>
          </w:tcPr>
          <w:p w14:paraId="2096DDF2"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456,821,095.98</w:t>
            </w:r>
          </w:p>
        </w:tc>
        <w:tc>
          <w:tcPr>
            <w:tcW w:w="2339" w:type="dxa"/>
            <w:tcBorders>
              <w:top w:val="single" w:sz="2" w:space="0" w:color="auto"/>
              <w:left w:val="single" w:sz="2" w:space="0" w:color="auto"/>
              <w:bottom w:val="single" w:sz="2" w:space="0" w:color="auto"/>
              <w:right w:val="single" w:sz="2" w:space="0" w:color="auto"/>
            </w:tcBorders>
            <w:vAlign w:val="center"/>
          </w:tcPr>
          <w:p w14:paraId="56CD52E5"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405,530,062.59</w:t>
            </w:r>
          </w:p>
        </w:tc>
      </w:tr>
      <w:tr w:rsidR="00C57E60" w14:paraId="545C845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A121A62"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研发费用</w:t>
            </w:r>
          </w:p>
        </w:tc>
        <w:tc>
          <w:tcPr>
            <w:tcW w:w="2338" w:type="dxa"/>
            <w:tcBorders>
              <w:top w:val="single" w:sz="2" w:space="0" w:color="auto"/>
              <w:left w:val="single" w:sz="2" w:space="0" w:color="auto"/>
              <w:bottom w:val="single" w:sz="2" w:space="0" w:color="auto"/>
              <w:right w:val="single" w:sz="2" w:space="0" w:color="auto"/>
            </w:tcBorders>
            <w:vAlign w:val="center"/>
          </w:tcPr>
          <w:p w14:paraId="538AFFA3"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274,631,109.46</w:t>
            </w:r>
          </w:p>
        </w:tc>
        <w:tc>
          <w:tcPr>
            <w:tcW w:w="2339" w:type="dxa"/>
            <w:tcBorders>
              <w:top w:val="single" w:sz="2" w:space="0" w:color="auto"/>
              <w:left w:val="single" w:sz="2" w:space="0" w:color="auto"/>
              <w:bottom w:val="single" w:sz="2" w:space="0" w:color="auto"/>
              <w:right w:val="single" w:sz="2" w:space="0" w:color="auto"/>
            </w:tcBorders>
            <w:vAlign w:val="center"/>
          </w:tcPr>
          <w:p w14:paraId="167DE87C"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374,997,672.43</w:t>
            </w:r>
          </w:p>
        </w:tc>
      </w:tr>
      <w:tr w:rsidR="00C57E60" w14:paraId="447F35A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F28F829" w14:textId="77777777" w:rsidR="00DC359B" w:rsidRPr="00314658" w:rsidRDefault="00DC359B" w:rsidP="00DC359B">
            <w:pPr>
              <w:spacing w:before="40" w:after="40" w:line="348" w:lineRule="auto"/>
              <w:ind w:firstLineChars="400" w:firstLine="720"/>
              <w:rPr>
                <w:rFonts w:ascii="Times New Roman" w:eastAsia="宋体" w:hAnsi="Times New Roman" w:cs="Times New Roman"/>
                <w:sz w:val="18"/>
                <w:szCs w:val="18"/>
              </w:rPr>
            </w:pPr>
            <w:r w:rsidRPr="00314658">
              <w:rPr>
                <w:rFonts w:ascii="Times New Roman" w:eastAsia="宋体" w:hAnsi="Times New Roman" w:cs="Times New Roman"/>
                <w:sz w:val="18"/>
                <w:szCs w:val="18"/>
              </w:rPr>
              <w:t>财务费用</w:t>
            </w:r>
          </w:p>
        </w:tc>
        <w:tc>
          <w:tcPr>
            <w:tcW w:w="2338" w:type="dxa"/>
            <w:tcBorders>
              <w:top w:val="single" w:sz="2" w:space="0" w:color="auto"/>
              <w:left w:val="single" w:sz="2" w:space="0" w:color="auto"/>
              <w:bottom w:val="single" w:sz="2" w:space="0" w:color="auto"/>
              <w:right w:val="single" w:sz="2" w:space="0" w:color="auto"/>
            </w:tcBorders>
            <w:vAlign w:val="center"/>
          </w:tcPr>
          <w:p w14:paraId="71C5299D"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35,167,127.29</w:t>
            </w:r>
          </w:p>
        </w:tc>
        <w:tc>
          <w:tcPr>
            <w:tcW w:w="2339" w:type="dxa"/>
            <w:tcBorders>
              <w:top w:val="single" w:sz="2" w:space="0" w:color="auto"/>
              <w:left w:val="single" w:sz="2" w:space="0" w:color="auto"/>
              <w:bottom w:val="single" w:sz="2" w:space="0" w:color="auto"/>
              <w:right w:val="single" w:sz="2" w:space="0" w:color="auto"/>
            </w:tcBorders>
            <w:vAlign w:val="center"/>
          </w:tcPr>
          <w:p w14:paraId="33DA5B61"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20,072,214.97</w:t>
            </w:r>
          </w:p>
        </w:tc>
      </w:tr>
      <w:tr w:rsidR="00C57E60" w14:paraId="4BDAE95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4E2401C" w14:textId="77777777" w:rsidR="00DC359B" w:rsidRPr="00314658" w:rsidRDefault="00DC359B" w:rsidP="00DC359B">
            <w:pPr>
              <w:spacing w:before="40" w:after="40" w:line="348" w:lineRule="auto"/>
              <w:ind w:firstLineChars="500" w:firstLine="900"/>
              <w:rPr>
                <w:rFonts w:ascii="Times New Roman" w:eastAsia="宋体" w:hAnsi="Times New Roman" w:cs="Times New Roman"/>
                <w:sz w:val="18"/>
                <w:szCs w:val="18"/>
              </w:rPr>
            </w:pPr>
            <w:r w:rsidRPr="00314658">
              <w:rPr>
                <w:rFonts w:ascii="Times New Roman" w:eastAsia="宋体" w:hAnsi="Times New Roman" w:cs="Times New Roman"/>
                <w:sz w:val="18"/>
                <w:szCs w:val="18"/>
              </w:rPr>
              <w:t>其中：利息费用</w:t>
            </w:r>
          </w:p>
        </w:tc>
        <w:tc>
          <w:tcPr>
            <w:tcW w:w="2338" w:type="dxa"/>
            <w:tcBorders>
              <w:top w:val="single" w:sz="2" w:space="0" w:color="auto"/>
              <w:left w:val="single" w:sz="2" w:space="0" w:color="auto"/>
              <w:bottom w:val="single" w:sz="2" w:space="0" w:color="auto"/>
              <w:right w:val="single" w:sz="2" w:space="0" w:color="auto"/>
            </w:tcBorders>
            <w:vAlign w:val="center"/>
          </w:tcPr>
          <w:p w14:paraId="06C256F4"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38,881,795.30</w:t>
            </w:r>
          </w:p>
        </w:tc>
        <w:tc>
          <w:tcPr>
            <w:tcW w:w="2339" w:type="dxa"/>
            <w:tcBorders>
              <w:top w:val="single" w:sz="2" w:space="0" w:color="auto"/>
              <w:left w:val="single" w:sz="2" w:space="0" w:color="auto"/>
              <w:bottom w:val="single" w:sz="2" w:space="0" w:color="auto"/>
              <w:right w:val="single" w:sz="2" w:space="0" w:color="auto"/>
            </w:tcBorders>
            <w:vAlign w:val="center"/>
          </w:tcPr>
          <w:p w14:paraId="688E8DE1"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47,465,477.96</w:t>
            </w:r>
          </w:p>
        </w:tc>
      </w:tr>
      <w:tr w:rsidR="00C57E60" w14:paraId="50A43D7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F59CD43" w14:textId="77777777" w:rsidR="00DC359B" w:rsidRPr="00314658" w:rsidRDefault="00DC359B" w:rsidP="00DC359B">
            <w:pPr>
              <w:spacing w:before="40" w:after="40" w:line="348" w:lineRule="auto"/>
              <w:ind w:firstLineChars="800" w:firstLine="1440"/>
              <w:rPr>
                <w:rFonts w:ascii="Times New Roman" w:eastAsia="宋体" w:hAnsi="Times New Roman" w:cs="Times New Roman"/>
                <w:sz w:val="18"/>
                <w:szCs w:val="18"/>
              </w:rPr>
            </w:pPr>
            <w:r w:rsidRPr="00314658">
              <w:rPr>
                <w:rFonts w:ascii="Times New Roman" w:eastAsia="宋体" w:hAnsi="Times New Roman" w:cs="Times New Roman"/>
                <w:sz w:val="18"/>
                <w:szCs w:val="18"/>
              </w:rPr>
              <w:t>利息收入</w:t>
            </w:r>
          </w:p>
        </w:tc>
        <w:tc>
          <w:tcPr>
            <w:tcW w:w="2338" w:type="dxa"/>
            <w:tcBorders>
              <w:top w:val="single" w:sz="2" w:space="0" w:color="auto"/>
              <w:left w:val="single" w:sz="2" w:space="0" w:color="auto"/>
              <w:bottom w:val="single" w:sz="2" w:space="0" w:color="auto"/>
              <w:right w:val="single" w:sz="2" w:space="0" w:color="auto"/>
            </w:tcBorders>
            <w:vAlign w:val="center"/>
          </w:tcPr>
          <w:p w14:paraId="63246605"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21,556,449.10</w:t>
            </w:r>
          </w:p>
        </w:tc>
        <w:tc>
          <w:tcPr>
            <w:tcW w:w="2339" w:type="dxa"/>
            <w:tcBorders>
              <w:top w:val="single" w:sz="2" w:space="0" w:color="auto"/>
              <w:left w:val="single" w:sz="2" w:space="0" w:color="auto"/>
              <w:bottom w:val="single" w:sz="2" w:space="0" w:color="auto"/>
              <w:right w:val="single" w:sz="2" w:space="0" w:color="auto"/>
            </w:tcBorders>
            <w:vAlign w:val="center"/>
          </w:tcPr>
          <w:p w14:paraId="066AB033"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20,506,208.52</w:t>
            </w:r>
          </w:p>
        </w:tc>
      </w:tr>
      <w:tr w:rsidR="00C57E60" w14:paraId="4857916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70C5F52" w14:textId="77777777" w:rsidR="00DC359B" w:rsidRPr="00314658" w:rsidRDefault="00DC359B" w:rsidP="00DC359B">
            <w:pPr>
              <w:spacing w:before="40" w:after="40"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加：其他收益</w:t>
            </w:r>
          </w:p>
        </w:tc>
        <w:tc>
          <w:tcPr>
            <w:tcW w:w="2338" w:type="dxa"/>
            <w:tcBorders>
              <w:top w:val="single" w:sz="2" w:space="0" w:color="auto"/>
              <w:left w:val="single" w:sz="2" w:space="0" w:color="auto"/>
              <w:bottom w:val="single" w:sz="2" w:space="0" w:color="auto"/>
              <w:right w:val="single" w:sz="2" w:space="0" w:color="auto"/>
            </w:tcBorders>
            <w:vAlign w:val="center"/>
          </w:tcPr>
          <w:p w14:paraId="50B178FF"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57,464,502.98</w:t>
            </w:r>
          </w:p>
        </w:tc>
        <w:tc>
          <w:tcPr>
            <w:tcW w:w="2339" w:type="dxa"/>
            <w:tcBorders>
              <w:top w:val="single" w:sz="2" w:space="0" w:color="auto"/>
              <w:left w:val="single" w:sz="2" w:space="0" w:color="auto"/>
              <w:bottom w:val="single" w:sz="2" w:space="0" w:color="auto"/>
              <w:right w:val="single" w:sz="2" w:space="0" w:color="auto"/>
            </w:tcBorders>
            <w:vAlign w:val="center"/>
          </w:tcPr>
          <w:p w14:paraId="437BAEEB"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100,507,784.20</w:t>
            </w:r>
          </w:p>
        </w:tc>
      </w:tr>
      <w:tr w:rsidR="00C57E60" w14:paraId="49DB89D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DFB7943"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投资收益（损失以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7367C77E"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1,401,010.78</w:t>
            </w:r>
          </w:p>
        </w:tc>
        <w:tc>
          <w:tcPr>
            <w:tcW w:w="2339" w:type="dxa"/>
            <w:tcBorders>
              <w:top w:val="single" w:sz="2" w:space="0" w:color="auto"/>
              <w:left w:val="single" w:sz="2" w:space="0" w:color="auto"/>
              <w:bottom w:val="single" w:sz="2" w:space="0" w:color="auto"/>
              <w:right w:val="single" w:sz="2" w:space="0" w:color="auto"/>
            </w:tcBorders>
            <w:vAlign w:val="center"/>
          </w:tcPr>
          <w:p w14:paraId="6F5D29E7"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-1,595,366.95</w:t>
            </w:r>
          </w:p>
        </w:tc>
      </w:tr>
      <w:tr w:rsidR="00C57E60" w14:paraId="55D86A4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7763976" w14:textId="77777777" w:rsidR="00DC359B" w:rsidRPr="00314658" w:rsidRDefault="00DC359B" w:rsidP="00DC359B">
            <w:pPr>
              <w:spacing w:before="40" w:after="40" w:line="348" w:lineRule="auto"/>
              <w:ind w:firstLineChars="500" w:firstLine="900"/>
              <w:rPr>
                <w:rFonts w:ascii="Times New Roman" w:eastAsia="宋体" w:hAnsi="Times New Roman" w:cs="Times New Roman"/>
                <w:sz w:val="18"/>
                <w:szCs w:val="18"/>
              </w:rPr>
            </w:pPr>
            <w:r w:rsidRPr="00314658">
              <w:rPr>
                <w:rFonts w:ascii="Times New Roman" w:eastAsia="宋体" w:hAnsi="Times New Roman" w:cs="Times New Roman"/>
                <w:sz w:val="18"/>
                <w:szCs w:val="18"/>
              </w:rPr>
              <w:t>其中：对联营企业和合营企业的投资收益</w:t>
            </w:r>
          </w:p>
        </w:tc>
        <w:tc>
          <w:tcPr>
            <w:tcW w:w="2338" w:type="dxa"/>
            <w:tcBorders>
              <w:top w:val="single" w:sz="2" w:space="0" w:color="auto"/>
              <w:left w:val="single" w:sz="2" w:space="0" w:color="auto"/>
              <w:bottom w:val="single" w:sz="2" w:space="0" w:color="auto"/>
              <w:right w:val="single" w:sz="2" w:space="0" w:color="auto"/>
            </w:tcBorders>
            <w:vAlign w:val="center"/>
          </w:tcPr>
          <w:p w14:paraId="6D8747D2"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-308,588.70</w:t>
            </w:r>
          </w:p>
        </w:tc>
        <w:tc>
          <w:tcPr>
            <w:tcW w:w="2339" w:type="dxa"/>
            <w:tcBorders>
              <w:top w:val="single" w:sz="2" w:space="0" w:color="auto"/>
              <w:left w:val="single" w:sz="2" w:space="0" w:color="auto"/>
              <w:bottom w:val="single" w:sz="2" w:space="0" w:color="auto"/>
              <w:right w:val="single" w:sz="2" w:space="0" w:color="auto"/>
            </w:tcBorders>
            <w:vAlign w:val="center"/>
          </w:tcPr>
          <w:p w14:paraId="79DB28F7"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-2,731,326.61</w:t>
            </w:r>
          </w:p>
        </w:tc>
      </w:tr>
      <w:tr w:rsidR="00C57E60" w14:paraId="52ED44F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7770375" w14:textId="77777777" w:rsidR="00DC359B" w:rsidRPr="00314658" w:rsidRDefault="00DC359B" w:rsidP="00DC359B">
            <w:pPr>
              <w:spacing w:before="40" w:after="40" w:line="348" w:lineRule="auto"/>
              <w:ind w:firstLineChars="800" w:firstLine="1440"/>
              <w:rPr>
                <w:rFonts w:ascii="Times New Roman" w:eastAsia="宋体" w:hAnsi="Times New Roman" w:cs="Times New Roman"/>
                <w:sz w:val="18"/>
                <w:szCs w:val="18"/>
              </w:rPr>
            </w:pPr>
            <w:r w:rsidRPr="00314658">
              <w:rPr>
                <w:rFonts w:ascii="Times New Roman" w:eastAsia="宋体" w:hAnsi="Times New Roman" w:cs="Times New Roman"/>
                <w:sz w:val="18"/>
                <w:szCs w:val="18"/>
              </w:rPr>
              <w:t>以摊余成本计量的金融资产终止确认收益</w:t>
            </w:r>
          </w:p>
        </w:tc>
        <w:tc>
          <w:tcPr>
            <w:tcW w:w="2338" w:type="dxa"/>
            <w:tcBorders>
              <w:top w:val="single" w:sz="2" w:space="0" w:color="auto"/>
              <w:left w:val="single" w:sz="2" w:space="0" w:color="auto"/>
              <w:bottom w:val="single" w:sz="2" w:space="0" w:color="auto"/>
              <w:right w:val="single" w:sz="2" w:space="0" w:color="auto"/>
            </w:tcBorders>
            <w:vAlign w:val="center"/>
          </w:tcPr>
          <w:p w14:paraId="6BCC5F0A"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A670409"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13EF14F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DE14305"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汇兑收益（损失以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55D4E710"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3B13F41"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0791770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3A914ED"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净敞口套期收益（损失以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3894B0A0"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B48AC96"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2781550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D1BB6EC"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公允价值变动收益（损失以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B45483C"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1,345,429.99</w:t>
            </w:r>
          </w:p>
        </w:tc>
        <w:tc>
          <w:tcPr>
            <w:tcW w:w="2339" w:type="dxa"/>
            <w:tcBorders>
              <w:top w:val="single" w:sz="2" w:space="0" w:color="auto"/>
              <w:left w:val="single" w:sz="2" w:space="0" w:color="auto"/>
              <w:bottom w:val="single" w:sz="2" w:space="0" w:color="auto"/>
              <w:right w:val="single" w:sz="2" w:space="0" w:color="auto"/>
            </w:tcBorders>
            <w:vAlign w:val="center"/>
          </w:tcPr>
          <w:p w14:paraId="5BF11118"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457F779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A7BFB61"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信用减值损失（损失以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41679107"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-10,757,730.24</w:t>
            </w:r>
          </w:p>
        </w:tc>
        <w:tc>
          <w:tcPr>
            <w:tcW w:w="2339" w:type="dxa"/>
            <w:tcBorders>
              <w:top w:val="single" w:sz="2" w:space="0" w:color="auto"/>
              <w:left w:val="single" w:sz="2" w:space="0" w:color="auto"/>
              <w:bottom w:val="single" w:sz="2" w:space="0" w:color="auto"/>
              <w:right w:val="single" w:sz="2" w:space="0" w:color="auto"/>
            </w:tcBorders>
            <w:vAlign w:val="center"/>
          </w:tcPr>
          <w:p w14:paraId="3D339CC0"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-28,390,059.42</w:t>
            </w:r>
          </w:p>
        </w:tc>
      </w:tr>
      <w:tr w:rsidR="00C57E60" w14:paraId="0D13929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FA25327"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资产减值损失（损失以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015CD5DE"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-184,317,259.70</w:t>
            </w:r>
          </w:p>
        </w:tc>
        <w:tc>
          <w:tcPr>
            <w:tcW w:w="2339" w:type="dxa"/>
            <w:tcBorders>
              <w:top w:val="single" w:sz="2" w:space="0" w:color="auto"/>
              <w:left w:val="single" w:sz="2" w:space="0" w:color="auto"/>
              <w:bottom w:val="single" w:sz="2" w:space="0" w:color="auto"/>
              <w:right w:val="single" w:sz="2" w:space="0" w:color="auto"/>
            </w:tcBorders>
            <w:vAlign w:val="center"/>
          </w:tcPr>
          <w:p w14:paraId="61854677"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-74,396,452.82</w:t>
            </w:r>
          </w:p>
        </w:tc>
      </w:tr>
      <w:tr w:rsidR="00C57E60" w14:paraId="48E7FFD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6B733B0" w14:textId="77777777" w:rsidR="00DC359B" w:rsidRPr="00314658" w:rsidRDefault="00DC359B" w:rsidP="00DC359B">
            <w:pPr>
              <w:spacing w:before="40" w:after="40"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资产处置收益（损失以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2D46C2F3"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-1,143,532.66</w:t>
            </w:r>
          </w:p>
        </w:tc>
        <w:tc>
          <w:tcPr>
            <w:tcW w:w="2339" w:type="dxa"/>
            <w:tcBorders>
              <w:top w:val="single" w:sz="2" w:space="0" w:color="auto"/>
              <w:left w:val="single" w:sz="2" w:space="0" w:color="auto"/>
              <w:bottom w:val="single" w:sz="2" w:space="0" w:color="auto"/>
              <w:right w:val="single" w:sz="2" w:space="0" w:color="auto"/>
            </w:tcBorders>
            <w:vAlign w:val="center"/>
          </w:tcPr>
          <w:p w14:paraId="0EB1C038"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957,336.24</w:t>
            </w:r>
          </w:p>
        </w:tc>
      </w:tr>
      <w:tr w:rsidR="00C57E60" w14:paraId="01EAFC8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6D48D5F" w14:textId="77777777" w:rsidR="00DC359B" w:rsidRPr="00314658" w:rsidRDefault="00DC359B" w:rsidP="00DC359B">
            <w:pPr>
              <w:spacing w:before="40" w:after="40"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三、营业利润（亏损以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734027DC"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64,007,025.33</w:t>
            </w:r>
          </w:p>
        </w:tc>
        <w:tc>
          <w:tcPr>
            <w:tcW w:w="2339" w:type="dxa"/>
            <w:tcBorders>
              <w:top w:val="single" w:sz="2" w:space="0" w:color="auto"/>
              <w:left w:val="single" w:sz="2" w:space="0" w:color="auto"/>
              <w:bottom w:val="single" w:sz="2" w:space="0" w:color="auto"/>
              <w:right w:val="single" w:sz="2" w:space="0" w:color="auto"/>
            </w:tcBorders>
            <w:vAlign w:val="center"/>
          </w:tcPr>
          <w:p w14:paraId="7F462585"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398,977,729.70</w:t>
            </w:r>
          </w:p>
        </w:tc>
      </w:tr>
      <w:tr w:rsidR="00C57E60" w14:paraId="495BDCC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984DD73" w14:textId="77777777" w:rsidR="00DC359B" w:rsidRPr="00314658" w:rsidRDefault="00DC359B" w:rsidP="00DC359B">
            <w:pPr>
              <w:spacing w:before="40" w:after="40"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加：营业外收入</w:t>
            </w:r>
          </w:p>
        </w:tc>
        <w:tc>
          <w:tcPr>
            <w:tcW w:w="2338" w:type="dxa"/>
            <w:tcBorders>
              <w:top w:val="single" w:sz="2" w:space="0" w:color="auto"/>
              <w:left w:val="single" w:sz="2" w:space="0" w:color="auto"/>
              <w:bottom w:val="single" w:sz="2" w:space="0" w:color="auto"/>
              <w:right w:val="single" w:sz="2" w:space="0" w:color="auto"/>
            </w:tcBorders>
            <w:vAlign w:val="center"/>
          </w:tcPr>
          <w:p w14:paraId="69303B79" w14:textId="41BA257D"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15,485,531.49</w:t>
            </w:r>
          </w:p>
        </w:tc>
        <w:tc>
          <w:tcPr>
            <w:tcW w:w="2339" w:type="dxa"/>
            <w:tcBorders>
              <w:top w:val="single" w:sz="2" w:space="0" w:color="auto"/>
              <w:left w:val="single" w:sz="2" w:space="0" w:color="auto"/>
              <w:bottom w:val="single" w:sz="2" w:space="0" w:color="auto"/>
              <w:right w:val="single" w:sz="2" w:space="0" w:color="auto"/>
            </w:tcBorders>
            <w:vAlign w:val="center"/>
          </w:tcPr>
          <w:p w14:paraId="7A6681B9"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644,980.99</w:t>
            </w:r>
          </w:p>
        </w:tc>
      </w:tr>
      <w:tr w:rsidR="00C57E60" w14:paraId="580BC28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7759598" w14:textId="77777777" w:rsidR="00DC359B" w:rsidRPr="00314658" w:rsidRDefault="00DC359B" w:rsidP="00DC359B">
            <w:pPr>
              <w:spacing w:before="40" w:after="40"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减：营业外支出</w:t>
            </w:r>
          </w:p>
        </w:tc>
        <w:tc>
          <w:tcPr>
            <w:tcW w:w="2338" w:type="dxa"/>
            <w:tcBorders>
              <w:top w:val="single" w:sz="2" w:space="0" w:color="auto"/>
              <w:left w:val="single" w:sz="2" w:space="0" w:color="auto"/>
              <w:bottom w:val="single" w:sz="2" w:space="0" w:color="auto"/>
              <w:right w:val="single" w:sz="2" w:space="0" w:color="auto"/>
            </w:tcBorders>
            <w:vAlign w:val="center"/>
          </w:tcPr>
          <w:p w14:paraId="44F88FA2" w14:textId="48D51353"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5,</w:t>
            </w:r>
            <w:r w:rsidR="00DF4DF9" w:rsidRPr="00DF4DF9">
              <w:rPr>
                <w:rFonts w:ascii="Times New Roman" w:eastAsia="宋体" w:hAnsi="Times New Roman" w:cs="Times New Roman"/>
                <w:sz w:val="18"/>
                <w:szCs w:val="18"/>
              </w:rPr>
              <w:t>438,519.75</w:t>
            </w:r>
          </w:p>
        </w:tc>
        <w:tc>
          <w:tcPr>
            <w:tcW w:w="2339" w:type="dxa"/>
            <w:tcBorders>
              <w:top w:val="single" w:sz="2" w:space="0" w:color="auto"/>
              <w:left w:val="single" w:sz="2" w:space="0" w:color="auto"/>
              <w:bottom w:val="single" w:sz="2" w:space="0" w:color="auto"/>
              <w:right w:val="single" w:sz="2" w:space="0" w:color="auto"/>
            </w:tcBorders>
            <w:vAlign w:val="center"/>
          </w:tcPr>
          <w:p w14:paraId="0EAB0229"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4,361,528.28</w:t>
            </w:r>
          </w:p>
        </w:tc>
      </w:tr>
      <w:tr w:rsidR="00C57E60" w14:paraId="18456F1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162E56F" w14:textId="77777777" w:rsidR="00DC359B" w:rsidRPr="00314658" w:rsidRDefault="00DC359B" w:rsidP="00DC359B">
            <w:pPr>
              <w:spacing w:before="40" w:after="40"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四、利润总额（亏损总额以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4A08969C" w14:textId="1E5BF8AF"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74,054,037.07</w:t>
            </w:r>
          </w:p>
        </w:tc>
        <w:tc>
          <w:tcPr>
            <w:tcW w:w="2339" w:type="dxa"/>
            <w:tcBorders>
              <w:top w:val="single" w:sz="2" w:space="0" w:color="auto"/>
              <w:left w:val="single" w:sz="2" w:space="0" w:color="auto"/>
              <w:bottom w:val="single" w:sz="2" w:space="0" w:color="auto"/>
              <w:right w:val="single" w:sz="2" w:space="0" w:color="auto"/>
            </w:tcBorders>
            <w:vAlign w:val="center"/>
          </w:tcPr>
          <w:p w14:paraId="4686BCDC"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395,261,182.41</w:t>
            </w:r>
          </w:p>
        </w:tc>
      </w:tr>
      <w:tr w:rsidR="00C57E60" w14:paraId="74C65A2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23CEC99" w14:textId="77777777" w:rsidR="00DC359B" w:rsidRPr="00314658" w:rsidRDefault="00DC359B" w:rsidP="00DC359B">
            <w:pPr>
              <w:spacing w:before="40" w:after="40"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减：所得税费用</w:t>
            </w:r>
          </w:p>
        </w:tc>
        <w:tc>
          <w:tcPr>
            <w:tcW w:w="2338" w:type="dxa"/>
            <w:tcBorders>
              <w:top w:val="single" w:sz="2" w:space="0" w:color="auto"/>
              <w:left w:val="single" w:sz="2" w:space="0" w:color="auto"/>
              <w:bottom w:val="single" w:sz="2" w:space="0" w:color="auto"/>
              <w:right w:val="single" w:sz="2" w:space="0" w:color="auto"/>
            </w:tcBorders>
            <w:vAlign w:val="center"/>
          </w:tcPr>
          <w:p w14:paraId="564DA331" w14:textId="0F334572"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51,977,363.02</w:t>
            </w:r>
          </w:p>
        </w:tc>
        <w:tc>
          <w:tcPr>
            <w:tcW w:w="2339" w:type="dxa"/>
            <w:tcBorders>
              <w:top w:val="single" w:sz="2" w:space="0" w:color="auto"/>
              <w:left w:val="single" w:sz="2" w:space="0" w:color="auto"/>
              <w:bottom w:val="single" w:sz="2" w:space="0" w:color="auto"/>
              <w:right w:val="single" w:sz="2" w:space="0" w:color="auto"/>
            </w:tcBorders>
            <w:vAlign w:val="center"/>
          </w:tcPr>
          <w:p w14:paraId="7B7A6112"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49,406,583.44</w:t>
            </w:r>
          </w:p>
        </w:tc>
      </w:tr>
      <w:tr w:rsidR="00C57E60" w14:paraId="136615B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CC602C1" w14:textId="77777777" w:rsidR="00DC359B" w:rsidRPr="00314658" w:rsidRDefault="00DC359B" w:rsidP="00DC359B">
            <w:pPr>
              <w:spacing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五、净利润（净亏损以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0364A233" w14:textId="42DCE965"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22,076,674.05</w:t>
            </w:r>
          </w:p>
        </w:tc>
        <w:tc>
          <w:tcPr>
            <w:tcW w:w="2339" w:type="dxa"/>
            <w:tcBorders>
              <w:top w:val="single" w:sz="2" w:space="0" w:color="auto"/>
              <w:left w:val="single" w:sz="2" w:space="0" w:color="auto"/>
              <w:bottom w:val="single" w:sz="2" w:space="0" w:color="auto"/>
              <w:right w:val="single" w:sz="2" w:space="0" w:color="auto"/>
            </w:tcBorders>
            <w:vAlign w:val="center"/>
          </w:tcPr>
          <w:p w14:paraId="46AF2A3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345,854,598.97</w:t>
            </w:r>
          </w:p>
        </w:tc>
      </w:tr>
      <w:tr w:rsidR="00C57E60" w14:paraId="38BFEFB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4718808"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（一）按经营持续性分类</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027C6889" w14:textId="77777777" w:rsidR="00DC359B" w:rsidRPr="00314658" w:rsidRDefault="00DC359B" w:rsidP="00DC359B">
            <w:pPr>
              <w:spacing w:line="348"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79C30A23" w14:textId="77777777" w:rsidR="00DC359B" w:rsidRPr="00314658" w:rsidRDefault="00DC359B" w:rsidP="00DC359B">
            <w:pPr>
              <w:spacing w:line="348" w:lineRule="auto"/>
              <w:rPr>
                <w:rFonts w:ascii="Times New Roman" w:hAnsi="Times New Roman" w:cs="Times New Roman"/>
              </w:rPr>
            </w:pPr>
          </w:p>
        </w:tc>
      </w:tr>
      <w:tr w:rsidR="00C57E60" w14:paraId="6FBDF3E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1A6C15C" w14:textId="77777777" w:rsidR="00DC359B" w:rsidRPr="00314658" w:rsidRDefault="00DC359B" w:rsidP="00DC359B">
            <w:pPr>
              <w:spacing w:line="348" w:lineRule="auto"/>
              <w:ind w:firstLineChars="200" w:firstLine="360"/>
              <w:rPr>
                <w:rFonts w:ascii="Times New Roman" w:eastAsia="宋体" w:hAnsi="Times New Roman" w:cs="Times New Roman"/>
                <w:sz w:val="18"/>
                <w:szCs w:val="18"/>
              </w:rPr>
            </w:pPr>
            <w:r w:rsidRPr="00314658">
              <w:rPr>
                <w:rFonts w:ascii="Times New Roman" w:eastAsia="宋体" w:hAnsi="Times New Roman" w:cs="Times New Roman"/>
                <w:sz w:val="18"/>
                <w:szCs w:val="18"/>
              </w:rPr>
              <w:t>1.</w:t>
            </w:r>
            <w:r w:rsidRPr="00314658">
              <w:rPr>
                <w:rFonts w:ascii="Times New Roman" w:eastAsia="宋体" w:hAnsi="Times New Roman" w:cs="Times New Roman"/>
                <w:sz w:val="18"/>
                <w:szCs w:val="18"/>
              </w:rPr>
              <w:t>持续经营净利润（净亏损以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554AEA7" w14:textId="74D0B531"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22,076,674.05</w:t>
            </w:r>
          </w:p>
        </w:tc>
        <w:tc>
          <w:tcPr>
            <w:tcW w:w="2339" w:type="dxa"/>
            <w:tcBorders>
              <w:top w:val="single" w:sz="2" w:space="0" w:color="auto"/>
              <w:left w:val="single" w:sz="2" w:space="0" w:color="auto"/>
              <w:bottom w:val="single" w:sz="2" w:space="0" w:color="auto"/>
              <w:right w:val="single" w:sz="2" w:space="0" w:color="auto"/>
            </w:tcBorders>
            <w:vAlign w:val="center"/>
          </w:tcPr>
          <w:p w14:paraId="7CBD1A6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345,854,598.97</w:t>
            </w:r>
          </w:p>
        </w:tc>
      </w:tr>
      <w:tr w:rsidR="00C57E60" w14:paraId="385B538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B34B569" w14:textId="77777777" w:rsidR="00DC359B" w:rsidRPr="00314658" w:rsidRDefault="00DC359B" w:rsidP="00DC359B">
            <w:pPr>
              <w:spacing w:line="348" w:lineRule="auto"/>
              <w:ind w:firstLineChars="200" w:firstLine="360"/>
              <w:rPr>
                <w:rFonts w:ascii="Times New Roman" w:eastAsia="宋体" w:hAnsi="Times New Roman" w:cs="Times New Roman"/>
                <w:sz w:val="18"/>
                <w:szCs w:val="18"/>
              </w:rPr>
            </w:pPr>
            <w:r w:rsidRPr="00314658">
              <w:rPr>
                <w:rFonts w:ascii="Times New Roman" w:eastAsia="宋体" w:hAnsi="Times New Roman" w:cs="Times New Roman"/>
                <w:sz w:val="18"/>
                <w:szCs w:val="18"/>
              </w:rPr>
              <w:t>2.</w:t>
            </w:r>
            <w:r w:rsidRPr="00314658">
              <w:rPr>
                <w:rFonts w:ascii="Times New Roman" w:eastAsia="宋体" w:hAnsi="Times New Roman" w:cs="Times New Roman"/>
                <w:sz w:val="18"/>
                <w:szCs w:val="18"/>
              </w:rPr>
              <w:t>终止经营净利润（净亏损以</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w:t>
            </w:r>
            <w:r w:rsidRPr="00314658">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50204680"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13D6FAD"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77E9C17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6E2E1EA"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（二）按所有权归属分类</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5901ACC1" w14:textId="77777777" w:rsidR="00DC359B" w:rsidRPr="00314658" w:rsidRDefault="00DC359B" w:rsidP="00DC359B">
            <w:pPr>
              <w:spacing w:line="348"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304D4912" w14:textId="77777777" w:rsidR="00DC359B" w:rsidRPr="00314658" w:rsidRDefault="00DC359B" w:rsidP="00DC359B">
            <w:pPr>
              <w:spacing w:line="348" w:lineRule="auto"/>
              <w:rPr>
                <w:rFonts w:ascii="Times New Roman" w:hAnsi="Times New Roman" w:cs="Times New Roman"/>
              </w:rPr>
            </w:pPr>
          </w:p>
        </w:tc>
      </w:tr>
      <w:tr w:rsidR="00C57E60" w14:paraId="601A62C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15BC511" w14:textId="77777777" w:rsidR="00DC359B" w:rsidRPr="00314658" w:rsidRDefault="00DC359B" w:rsidP="00DC359B">
            <w:pPr>
              <w:spacing w:line="348" w:lineRule="auto"/>
              <w:ind w:firstLineChars="200" w:firstLine="360"/>
              <w:rPr>
                <w:rFonts w:ascii="Times New Roman" w:eastAsia="宋体" w:hAnsi="Times New Roman" w:cs="Times New Roman"/>
                <w:sz w:val="18"/>
                <w:szCs w:val="18"/>
              </w:rPr>
            </w:pPr>
            <w:r w:rsidRPr="00314658">
              <w:rPr>
                <w:rFonts w:ascii="Times New Roman" w:eastAsia="宋体" w:hAnsi="Times New Roman" w:cs="Times New Roman"/>
                <w:sz w:val="18"/>
                <w:szCs w:val="18"/>
              </w:rPr>
              <w:t>1.</w:t>
            </w:r>
            <w:r w:rsidRPr="00314658">
              <w:rPr>
                <w:rFonts w:ascii="Times New Roman" w:eastAsia="宋体" w:hAnsi="Times New Roman" w:cs="Times New Roman"/>
                <w:sz w:val="18"/>
                <w:szCs w:val="18"/>
              </w:rPr>
              <w:t>归属于母公司股东的净利润</w:t>
            </w:r>
          </w:p>
        </w:tc>
        <w:tc>
          <w:tcPr>
            <w:tcW w:w="2338" w:type="dxa"/>
            <w:tcBorders>
              <w:top w:val="single" w:sz="2" w:space="0" w:color="auto"/>
              <w:left w:val="single" w:sz="2" w:space="0" w:color="auto"/>
              <w:bottom w:val="single" w:sz="2" w:space="0" w:color="auto"/>
              <w:right w:val="single" w:sz="2" w:space="0" w:color="auto"/>
            </w:tcBorders>
            <w:vAlign w:val="center"/>
          </w:tcPr>
          <w:p w14:paraId="28A3E8A1" w14:textId="14C1C988"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92,648,858.69</w:t>
            </w:r>
          </w:p>
        </w:tc>
        <w:tc>
          <w:tcPr>
            <w:tcW w:w="2339" w:type="dxa"/>
            <w:tcBorders>
              <w:top w:val="single" w:sz="2" w:space="0" w:color="auto"/>
              <w:left w:val="single" w:sz="2" w:space="0" w:color="auto"/>
              <w:bottom w:val="single" w:sz="2" w:space="0" w:color="auto"/>
              <w:right w:val="single" w:sz="2" w:space="0" w:color="auto"/>
            </w:tcBorders>
            <w:vAlign w:val="center"/>
          </w:tcPr>
          <w:p w14:paraId="33203EF5"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326,290,993.05</w:t>
            </w:r>
          </w:p>
        </w:tc>
      </w:tr>
      <w:tr w:rsidR="00C57E60" w14:paraId="3CE5E03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96C07C0" w14:textId="77777777" w:rsidR="00DC359B" w:rsidRPr="00314658" w:rsidRDefault="00DC359B" w:rsidP="00DC359B">
            <w:pPr>
              <w:spacing w:line="348" w:lineRule="auto"/>
              <w:ind w:firstLineChars="200" w:firstLine="360"/>
              <w:rPr>
                <w:rFonts w:ascii="Times New Roman" w:eastAsia="宋体" w:hAnsi="Times New Roman" w:cs="Times New Roman"/>
                <w:sz w:val="18"/>
                <w:szCs w:val="18"/>
              </w:rPr>
            </w:pPr>
            <w:r w:rsidRPr="00314658">
              <w:rPr>
                <w:rFonts w:ascii="Times New Roman" w:eastAsia="宋体" w:hAnsi="Times New Roman" w:cs="Times New Roman"/>
                <w:sz w:val="18"/>
                <w:szCs w:val="18"/>
              </w:rPr>
              <w:t>2.</w:t>
            </w:r>
            <w:r w:rsidRPr="00314658">
              <w:rPr>
                <w:rFonts w:ascii="Times New Roman" w:eastAsia="宋体" w:hAnsi="Times New Roman" w:cs="Times New Roman"/>
                <w:sz w:val="18"/>
                <w:szCs w:val="18"/>
              </w:rPr>
              <w:t>少数股东损益</w:t>
            </w:r>
          </w:p>
        </w:tc>
        <w:tc>
          <w:tcPr>
            <w:tcW w:w="2338" w:type="dxa"/>
            <w:tcBorders>
              <w:top w:val="single" w:sz="2" w:space="0" w:color="auto"/>
              <w:left w:val="single" w:sz="2" w:space="0" w:color="auto"/>
              <w:bottom w:val="single" w:sz="2" w:space="0" w:color="auto"/>
              <w:right w:val="single" w:sz="2" w:space="0" w:color="auto"/>
            </w:tcBorders>
            <w:vAlign w:val="center"/>
          </w:tcPr>
          <w:p w14:paraId="10720E1F"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-70,572,184.64</w:t>
            </w:r>
          </w:p>
        </w:tc>
        <w:tc>
          <w:tcPr>
            <w:tcW w:w="2339" w:type="dxa"/>
            <w:tcBorders>
              <w:top w:val="single" w:sz="2" w:space="0" w:color="auto"/>
              <w:left w:val="single" w:sz="2" w:space="0" w:color="auto"/>
              <w:bottom w:val="single" w:sz="2" w:space="0" w:color="auto"/>
              <w:right w:val="single" w:sz="2" w:space="0" w:color="auto"/>
            </w:tcBorders>
            <w:vAlign w:val="center"/>
          </w:tcPr>
          <w:p w14:paraId="029465AD"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19,563,605.92</w:t>
            </w:r>
          </w:p>
        </w:tc>
      </w:tr>
      <w:tr w:rsidR="00C57E60" w14:paraId="1E49856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2DBFB81" w14:textId="77777777" w:rsidR="00DC359B" w:rsidRPr="00314658" w:rsidRDefault="00DC359B" w:rsidP="00DC359B">
            <w:pPr>
              <w:spacing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六、其他综合收益的税后净额</w:t>
            </w:r>
          </w:p>
        </w:tc>
        <w:tc>
          <w:tcPr>
            <w:tcW w:w="2338" w:type="dxa"/>
            <w:tcBorders>
              <w:top w:val="single" w:sz="2" w:space="0" w:color="auto"/>
              <w:left w:val="single" w:sz="2" w:space="0" w:color="auto"/>
              <w:bottom w:val="single" w:sz="2" w:space="0" w:color="auto"/>
              <w:right w:val="single" w:sz="2" w:space="0" w:color="auto"/>
            </w:tcBorders>
            <w:vAlign w:val="center"/>
          </w:tcPr>
          <w:p w14:paraId="6C4C3BC2"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-34,957,876.86</w:t>
            </w:r>
          </w:p>
        </w:tc>
        <w:tc>
          <w:tcPr>
            <w:tcW w:w="2339" w:type="dxa"/>
            <w:tcBorders>
              <w:top w:val="single" w:sz="2" w:space="0" w:color="auto"/>
              <w:left w:val="single" w:sz="2" w:space="0" w:color="auto"/>
              <w:bottom w:val="single" w:sz="2" w:space="0" w:color="auto"/>
              <w:right w:val="single" w:sz="2" w:space="0" w:color="auto"/>
            </w:tcBorders>
            <w:vAlign w:val="center"/>
          </w:tcPr>
          <w:p w14:paraId="439D6EA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24,447,503.61</w:t>
            </w:r>
          </w:p>
        </w:tc>
      </w:tr>
      <w:tr w:rsidR="00C57E60" w14:paraId="1A644C4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234A421"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归属母公司所有者的其他综合收益的税后净额</w:t>
            </w:r>
          </w:p>
        </w:tc>
        <w:tc>
          <w:tcPr>
            <w:tcW w:w="2338" w:type="dxa"/>
            <w:tcBorders>
              <w:top w:val="single" w:sz="2" w:space="0" w:color="auto"/>
              <w:left w:val="single" w:sz="2" w:space="0" w:color="auto"/>
              <w:bottom w:val="single" w:sz="2" w:space="0" w:color="auto"/>
              <w:right w:val="single" w:sz="2" w:space="0" w:color="auto"/>
            </w:tcBorders>
            <w:vAlign w:val="center"/>
          </w:tcPr>
          <w:p w14:paraId="68898A62"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-26,988,265.98</w:t>
            </w:r>
          </w:p>
        </w:tc>
        <w:tc>
          <w:tcPr>
            <w:tcW w:w="2339" w:type="dxa"/>
            <w:tcBorders>
              <w:top w:val="single" w:sz="2" w:space="0" w:color="auto"/>
              <w:left w:val="single" w:sz="2" w:space="0" w:color="auto"/>
              <w:bottom w:val="single" w:sz="2" w:space="0" w:color="auto"/>
              <w:right w:val="single" w:sz="2" w:space="0" w:color="auto"/>
            </w:tcBorders>
            <w:vAlign w:val="center"/>
          </w:tcPr>
          <w:p w14:paraId="7F8ED04D"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24,206,678.54</w:t>
            </w:r>
          </w:p>
        </w:tc>
      </w:tr>
      <w:tr w:rsidR="00C57E60" w14:paraId="3AB4784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F0E17F3" w14:textId="77777777" w:rsidR="00DC359B" w:rsidRPr="00314658" w:rsidRDefault="00DC359B" w:rsidP="00DC359B">
            <w:pPr>
              <w:spacing w:line="348" w:lineRule="auto"/>
              <w:ind w:firstLineChars="200" w:firstLine="360"/>
              <w:rPr>
                <w:rFonts w:ascii="Times New Roman" w:eastAsia="宋体" w:hAnsi="Times New Roman" w:cs="Times New Roman"/>
                <w:sz w:val="18"/>
                <w:szCs w:val="18"/>
              </w:rPr>
            </w:pPr>
            <w:r w:rsidRPr="00314658">
              <w:rPr>
                <w:rFonts w:ascii="Times New Roman" w:eastAsia="宋体" w:hAnsi="Times New Roman" w:cs="Times New Roman"/>
                <w:sz w:val="18"/>
                <w:szCs w:val="18"/>
              </w:rPr>
              <w:t>（一）不能重分类进损益的其他综合收益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3AB9C04F"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-6,181,845.53</w:t>
            </w:r>
          </w:p>
        </w:tc>
        <w:tc>
          <w:tcPr>
            <w:tcW w:w="2339" w:type="dxa"/>
            <w:tcBorders>
              <w:top w:val="single" w:sz="2" w:space="0" w:color="auto"/>
              <w:left w:val="single" w:sz="2" w:space="0" w:color="auto"/>
              <w:bottom w:val="single" w:sz="2" w:space="0" w:color="auto"/>
              <w:right w:val="single" w:sz="2" w:space="0" w:color="auto"/>
            </w:tcBorders>
            <w:vAlign w:val="center"/>
          </w:tcPr>
          <w:p w14:paraId="03137A48"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16,145,104.81</w:t>
            </w:r>
          </w:p>
        </w:tc>
      </w:tr>
      <w:tr w:rsidR="00C57E60" w14:paraId="2FDAF82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2E59104"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1.</w:t>
            </w:r>
            <w:r w:rsidRPr="00314658">
              <w:rPr>
                <w:rFonts w:ascii="Times New Roman" w:eastAsia="宋体" w:hAnsi="Times New Roman" w:cs="Times New Roman"/>
                <w:sz w:val="18"/>
                <w:szCs w:val="18"/>
              </w:rPr>
              <w:t>重新计量设定受益计划变动额</w:t>
            </w:r>
          </w:p>
        </w:tc>
        <w:tc>
          <w:tcPr>
            <w:tcW w:w="2338" w:type="dxa"/>
            <w:tcBorders>
              <w:top w:val="single" w:sz="2" w:space="0" w:color="auto"/>
              <w:left w:val="single" w:sz="2" w:space="0" w:color="auto"/>
              <w:bottom w:val="single" w:sz="2" w:space="0" w:color="auto"/>
              <w:right w:val="single" w:sz="2" w:space="0" w:color="auto"/>
            </w:tcBorders>
            <w:vAlign w:val="center"/>
          </w:tcPr>
          <w:p w14:paraId="7BF90FA8"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80,771.15</w:t>
            </w:r>
          </w:p>
        </w:tc>
        <w:tc>
          <w:tcPr>
            <w:tcW w:w="2339" w:type="dxa"/>
            <w:tcBorders>
              <w:top w:val="single" w:sz="2" w:space="0" w:color="auto"/>
              <w:left w:val="single" w:sz="2" w:space="0" w:color="auto"/>
              <w:bottom w:val="single" w:sz="2" w:space="0" w:color="auto"/>
              <w:right w:val="single" w:sz="2" w:space="0" w:color="auto"/>
            </w:tcBorders>
            <w:vAlign w:val="center"/>
          </w:tcPr>
          <w:p w14:paraId="1CDA8BA1"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265,962.64</w:t>
            </w:r>
          </w:p>
        </w:tc>
      </w:tr>
      <w:tr w:rsidR="00C57E60" w14:paraId="2769442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8E8E80D"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2.</w:t>
            </w:r>
            <w:r w:rsidRPr="00314658">
              <w:rPr>
                <w:rFonts w:ascii="Times New Roman" w:eastAsia="宋体" w:hAnsi="Times New Roman" w:cs="Times New Roman"/>
                <w:sz w:val="18"/>
                <w:szCs w:val="18"/>
              </w:rPr>
              <w:t>权益法下不能转损益的其他综合收益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0A1B1504"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4C01E935"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1555FA8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73F03A0"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3.</w:t>
            </w:r>
            <w:r w:rsidRPr="00314658">
              <w:rPr>
                <w:rFonts w:ascii="Times New Roman" w:eastAsia="宋体" w:hAnsi="Times New Roman" w:cs="Times New Roman"/>
                <w:sz w:val="18"/>
                <w:szCs w:val="18"/>
              </w:rPr>
              <w:t>其他权益工具投资公允价值变动</w:t>
            </w:r>
          </w:p>
        </w:tc>
        <w:tc>
          <w:tcPr>
            <w:tcW w:w="2338" w:type="dxa"/>
            <w:tcBorders>
              <w:top w:val="single" w:sz="2" w:space="0" w:color="auto"/>
              <w:left w:val="single" w:sz="2" w:space="0" w:color="auto"/>
              <w:bottom w:val="single" w:sz="2" w:space="0" w:color="auto"/>
              <w:right w:val="single" w:sz="2" w:space="0" w:color="auto"/>
            </w:tcBorders>
            <w:vAlign w:val="center"/>
          </w:tcPr>
          <w:p w14:paraId="477B147A"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-6,262,616.68</w:t>
            </w:r>
          </w:p>
        </w:tc>
        <w:tc>
          <w:tcPr>
            <w:tcW w:w="2339" w:type="dxa"/>
            <w:tcBorders>
              <w:top w:val="single" w:sz="2" w:space="0" w:color="auto"/>
              <w:left w:val="single" w:sz="2" w:space="0" w:color="auto"/>
              <w:bottom w:val="single" w:sz="2" w:space="0" w:color="auto"/>
              <w:right w:val="single" w:sz="2" w:space="0" w:color="auto"/>
            </w:tcBorders>
            <w:vAlign w:val="center"/>
          </w:tcPr>
          <w:p w14:paraId="57CD5E37"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15,879,142.17</w:t>
            </w:r>
          </w:p>
        </w:tc>
      </w:tr>
      <w:tr w:rsidR="00C57E60" w14:paraId="07818F2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6F52FA8"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4.</w:t>
            </w:r>
            <w:r w:rsidRPr="00314658">
              <w:rPr>
                <w:rFonts w:ascii="Times New Roman" w:eastAsia="宋体" w:hAnsi="Times New Roman" w:cs="Times New Roman"/>
                <w:sz w:val="18"/>
                <w:szCs w:val="18"/>
              </w:rPr>
              <w:t>企业自身信用风险公允价值变动</w:t>
            </w:r>
          </w:p>
        </w:tc>
        <w:tc>
          <w:tcPr>
            <w:tcW w:w="2338" w:type="dxa"/>
            <w:tcBorders>
              <w:top w:val="single" w:sz="2" w:space="0" w:color="auto"/>
              <w:left w:val="single" w:sz="2" w:space="0" w:color="auto"/>
              <w:bottom w:val="single" w:sz="2" w:space="0" w:color="auto"/>
              <w:right w:val="single" w:sz="2" w:space="0" w:color="auto"/>
            </w:tcBorders>
            <w:vAlign w:val="center"/>
          </w:tcPr>
          <w:p w14:paraId="47320CFC"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628E7ED"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0B02015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DE51214"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5.</w:t>
            </w:r>
            <w:r w:rsidRPr="00314658">
              <w:rPr>
                <w:rFonts w:ascii="Times New Roman" w:eastAsia="宋体" w:hAnsi="Times New Roman" w:cs="Times New Roman"/>
                <w:sz w:val="18"/>
                <w:szCs w:val="18"/>
              </w:rPr>
              <w:t>其他</w:t>
            </w:r>
          </w:p>
        </w:tc>
        <w:tc>
          <w:tcPr>
            <w:tcW w:w="2338" w:type="dxa"/>
            <w:tcBorders>
              <w:top w:val="single" w:sz="2" w:space="0" w:color="auto"/>
              <w:left w:val="single" w:sz="2" w:space="0" w:color="auto"/>
              <w:bottom w:val="single" w:sz="2" w:space="0" w:color="auto"/>
              <w:right w:val="single" w:sz="2" w:space="0" w:color="auto"/>
            </w:tcBorders>
            <w:vAlign w:val="center"/>
          </w:tcPr>
          <w:p w14:paraId="07F3734B"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19AB8A0"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4FFF2C0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D4658D1" w14:textId="77777777" w:rsidR="00DC359B" w:rsidRPr="00314658" w:rsidRDefault="00DC359B" w:rsidP="00DC359B">
            <w:pPr>
              <w:spacing w:line="348" w:lineRule="auto"/>
              <w:ind w:firstLineChars="200" w:firstLine="360"/>
              <w:rPr>
                <w:rFonts w:ascii="Times New Roman" w:eastAsia="宋体" w:hAnsi="Times New Roman" w:cs="Times New Roman"/>
                <w:sz w:val="18"/>
                <w:szCs w:val="18"/>
              </w:rPr>
            </w:pPr>
            <w:r w:rsidRPr="00314658">
              <w:rPr>
                <w:rFonts w:ascii="Times New Roman" w:eastAsia="宋体" w:hAnsi="Times New Roman" w:cs="Times New Roman"/>
                <w:sz w:val="18"/>
                <w:szCs w:val="18"/>
              </w:rPr>
              <w:t>（二）将重分类进损益的其他综合收益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1ECA1CA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-20,806,420.45</w:t>
            </w:r>
          </w:p>
        </w:tc>
        <w:tc>
          <w:tcPr>
            <w:tcW w:w="2339" w:type="dxa"/>
            <w:tcBorders>
              <w:top w:val="single" w:sz="2" w:space="0" w:color="auto"/>
              <w:left w:val="single" w:sz="2" w:space="0" w:color="auto"/>
              <w:bottom w:val="single" w:sz="2" w:space="0" w:color="auto"/>
              <w:right w:val="single" w:sz="2" w:space="0" w:color="auto"/>
            </w:tcBorders>
            <w:vAlign w:val="center"/>
          </w:tcPr>
          <w:p w14:paraId="4AB9D429"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8,061,573.73</w:t>
            </w:r>
          </w:p>
        </w:tc>
      </w:tr>
      <w:tr w:rsidR="00C57E60" w14:paraId="74A8E48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D4B4B2A"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1.</w:t>
            </w:r>
            <w:r w:rsidRPr="00314658">
              <w:rPr>
                <w:rFonts w:ascii="Times New Roman" w:eastAsia="宋体" w:hAnsi="Times New Roman" w:cs="Times New Roman"/>
                <w:sz w:val="18"/>
                <w:szCs w:val="18"/>
              </w:rPr>
              <w:t>权益法下可转损益的其他综合收益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5C8F71A8"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6082D5A"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2264BC1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CBD6CCA"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2.</w:t>
            </w:r>
            <w:r w:rsidRPr="00314658">
              <w:rPr>
                <w:rFonts w:ascii="Times New Roman" w:eastAsia="宋体" w:hAnsi="Times New Roman" w:cs="Times New Roman"/>
                <w:sz w:val="18"/>
                <w:szCs w:val="18"/>
              </w:rPr>
              <w:t>其他债权投资公允价值变动</w:t>
            </w:r>
          </w:p>
        </w:tc>
        <w:tc>
          <w:tcPr>
            <w:tcW w:w="2338" w:type="dxa"/>
            <w:tcBorders>
              <w:top w:val="single" w:sz="2" w:space="0" w:color="auto"/>
              <w:left w:val="single" w:sz="2" w:space="0" w:color="auto"/>
              <w:bottom w:val="single" w:sz="2" w:space="0" w:color="auto"/>
              <w:right w:val="single" w:sz="2" w:space="0" w:color="auto"/>
            </w:tcBorders>
            <w:vAlign w:val="center"/>
          </w:tcPr>
          <w:p w14:paraId="7A035BE5"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DE96137"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7769413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FA319CB"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3.</w:t>
            </w:r>
            <w:r w:rsidRPr="00314658">
              <w:rPr>
                <w:rFonts w:ascii="Times New Roman" w:eastAsia="宋体" w:hAnsi="Times New Roman" w:cs="Times New Roman"/>
                <w:sz w:val="18"/>
                <w:szCs w:val="18"/>
              </w:rPr>
              <w:t>金融资产重分类计入其他综合收益的金额</w:t>
            </w:r>
          </w:p>
        </w:tc>
        <w:tc>
          <w:tcPr>
            <w:tcW w:w="2338" w:type="dxa"/>
            <w:tcBorders>
              <w:top w:val="single" w:sz="2" w:space="0" w:color="auto"/>
              <w:left w:val="single" w:sz="2" w:space="0" w:color="auto"/>
              <w:bottom w:val="single" w:sz="2" w:space="0" w:color="auto"/>
              <w:right w:val="single" w:sz="2" w:space="0" w:color="auto"/>
            </w:tcBorders>
            <w:vAlign w:val="center"/>
          </w:tcPr>
          <w:p w14:paraId="7F212B74"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68CEF83"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7320C89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7BD00DB"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4.</w:t>
            </w:r>
            <w:r w:rsidRPr="00314658">
              <w:rPr>
                <w:rFonts w:ascii="Times New Roman" w:eastAsia="宋体" w:hAnsi="Times New Roman" w:cs="Times New Roman"/>
                <w:sz w:val="18"/>
                <w:szCs w:val="18"/>
              </w:rPr>
              <w:t>其他债权投资信用减值准备</w:t>
            </w:r>
          </w:p>
        </w:tc>
        <w:tc>
          <w:tcPr>
            <w:tcW w:w="2338" w:type="dxa"/>
            <w:tcBorders>
              <w:top w:val="single" w:sz="2" w:space="0" w:color="auto"/>
              <w:left w:val="single" w:sz="2" w:space="0" w:color="auto"/>
              <w:bottom w:val="single" w:sz="2" w:space="0" w:color="auto"/>
              <w:right w:val="single" w:sz="2" w:space="0" w:color="auto"/>
            </w:tcBorders>
            <w:vAlign w:val="center"/>
          </w:tcPr>
          <w:p w14:paraId="28D6DBF4"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5C0E5FF"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307FCEE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CC9B1E1"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5.</w:t>
            </w:r>
            <w:r w:rsidRPr="00314658">
              <w:rPr>
                <w:rFonts w:ascii="Times New Roman" w:eastAsia="宋体" w:hAnsi="Times New Roman" w:cs="Times New Roman"/>
                <w:sz w:val="18"/>
                <w:szCs w:val="18"/>
              </w:rPr>
              <w:t>现金流量套期储备</w:t>
            </w:r>
          </w:p>
        </w:tc>
        <w:tc>
          <w:tcPr>
            <w:tcW w:w="2338" w:type="dxa"/>
            <w:tcBorders>
              <w:top w:val="single" w:sz="2" w:space="0" w:color="auto"/>
              <w:left w:val="single" w:sz="2" w:space="0" w:color="auto"/>
              <w:bottom w:val="single" w:sz="2" w:space="0" w:color="auto"/>
              <w:right w:val="single" w:sz="2" w:space="0" w:color="auto"/>
            </w:tcBorders>
            <w:vAlign w:val="center"/>
          </w:tcPr>
          <w:p w14:paraId="50B9BE48"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0C5BD2E"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7F42D82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6332D19"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6.</w:t>
            </w:r>
            <w:r w:rsidRPr="00314658">
              <w:rPr>
                <w:rFonts w:ascii="Times New Roman" w:eastAsia="宋体" w:hAnsi="Times New Roman" w:cs="Times New Roman"/>
                <w:sz w:val="18"/>
                <w:szCs w:val="18"/>
              </w:rPr>
              <w:t>外币财务报表折算差额</w:t>
            </w:r>
          </w:p>
        </w:tc>
        <w:tc>
          <w:tcPr>
            <w:tcW w:w="2338" w:type="dxa"/>
            <w:tcBorders>
              <w:top w:val="single" w:sz="2" w:space="0" w:color="auto"/>
              <w:left w:val="single" w:sz="2" w:space="0" w:color="auto"/>
              <w:bottom w:val="single" w:sz="2" w:space="0" w:color="auto"/>
              <w:right w:val="single" w:sz="2" w:space="0" w:color="auto"/>
            </w:tcBorders>
            <w:vAlign w:val="center"/>
          </w:tcPr>
          <w:p w14:paraId="245604F4"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-20,806,420.45</w:t>
            </w:r>
          </w:p>
        </w:tc>
        <w:tc>
          <w:tcPr>
            <w:tcW w:w="2339" w:type="dxa"/>
            <w:tcBorders>
              <w:top w:val="single" w:sz="2" w:space="0" w:color="auto"/>
              <w:left w:val="single" w:sz="2" w:space="0" w:color="auto"/>
              <w:bottom w:val="single" w:sz="2" w:space="0" w:color="auto"/>
              <w:right w:val="single" w:sz="2" w:space="0" w:color="auto"/>
            </w:tcBorders>
            <w:vAlign w:val="center"/>
          </w:tcPr>
          <w:p w14:paraId="1308DBA3"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8,061,573.73</w:t>
            </w:r>
          </w:p>
        </w:tc>
      </w:tr>
      <w:tr w:rsidR="00C57E60" w14:paraId="32DE97A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A5D529A" w14:textId="77777777" w:rsidR="00DC359B" w:rsidRPr="00314658" w:rsidRDefault="00DC359B" w:rsidP="00DC359B">
            <w:pPr>
              <w:spacing w:line="348" w:lineRule="auto"/>
              <w:ind w:firstLineChars="300" w:firstLine="540"/>
              <w:rPr>
                <w:rFonts w:ascii="Times New Roman" w:eastAsia="宋体" w:hAnsi="Times New Roman" w:cs="Times New Roman"/>
                <w:sz w:val="18"/>
                <w:szCs w:val="18"/>
              </w:rPr>
            </w:pPr>
            <w:r w:rsidRPr="00314658">
              <w:rPr>
                <w:rFonts w:ascii="Times New Roman" w:eastAsia="宋体" w:hAnsi="Times New Roman" w:cs="Times New Roman"/>
                <w:sz w:val="18"/>
                <w:szCs w:val="18"/>
              </w:rPr>
              <w:t>7.</w:t>
            </w:r>
            <w:r w:rsidRPr="00314658">
              <w:rPr>
                <w:rFonts w:ascii="Times New Roman" w:eastAsia="宋体" w:hAnsi="Times New Roman" w:cs="Times New Roman"/>
                <w:sz w:val="18"/>
                <w:szCs w:val="18"/>
              </w:rPr>
              <w:t>其他</w:t>
            </w:r>
          </w:p>
        </w:tc>
        <w:tc>
          <w:tcPr>
            <w:tcW w:w="2338" w:type="dxa"/>
            <w:tcBorders>
              <w:top w:val="single" w:sz="2" w:space="0" w:color="auto"/>
              <w:left w:val="single" w:sz="2" w:space="0" w:color="auto"/>
              <w:bottom w:val="single" w:sz="2" w:space="0" w:color="auto"/>
              <w:right w:val="single" w:sz="2" w:space="0" w:color="auto"/>
            </w:tcBorders>
            <w:vAlign w:val="center"/>
          </w:tcPr>
          <w:p w14:paraId="4936C44C" w14:textId="77777777" w:rsidR="00DC359B" w:rsidRPr="00314658" w:rsidRDefault="00DC359B" w:rsidP="00DC359B">
            <w:pPr>
              <w:spacing w:line="348"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5157618" w14:textId="77777777" w:rsidR="00DC359B" w:rsidRPr="00314658" w:rsidRDefault="00DC359B" w:rsidP="00DC359B">
            <w:pPr>
              <w:spacing w:line="348" w:lineRule="auto"/>
              <w:jc w:val="right"/>
              <w:rPr>
                <w:rFonts w:ascii="Times New Roman" w:eastAsia="宋体" w:hAnsi="Times New Roman" w:cs="Times New Roman"/>
                <w:sz w:val="18"/>
                <w:szCs w:val="18"/>
              </w:rPr>
            </w:pPr>
          </w:p>
        </w:tc>
      </w:tr>
      <w:tr w:rsidR="00C57E60" w14:paraId="62C1763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1472C64"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归属于少数股东的其他综合收益的税后净额</w:t>
            </w:r>
          </w:p>
        </w:tc>
        <w:tc>
          <w:tcPr>
            <w:tcW w:w="2338" w:type="dxa"/>
            <w:tcBorders>
              <w:top w:val="single" w:sz="2" w:space="0" w:color="auto"/>
              <w:left w:val="single" w:sz="2" w:space="0" w:color="auto"/>
              <w:bottom w:val="single" w:sz="2" w:space="0" w:color="auto"/>
              <w:right w:val="single" w:sz="2" w:space="0" w:color="auto"/>
            </w:tcBorders>
            <w:vAlign w:val="center"/>
          </w:tcPr>
          <w:p w14:paraId="727EB76A"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-7,969,610.88</w:t>
            </w:r>
          </w:p>
        </w:tc>
        <w:tc>
          <w:tcPr>
            <w:tcW w:w="2339" w:type="dxa"/>
            <w:tcBorders>
              <w:top w:val="single" w:sz="2" w:space="0" w:color="auto"/>
              <w:left w:val="single" w:sz="2" w:space="0" w:color="auto"/>
              <w:bottom w:val="single" w:sz="2" w:space="0" w:color="auto"/>
              <w:right w:val="single" w:sz="2" w:space="0" w:color="auto"/>
            </w:tcBorders>
            <w:vAlign w:val="center"/>
          </w:tcPr>
          <w:p w14:paraId="024F5B77"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240,825.07</w:t>
            </w:r>
          </w:p>
        </w:tc>
      </w:tr>
      <w:tr w:rsidR="00C57E60" w14:paraId="2E1261C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AE0F5ED" w14:textId="77777777" w:rsidR="00DC359B" w:rsidRPr="00314658" w:rsidRDefault="00DC359B" w:rsidP="00DC359B">
            <w:pPr>
              <w:spacing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七、综合收益总额</w:t>
            </w:r>
          </w:p>
        </w:tc>
        <w:tc>
          <w:tcPr>
            <w:tcW w:w="2338" w:type="dxa"/>
            <w:tcBorders>
              <w:top w:val="single" w:sz="2" w:space="0" w:color="auto"/>
              <w:left w:val="single" w:sz="2" w:space="0" w:color="auto"/>
              <w:bottom w:val="single" w:sz="2" w:space="0" w:color="auto"/>
              <w:right w:val="single" w:sz="2" w:space="0" w:color="auto"/>
            </w:tcBorders>
            <w:vAlign w:val="center"/>
          </w:tcPr>
          <w:p w14:paraId="33475AF7" w14:textId="57383A37"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-12,881,202.81</w:t>
            </w:r>
          </w:p>
        </w:tc>
        <w:tc>
          <w:tcPr>
            <w:tcW w:w="2339" w:type="dxa"/>
            <w:tcBorders>
              <w:top w:val="single" w:sz="2" w:space="0" w:color="auto"/>
              <w:left w:val="single" w:sz="2" w:space="0" w:color="auto"/>
              <w:bottom w:val="single" w:sz="2" w:space="0" w:color="auto"/>
              <w:right w:val="single" w:sz="2" w:space="0" w:color="auto"/>
            </w:tcBorders>
            <w:vAlign w:val="center"/>
          </w:tcPr>
          <w:p w14:paraId="537995B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370,302,102.58</w:t>
            </w:r>
          </w:p>
        </w:tc>
      </w:tr>
      <w:tr w:rsidR="00C57E60" w14:paraId="5499BE3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9C0FB8A"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归属于母公司所有者的综合收益总额</w:t>
            </w:r>
          </w:p>
        </w:tc>
        <w:tc>
          <w:tcPr>
            <w:tcW w:w="2338" w:type="dxa"/>
            <w:tcBorders>
              <w:top w:val="single" w:sz="2" w:space="0" w:color="auto"/>
              <w:left w:val="single" w:sz="2" w:space="0" w:color="auto"/>
              <w:bottom w:val="single" w:sz="2" w:space="0" w:color="auto"/>
              <w:right w:val="single" w:sz="2" w:space="0" w:color="auto"/>
            </w:tcBorders>
            <w:vAlign w:val="center"/>
          </w:tcPr>
          <w:p w14:paraId="2B7ECA28" w14:textId="21283A59" w:rsidR="00DC359B" w:rsidRPr="00314658" w:rsidRDefault="00DF4DF9" w:rsidP="00DC359B">
            <w:pPr>
              <w:spacing w:line="348" w:lineRule="auto"/>
              <w:jc w:val="right"/>
              <w:rPr>
                <w:rFonts w:ascii="Times New Roman" w:eastAsia="宋体" w:hAnsi="Times New Roman" w:cs="Times New Roman"/>
                <w:sz w:val="18"/>
                <w:szCs w:val="18"/>
              </w:rPr>
            </w:pPr>
            <w:r w:rsidRPr="00DF4DF9">
              <w:rPr>
                <w:rFonts w:ascii="Times New Roman" w:eastAsia="宋体" w:hAnsi="Times New Roman" w:cs="Times New Roman"/>
                <w:sz w:val="18"/>
                <w:szCs w:val="18"/>
              </w:rPr>
              <w:t>65,660,592.71</w:t>
            </w:r>
          </w:p>
        </w:tc>
        <w:tc>
          <w:tcPr>
            <w:tcW w:w="2339" w:type="dxa"/>
            <w:tcBorders>
              <w:top w:val="single" w:sz="2" w:space="0" w:color="auto"/>
              <w:left w:val="single" w:sz="2" w:space="0" w:color="auto"/>
              <w:bottom w:val="single" w:sz="2" w:space="0" w:color="auto"/>
              <w:right w:val="single" w:sz="2" w:space="0" w:color="auto"/>
            </w:tcBorders>
            <w:vAlign w:val="center"/>
          </w:tcPr>
          <w:p w14:paraId="3A1E1F0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350,497,671.59</w:t>
            </w:r>
          </w:p>
        </w:tc>
      </w:tr>
      <w:tr w:rsidR="00C57E60" w14:paraId="4A6E601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6248A5E"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归属于少数股东的综合收益总额</w:t>
            </w:r>
          </w:p>
        </w:tc>
        <w:tc>
          <w:tcPr>
            <w:tcW w:w="2338" w:type="dxa"/>
            <w:tcBorders>
              <w:top w:val="single" w:sz="2" w:space="0" w:color="auto"/>
              <w:left w:val="single" w:sz="2" w:space="0" w:color="auto"/>
              <w:bottom w:val="single" w:sz="2" w:space="0" w:color="auto"/>
              <w:right w:val="single" w:sz="2" w:space="0" w:color="auto"/>
            </w:tcBorders>
            <w:vAlign w:val="center"/>
          </w:tcPr>
          <w:p w14:paraId="72DD3D71"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-78,541,795.52</w:t>
            </w:r>
          </w:p>
        </w:tc>
        <w:tc>
          <w:tcPr>
            <w:tcW w:w="2339" w:type="dxa"/>
            <w:tcBorders>
              <w:top w:val="single" w:sz="2" w:space="0" w:color="auto"/>
              <w:left w:val="single" w:sz="2" w:space="0" w:color="auto"/>
              <w:bottom w:val="single" w:sz="2" w:space="0" w:color="auto"/>
              <w:right w:val="single" w:sz="2" w:space="0" w:color="auto"/>
            </w:tcBorders>
            <w:vAlign w:val="center"/>
          </w:tcPr>
          <w:p w14:paraId="2C8B1DA6"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19,804,430.99</w:t>
            </w:r>
          </w:p>
        </w:tc>
      </w:tr>
      <w:tr w:rsidR="00C57E60" w14:paraId="4153B2A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1423CE8" w14:textId="77777777" w:rsidR="00DC359B" w:rsidRPr="00314658" w:rsidRDefault="00DC359B" w:rsidP="00DC359B">
            <w:pPr>
              <w:spacing w:line="348" w:lineRule="auto"/>
              <w:rPr>
                <w:rFonts w:ascii="Times New Roman" w:eastAsia="宋体" w:hAnsi="Times New Roman" w:cs="Times New Roman"/>
                <w:sz w:val="18"/>
                <w:szCs w:val="18"/>
              </w:rPr>
            </w:pPr>
            <w:r w:rsidRPr="00314658">
              <w:rPr>
                <w:rFonts w:ascii="Times New Roman" w:eastAsia="宋体" w:hAnsi="Times New Roman" w:cs="Times New Roman"/>
                <w:sz w:val="18"/>
                <w:szCs w:val="18"/>
              </w:rPr>
              <w:t>八、每股收益：</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45277582" w14:textId="77777777" w:rsidR="00DC359B" w:rsidRPr="00314658" w:rsidRDefault="00DC359B" w:rsidP="00DC359B">
            <w:pPr>
              <w:spacing w:line="348"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15D3E547" w14:textId="77777777" w:rsidR="00DC359B" w:rsidRPr="00314658" w:rsidRDefault="00DC359B" w:rsidP="00DC359B">
            <w:pPr>
              <w:spacing w:line="348" w:lineRule="auto"/>
              <w:rPr>
                <w:rFonts w:ascii="Times New Roman" w:hAnsi="Times New Roman" w:cs="Times New Roman"/>
              </w:rPr>
            </w:pPr>
          </w:p>
        </w:tc>
      </w:tr>
      <w:tr w:rsidR="00C57E60" w14:paraId="1B8E4F7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BB72506"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（一）基本每股收益</w:t>
            </w:r>
          </w:p>
        </w:tc>
        <w:tc>
          <w:tcPr>
            <w:tcW w:w="2338" w:type="dxa"/>
            <w:tcBorders>
              <w:top w:val="single" w:sz="2" w:space="0" w:color="auto"/>
              <w:left w:val="single" w:sz="2" w:space="0" w:color="auto"/>
              <w:bottom w:val="single" w:sz="2" w:space="0" w:color="auto"/>
              <w:right w:val="single" w:sz="2" w:space="0" w:color="auto"/>
            </w:tcBorders>
            <w:vAlign w:val="center"/>
          </w:tcPr>
          <w:p w14:paraId="1C144B19" w14:textId="2A244F03" w:rsidR="00DC359B" w:rsidRPr="00314658" w:rsidRDefault="00DC359B" w:rsidP="006F26AE">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0.</w:t>
            </w:r>
            <w:r w:rsidR="000F2096" w:rsidRPr="00314658">
              <w:rPr>
                <w:rFonts w:ascii="Times New Roman" w:eastAsia="宋体" w:hAnsi="Times New Roman" w:cs="Times New Roman"/>
                <w:sz w:val="18"/>
                <w:szCs w:val="18"/>
              </w:rPr>
              <w:t>16</w:t>
            </w:r>
            <w:r w:rsidR="000F2096">
              <w:rPr>
                <w:rFonts w:ascii="Times New Roman" w:eastAsia="宋体" w:hAnsi="Times New Roman" w:cs="Times New Roman"/>
                <w:sz w:val="18"/>
                <w:szCs w:val="18"/>
              </w:rPr>
              <w:t>85</w:t>
            </w:r>
          </w:p>
        </w:tc>
        <w:tc>
          <w:tcPr>
            <w:tcW w:w="2339" w:type="dxa"/>
            <w:tcBorders>
              <w:top w:val="single" w:sz="2" w:space="0" w:color="auto"/>
              <w:left w:val="single" w:sz="2" w:space="0" w:color="auto"/>
              <w:bottom w:val="single" w:sz="2" w:space="0" w:color="auto"/>
              <w:right w:val="single" w:sz="2" w:space="0" w:color="auto"/>
            </w:tcBorders>
            <w:vAlign w:val="center"/>
          </w:tcPr>
          <w:p w14:paraId="5191B17B"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0.5890</w:t>
            </w:r>
          </w:p>
        </w:tc>
      </w:tr>
      <w:tr w:rsidR="00C57E60" w14:paraId="0D45695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7BA1F43" w14:textId="77777777" w:rsidR="00DC359B" w:rsidRPr="00314658" w:rsidRDefault="00DC359B" w:rsidP="00DC359B">
            <w:pPr>
              <w:spacing w:line="348" w:lineRule="auto"/>
              <w:ind w:firstLineChars="100" w:firstLine="180"/>
              <w:rPr>
                <w:rFonts w:ascii="Times New Roman" w:eastAsia="宋体" w:hAnsi="Times New Roman" w:cs="Times New Roman"/>
                <w:sz w:val="18"/>
                <w:szCs w:val="18"/>
              </w:rPr>
            </w:pPr>
            <w:r w:rsidRPr="00314658">
              <w:rPr>
                <w:rFonts w:ascii="Times New Roman" w:eastAsia="宋体" w:hAnsi="Times New Roman" w:cs="Times New Roman"/>
                <w:sz w:val="18"/>
                <w:szCs w:val="18"/>
              </w:rPr>
              <w:t>（二）稀释每股收益</w:t>
            </w:r>
          </w:p>
        </w:tc>
        <w:tc>
          <w:tcPr>
            <w:tcW w:w="2338" w:type="dxa"/>
            <w:tcBorders>
              <w:top w:val="single" w:sz="2" w:space="0" w:color="auto"/>
              <w:left w:val="single" w:sz="2" w:space="0" w:color="auto"/>
              <w:bottom w:val="single" w:sz="2" w:space="0" w:color="auto"/>
              <w:right w:val="single" w:sz="2" w:space="0" w:color="auto"/>
            </w:tcBorders>
            <w:vAlign w:val="center"/>
          </w:tcPr>
          <w:p w14:paraId="4A4E1B31" w14:textId="3B116270" w:rsidR="00DC359B" w:rsidRPr="00314658" w:rsidRDefault="00DC359B" w:rsidP="006F26AE">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0.</w:t>
            </w:r>
            <w:r w:rsidR="000F2096" w:rsidRPr="00314658">
              <w:rPr>
                <w:rFonts w:ascii="Times New Roman" w:eastAsia="宋体" w:hAnsi="Times New Roman" w:cs="Times New Roman"/>
                <w:sz w:val="18"/>
                <w:szCs w:val="18"/>
              </w:rPr>
              <w:t>16</w:t>
            </w:r>
            <w:r w:rsidR="000F2096">
              <w:rPr>
                <w:rFonts w:ascii="Times New Roman" w:eastAsia="宋体" w:hAnsi="Times New Roman" w:cs="Times New Roman"/>
                <w:sz w:val="18"/>
                <w:szCs w:val="18"/>
              </w:rPr>
              <w:t>85</w:t>
            </w:r>
          </w:p>
        </w:tc>
        <w:tc>
          <w:tcPr>
            <w:tcW w:w="2339" w:type="dxa"/>
            <w:tcBorders>
              <w:top w:val="single" w:sz="2" w:space="0" w:color="auto"/>
              <w:left w:val="single" w:sz="2" w:space="0" w:color="auto"/>
              <w:bottom w:val="single" w:sz="2" w:space="0" w:color="auto"/>
              <w:right w:val="single" w:sz="2" w:space="0" w:color="auto"/>
            </w:tcBorders>
            <w:vAlign w:val="center"/>
          </w:tcPr>
          <w:p w14:paraId="3175F613" w14:textId="77777777" w:rsidR="00DC359B" w:rsidRPr="00314658" w:rsidRDefault="00DC359B" w:rsidP="00DC359B">
            <w:pPr>
              <w:spacing w:line="348" w:lineRule="auto"/>
              <w:jc w:val="right"/>
              <w:rPr>
                <w:rFonts w:ascii="Times New Roman" w:eastAsia="宋体" w:hAnsi="Times New Roman" w:cs="Times New Roman"/>
                <w:sz w:val="18"/>
                <w:szCs w:val="18"/>
              </w:rPr>
            </w:pPr>
            <w:r w:rsidRPr="00314658">
              <w:rPr>
                <w:rFonts w:ascii="Times New Roman" w:eastAsia="宋体" w:hAnsi="Times New Roman" w:cs="Times New Roman"/>
                <w:sz w:val="18"/>
                <w:szCs w:val="18"/>
              </w:rPr>
              <w:t>0.5890</w:t>
            </w:r>
          </w:p>
        </w:tc>
      </w:tr>
    </w:tbl>
    <w:p w14:paraId="3B87CF0E"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本期发生同一控制下企业合并的，被合并方在合并前实现的净利润为：0.00元，上期被合并方实现的净利润为：0.00元。</w:t>
      </w:r>
    </w:p>
    <w:p w14:paraId="641F3236"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法定代表人：李少波                    主管会计工作负责人：何竹子                     会计机构负责人：谈波</w:t>
      </w:r>
    </w:p>
    <w:p w14:paraId="1BD63190" w14:textId="77777777" w:rsidR="00DC359B" w:rsidRDefault="00DC359B" w:rsidP="00DC359B">
      <w:pPr>
        <w:pStyle w:val="3"/>
        <w:spacing w:line="320" w:lineRule="exact"/>
        <w:jc w:val="left"/>
        <w:rPr>
          <w:rFonts w:ascii="宋体" w:hAnsi="宋体" w:cs="宋体"/>
          <w:b/>
          <w:bCs/>
          <w:sz w:val="24"/>
          <w:szCs w:val="24"/>
        </w:rPr>
        <w:sectPr w:rsidR="00DC359B">
          <w:pgSz w:w="11905" w:h="16840"/>
          <w:pgMar w:top="1440" w:right="1134" w:bottom="1440" w:left="1134" w:header="850" w:footer="992" w:gutter="0"/>
          <w:cols w:space="720"/>
          <w:docGrid w:type="linesAndChars" w:linePitch="312"/>
        </w:sectPr>
      </w:pPr>
    </w:p>
    <w:p w14:paraId="03382307" w14:textId="77777777" w:rsidR="00DC359B" w:rsidRDefault="00DC359B" w:rsidP="00DC359B">
      <w:pPr>
        <w:pStyle w:val="3"/>
        <w:spacing w:line="280" w:lineRule="exact"/>
        <w:jc w:val="left"/>
        <w:rPr>
          <w:rFonts w:ascii="宋体" w:hAnsi="宋体" w:cs="宋体"/>
          <w:b/>
          <w:bCs/>
        </w:rPr>
      </w:pPr>
      <w:r>
        <w:rPr>
          <w:rFonts w:ascii="宋体" w:hAnsi="宋体" w:cs="宋体"/>
          <w:b/>
          <w:bCs/>
        </w:rPr>
        <w:t>4、母公司利润表</w:t>
      </w:r>
    </w:p>
    <w:p w14:paraId="1BA4827C" w14:textId="77777777" w:rsidR="00DC359B" w:rsidRDefault="00DC359B" w:rsidP="00DC359B">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000" w:firstRow="0" w:lastRow="0" w:firstColumn="0" w:lastColumn="0" w:noHBand="0" w:noVBand="0"/>
      </w:tblPr>
      <w:tblGrid>
        <w:gridCol w:w="4962"/>
        <w:gridCol w:w="2338"/>
        <w:gridCol w:w="2339"/>
      </w:tblGrid>
      <w:tr w:rsidR="00C57E60" w14:paraId="4ED990F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12E98B5" w14:textId="77777777" w:rsidR="00DC359B" w:rsidRPr="002154F2" w:rsidRDefault="00DC359B" w:rsidP="00DC359B">
            <w:pPr>
              <w:spacing w:before="40" w:after="40" w:line="360" w:lineRule="auto"/>
              <w:jc w:val="center"/>
              <w:rPr>
                <w:rFonts w:ascii="Times New Roman" w:eastAsia="宋体" w:hAnsi="Times New Roman" w:cs="Times New Roman"/>
                <w:sz w:val="18"/>
                <w:szCs w:val="18"/>
              </w:rPr>
            </w:pPr>
            <w:r w:rsidRPr="002154F2">
              <w:rPr>
                <w:rFonts w:ascii="Times New Roman" w:eastAsia="宋体" w:hAnsi="Times New Roman" w:cs="Times New Roman"/>
                <w:sz w:val="18"/>
                <w:szCs w:val="18"/>
              </w:rPr>
              <w:t>项目</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43A51113" w14:textId="77777777" w:rsidR="00DC359B" w:rsidRPr="002154F2" w:rsidRDefault="00DC359B" w:rsidP="00DC359B">
            <w:pPr>
              <w:spacing w:before="40" w:after="40" w:line="360" w:lineRule="auto"/>
              <w:jc w:val="center"/>
              <w:rPr>
                <w:rFonts w:ascii="Times New Roman" w:eastAsia="宋体" w:hAnsi="Times New Roman" w:cs="Times New Roman"/>
                <w:sz w:val="18"/>
                <w:szCs w:val="18"/>
              </w:rPr>
            </w:pPr>
            <w:r w:rsidRPr="002154F2">
              <w:rPr>
                <w:rFonts w:ascii="Times New Roman" w:eastAsia="宋体" w:hAnsi="Times New Roman" w:cs="Times New Roman"/>
                <w:sz w:val="18"/>
                <w:szCs w:val="18"/>
              </w:rPr>
              <w:t>2025</w:t>
            </w:r>
            <w:r w:rsidRPr="002154F2">
              <w:rPr>
                <w:rFonts w:ascii="Times New Roman" w:eastAsia="宋体" w:hAnsi="Times New Roman" w:cs="Times New Roman"/>
                <w:sz w:val="18"/>
                <w:szCs w:val="18"/>
              </w:rPr>
              <w:t>年度</w:t>
            </w: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2E8CDE05" w14:textId="77777777" w:rsidR="00DC359B" w:rsidRPr="002154F2" w:rsidRDefault="00DC359B" w:rsidP="00DC359B">
            <w:pPr>
              <w:spacing w:before="40" w:after="40" w:line="360" w:lineRule="auto"/>
              <w:jc w:val="center"/>
              <w:rPr>
                <w:rFonts w:ascii="Times New Roman" w:eastAsia="宋体" w:hAnsi="Times New Roman" w:cs="Times New Roman"/>
                <w:sz w:val="18"/>
                <w:szCs w:val="18"/>
              </w:rPr>
            </w:pPr>
            <w:r w:rsidRPr="002154F2">
              <w:rPr>
                <w:rFonts w:ascii="Times New Roman" w:eastAsia="宋体" w:hAnsi="Times New Roman" w:cs="Times New Roman"/>
                <w:sz w:val="18"/>
                <w:szCs w:val="18"/>
              </w:rPr>
              <w:t>2024</w:t>
            </w:r>
            <w:r w:rsidRPr="002154F2">
              <w:rPr>
                <w:rFonts w:ascii="Times New Roman" w:eastAsia="宋体" w:hAnsi="Times New Roman" w:cs="Times New Roman"/>
                <w:sz w:val="18"/>
                <w:szCs w:val="18"/>
              </w:rPr>
              <w:t>年度</w:t>
            </w:r>
          </w:p>
        </w:tc>
      </w:tr>
      <w:tr w:rsidR="00C57E60" w14:paraId="49B4751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00DFB92" w14:textId="77777777" w:rsidR="00DC359B" w:rsidRPr="002154F2" w:rsidRDefault="00DC359B" w:rsidP="00DC359B">
            <w:pPr>
              <w:spacing w:before="40" w:after="40"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一、营业收入</w:t>
            </w:r>
          </w:p>
        </w:tc>
        <w:tc>
          <w:tcPr>
            <w:tcW w:w="2338" w:type="dxa"/>
            <w:tcBorders>
              <w:top w:val="single" w:sz="2" w:space="0" w:color="auto"/>
              <w:left w:val="single" w:sz="2" w:space="0" w:color="auto"/>
              <w:bottom w:val="single" w:sz="2" w:space="0" w:color="auto"/>
              <w:right w:val="single" w:sz="2" w:space="0" w:color="auto"/>
            </w:tcBorders>
            <w:vAlign w:val="center"/>
          </w:tcPr>
          <w:p w14:paraId="5378D5C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2,845,220,753.45</w:t>
            </w:r>
          </w:p>
        </w:tc>
        <w:tc>
          <w:tcPr>
            <w:tcW w:w="2339" w:type="dxa"/>
            <w:tcBorders>
              <w:top w:val="single" w:sz="2" w:space="0" w:color="auto"/>
              <w:left w:val="single" w:sz="2" w:space="0" w:color="auto"/>
              <w:bottom w:val="single" w:sz="2" w:space="0" w:color="auto"/>
              <w:right w:val="single" w:sz="2" w:space="0" w:color="auto"/>
            </w:tcBorders>
            <w:vAlign w:val="center"/>
          </w:tcPr>
          <w:p w14:paraId="5DAED11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2,754,244,939.29</w:t>
            </w:r>
          </w:p>
        </w:tc>
      </w:tr>
      <w:tr w:rsidR="00C57E60" w14:paraId="240163B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AD09EA7"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减：营业成本</w:t>
            </w:r>
          </w:p>
        </w:tc>
        <w:tc>
          <w:tcPr>
            <w:tcW w:w="2338" w:type="dxa"/>
            <w:tcBorders>
              <w:top w:val="single" w:sz="2" w:space="0" w:color="auto"/>
              <w:left w:val="single" w:sz="2" w:space="0" w:color="auto"/>
              <w:bottom w:val="single" w:sz="2" w:space="0" w:color="auto"/>
              <w:right w:val="single" w:sz="2" w:space="0" w:color="auto"/>
            </w:tcBorders>
            <w:vAlign w:val="center"/>
          </w:tcPr>
          <w:p w14:paraId="40634F80"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1,253,566,534.45</w:t>
            </w:r>
          </w:p>
        </w:tc>
        <w:tc>
          <w:tcPr>
            <w:tcW w:w="2339" w:type="dxa"/>
            <w:tcBorders>
              <w:top w:val="single" w:sz="2" w:space="0" w:color="auto"/>
              <w:left w:val="single" w:sz="2" w:space="0" w:color="auto"/>
              <w:bottom w:val="single" w:sz="2" w:space="0" w:color="auto"/>
              <w:right w:val="single" w:sz="2" w:space="0" w:color="auto"/>
            </w:tcBorders>
            <w:vAlign w:val="center"/>
          </w:tcPr>
          <w:p w14:paraId="3CEDAB6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1,115,362,784.78</w:t>
            </w:r>
          </w:p>
        </w:tc>
      </w:tr>
      <w:tr w:rsidR="00C57E60" w14:paraId="46C36FD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81EC478"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税金及附加</w:t>
            </w:r>
          </w:p>
        </w:tc>
        <w:tc>
          <w:tcPr>
            <w:tcW w:w="2338" w:type="dxa"/>
            <w:tcBorders>
              <w:top w:val="single" w:sz="2" w:space="0" w:color="auto"/>
              <w:left w:val="single" w:sz="2" w:space="0" w:color="auto"/>
              <w:bottom w:val="single" w:sz="2" w:space="0" w:color="auto"/>
              <w:right w:val="single" w:sz="2" w:space="0" w:color="auto"/>
            </w:tcBorders>
            <w:vAlign w:val="center"/>
          </w:tcPr>
          <w:p w14:paraId="7F64211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32,495,569.33</w:t>
            </w:r>
          </w:p>
        </w:tc>
        <w:tc>
          <w:tcPr>
            <w:tcW w:w="2339" w:type="dxa"/>
            <w:tcBorders>
              <w:top w:val="single" w:sz="2" w:space="0" w:color="auto"/>
              <w:left w:val="single" w:sz="2" w:space="0" w:color="auto"/>
              <w:bottom w:val="single" w:sz="2" w:space="0" w:color="auto"/>
              <w:right w:val="single" w:sz="2" w:space="0" w:color="auto"/>
            </w:tcBorders>
            <w:vAlign w:val="center"/>
          </w:tcPr>
          <w:p w14:paraId="3F57102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31,935,265.70</w:t>
            </w:r>
          </w:p>
        </w:tc>
      </w:tr>
      <w:tr w:rsidR="00C57E60" w14:paraId="55643F1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735E296"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销售费用</w:t>
            </w:r>
          </w:p>
        </w:tc>
        <w:tc>
          <w:tcPr>
            <w:tcW w:w="2338" w:type="dxa"/>
            <w:tcBorders>
              <w:top w:val="single" w:sz="2" w:space="0" w:color="auto"/>
              <w:left w:val="single" w:sz="2" w:space="0" w:color="auto"/>
              <w:bottom w:val="single" w:sz="2" w:space="0" w:color="auto"/>
              <w:right w:val="single" w:sz="2" w:space="0" w:color="auto"/>
            </w:tcBorders>
            <w:vAlign w:val="center"/>
          </w:tcPr>
          <w:p w14:paraId="394257B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854,477,461.21</w:t>
            </w:r>
          </w:p>
        </w:tc>
        <w:tc>
          <w:tcPr>
            <w:tcW w:w="2339" w:type="dxa"/>
            <w:tcBorders>
              <w:top w:val="single" w:sz="2" w:space="0" w:color="auto"/>
              <w:left w:val="single" w:sz="2" w:space="0" w:color="auto"/>
              <w:bottom w:val="single" w:sz="2" w:space="0" w:color="auto"/>
              <w:right w:val="single" w:sz="2" w:space="0" w:color="auto"/>
            </w:tcBorders>
            <w:vAlign w:val="center"/>
          </w:tcPr>
          <w:p w14:paraId="412B6B9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858,865,991.88</w:t>
            </w:r>
          </w:p>
        </w:tc>
      </w:tr>
      <w:tr w:rsidR="00C57E60" w14:paraId="08E5A4C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2B42E06"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管理费用</w:t>
            </w:r>
          </w:p>
        </w:tc>
        <w:tc>
          <w:tcPr>
            <w:tcW w:w="2338" w:type="dxa"/>
            <w:tcBorders>
              <w:top w:val="single" w:sz="2" w:space="0" w:color="auto"/>
              <w:left w:val="single" w:sz="2" w:space="0" w:color="auto"/>
              <w:bottom w:val="single" w:sz="2" w:space="0" w:color="auto"/>
              <w:right w:val="single" w:sz="2" w:space="0" w:color="auto"/>
            </w:tcBorders>
            <w:vAlign w:val="center"/>
          </w:tcPr>
          <w:p w14:paraId="355683A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156,178,296.23</w:t>
            </w:r>
          </w:p>
        </w:tc>
        <w:tc>
          <w:tcPr>
            <w:tcW w:w="2339" w:type="dxa"/>
            <w:tcBorders>
              <w:top w:val="single" w:sz="2" w:space="0" w:color="auto"/>
              <w:left w:val="single" w:sz="2" w:space="0" w:color="auto"/>
              <w:bottom w:val="single" w:sz="2" w:space="0" w:color="auto"/>
              <w:right w:val="single" w:sz="2" w:space="0" w:color="auto"/>
            </w:tcBorders>
            <w:vAlign w:val="center"/>
          </w:tcPr>
          <w:p w14:paraId="530597F3"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142,438,982.76</w:t>
            </w:r>
          </w:p>
        </w:tc>
      </w:tr>
      <w:tr w:rsidR="00C57E60" w14:paraId="0A60637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771769A"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研发费用</w:t>
            </w:r>
          </w:p>
        </w:tc>
        <w:tc>
          <w:tcPr>
            <w:tcW w:w="2338" w:type="dxa"/>
            <w:tcBorders>
              <w:top w:val="single" w:sz="2" w:space="0" w:color="auto"/>
              <w:left w:val="single" w:sz="2" w:space="0" w:color="auto"/>
              <w:bottom w:val="single" w:sz="2" w:space="0" w:color="auto"/>
              <w:right w:val="single" w:sz="2" w:space="0" w:color="auto"/>
            </w:tcBorders>
            <w:vAlign w:val="center"/>
          </w:tcPr>
          <w:p w14:paraId="66DFC8E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229,755,311.47</w:t>
            </w:r>
          </w:p>
        </w:tc>
        <w:tc>
          <w:tcPr>
            <w:tcW w:w="2339" w:type="dxa"/>
            <w:tcBorders>
              <w:top w:val="single" w:sz="2" w:space="0" w:color="auto"/>
              <w:left w:val="single" w:sz="2" w:space="0" w:color="auto"/>
              <w:bottom w:val="single" w:sz="2" w:space="0" w:color="auto"/>
              <w:right w:val="single" w:sz="2" w:space="0" w:color="auto"/>
            </w:tcBorders>
            <w:vAlign w:val="center"/>
          </w:tcPr>
          <w:p w14:paraId="322C749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319,725,549.51</w:t>
            </w:r>
          </w:p>
        </w:tc>
      </w:tr>
      <w:tr w:rsidR="00C57E60" w14:paraId="265FB50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51856D3"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财务费用</w:t>
            </w:r>
          </w:p>
        </w:tc>
        <w:tc>
          <w:tcPr>
            <w:tcW w:w="2338" w:type="dxa"/>
            <w:tcBorders>
              <w:top w:val="single" w:sz="2" w:space="0" w:color="auto"/>
              <w:left w:val="single" w:sz="2" w:space="0" w:color="auto"/>
              <w:bottom w:val="single" w:sz="2" w:space="0" w:color="auto"/>
              <w:right w:val="single" w:sz="2" w:space="0" w:color="auto"/>
            </w:tcBorders>
            <w:vAlign w:val="center"/>
          </w:tcPr>
          <w:p w14:paraId="61C794E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20,137,573.35</w:t>
            </w:r>
          </w:p>
        </w:tc>
        <w:tc>
          <w:tcPr>
            <w:tcW w:w="2339" w:type="dxa"/>
            <w:tcBorders>
              <w:top w:val="single" w:sz="2" w:space="0" w:color="auto"/>
              <w:left w:val="single" w:sz="2" w:space="0" w:color="auto"/>
              <w:bottom w:val="single" w:sz="2" w:space="0" w:color="auto"/>
              <w:right w:val="single" w:sz="2" w:space="0" w:color="auto"/>
            </w:tcBorders>
            <w:vAlign w:val="center"/>
          </w:tcPr>
          <w:p w14:paraId="40A90B6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27,177,356.08</w:t>
            </w:r>
          </w:p>
        </w:tc>
      </w:tr>
      <w:tr w:rsidR="00C57E60" w14:paraId="43292F0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1F3E139" w14:textId="77777777" w:rsidR="00DC359B" w:rsidRPr="002154F2" w:rsidRDefault="00DC359B" w:rsidP="00DC359B">
            <w:pPr>
              <w:spacing w:before="40" w:after="40" w:line="360" w:lineRule="auto"/>
              <w:ind w:firstLineChars="400" w:firstLine="720"/>
              <w:rPr>
                <w:rFonts w:ascii="Times New Roman" w:eastAsia="宋体" w:hAnsi="Times New Roman" w:cs="Times New Roman"/>
                <w:sz w:val="18"/>
                <w:szCs w:val="18"/>
              </w:rPr>
            </w:pPr>
            <w:r w:rsidRPr="002154F2">
              <w:rPr>
                <w:rFonts w:ascii="Times New Roman" w:eastAsia="宋体" w:hAnsi="Times New Roman" w:cs="Times New Roman"/>
                <w:sz w:val="18"/>
                <w:szCs w:val="18"/>
              </w:rPr>
              <w:t>其中：利息费用</w:t>
            </w:r>
          </w:p>
        </w:tc>
        <w:tc>
          <w:tcPr>
            <w:tcW w:w="2338" w:type="dxa"/>
            <w:tcBorders>
              <w:top w:val="single" w:sz="2" w:space="0" w:color="auto"/>
              <w:left w:val="single" w:sz="2" w:space="0" w:color="auto"/>
              <w:bottom w:val="single" w:sz="2" w:space="0" w:color="auto"/>
              <w:right w:val="single" w:sz="2" w:space="0" w:color="auto"/>
            </w:tcBorders>
            <w:vAlign w:val="center"/>
          </w:tcPr>
          <w:p w14:paraId="1414184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33,572,875.30</w:t>
            </w:r>
          </w:p>
        </w:tc>
        <w:tc>
          <w:tcPr>
            <w:tcW w:w="2339" w:type="dxa"/>
            <w:tcBorders>
              <w:top w:val="single" w:sz="2" w:space="0" w:color="auto"/>
              <w:left w:val="single" w:sz="2" w:space="0" w:color="auto"/>
              <w:bottom w:val="single" w:sz="2" w:space="0" w:color="auto"/>
              <w:right w:val="single" w:sz="2" w:space="0" w:color="auto"/>
            </w:tcBorders>
            <w:vAlign w:val="center"/>
          </w:tcPr>
          <w:p w14:paraId="61F3599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29,403,089.59</w:t>
            </w:r>
          </w:p>
        </w:tc>
      </w:tr>
      <w:tr w:rsidR="00C57E60" w14:paraId="433B3F2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2346A32" w14:textId="77777777" w:rsidR="00DC359B" w:rsidRPr="002154F2" w:rsidRDefault="00DC359B" w:rsidP="00DC359B">
            <w:pPr>
              <w:spacing w:before="40" w:after="40" w:line="360" w:lineRule="auto"/>
              <w:ind w:firstLineChars="700" w:firstLine="1260"/>
              <w:rPr>
                <w:rFonts w:ascii="Times New Roman" w:eastAsia="宋体" w:hAnsi="Times New Roman" w:cs="Times New Roman"/>
                <w:sz w:val="18"/>
                <w:szCs w:val="18"/>
              </w:rPr>
            </w:pPr>
            <w:r w:rsidRPr="002154F2">
              <w:rPr>
                <w:rFonts w:ascii="Times New Roman" w:eastAsia="宋体" w:hAnsi="Times New Roman" w:cs="Times New Roman"/>
                <w:sz w:val="18"/>
                <w:szCs w:val="18"/>
              </w:rPr>
              <w:t>利息收入</w:t>
            </w:r>
          </w:p>
        </w:tc>
        <w:tc>
          <w:tcPr>
            <w:tcW w:w="2338" w:type="dxa"/>
            <w:tcBorders>
              <w:top w:val="single" w:sz="2" w:space="0" w:color="auto"/>
              <w:left w:val="single" w:sz="2" w:space="0" w:color="auto"/>
              <w:bottom w:val="single" w:sz="2" w:space="0" w:color="auto"/>
              <w:right w:val="single" w:sz="2" w:space="0" w:color="auto"/>
            </w:tcBorders>
            <w:vAlign w:val="center"/>
          </w:tcPr>
          <w:p w14:paraId="7FDAB43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14,060,403.37</w:t>
            </w:r>
          </w:p>
        </w:tc>
        <w:tc>
          <w:tcPr>
            <w:tcW w:w="2339" w:type="dxa"/>
            <w:tcBorders>
              <w:top w:val="single" w:sz="2" w:space="0" w:color="auto"/>
              <w:left w:val="single" w:sz="2" w:space="0" w:color="auto"/>
              <w:bottom w:val="single" w:sz="2" w:space="0" w:color="auto"/>
              <w:right w:val="single" w:sz="2" w:space="0" w:color="auto"/>
            </w:tcBorders>
            <w:vAlign w:val="center"/>
          </w:tcPr>
          <w:p w14:paraId="04416B3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4,929,389.19</w:t>
            </w:r>
          </w:p>
        </w:tc>
      </w:tr>
      <w:tr w:rsidR="00C57E60" w14:paraId="38D949A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C5F1F2C"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加：其他收益</w:t>
            </w:r>
          </w:p>
        </w:tc>
        <w:tc>
          <w:tcPr>
            <w:tcW w:w="2338" w:type="dxa"/>
            <w:tcBorders>
              <w:top w:val="single" w:sz="2" w:space="0" w:color="auto"/>
              <w:left w:val="single" w:sz="2" w:space="0" w:color="auto"/>
              <w:bottom w:val="single" w:sz="2" w:space="0" w:color="auto"/>
              <w:right w:val="single" w:sz="2" w:space="0" w:color="auto"/>
            </w:tcBorders>
            <w:vAlign w:val="center"/>
          </w:tcPr>
          <w:p w14:paraId="383B8253"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56,746,990.18</w:t>
            </w:r>
          </w:p>
        </w:tc>
        <w:tc>
          <w:tcPr>
            <w:tcW w:w="2339" w:type="dxa"/>
            <w:tcBorders>
              <w:top w:val="single" w:sz="2" w:space="0" w:color="auto"/>
              <w:left w:val="single" w:sz="2" w:space="0" w:color="auto"/>
              <w:bottom w:val="single" w:sz="2" w:space="0" w:color="auto"/>
              <w:right w:val="single" w:sz="2" w:space="0" w:color="auto"/>
            </w:tcBorders>
            <w:vAlign w:val="center"/>
          </w:tcPr>
          <w:p w14:paraId="5E036B7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99,853,419.86</w:t>
            </w:r>
          </w:p>
        </w:tc>
      </w:tr>
      <w:tr w:rsidR="00C57E60" w14:paraId="7CDDE03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39A730E"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投资收益（损失以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73CCD4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5,228,627.65</w:t>
            </w:r>
          </w:p>
        </w:tc>
        <w:tc>
          <w:tcPr>
            <w:tcW w:w="2339" w:type="dxa"/>
            <w:tcBorders>
              <w:top w:val="single" w:sz="2" w:space="0" w:color="auto"/>
              <w:left w:val="single" w:sz="2" w:space="0" w:color="auto"/>
              <w:bottom w:val="single" w:sz="2" w:space="0" w:color="auto"/>
              <w:right w:val="single" w:sz="2" w:space="0" w:color="auto"/>
            </w:tcBorders>
            <w:vAlign w:val="center"/>
          </w:tcPr>
          <w:p w14:paraId="229B296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-181,151.74</w:t>
            </w:r>
          </w:p>
        </w:tc>
      </w:tr>
      <w:tr w:rsidR="00C57E60" w14:paraId="416F729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8DDD98A" w14:textId="77777777" w:rsidR="00DC359B" w:rsidRPr="002154F2" w:rsidRDefault="00DC359B" w:rsidP="00DC359B">
            <w:pPr>
              <w:spacing w:before="40" w:after="40" w:line="360" w:lineRule="auto"/>
              <w:ind w:firstLineChars="400" w:firstLine="720"/>
              <w:rPr>
                <w:rFonts w:ascii="Times New Roman" w:eastAsia="宋体" w:hAnsi="Times New Roman" w:cs="Times New Roman"/>
                <w:sz w:val="18"/>
                <w:szCs w:val="18"/>
              </w:rPr>
            </w:pPr>
            <w:r w:rsidRPr="002154F2">
              <w:rPr>
                <w:rFonts w:ascii="Times New Roman" w:eastAsia="宋体" w:hAnsi="Times New Roman" w:cs="Times New Roman"/>
                <w:sz w:val="18"/>
                <w:szCs w:val="18"/>
              </w:rPr>
              <w:t>其中：对联营企业和合营企业的投资收益</w:t>
            </w:r>
          </w:p>
        </w:tc>
        <w:tc>
          <w:tcPr>
            <w:tcW w:w="2338" w:type="dxa"/>
            <w:tcBorders>
              <w:top w:val="single" w:sz="2" w:space="0" w:color="auto"/>
              <w:left w:val="single" w:sz="2" w:space="0" w:color="auto"/>
              <w:bottom w:val="single" w:sz="2" w:space="0" w:color="auto"/>
              <w:right w:val="single" w:sz="2" w:space="0" w:color="auto"/>
            </w:tcBorders>
            <w:vAlign w:val="center"/>
          </w:tcPr>
          <w:p w14:paraId="71EF816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-86,340.03</w:t>
            </w:r>
          </w:p>
        </w:tc>
        <w:tc>
          <w:tcPr>
            <w:tcW w:w="2339" w:type="dxa"/>
            <w:tcBorders>
              <w:top w:val="single" w:sz="2" w:space="0" w:color="auto"/>
              <w:left w:val="single" w:sz="2" w:space="0" w:color="auto"/>
              <w:bottom w:val="single" w:sz="2" w:space="0" w:color="auto"/>
              <w:right w:val="single" w:sz="2" w:space="0" w:color="auto"/>
            </w:tcBorders>
            <w:vAlign w:val="center"/>
          </w:tcPr>
          <w:p w14:paraId="0C438F5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-911,001.94</w:t>
            </w:r>
          </w:p>
        </w:tc>
      </w:tr>
      <w:tr w:rsidR="00C57E60" w14:paraId="481D472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EE120C6" w14:textId="77777777" w:rsidR="00DC359B" w:rsidRPr="002154F2" w:rsidRDefault="00DC359B" w:rsidP="00DC359B">
            <w:pPr>
              <w:spacing w:before="40" w:after="40" w:line="360" w:lineRule="auto"/>
              <w:ind w:firstLineChars="700" w:firstLine="1260"/>
              <w:rPr>
                <w:rFonts w:ascii="Times New Roman" w:eastAsia="宋体" w:hAnsi="Times New Roman" w:cs="Times New Roman"/>
                <w:sz w:val="18"/>
                <w:szCs w:val="18"/>
              </w:rPr>
            </w:pPr>
            <w:r w:rsidRPr="002154F2">
              <w:rPr>
                <w:rFonts w:ascii="Times New Roman" w:eastAsia="宋体" w:hAnsi="Times New Roman" w:cs="Times New Roman"/>
                <w:sz w:val="18"/>
                <w:szCs w:val="18"/>
              </w:rPr>
              <w:t>以摊余成本计量的金融资产终止确认收益（损失以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DB2FC68"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68A0FA1"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5DB0F3E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106B043"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净敞口套期收益（损失以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8A4D7C6"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6F6B42E"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20104E2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F625A3B"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公允价值变动收益（损失以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0B2C6BF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1,345,429.99</w:t>
            </w:r>
          </w:p>
        </w:tc>
        <w:tc>
          <w:tcPr>
            <w:tcW w:w="2339" w:type="dxa"/>
            <w:tcBorders>
              <w:top w:val="single" w:sz="2" w:space="0" w:color="auto"/>
              <w:left w:val="single" w:sz="2" w:space="0" w:color="auto"/>
              <w:bottom w:val="single" w:sz="2" w:space="0" w:color="auto"/>
              <w:right w:val="single" w:sz="2" w:space="0" w:color="auto"/>
            </w:tcBorders>
            <w:vAlign w:val="center"/>
          </w:tcPr>
          <w:p w14:paraId="4236B71A"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A6B82A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4E0337D"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信用减值损失（损失以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38241BA7"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6,312,843.77</w:t>
            </w:r>
          </w:p>
        </w:tc>
        <w:tc>
          <w:tcPr>
            <w:tcW w:w="2339" w:type="dxa"/>
            <w:tcBorders>
              <w:top w:val="single" w:sz="2" w:space="0" w:color="auto"/>
              <w:left w:val="single" w:sz="2" w:space="0" w:color="auto"/>
              <w:bottom w:val="single" w:sz="2" w:space="0" w:color="auto"/>
              <w:right w:val="single" w:sz="2" w:space="0" w:color="auto"/>
            </w:tcBorders>
            <w:vAlign w:val="center"/>
          </w:tcPr>
          <w:p w14:paraId="5C4595F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-10,072,970.89</w:t>
            </w:r>
          </w:p>
        </w:tc>
      </w:tr>
      <w:tr w:rsidR="00C57E60" w14:paraId="4409F52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351473A"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资产减值损失（损失以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702663FE"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-16,169,703.57</w:t>
            </w:r>
          </w:p>
        </w:tc>
        <w:tc>
          <w:tcPr>
            <w:tcW w:w="2339" w:type="dxa"/>
            <w:tcBorders>
              <w:top w:val="single" w:sz="2" w:space="0" w:color="auto"/>
              <w:left w:val="single" w:sz="2" w:space="0" w:color="auto"/>
              <w:bottom w:val="single" w:sz="2" w:space="0" w:color="auto"/>
              <w:right w:val="single" w:sz="2" w:space="0" w:color="auto"/>
            </w:tcBorders>
            <w:vAlign w:val="center"/>
          </w:tcPr>
          <w:p w14:paraId="0BD7050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-12,564,003.24</w:t>
            </w:r>
          </w:p>
        </w:tc>
      </w:tr>
      <w:tr w:rsidR="00C57E60" w14:paraId="44920C7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1269704" w14:textId="77777777" w:rsidR="00DC359B" w:rsidRPr="002154F2" w:rsidRDefault="00DC359B" w:rsidP="00DC359B">
            <w:pPr>
              <w:spacing w:before="40" w:after="40"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资产处置收益（损失以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07C2E1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-670,308.17</w:t>
            </w:r>
          </w:p>
        </w:tc>
        <w:tc>
          <w:tcPr>
            <w:tcW w:w="2339" w:type="dxa"/>
            <w:tcBorders>
              <w:top w:val="single" w:sz="2" w:space="0" w:color="auto"/>
              <w:left w:val="single" w:sz="2" w:space="0" w:color="auto"/>
              <w:bottom w:val="single" w:sz="2" w:space="0" w:color="auto"/>
              <w:right w:val="single" w:sz="2" w:space="0" w:color="auto"/>
            </w:tcBorders>
            <w:vAlign w:val="center"/>
          </w:tcPr>
          <w:p w14:paraId="17005C8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-393,986.07</w:t>
            </w:r>
          </w:p>
        </w:tc>
      </w:tr>
      <w:tr w:rsidR="00C57E60" w14:paraId="11EFAD6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767A3E0" w14:textId="77777777" w:rsidR="00DC359B" w:rsidRPr="002154F2" w:rsidRDefault="00DC359B" w:rsidP="00DC359B">
            <w:pPr>
              <w:spacing w:before="40" w:after="40"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二、营业利润（亏损以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3E06A643"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351,403,887.26</w:t>
            </w:r>
          </w:p>
        </w:tc>
        <w:tc>
          <w:tcPr>
            <w:tcW w:w="2339" w:type="dxa"/>
            <w:tcBorders>
              <w:top w:val="single" w:sz="2" w:space="0" w:color="auto"/>
              <w:left w:val="single" w:sz="2" w:space="0" w:color="auto"/>
              <w:bottom w:val="single" w:sz="2" w:space="0" w:color="auto"/>
              <w:right w:val="single" w:sz="2" w:space="0" w:color="auto"/>
            </w:tcBorders>
            <w:vAlign w:val="center"/>
          </w:tcPr>
          <w:p w14:paraId="202522A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335,380,316.50</w:t>
            </w:r>
          </w:p>
        </w:tc>
      </w:tr>
      <w:tr w:rsidR="00C57E60" w14:paraId="4426381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47749A0"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加：营业外收入</w:t>
            </w:r>
          </w:p>
        </w:tc>
        <w:tc>
          <w:tcPr>
            <w:tcW w:w="2338" w:type="dxa"/>
            <w:tcBorders>
              <w:top w:val="single" w:sz="2" w:space="0" w:color="auto"/>
              <w:left w:val="single" w:sz="2" w:space="0" w:color="auto"/>
              <w:bottom w:val="single" w:sz="2" w:space="0" w:color="auto"/>
              <w:right w:val="single" w:sz="2" w:space="0" w:color="auto"/>
            </w:tcBorders>
            <w:vAlign w:val="center"/>
          </w:tcPr>
          <w:p w14:paraId="5F504C86" w14:textId="0FEB14EC"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15,192,712.99</w:t>
            </w:r>
          </w:p>
        </w:tc>
        <w:tc>
          <w:tcPr>
            <w:tcW w:w="2339" w:type="dxa"/>
            <w:tcBorders>
              <w:top w:val="single" w:sz="2" w:space="0" w:color="auto"/>
              <w:left w:val="single" w:sz="2" w:space="0" w:color="auto"/>
              <w:bottom w:val="single" w:sz="2" w:space="0" w:color="auto"/>
              <w:right w:val="single" w:sz="2" w:space="0" w:color="auto"/>
            </w:tcBorders>
            <w:vAlign w:val="center"/>
          </w:tcPr>
          <w:p w14:paraId="2694A2D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573,141.47</w:t>
            </w:r>
          </w:p>
        </w:tc>
      </w:tr>
      <w:tr w:rsidR="00C57E60" w14:paraId="7BE47BC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C58EEC4"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减：营业外支出</w:t>
            </w:r>
          </w:p>
        </w:tc>
        <w:tc>
          <w:tcPr>
            <w:tcW w:w="2338" w:type="dxa"/>
            <w:tcBorders>
              <w:top w:val="single" w:sz="2" w:space="0" w:color="auto"/>
              <w:left w:val="single" w:sz="2" w:space="0" w:color="auto"/>
              <w:bottom w:val="single" w:sz="2" w:space="0" w:color="auto"/>
              <w:right w:val="single" w:sz="2" w:space="0" w:color="auto"/>
            </w:tcBorders>
            <w:vAlign w:val="center"/>
          </w:tcPr>
          <w:p w14:paraId="3ACCAA19" w14:textId="7296D29B"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4,114,495.46</w:t>
            </w:r>
          </w:p>
        </w:tc>
        <w:tc>
          <w:tcPr>
            <w:tcW w:w="2339" w:type="dxa"/>
            <w:tcBorders>
              <w:top w:val="single" w:sz="2" w:space="0" w:color="auto"/>
              <w:left w:val="single" w:sz="2" w:space="0" w:color="auto"/>
              <w:bottom w:val="single" w:sz="2" w:space="0" w:color="auto"/>
              <w:right w:val="single" w:sz="2" w:space="0" w:color="auto"/>
            </w:tcBorders>
            <w:vAlign w:val="center"/>
          </w:tcPr>
          <w:p w14:paraId="58A6533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3,345,319.07</w:t>
            </w:r>
          </w:p>
        </w:tc>
      </w:tr>
      <w:tr w:rsidR="00C57E60" w14:paraId="1FDFB52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551916E" w14:textId="77777777" w:rsidR="00DC359B" w:rsidRPr="002154F2" w:rsidRDefault="00DC359B" w:rsidP="00DC359B">
            <w:pPr>
              <w:spacing w:before="40" w:after="40"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三、利润总额（亏损总额以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35451D7A" w14:textId="0B1FA06C"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362,482,104.79</w:t>
            </w:r>
          </w:p>
        </w:tc>
        <w:tc>
          <w:tcPr>
            <w:tcW w:w="2339" w:type="dxa"/>
            <w:tcBorders>
              <w:top w:val="single" w:sz="2" w:space="0" w:color="auto"/>
              <w:left w:val="single" w:sz="2" w:space="0" w:color="auto"/>
              <w:bottom w:val="single" w:sz="2" w:space="0" w:color="auto"/>
              <w:right w:val="single" w:sz="2" w:space="0" w:color="auto"/>
            </w:tcBorders>
            <w:vAlign w:val="center"/>
          </w:tcPr>
          <w:p w14:paraId="3788961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332,608,138.90</w:t>
            </w:r>
          </w:p>
        </w:tc>
      </w:tr>
      <w:tr w:rsidR="00C57E60" w14:paraId="72FCB4B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BCCF9CA"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减：所得税费用</w:t>
            </w:r>
          </w:p>
        </w:tc>
        <w:tc>
          <w:tcPr>
            <w:tcW w:w="2338" w:type="dxa"/>
            <w:tcBorders>
              <w:top w:val="single" w:sz="2" w:space="0" w:color="auto"/>
              <w:left w:val="single" w:sz="2" w:space="0" w:color="auto"/>
              <w:bottom w:val="single" w:sz="2" w:space="0" w:color="auto"/>
              <w:right w:val="single" w:sz="2" w:space="0" w:color="auto"/>
            </w:tcBorders>
            <w:vAlign w:val="center"/>
          </w:tcPr>
          <w:p w14:paraId="1197926D" w14:textId="18C2CFAA"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49,942,103.30</w:t>
            </w:r>
          </w:p>
        </w:tc>
        <w:tc>
          <w:tcPr>
            <w:tcW w:w="2339" w:type="dxa"/>
            <w:tcBorders>
              <w:top w:val="single" w:sz="2" w:space="0" w:color="auto"/>
              <w:left w:val="single" w:sz="2" w:space="0" w:color="auto"/>
              <w:bottom w:val="single" w:sz="2" w:space="0" w:color="auto"/>
              <w:right w:val="single" w:sz="2" w:space="0" w:color="auto"/>
            </w:tcBorders>
            <w:vAlign w:val="center"/>
          </w:tcPr>
          <w:p w14:paraId="7ED9237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31,377,659.05</w:t>
            </w:r>
          </w:p>
        </w:tc>
      </w:tr>
      <w:tr w:rsidR="00C57E60" w14:paraId="192C74F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1C323ED"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四、净利润（净亏损以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5645EF52" w14:textId="024994B2"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312,540,001.49</w:t>
            </w:r>
          </w:p>
        </w:tc>
        <w:tc>
          <w:tcPr>
            <w:tcW w:w="2339" w:type="dxa"/>
            <w:tcBorders>
              <w:top w:val="single" w:sz="2" w:space="0" w:color="auto"/>
              <w:left w:val="single" w:sz="2" w:space="0" w:color="auto"/>
              <w:bottom w:val="single" w:sz="2" w:space="0" w:color="auto"/>
              <w:right w:val="single" w:sz="2" w:space="0" w:color="auto"/>
            </w:tcBorders>
            <w:vAlign w:val="center"/>
          </w:tcPr>
          <w:p w14:paraId="53FB0DC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301,230,479.85</w:t>
            </w:r>
          </w:p>
        </w:tc>
      </w:tr>
      <w:tr w:rsidR="00C57E60" w14:paraId="68BD709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011DE80"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（一）持续经营净利润（净亏损以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5891A366" w14:textId="4284A816"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312,540,001.49</w:t>
            </w:r>
          </w:p>
        </w:tc>
        <w:tc>
          <w:tcPr>
            <w:tcW w:w="2339" w:type="dxa"/>
            <w:tcBorders>
              <w:top w:val="single" w:sz="2" w:space="0" w:color="auto"/>
              <w:left w:val="single" w:sz="2" w:space="0" w:color="auto"/>
              <w:bottom w:val="single" w:sz="2" w:space="0" w:color="auto"/>
              <w:right w:val="single" w:sz="2" w:space="0" w:color="auto"/>
            </w:tcBorders>
            <w:vAlign w:val="center"/>
          </w:tcPr>
          <w:p w14:paraId="6636642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301,230,479.85</w:t>
            </w:r>
          </w:p>
        </w:tc>
      </w:tr>
      <w:tr w:rsidR="00C57E60" w14:paraId="43F80C6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568DDB2"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（二）终止经营净利润（净亏损以</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w:t>
            </w:r>
            <w:r w:rsidRPr="002154F2">
              <w:rPr>
                <w:rFonts w:ascii="Times New Roman" w:eastAsia="宋体" w:hAnsi="Times New Roman" w:cs="Times New Roman"/>
                <w:sz w:val="18"/>
                <w:szCs w:val="18"/>
              </w:rPr>
              <w:t>号填列）</w:t>
            </w:r>
          </w:p>
        </w:tc>
        <w:tc>
          <w:tcPr>
            <w:tcW w:w="2338" w:type="dxa"/>
            <w:tcBorders>
              <w:top w:val="single" w:sz="2" w:space="0" w:color="auto"/>
              <w:left w:val="single" w:sz="2" w:space="0" w:color="auto"/>
              <w:bottom w:val="single" w:sz="2" w:space="0" w:color="auto"/>
              <w:right w:val="single" w:sz="2" w:space="0" w:color="auto"/>
            </w:tcBorders>
            <w:vAlign w:val="center"/>
          </w:tcPr>
          <w:p w14:paraId="630DD0DA"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4121736"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0502364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E3FB4C5"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五、其他综合收益的税后净额</w:t>
            </w:r>
          </w:p>
        </w:tc>
        <w:tc>
          <w:tcPr>
            <w:tcW w:w="2338" w:type="dxa"/>
            <w:tcBorders>
              <w:top w:val="single" w:sz="2" w:space="0" w:color="auto"/>
              <w:left w:val="single" w:sz="2" w:space="0" w:color="auto"/>
              <w:bottom w:val="single" w:sz="2" w:space="0" w:color="auto"/>
              <w:right w:val="single" w:sz="2" w:space="0" w:color="auto"/>
            </w:tcBorders>
            <w:vAlign w:val="center"/>
          </w:tcPr>
          <w:p w14:paraId="4D06C2A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-4,562,616.68</w:t>
            </w:r>
          </w:p>
        </w:tc>
        <w:tc>
          <w:tcPr>
            <w:tcW w:w="2339" w:type="dxa"/>
            <w:tcBorders>
              <w:top w:val="single" w:sz="2" w:space="0" w:color="auto"/>
              <w:left w:val="single" w:sz="2" w:space="0" w:color="auto"/>
              <w:bottom w:val="single" w:sz="2" w:space="0" w:color="auto"/>
              <w:right w:val="single" w:sz="2" w:space="0" w:color="auto"/>
            </w:tcBorders>
            <w:vAlign w:val="center"/>
          </w:tcPr>
          <w:p w14:paraId="17667FC0"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14,901,649.91</w:t>
            </w:r>
          </w:p>
        </w:tc>
      </w:tr>
      <w:tr w:rsidR="00C57E60" w14:paraId="5B517E2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DB52A9A" w14:textId="77777777" w:rsidR="00DC359B" w:rsidRPr="002154F2" w:rsidRDefault="00DC359B" w:rsidP="00DC359B">
            <w:pPr>
              <w:spacing w:line="360" w:lineRule="auto"/>
              <w:ind w:firstLineChars="200" w:firstLine="360"/>
              <w:rPr>
                <w:rFonts w:ascii="Times New Roman" w:eastAsia="宋体" w:hAnsi="Times New Roman" w:cs="Times New Roman"/>
                <w:sz w:val="18"/>
                <w:szCs w:val="18"/>
              </w:rPr>
            </w:pPr>
            <w:r w:rsidRPr="002154F2">
              <w:rPr>
                <w:rFonts w:ascii="Times New Roman" w:eastAsia="宋体" w:hAnsi="Times New Roman" w:cs="Times New Roman"/>
                <w:sz w:val="18"/>
                <w:szCs w:val="18"/>
              </w:rPr>
              <w:t>（一）不能重分类进损益的其他综合收益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5A3044EA"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-4,562,616.68</w:t>
            </w:r>
          </w:p>
        </w:tc>
        <w:tc>
          <w:tcPr>
            <w:tcW w:w="2339" w:type="dxa"/>
            <w:tcBorders>
              <w:top w:val="single" w:sz="2" w:space="0" w:color="auto"/>
              <w:left w:val="single" w:sz="2" w:space="0" w:color="auto"/>
              <w:bottom w:val="single" w:sz="2" w:space="0" w:color="auto"/>
              <w:right w:val="single" w:sz="2" w:space="0" w:color="auto"/>
            </w:tcBorders>
            <w:vAlign w:val="center"/>
          </w:tcPr>
          <w:p w14:paraId="08D09F4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14,901,649.91</w:t>
            </w:r>
          </w:p>
        </w:tc>
      </w:tr>
      <w:tr w:rsidR="00C57E60" w14:paraId="25FB217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D74F599"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1.</w:t>
            </w:r>
            <w:r w:rsidRPr="002154F2">
              <w:rPr>
                <w:rFonts w:ascii="Times New Roman" w:eastAsia="宋体" w:hAnsi="Times New Roman" w:cs="Times New Roman"/>
                <w:sz w:val="18"/>
                <w:szCs w:val="18"/>
              </w:rPr>
              <w:t>重新计量设定受益计划变动额</w:t>
            </w:r>
          </w:p>
        </w:tc>
        <w:tc>
          <w:tcPr>
            <w:tcW w:w="2338" w:type="dxa"/>
            <w:tcBorders>
              <w:top w:val="single" w:sz="2" w:space="0" w:color="auto"/>
              <w:left w:val="single" w:sz="2" w:space="0" w:color="auto"/>
              <w:bottom w:val="single" w:sz="2" w:space="0" w:color="auto"/>
              <w:right w:val="single" w:sz="2" w:space="0" w:color="auto"/>
            </w:tcBorders>
            <w:vAlign w:val="center"/>
          </w:tcPr>
          <w:p w14:paraId="2AFEBF0E"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9F45913"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65866F4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E7C5C5D"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2.</w:t>
            </w:r>
            <w:r w:rsidRPr="002154F2">
              <w:rPr>
                <w:rFonts w:ascii="Times New Roman" w:eastAsia="宋体" w:hAnsi="Times New Roman" w:cs="Times New Roman"/>
                <w:sz w:val="18"/>
                <w:szCs w:val="18"/>
              </w:rPr>
              <w:t>权益法下不能转损益的其他综合收益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63F039D1"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1E7058F"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65ED28F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F54D314"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3.</w:t>
            </w:r>
            <w:r w:rsidRPr="002154F2">
              <w:rPr>
                <w:rFonts w:ascii="Times New Roman" w:eastAsia="宋体" w:hAnsi="Times New Roman" w:cs="Times New Roman"/>
                <w:sz w:val="18"/>
                <w:szCs w:val="18"/>
              </w:rPr>
              <w:t>其他权益工具投资公允价值变动</w:t>
            </w:r>
          </w:p>
        </w:tc>
        <w:tc>
          <w:tcPr>
            <w:tcW w:w="2338" w:type="dxa"/>
            <w:tcBorders>
              <w:top w:val="single" w:sz="2" w:space="0" w:color="auto"/>
              <w:left w:val="single" w:sz="2" w:space="0" w:color="auto"/>
              <w:bottom w:val="single" w:sz="2" w:space="0" w:color="auto"/>
              <w:right w:val="single" w:sz="2" w:space="0" w:color="auto"/>
            </w:tcBorders>
            <w:vAlign w:val="center"/>
          </w:tcPr>
          <w:p w14:paraId="543292F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-4,562,616.68</w:t>
            </w:r>
          </w:p>
        </w:tc>
        <w:tc>
          <w:tcPr>
            <w:tcW w:w="2339" w:type="dxa"/>
            <w:tcBorders>
              <w:top w:val="single" w:sz="2" w:space="0" w:color="auto"/>
              <w:left w:val="single" w:sz="2" w:space="0" w:color="auto"/>
              <w:bottom w:val="single" w:sz="2" w:space="0" w:color="auto"/>
              <w:right w:val="single" w:sz="2" w:space="0" w:color="auto"/>
            </w:tcBorders>
            <w:vAlign w:val="center"/>
          </w:tcPr>
          <w:p w14:paraId="333DBCE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14,901,649.91</w:t>
            </w:r>
          </w:p>
        </w:tc>
      </w:tr>
      <w:tr w:rsidR="00C57E60" w14:paraId="5BA482D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89EC73A"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4.</w:t>
            </w:r>
            <w:r w:rsidRPr="002154F2">
              <w:rPr>
                <w:rFonts w:ascii="Times New Roman" w:eastAsia="宋体" w:hAnsi="Times New Roman" w:cs="Times New Roman"/>
                <w:sz w:val="18"/>
                <w:szCs w:val="18"/>
              </w:rPr>
              <w:t>企业自身信用风险公允价值变动</w:t>
            </w:r>
          </w:p>
        </w:tc>
        <w:tc>
          <w:tcPr>
            <w:tcW w:w="2338" w:type="dxa"/>
            <w:tcBorders>
              <w:top w:val="single" w:sz="2" w:space="0" w:color="auto"/>
              <w:left w:val="single" w:sz="2" w:space="0" w:color="auto"/>
              <w:bottom w:val="single" w:sz="2" w:space="0" w:color="auto"/>
              <w:right w:val="single" w:sz="2" w:space="0" w:color="auto"/>
            </w:tcBorders>
            <w:vAlign w:val="center"/>
          </w:tcPr>
          <w:p w14:paraId="4E4DC2BA"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8343E6D"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3203DAF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B8B3D3F"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5.</w:t>
            </w:r>
            <w:r w:rsidRPr="002154F2">
              <w:rPr>
                <w:rFonts w:ascii="Times New Roman" w:eastAsia="宋体" w:hAnsi="Times New Roman" w:cs="Times New Roman"/>
                <w:sz w:val="18"/>
                <w:szCs w:val="18"/>
              </w:rPr>
              <w:t>其他</w:t>
            </w:r>
          </w:p>
        </w:tc>
        <w:tc>
          <w:tcPr>
            <w:tcW w:w="2338" w:type="dxa"/>
            <w:tcBorders>
              <w:top w:val="single" w:sz="2" w:space="0" w:color="auto"/>
              <w:left w:val="single" w:sz="2" w:space="0" w:color="auto"/>
              <w:bottom w:val="single" w:sz="2" w:space="0" w:color="auto"/>
              <w:right w:val="single" w:sz="2" w:space="0" w:color="auto"/>
            </w:tcBorders>
            <w:vAlign w:val="center"/>
          </w:tcPr>
          <w:p w14:paraId="47B95275"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B9D31AA"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698976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128B435" w14:textId="77777777" w:rsidR="00DC359B" w:rsidRPr="002154F2" w:rsidRDefault="00DC359B" w:rsidP="00DC359B">
            <w:pPr>
              <w:spacing w:line="360" w:lineRule="auto"/>
              <w:ind w:firstLineChars="200" w:firstLine="360"/>
              <w:rPr>
                <w:rFonts w:ascii="Times New Roman" w:eastAsia="宋体" w:hAnsi="Times New Roman" w:cs="Times New Roman"/>
                <w:sz w:val="18"/>
                <w:szCs w:val="18"/>
              </w:rPr>
            </w:pPr>
            <w:r w:rsidRPr="002154F2">
              <w:rPr>
                <w:rFonts w:ascii="Times New Roman" w:eastAsia="宋体" w:hAnsi="Times New Roman" w:cs="Times New Roman"/>
                <w:sz w:val="18"/>
                <w:szCs w:val="18"/>
              </w:rPr>
              <w:t>（二）将重分类进损益的其他综合收益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119617B8"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4618A5BE"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38DB22D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06663FD"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1.</w:t>
            </w:r>
            <w:r w:rsidRPr="002154F2">
              <w:rPr>
                <w:rFonts w:ascii="Times New Roman" w:eastAsia="宋体" w:hAnsi="Times New Roman" w:cs="Times New Roman"/>
                <w:sz w:val="18"/>
                <w:szCs w:val="18"/>
              </w:rPr>
              <w:t>权益法下可转损益的其他综合收益</w:t>
            </w:r>
          </w:p>
        </w:tc>
        <w:tc>
          <w:tcPr>
            <w:tcW w:w="2338" w:type="dxa"/>
            <w:tcBorders>
              <w:top w:val="single" w:sz="2" w:space="0" w:color="auto"/>
              <w:left w:val="single" w:sz="2" w:space="0" w:color="auto"/>
              <w:bottom w:val="single" w:sz="2" w:space="0" w:color="auto"/>
              <w:right w:val="single" w:sz="2" w:space="0" w:color="auto"/>
            </w:tcBorders>
            <w:vAlign w:val="center"/>
          </w:tcPr>
          <w:p w14:paraId="2316DC52"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F0EEF8F"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05243D7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797A614"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2.</w:t>
            </w:r>
            <w:r w:rsidRPr="002154F2">
              <w:rPr>
                <w:rFonts w:ascii="Times New Roman" w:eastAsia="宋体" w:hAnsi="Times New Roman" w:cs="Times New Roman"/>
                <w:sz w:val="18"/>
                <w:szCs w:val="18"/>
              </w:rPr>
              <w:t>其他债权投资公允价值变动</w:t>
            </w:r>
          </w:p>
        </w:tc>
        <w:tc>
          <w:tcPr>
            <w:tcW w:w="2338" w:type="dxa"/>
            <w:tcBorders>
              <w:top w:val="single" w:sz="2" w:space="0" w:color="auto"/>
              <w:left w:val="single" w:sz="2" w:space="0" w:color="auto"/>
              <w:bottom w:val="single" w:sz="2" w:space="0" w:color="auto"/>
              <w:right w:val="single" w:sz="2" w:space="0" w:color="auto"/>
            </w:tcBorders>
            <w:vAlign w:val="center"/>
          </w:tcPr>
          <w:p w14:paraId="3FCB3AF6"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72A1C635"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4A3A067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4F21D03"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3.</w:t>
            </w:r>
            <w:r w:rsidRPr="002154F2">
              <w:rPr>
                <w:rFonts w:ascii="Times New Roman" w:eastAsia="宋体" w:hAnsi="Times New Roman" w:cs="Times New Roman"/>
                <w:sz w:val="18"/>
                <w:szCs w:val="18"/>
              </w:rPr>
              <w:t>金融资产重分类计入其他综合收益的金额</w:t>
            </w:r>
          </w:p>
        </w:tc>
        <w:tc>
          <w:tcPr>
            <w:tcW w:w="2338" w:type="dxa"/>
            <w:tcBorders>
              <w:top w:val="single" w:sz="2" w:space="0" w:color="auto"/>
              <w:left w:val="single" w:sz="2" w:space="0" w:color="auto"/>
              <w:bottom w:val="single" w:sz="2" w:space="0" w:color="auto"/>
              <w:right w:val="single" w:sz="2" w:space="0" w:color="auto"/>
            </w:tcBorders>
            <w:vAlign w:val="center"/>
          </w:tcPr>
          <w:p w14:paraId="474FC944"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AE912FD"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7C67AF8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7A766FB"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4.</w:t>
            </w:r>
            <w:r w:rsidRPr="002154F2">
              <w:rPr>
                <w:rFonts w:ascii="Times New Roman" w:eastAsia="宋体" w:hAnsi="Times New Roman" w:cs="Times New Roman"/>
                <w:sz w:val="18"/>
                <w:szCs w:val="18"/>
              </w:rPr>
              <w:t>其他债权投资信用减值准备</w:t>
            </w:r>
          </w:p>
        </w:tc>
        <w:tc>
          <w:tcPr>
            <w:tcW w:w="2338" w:type="dxa"/>
            <w:tcBorders>
              <w:top w:val="single" w:sz="2" w:space="0" w:color="auto"/>
              <w:left w:val="single" w:sz="2" w:space="0" w:color="auto"/>
              <w:bottom w:val="single" w:sz="2" w:space="0" w:color="auto"/>
              <w:right w:val="single" w:sz="2" w:space="0" w:color="auto"/>
            </w:tcBorders>
            <w:vAlign w:val="center"/>
          </w:tcPr>
          <w:p w14:paraId="1C268AA5"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DA19F28"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5F61317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E2803EC"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5.</w:t>
            </w:r>
            <w:r w:rsidRPr="002154F2">
              <w:rPr>
                <w:rFonts w:ascii="Times New Roman" w:eastAsia="宋体" w:hAnsi="Times New Roman" w:cs="Times New Roman"/>
                <w:sz w:val="18"/>
                <w:szCs w:val="18"/>
              </w:rPr>
              <w:t>现金流量套期储备</w:t>
            </w:r>
          </w:p>
        </w:tc>
        <w:tc>
          <w:tcPr>
            <w:tcW w:w="2338" w:type="dxa"/>
            <w:tcBorders>
              <w:top w:val="single" w:sz="2" w:space="0" w:color="auto"/>
              <w:left w:val="single" w:sz="2" w:space="0" w:color="auto"/>
              <w:bottom w:val="single" w:sz="2" w:space="0" w:color="auto"/>
              <w:right w:val="single" w:sz="2" w:space="0" w:color="auto"/>
            </w:tcBorders>
            <w:vAlign w:val="center"/>
          </w:tcPr>
          <w:p w14:paraId="402B6B45"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CBF1D8A"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BDE24E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2BD9A23"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6.</w:t>
            </w:r>
            <w:r w:rsidRPr="002154F2">
              <w:rPr>
                <w:rFonts w:ascii="Times New Roman" w:eastAsia="宋体" w:hAnsi="Times New Roman" w:cs="Times New Roman"/>
                <w:sz w:val="18"/>
                <w:szCs w:val="18"/>
              </w:rPr>
              <w:t>外币财务报表折算差额</w:t>
            </w:r>
          </w:p>
        </w:tc>
        <w:tc>
          <w:tcPr>
            <w:tcW w:w="2338" w:type="dxa"/>
            <w:tcBorders>
              <w:top w:val="single" w:sz="2" w:space="0" w:color="auto"/>
              <w:left w:val="single" w:sz="2" w:space="0" w:color="auto"/>
              <w:bottom w:val="single" w:sz="2" w:space="0" w:color="auto"/>
              <w:right w:val="single" w:sz="2" w:space="0" w:color="auto"/>
            </w:tcBorders>
            <w:vAlign w:val="center"/>
          </w:tcPr>
          <w:p w14:paraId="3ECED009"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F0FC044"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52E2E3F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F232A50" w14:textId="77777777" w:rsidR="00DC359B" w:rsidRPr="002154F2" w:rsidRDefault="00DC359B" w:rsidP="00DC359B">
            <w:pPr>
              <w:spacing w:line="360" w:lineRule="auto"/>
              <w:ind w:firstLineChars="300" w:firstLine="540"/>
              <w:rPr>
                <w:rFonts w:ascii="Times New Roman" w:eastAsia="宋体" w:hAnsi="Times New Roman" w:cs="Times New Roman"/>
                <w:sz w:val="18"/>
                <w:szCs w:val="18"/>
              </w:rPr>
            </w:pPr>
            <w:r w:rsidRPr="002154F2">
              <w:rPr>
                <w:rFonts w:ascii="Times New Roman" w:eastAsia="宋体" w:hAnsi="Times New Roman" w:cs="Times New Roman"/>
                <w:sz w:val="18"/>
                <w:szCs w:val="18"/>
              </w:rPr>
              <w:t>7.</w:t>
            </w:r>
            <w:r w:rsidRPr="002154F2">
              <w:rPr>
                <w:rFonts w:ascii="Times New Roman" w:eastAsia="宋体" w:hAnsi="Times New Roman" w:cs="Times New Roman"/>
                <w:sz w:val="18"/>
                <w:szCs w:val="18"/>
              </w:rPr>
              <w:t>其他</w:t>
            </w:r>
          </w:p>
        </w:tc>
        <w:tc>
          <w:tcPr>
            <w:tcW w:w="2338" w:type="dxa"/>
            <w:tcBorders>
              <w:top w:val="single" w:sz="2" w:space="0" w:color="auto"/>
              <w:left w:val="single" w:sz="2" w:space="0" w:color="auto"/>
              <w:bottom w:val="single" w:sz="2" w:space="0" w:color="auto"/>
              <w:right w:val="single" w:sz="2" w:space="0" w:color="auto"/>
            </w:tcBorders>
            <w:vAlign w:val="center"/>
          </w:tcPr>
          <w:p w14:paraId="231AFFE1"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DD712C8"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3D5D2FF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DFD8C63"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六、综合收益总额</w:t>
            </w:r>
          </w:p>
        </w:tc>
        <w:tc>
          <w:tcPr>
            <w:tcW w:w="2338" w:type="dxa"/>
            <w:tcBorders>
              <w:top w:val="single" w:sz="2" w:space="0" w:color="auto"/>
              <w:left w:val="single" w:sz="2" w:space="0" w:color="auto"/>
              <w:bottom w:val="single" w:sz="2" w:space="0" w:color="auto"/>
              <w:right w:val="single" w:sz="2" w:space="0" w:color="auto"/>
            </w:tcBorders>
            <w:vAlign w:val="center"/>
          </w:tcPr>
          <w:p w14:paraId="42FF970B" w14:textId="6EC0BD0D" w:rsidR="00DC359B" w:rsidRPr="002154F2" w:rsidRDefault="00B562D4" w:rsidP="00DC359B">
            <w:pPr>
              <w:spacing w:line="360" w:lineRule="auto"/>
              <w:jc w:val="right"/>
              <w:rPr>
                <w:rFonts w:ascii="Times New Roman" w:eastAsia="宋体" w:hAnsi="Times New Roman" w:cs="Times New Roman"/>
                <w:sz w:val="18"/>
                <w:szCs w:val="18"/>
              </w:rPr>
            </w:pPr>
            <w:r w:rsidRPr="00B562D4">
              <w:rPr>
                <w:rFonts w:ascii="Times New Roman" w:eastAsia="宋体" w:hAnsi="Times New Roman" w:cs="Times New Roman"/>
                <w:sz w:val="18"/>
                <w:szCs w:val="18"/>
              </w:rPr>
              <w:t>307,977,384.81</w:t>
            </w:r>
          </w:p>
        </w:tc>
        <w:tc>
          <w:tcPr>
            <w:tcW w:w="2339" w:type="dxa"/>
            <w:tcBorders>
              <w:top w:val="single" w:sz="2" w:space="0" w:color="auto"/>
              <w:left w:val="single" w:sz="2" w:space="0" w:color="auto"/>
              <w:bottom w:val="single" w:sz="2" w:space="0" w:color="auto"/>
              <w:right w:val="single" w:sz="2" w:space="0" w:color="auto"/>
            </w:tcBorders>
            <w:vAlign w:val="center"/>
          </w:tcPr>
          <w:p w14:paraId="62525C1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316,132,129.76</w:t>
            </w:r>
          </w:p>
        </w:tc>
      </w:tr>
      <w:tr w:rsidR="00C57E60" w14:paraId="19C9897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BE4E50B"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七、每股收益：</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3733853A" w14:textId="77777777" w:rsidR="00DC359B" w:rsidRPr="002154F2"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4E8ADEAE" w14:textId="77777777" w:rsidR="00DC359B" w:rsidRPr="002154F2" w:rsidRDefault="00DC359B" w:rsidP="00DC359B">
            <w:pPr>
              <w:spacing w:line="360" w:lineRule="auto"/>
              <w:rPr>
                <w:rFonts w:ascii="Times New Roman" w:hAnsi="Times New Roman" w:cs="Times New Roman"/>
              </w:rPr>
            </w:pPr>
          </w:p>
        </w:tc>
      </w:tr>
      <w:tr w:rsidR="00C57E60" w14:paraId="173F06A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53A89C6"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（一）基本每股收益</w:t>
            </w:r>
          </w:p>
        </w:tc>
        <w:tc>
          <w:tcPr>
            <w:tcW w:w="2338" w:type="dxa"/>
            <w:tcBorders>
              <w:top w:val="single" w:sz="2" w:space="0" w:color="auto"/>
              <w:left w:val="single" w:sz="2" w:space="0" w:color="auto"/>
              <w:bottom w:val="single" w:sz="2" w:space="0" w:color="auto"/>
              <w:right w:val="single" w:sz="2" w:space="0" w:color="auto"/>
            </w:tcBorders>
            <w:vAlign w:val="center"/>
          </w:tcPr>
          <w:p w14:paraId="01C426A8"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D0BB792"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6471FFA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01CAEB7"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（二）稀释每股收益</w:t>
            </w:r>
          </w:p>
        </w:tc>
        <w:tc>
          <w:tcPr>
            <w:tcW w:w="2338" w:type="dxa"/>
            <w:tcBorders>
              <w:top w:val="single" w:sz="2" w:space="0" w:color="auto"/>
              <w:left w:val="single" w:sz="2" w:space="0" w:color="auto"/>
              <w:bottom w:val="single" w:sz="2" w:space="0" w:color="auto"/>
              <w:right w:val="single" w:sz="2" w:space="0" w:color="auto"/>
            </w:tcBorders>
            <w:vAlign w:val="center"/>
          </w:tcPr>
          <w:p w14:paraId="476794F9"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BCADCE9" w14:textId="77777777" w:rsidR="00DC359B" w:rsidRPr="002154F2" w:rsidRDefault="00DC359B" w:rsidP="00DC359B">
            <w:pPr>
              <w:spacing w:line="360" w:lineRule="auto"/>
              <w:jc w:val="right"/>
              <w:rPr>
                <w:rFonts w:ascii="Times New Roman" w:eastAsia="宋体" w:hAnsi="Times New Roman" w:cs="Times New Roman"/>
                <w:sz w:val="18"/>
                <w:szCs w:val="18"/>
              </w:rPr>
            </w:pPr>
          </w:p>
        </w:tc>
      </w:tr>
    </w:tbl>
    <w:p w14:paraId="20FBCC10" w14:textId="77777777" w:rsidR="00DC359B" w:rsidRDefault="00DC359B" w:rsidP="00DC359B">
      <w:pPr>
        <w:pStyle w:val="3"/>
        <w:spacing w:line="280" w:lineRule="exact"/>
        <w:jc w:val="left"/>
        <w:rPr>
          <w:rFonts w:ascii="宋体" w:hAnsi="宋体" w:cs="宋体"/>
          <w:b/>
          <w:bCs/>
        </w:rPr>
        <w:sectPr w:rsidR="00DC359B">
          <w:pgSz w:w="11905" w:h="16840"/>
          <w:pgMar w:top="1440" w:right="1134" w:bottom="1440" w:left="1134" w:header="850" w:footer="992" w:gutter="0"/>
          <w:cols w:space="720"/>
          <w:docGrid w:type="linesAndChars" w:linePitch="312"/>
        </w:sectPr>
      </w:pPr>
    </w:p>
    <w:p w14:paraId="76D053C8" w14:textId="77777777" w:rsidR="00DC359B" w:rsidRPr="002154F2" w:rsidRDefault="00DC359B" w:rsidP="00DC359B">
      <w:pPr>
        <w:pStyle w:val="3"/>
        <w:spacing w:line="280" w:lineRule="exact"/>
        <w:jc w:val="left"/>
        <w:rPr>
          <w:rFonts w:ascii="Times New Roman" w:hAnsi="Times New Roman" w:cs="Times New Roman"/>
          <w:b/>
          <w:bCs/>
        </w:rPr>
      </w:pPr>
      <w:r w:rsidRPr="002154F2">
        <w:rPr>
          <w:rFonts w:ascii="Times New Roman" w:hAnsi="Times New Roman" w:cs="Times New Roman"/>
          <w:b/>
          <w:bCs/>
        </w:rPr>
        <w:t>5</w:t>
      </w:r>
      <w:r w:rsidRPr="002154F2">
        <w:rPr>
          <w:rFonts w:ascii="Times New Roman" w:hAnsi="Times New Roman" w:cs="Times New Roman"/>
          <w:b/>
          <w:bCs/>
        </w:rPr>
        <w:t>、合并现金流量表</w:t>
      </w:r>
    </w:p>
    <w:p w14:paraId="312B14EC" w14:textId="77777777" w:rsidR="00DC359B" w:rsidRDefault="00DC359B" w:rsidP="00DC359B">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000" w:firstRow="0" w:lastRow="0" w:firstColumn="0" w:lastColumn="0" w:noHBand="0" w:noVBand="0"/>
      </w:tblPr>
      <w:tblGrid>
        <w:gridCol w:w="4962"/>
        <w:gridCol w:w="2338"/>
        <w:gridCol w:w="2339"/>
      </w:tblGrid>
      <w:tr w:rsidR="00C57E60" w14:paraId="41E611F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CCE5F8C" w14:textId="77777777" w:rsidR="00DC359B" w:rsidRPr="002154F2" w:rsidRDefault="00DC359B" w:rsidP="00DC359B">
            <w:pPr>
              <w:spacing w:line="360" w:lineRule="auto"/>
              <w:jc w:val="center"/>
              <w:rPr>
                <w:rFonts w:ascii="Times New Roman" w:eastAsia="宋体" w:hAnsi="Times New Roman" w:cs="Times New Roman"/>
                <w:sz w:val="18"/>
                <w:szCs w:val="18"/>
              </w:rPr>
            </w:pPr>
            <w:r w:rsidRPr="002154F2">
              <w:rPr>
                <w:rFonts w:ascii="Times New Roman" w:eastAsia="宋体" w:hAnsi="Times New Roman" w:cs="Times New Roman"/>
                <w:sz w:val="18"/>
                <w:szCs w:val="18"/>
              </w:rPr>
              <w:t>项目</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74347870" w14:textId="77777777" w:rsidR="00DC359B" w:rsidRPr="002154F2" w:rsidRDefault="00DC359B" w:rsidP="00DC359B">
            <w:pPr>
              <w:spacing w:line="360" w:lineRule="auto"/>
              <w:jc w:val="center"/>
              <w:rPr>
                <w:rFonts w:ascii="Times New Roman" w:eastAsia="宋体" w:hAnsi="Times New Roman" w:cs="Times New Roman"/>
                <w:sz w:val="18"/>
                <w:szCs w:val="18"/>
              </w:rPr>
            </w:pPr>
            <w:r w:rsidRPr="002154F2">
              <w:rPr>
                <w:rFonts w:ascii="Times New Roman" w:eastAsia="宋体" w:hAnsi="Times New Roman" w:cs="Times New Roman"/>
                <w:sz w:val="18"/>
                <w:szCs w:val="18"/>
              </w:rPr>
              <w:t>2025</w:t>
            </w:r>
            <w:r w:rsidRPr="002154F2">
              <w:rPr>
                <w:rFonts w:ascii="Times New Roman" w:eastAsia="宋体" w:hAnsi="Times New Roman" w:cs="Times New Roman"/>
                <w:sz w:val="18"/>
                <w:szCs w:val="18"/>
              </w:rPr>
              <w:t>年度</w:t>
            </w: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1BFD6730" w14:textId="77777777" w:rsidR="00DC359B" w:rsidRPr="002154F2" w:rsidRDefault="00DC359B" w:rsidP="00DC359B">
            <w:pPr>
              <w:spacing w:line="360" w:lineRule="auto"/>
              <w:jc w:val="center"/>
              <w:rPr>
                <w:rFonts w:ascii="Times New Roman" w:eastAsia="宋体" w:hAnsi="Times New Roman" w:cs="Times New Roman"/>
                <w:sz w:val="18"/>
                <w:szCs w:val="18"/>
              </w:rPr>
            </w:pPr>
            <w:r w:rsidRPr="002154F2">
              <w:rPr>
                <w:rFonts w:ascii="Times New Roman" w:eastAsia="宋体" w:hAnsi="Times New Roman" w:cs="Times New Roman"/>
                <w:sz w:val="18"/>
                <w:szCs w:val="18"/>
              </w:rPr>
              <w:t>2024</w:t>
            </w:r>
            <w:r w:rsidRPr="002154F2">
              <w:rPr>
                <w:rFonts w:ascii="Times New Roman" w:eastAsia="宋体" w:hAnsi="Times New Roman" w:cs="Times New Roman"/>
                <w:sz w:val="18"/>
                <w:szCs w:val="18"/>
              </w:rPr>
              <w:t>年度</w:t>
            </w:r>
          </w:p>
        </w:tc>
      </w:tr>
      <w:tr w:rsidR="00C57E60" w14:paraId="1023216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D879293"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一、经营活动产生的现金流量：</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650EFAF9" w14:textId="77777777" w:rsidR="00DC359B" w:rsidRPr="002154F2"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0ABF200A" w14:textId="77777777" w:rsidR="00DC359B" w:rsidRPr="002154F2" w:rsidRDefault="00DC359B" w:rsidP="00DC359B">
            <w:pPr>
              <w:spacing w:line="360" w:lineRule="auto"/>
              <w:rPr>
                <w:rFonts w:ascii="Times New Roman" w:hAnsi="Times New Roman" w:cs="Times New Roman"/>
              </w:rPr>
            </w:pPr>
          </w:p>
        </w:tc>
      </w:tr>
      <w:tr w:rsidR="00C57E60" w14:paraId="542D190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7F40E64"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销售商品、提供劳务收到的现金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68D8F9C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4,972,518,406.69</w:t>
            </w:r>
          </w:p>
        </w:tc>
        <w:tc>
          <w:tcPr>
            <w:tcW w:w="2339" w:type="dxa"/>
            <w:tcBorders>
              <w:top w:val="single" w:sz="2" w:space="0" w:color="auto"/>
              <w:left w:val="single" w:sz="2" w:space="0" w:color="auto"/>
              <w:bottom w:val="single" w:sz="2" w:space="0" w:color="auto"/>
              <w:right w:val="single" w:sz="2" w:space="0" w:color="auto"/>
            </w:tcBorders>
            <w:vAlign w:val="center"/>
          </w:tcPr>
          <w:p w14:paraId="66F427D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4,352,894,977.11</w:t>
            </w:r>
          </w:p>
        </w:tc>
      </w:tr>
      <w:tr w:rsidR="00C57E60" w14:paraId="7E0350B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CE3DF3C"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客户存款和同业存放款项净增加额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5CF7D829"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B2C9528"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67129B2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5568218"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向中央银行借款净增加额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52C99F98" w14:textId="77777777" w:rsidR="00DC359B" w:rsidRPr="00877EF3"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BFC71FF"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C1420A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6381F51"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向其他金融机构拆入资金净增加额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22162D9C"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47E08294"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45D349C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5A39A70"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收到原保险合同保费取得的现金</w:t>
            </w:r>
          </w:p>
        </w:tc>
        <w:tc>
          <w:tcPr>
            <w:tcW w:w="2338" w:type="dxa"/>
            <w:tcBorders>
              <w:top w:val="single" w:sz="2" w:space="0" w:color="auto"/>
              <w:left w:val="single" w:sz="2" w:space="0" w:color="auto"/>
              <w:bottom w:val="single" w:sz="2" w:space="0" w:color="auto"/>
              <w:right w:val="single" w:sz="2" w:space="0" w:color="auto"/>
            </w:tcBorders>
            <w:vAlign w:val="center"/>
          </w:tcPr>
          <w:p w14:paraId="0068A756"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49E85041"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3C0E1F7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7594B85"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收到再保业务现金净额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07B2F2C7" w14:textId="77777777" w:rsidR="00DC359B" w:rsidRPr="00877EF3"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77187E60"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A9DA27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F26684E"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保户储金及投资款净增加额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1F7C49DD"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7E2A5F60"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2B16C07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B3F347B"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收取利息、手续费及佣金的现金</w:t>
            </w:r>
          </w:p>
        </w:tc>
        <w:tc>
          <w:tcPr>
            <w:tcW w:w="2338" w:type="dxa"/>
            <w:tcBorders>
              <w:top w:val="single" w:sz="2" w:space="0" w:color="auto"/>
              <w:left w:val="single" w:sz="2" w:space="0" w:color="auto"/>
              <w:bottom w:val="single" w:sz="2" w:space="0" w:color="auto"/>
              <w:right w:val="single" w:sz="2" w:space="0" w:color="auto"/>
            </w:tcBorders>
            <w:vAlign w:val="center"/>
          </w:tcPr>
          <w:p w14:paraId="02CD2C9A"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434C23A"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7028A8D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CB6316D"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拆入资金净增加额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6492E1C3"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71EBD466"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7E6A665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C7421AD"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回购业务资金净增加额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6E3CD6B7"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F0627C3"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3F24949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606218A"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代理买卖证券收到的现金净额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7441911B"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268C12E"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3E030EB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6DD1D50"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收到的税费返还</w:t>
            </w:r>
          </w:p>
        </w:tc>
        <w:tc>
          <w:tcPr>
            <w:tcW w:w="2338" w:type="dxa"/>
            <w:tcBorders>
              <w:top w:val="single" w:sz="2" w:space="0" w:color="auto"/>
              <w:left w:val="single" w:sz="2" w:space="0" w:color="auto"/>
              <w:bottom w:val="single" w:sz="2" w:space="0" w:color="auto"/>
              <w:right w:val="single" w:sz="2" w:space="0" w:color="auto"/>
            </w:tcBorders>
            <w:vAlign w:val="center"/>
          </w:tcPr>
          <w:p w14:paraId="0BBA56C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37,459,740.74</w:t>
            </w:r>
          </w:p>
        </w:tc>
        <w:tc>
          <w:tcPr>
            <w:tcW w:w="2339" w:type="dxa"/>
            <w:tcBorders>
              <w:top w:val="single" w:sz="2" w:space="0" w:color="auto"/>
              <w:left w:val="single" w:sz="2" w:space="0" w:color="auto"/>
              <w:bottom w:val="single" w:sz="2" w:space="0" w:color="auto"/>
              <w:right w:val="single" w:sz="2" w:space="0" w:color="auto"/>
            </w:tcBorders>
            <w:vAlign w:val="center"/>
          </w:tcPr>
          <w:p w14:paraId="069F425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84,453,205.54</w:t>
            </w:r>
          </w:p>
        </w:tc>
      </w:tr>
      <w:tr w:rsidR="00C57E60" w14:paraId="79A3B6C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8C45A5F"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收到其他与经营活动有关的现金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1FCBE84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64,349,868.04</w:t>
            </w:r>
          </w:p>
        </w:tc>
        <w:tc>
          <w:tcPr>
            <w:tcW w:w="2339" w:type="dxa"/>
            <w:tcBorders>
              <w:top w:val="single" w:sz="2" w:space="0" w:color="auto"/>
              <w:left w:val="single" w:sz="2" w:space="0" w:color="auto"/>
              <w:bottom w:val="single" w:sz="2" w:space="0" w:color="auto"/>
              <w:right w:val="single" w:sz="2" w:space="0" w:color="auto"/>
            </w:tcBorders>
            <w:vAlign w:val="center"/>
          </w:tcPr>
          <w:p w14:paraId="6C9A7F59"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56,637,208.04</w:t>
            </w:r>
          </w:p>
        </w:tc>
      </w:tr>
      <w:tr w:rsidR="00C57E60" w14:paraId="271FAD7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F2055A0"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经营活动现金流入小计</w:t>
            </w:r>
          </w:p>
        </w:tc>
        <w:tc>
          <w:tcPr>
            <w:tcW w:w="2338" w:type="dxa"/>
            <w:tcBorders>
              <w:top w:val="single" w:sz="2" w:space="0" w:color="auto"/>
              <w:left w:val="single" w:sz="2" w:space="0" w:color="auto"/>
              <w:bottom w:val="single" w:sz="2" w:space="0" w:color="auto"/>
              <w:right w:val="single" w:sz="2" w:space="0" w:color="auto"/>
            </w:tcBorders>
            <w:vAlign w:val="center"/>
          </w:tcPr>
          <w:p w14:paraId="4681C9A5"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5,074,328,015.47</w:t>
            </w:r>
          </w:p>
        </w:tc>
        <w:tc>
          <w:tcPr>
            <w:tcW w:w="2339" w:type="dxa"/>
            <w:tcBorders>
              <w:top w:val="single" w:sz="2" w:space="0" w:color="auto"/>
              <w:left w:val="single" w:sz="2" w:space="0" w:color="auto"/>
              <w:bottom w:val="single" w:sz="2" w:space="0" w:color="auto"/>
              <w:right w:val="single" w:sz="2" w:space="0" w:color="auto"/>
            </w:tcBorders>
            <w:vAlign w:val="center"/>
          </w:tcPr>
          <w:p w14:paraId="7C2195C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4,493,985,390.69</w:t>
            </w:r>
          </w:p>
        </w:tc>
      </w:tr>
      <w:tr w:rsidR="00C57E60" w14:paraId="167DBAF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4389E6E"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购买商品、接受劳务支付的现金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4B22AF23"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1,889,558,168.67</w:t>
            </w:r>
          </w:p>
        </w:tc>
        <w:tc>
          <w:tcPr>
            <w:tcW w:w="2339" w:type="dxa"/>
            <w:tcBorders>
              <w:top w:val="single" w:sz="2" w:space="0" w:color="auto"/>
              <w:left w:val="single" w:sz="2" w:space="0" w:color="auto"/>
              <w:bottom w:val="single" w:sz="2" w:space="0" w:color="auto"/>
              <w:right w:val="single" w:sz="2" w:space="0" w:color="auto"/>
            </w:tcBorders>
            <w:vAlign w:val="center"/>
          </w:tcPr>
          <w:p w14:paraId="0CA5AF0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1,574,703,161.62</w:t>
            </w:r>
          </w:p>
        </w:tc>
      </w:tr>
      <w:tr w:rsidR="00C57E60" w14:paraId="2100894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9291C57"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客户贷款及垫款净增加额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2930EEB4"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542329A"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721A318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9E4B037"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存放中央银行和同业款项净增加额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05492485"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20AC36D"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0D52E82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7F8705D"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支付原保险合同赔付款项的现金</w:t>
            </w:r>
          </w:p>
        </w:tc>
        <w:tc>
          <w:tcPr>
            <w:tcW w:w="2338" w:type="dxa"/>
            <w:tcBorders>
              <w:top w:val="single" w:sz="2" w:space="0" w:color="auto"/>
              <w:left w:val="single" w:sz="2" w:space="0" w:color="auto"/>
              <w:bottom w:val="single" w:sz="2" w:space="0" w:color="auto"/>
              <w:right w:val="single" w:sz="2" w:space="0" w:color="auto"/>
            </w:tcBorders>
            <w:vAlign w:val="center"/>
          </w:tcPr>
          <w:p w14:paraId="50FB6578"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7708396"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C422D3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9CB552F"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拆出资金净增加额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788FAC0F"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AC8C04C"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6CBACB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9A3B317"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支付利息、手续费及佣金的现金</w:t>
            </w:r>
          </w:p>
        </w:tc>
        <w:tc>
          <w:tcPr>
            <w:tcW w:w="2338" w:type="dxa"/>
            <w:tcBorders>
              <w:top w:val="single" w:sz="2" w:space="0" w:color="auto"/>
              <w:left w:val="single" w:sz="2" w:space="0" w:color="auto"/>
              <w:bottom w:val="single" w:sz="2" w:space="0" w:color="auto"/>
              <w:right w:val="single" w:sz="2" w:space="0" w:color="auto"/>
            </w:tcBorders>
            <w:vAlign w:val="center"/>
          </w:tcPr>
          <w:p w14:paraId="081A3454"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70562C1E"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5535EB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B14D81D"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支付保单红利的现金</w:t>
            </w:r>
          </w:p>
        </w:tc>
        <w:tc>
          <w:tcPr>
            <w:tcW w:w="2338" w:type="dxa"/>
            <w:tcBorders>
              <w:top w:val="single" w:sz="2" w:space="0" w:color="auto"/>
              <w:left w:val="single" w:sz="2" w:space="0" w:color="auto"/>
              <w:bottom w:val="single" w:sz="2" w:space="0" w:color="auto"/>
              <w:right w:val="single" w:sz="2" w:space="0" w:color="auto"/>
            </w:tcBorders>
            <w:vAlign w:val="center"/>
          </w:tcPr>
          <w:p w14:paraId="59B39C5D"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5A826EBB"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049FB15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82BF98E"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支付给职工以及为职工支付的现金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4A11B51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1,212,570,383.93</w:t>
            </w:r>
          </w:p>
        </w:tc>
        <w:tc>
          <w:tcPr>
            <w:tcW w:w="2339" w:type="dxa"/>
            <w:tcBorders>
              <w:top w:val="single" w:sz="2" w:space="0" w:color="auto"/>
              <w:left w:val="single" w:sz="2" w:space="0" w:color="auto"/>
              <w:bottom w:val="single" w:sz="2" w:space="0" w:color="auto"/>
              <w:right w:val="single" w:sz="2" w:space="0" w:color="auto"/>
            </w:tcBorders>
            <w:vAlign w:val="center"/>
          </w:tcPr>
          <w:p w14:paraId="245C506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1,084,582,640.49</w:t>
            </w:r>
          </w:p>
        </w:tc>
      </w:tr>
      <w:tr w:rsidR="00C57E60" w14:paraId="635CFF0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2CD76A9"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支付的各项税费</w:t>
            </w:r>
          </w:p>
        </w:tc>
        <w:tc>
          <w:tcPr>
            <w:tcW w:w="2338" w:type="dxa"/>
            <w:tcBorders>
              <w:top w:val="single" w:sz="2" w:space="0" w:color="auto"/>
              <w:left w:val="single" w:sz="2" w:space="0" w:color="auto"/>
              <w:bottom w:val="single" w:sz="2" w:space="0" w:color="auto"/>
              <w:right w:val="single" w:sz="2" w:space="0" w:color="auto"/>
            </w:tcBorders>
            <w:vAlign w:val="center"/>
          </w:tcPr>
          <w:p w14:paraId="7F4E0E9A"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306,526,118.80</w:t>
            </w:r>
          </w:p>
        </w:tc>
        <w:tc>
          <w:tcPr>
            <w:tcW w:w="2339" w:type="dxa"/>
            <w:tcBorders>
              <w:top w:val="single" w:sz="2" w:space="0" w:color="auto"/>
              <w:left w:val="single" w:sz="2" w:space="0" w:color="auto"/>
              <w:bottom w:val="single" w:sz="2" w:space="0" w:color="auto"/>
              <w:right w:val="single" w:sz="2" w:space="0" w:color="auto"/>
            </w:tcBorders>
            <w:vAlign w:val="center"/>
          </w:tcPr>
          <w:p w14:paraId="709328A5"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281,150,922.96</w:t>
            </w:r>
          </w:p>
        </w:tc>
      </w:tr>
      <w:tr w:rsidR="00C57E60" w14:paraId="725E838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25B4CD7"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支付其他与经营活动有关的现金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339FC40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1,060,528,775.49</w:t>
            </w:r>
          </w:p>
        </w:tc>
        <w:tc>
          <w:tcPr>
            <w:tcW w:w="2339" w:type="dxa"/>
            <w:tcBorders>
              <w:top w:val="single" w:sz="2" w:space="0" w:color="auto"/>
              <w:left w:val="single" w:sz="2" w:space="0" w:color="auto"/>
              <w:bottom w:val="single" w:sz="2" w:space="0" w:color="auto"/>
              <w:right w:val="single" w:sz="2" w:space="0" w:color="auto"/>
            </w:tcBorders>
            <w:vAlign w:val="center"/>
          </w:tcPr>
          <w:p w14:paraId="1330E89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922,259,766.45</w:t>
            </w:r>
          </w:p>
        </w:tc>
      </w:tr>
      <w:tr w:rsidR="00C57E60" w14:paraId="438C3A2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823F0EC"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经营活动现金流出小计</w:t>
            </w:r>
          </w:p>
        </w:tc>
        <w:tc>
          <w:tcPr>
            <w:tcW w:w="2338" w:type="dxa"/>
            <w:tcBorders>
              <w:top w:val="single" w:sz="2" w:space="0" w:color="auto"/>
              <w:left w:val="single" w:sz="2" w:space="0" w:color="auto"/>
              <w:bottom w:val="single" w:sz="2" w:space="0" w:color="auto"/>
              <w:right w:val="single" w:sz="2" w:space="0" w:color="auto"/>
            </w:tcBorders>
            <w:vAlign w:val="center"/>
          </w:tcPr>
          <w:p w14:paraId="15DE7D8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4,469,183,446.89</w:t>
            </w:r>
          </w:p>
        </w:tc>
        <w:tc>
          <w:tcPr>
            <w:tcW w:w="2339" w:type="dxa"/>
            <w:tcBorders>
              <w:top w:val="single" w:sz="2" w:space="0" w:color="auto"/>
              <w:left w:val="single" w:sz="2" w:space="0" w:color="auto"/>
              <w:bottom w:val="single" w:sz="2" w:space="0" w:color="auto"/>
              <w:right w:val="single" w:sz="2" w:space="0" w:color="auto"/>
            </w:tcBorders>
            <w:vAlign w:val="center"/>
          </w:tcPr>
          <w:p w14:paraId="13827E2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3,862,696,491.52</w:t>
            </w:r>
          </w:p>
        </w:tc>
      </w:tr>
      <w:tr w:rsidR="00C57E60" w14:paraId="01DAF4E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CF0E4E3"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经营活动产生的现金流量净额</w:t>
            </w:r>
          </w:p>
        </w:tc>
        <w:tc>
          <w:tcPr>
            <w:tcW w:w="2338" w:type="dxa"/>
            <w:tcBorders>
              <w:top w:val="single" w:sz="2" w:space="0" w:color="auto"/>
              <w:left w:val="single" w:sz="2" w:space="0" w:color="auto"/>
              <w:bottom w:val="single" w:sz="2" w:space="0" w:color="auto"/>
              <w:right w:val="single" w:sz="2" w:space="0" w:color="auto"/>
            </w:tcBorders>
            <w:vAlign w:val="center"/>
          </w:tcPr>
          <w:p w14:paraId="108981D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605,144,568.58</w:t>
            </w:r>
          </w:p>
        </w:tc>
        <w:tc>
          <w:tcPr>
            <w:tcW w:w="2339" w:type="dxa"/>
            <w:tcBorders>
              <w:top w:val="single" w:sz="2" w:space="0" w:color="auto"/>
              <w:left w:val="single" w:sz="2" w:space="0" w:color="auto"/>
              <w:bottom w:val="single" w:sz="2" w:space="0" w:color="auto"/>
              <w:right w:val="single" w:sz="2" w:space="0" w:color="auto"/>
            </w:tcBorders>
            <w:vAlign w:val="center"/>
          </w:tcPr>
          <w:p w14:paraId="06465FA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631,288,899.17</w:t>
            </w:r>
          </w:p>
        </w:tc>
      </w:tr>
      <w:tr w:rsidR="00C57E60" w14:paraId="194E62E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495F3F0"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二、投资活动产生的现金流量：</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07BBF2A4" w14:textId="77777777" w:rsidR="00DC359B" w:rsidRPr="002154F2"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505836BF" w14:textId="77777777" w:rsidR="00DC359B" w:rsidRPr="002154F2" w:rsidRDefault="00DC359B" w:rsidP="00DC359B">
            <w:pPr>
              <w:spacing w:line="360" w:lineRule="auto"/>
              <w:rPr>
                <w:rFonts w:ascii="Times New Roman" w:hAnsi="Times New Roman" w:cs="Times New Roman"/>
              </w:rPr>
            </w:pPr>
          </w:p>
        </w:tc>
      </w:tr>
      <w:tr w:rsidR="00C57E60" w14:paraId="7D42F6C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3A3D68F"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收回投资收到的现金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5F6AF04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34,452,466.02</w:t>
            </w:r>
          </w:p>
        </w:tc>
        <w:tc>
          <w:tcPr>
            <w:tcW w:w="2339" w:type="dxa"/>
            <w:tcBorders>
              <w:top w:val="single" w:sz="2" w:space="0" w:color="auto"/>
              <w:left w:val="single" w:sz="2" w:space="0" w:color="auto"/>
              <w:bottom w:val="single" w:sz="2" w:space="0" w:color="auto"/>
              <w:right w:val="single" w:sz="2" w:space="0" w:color="auto"/>
            </w:tcBorders>
            <w:vAlign w:val="center"/>
          </w:tcPr>
          <w:p w14:paraId="2490ED2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85,683,300.00</w:t>
            </w:r>
          </w:p>
        </w:tc>
      </w:tr>
      <w:tr w:rsidR="00C57E60" w14:paraId="04ACA14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ABA3E5A"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取得投资收益收到的现金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35F6DBB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1,580,438.22</w:t>
            </w:r>
          </w:p>
        </w:tc>
        <w:tc>
          <w:tcPr>
            <w:tcW w:w="2339" w:type="dxa"/>
            <w:tcBorders>
              <w:top w:val="single" w:sz="2" w:space="0" w:color="auto"/>
              <w:left w:val="single" w:sz="2" w:space="0" w:color="auto"/>
              <w:bottom w:val="single" w:sz="2" w:space="0" w:color="auto"/>
              <w:right w:val="single" w:sz="2" w:space="0" w:color="auto"/>
            </w:tcBorders>
            <w:vAlign w:val="center"/>
          </w:tcPr>
          <w:p w14:paraId="5A57A6D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1,135,959.66</w:t>
            </w:r>
          </w:p>
        </w:tc>
      </w:tr>
      <w:tr w:rsidR="00C57E60" w14:paraId="130BF14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CEE200C"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处置固定资产、无形资产和其他长期资产收回的现金净额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6650388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86,858.70</w:t>
            </w:r>
          </w:p>
        </w:tc>
        <w:tc>
          <w:tcPr>
            <w:tcW w:w="2339" w:type="dxa"/>
            <w:tcBorders>
              <w:top w:val="single" w:sz="2" w:space="0" w:color="auto"/>
              <w:left w:val="single" w:sz="2" w:space="0" w:color="auto"/>
              <w:bottom w:val="single" w:sz="2" w:space="0" w:color="auto"/>
              <w:right w:val="single" w:sz="2" w:space="0" w:color="auto"/>
            </w:tcBorders>
            <w:vAlign w:val="center"/>
          </w:tcPr>
          <w:p w14:paraId="2E96BBB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635,053.57</w:t>
            </w:r>
          </w:p>
        </w:tc>
      </w:tr>
      <w:tr w:rsidR="00C57E60" w14:paraId="65AA928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45E6DB1"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处置子公司及其他营业单位收到的现金净额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65A3062D" w14:textId="24FA4898"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3A30D553"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214A569"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9D12679"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收到其他与投资活动有关的现金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47BDE39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1,241,291,973.12</w:t>
            </w:r>
          </w:p>
        </w:tc>
        <w:tc>
          <w:tcPr>
            <w:tcW w:w="2339" w:type="dxa"/>
            <w:tcBorders>
              <w:top w:val="single" w:sz="2" w:space="0" w:color="auto"/>
              <w:left w:val="single" w:sz="2" w:space="0" w:color="auto"/>
              <w:bottom w:val="single" w:sz="2" w:space="0" w:color="auto"/>
              <w:right w:val="single" w:sz="2" w:space="0" w:color="auto"/>
            </w:tcBorders>
            <w:vAlign w:val="center"/>
          </w:tcPr>
          <w:p w14:paraId="5AD03C4B"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404,198,233.36</w:t>
            </w:r>
          </w:p>
        </w:tc>
      </w:tr>
      <w:tr w:rsidR="00C57E60" w14:paraId="36E591D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4395256"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投资活动现金流入小计</w:t>
            </w:r>
          </w:p>
        </w:tc>
        <w:tc>
          <w:tcPr>
            <w:tcW w:w="2338" w:type="dxa"/>
            <w:tcBorders>
              <w:top w:val="single" w:sz="2" w:space="0" w:color="auto"/>
              <w:left w:val="single" w:sz="2" w:space="0" w:color="auto"/>
              <w:bottom w:val="single" w:sz="2" w:space="0" w:color="auto"/>
              <w:right w:val="single" w:sz="2" w:space="0" w:color="auto"/>
            </w:tcBorders>
            <w:vAlign w:val="center"/>
          </w:tcPr>
          <w:p w14:paraId="3618892E"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1,277,411,736.06</w:t>
            </w:r>
          </w:p>
        </w:tc>
        <w:tc>
          <w:tcPr>
            <w:tcW w:w="2339" w:type="dxa"/>
            <w:tcBorders>
              <w:top w:val="single" w:sz="2" w:space="0" w:color="auto"/>
              <w:left w:val="single" w:sz="2" w:space="0" w:color="auto"/>
              <w:bottom w:val="single" w:sz="2" w:space="0" w:color="auto"/>
              <w:right w:val="single" w:sz="2" w:space="0" w:color="auto"/>
            </w:tcBorders>
            <w:vAlign w:val="center"/>
          </w:tcPr>
          <w:p w14:paraId="66538A2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491,652,546.59</w:t>
            </w:r>
          </w:p>
        </w:tc>
      </w:tr>
      <w:tr w:rsidR="00C57E60" w14:paraId="7D9C433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4ED55F6"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购建固定资产、无形资产和其他长期资产支付的现金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40078733"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198,871,579.45</w:t>
            </w:r>
          </w:p>
        </w:tc>
        <w:tc>
          <w:tcPr>
            <w:tcW w:w="2339" w:type="dxa"/>
            <w:tcBorders>
              <w:top w:val="single" w:sz="2" w:space="0" w:color="auto"/>
              <w:left w:val="single" w:sz="2" w:space="0" w:color="auto"/>
              <w:bottom w:val="single" w:sz="2" w:space="0" w:color="auto"/>
              <w:right w:val="single" w:sz="2" w:space="0" w:color="auto"/>
            </w:tcBorders>
            <w:vAlign w:val="center"/>
          </w:tcPr>
          <w:p w14:paraId="7BDA7848"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186,668,722.05</w:t>
            </w:r>
          </w:p>
        </w:tc>
      </w:tr>
      <w:tr w:rsidR="00C57E60" w14:paraId="3275154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8407EC3"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投资支付的现金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2D4BABF3"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4B104A17"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0FD39C9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8635DF3"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质押贷款净增加额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6717F776"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D7D4EF3"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49F3643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2786297"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取得子公司及其他营业单位支付的现金净额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7F6AF49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-122,967.08</w:t>
            </w:r>
          </w:p>
        </w:tc>
        <w:tc>
          <w:tcPr>
            <w:tcW w:w="2339" w:type="dxa"/>
            <w:tcBorders>
              <w:top w:val="single" w:sz="2" w:space="0" w:color="auto"/>
              <w:left w:val="single" w:sz="2" w:space="0" w:color="auto"/>
              <w:bottom w:val="single" w:sz="2" w:space="0" w:color="auto"/>
              <w:right w:val="single" w:sz="2" w:space="0" w:color="auto"/>
            </w:tcBorders>
            <w:vAlign w:val="center"/>
          </w:tcPr>
          <w:p w14:paraId="453779B0"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C5F2BF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E955C08"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支付其他与投资活动有关的现金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22F89405"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1,372,554,877.35</w:t>
            </w:r>
          </w:p>
        </w:tc>
        <w:tc>
          <w:tcPr>
            <w:tcW w:w="2339" w:type="dxa"/>
            <w:tcBorders>
              <w:top w:val="single" w:sz="2" w:space="0" w:color="auto"/>
              <w:left w:val="single" w:sz="2" w:space="0" w:color="auto"/>
              <w:bottom w:val="single" w:sz="2" w:space="0" w:color="auto"/>
              <w:right w:val="single" w:sz="2" w:space="0" w:color="auto"/>
            </w:tcBorders>
            <w:vAlign w:val="center"/>
          </w:tcPr>
          <w:p w14:paraId="355359F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480,000,000.00</w:t>
            </w:r>
          </w:p>
        </w:tc>
      </w:tr>
      <w:tr w:rsidR="00C57E60" w14:paraId="548A84C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D4BD923"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投资活动现金流出小计</w:t>
            </w:r>
          </w:p>
        </w:tc>
        <w:tc>
          <w:tcPr>
            <w:tcW w:w="2338" w:type="dxa"/>
            <w:tcBorders>
              <w:top w:val="single" w:sz="2" w:space="0" w:color="auto"/>
              <w:left w:val="single" w:sz="2" w:space="0" w:color="auto"/>
              <w:bottom w:val="single" w:sz="2" w:space="0" w:color="auto"/>
              <w:right w:val="single" w:sz="2" w:space="0" w:color="auto"/>
            </w:tcBorders>
            <w:vAlign w:val="center"/>
          </w:tcPr>
          <w:p w14:paraId="71D5F5F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1,571,303,489.72</w:t>
            </w:r>
          </w:p>
        </w:tc>
        <w:tc>
          <w:tcPr>
            <w:tcW w:w="2339" w:type="dxa"/>
            <w:tcBorders>
              <w:top w:val="single" w:sz="2" w:space="0" w:color="auto"/>
              <w:left w:val="single" w:sz="2" w:space="0" w:color="auto"/>
              <w:bottom w:val="single" w:sz="2" w:space="0" w:color="auto"/>
              <w:right w:val="single" w:sz="2" w:space="0" w:color="auto"/>
            </w:tcBorders>
            <w:vAlign w:val="center"/>
          </w:tcPr>
          <w:p w14:paraId="384923C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666,668,722.05</w:t>
            </w:r>
          </w:p>
        </w:tc>
      </w:tr>
      <w:tr w:rsidR="00C57E60" w14:paraId="0266AE2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664A5D4"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投资活动产生的现金流量净额</w:t>
            </w:r>
          </w:p>
        </w:tc>
        <w:tc>
          <w:tcPr>
            <w:tcW w:w="2338" w:type="dxa"/>
            <w:tcBorders>
              <w:top w:val="single" w:sz="2" w:space="0" w:color="auto"/>
              <w:left w:val="single" w:sz="2" w:space="0" w:color="auto"/>
              <w:bottom w:val="single" w:sz="2" w:space="0" w:color="auto"/>
              <w:right w:val="single" w:sz="2" w:space="0" w:color="auto"/>
            </w:tcBorders>
            <w:vAlign w:val="center"/>
          </w:tcPr>
          <w:p w14:paraId="2E3A6EB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-293,891,753.66</w:t>
            </w:r>
          </w:p>
        </w:tc>
        <w:tc>
          <w:tcPr>
            <w:tcW w:w="2339" w:type="dxa"/>
            <w:tcBorders>
              <w:top w:val="single" w:sz="2" w:space="0" w:color="auto"/>
              <w:left w:val="single" w:sz="2" w:space="0" w:color="auto"/>
              <w:bottom w:val="single" w:sz="2" w:space="0" w:color="auto"/>
              <w:right w:val="single" w:sz="2" w:space="0" w:color="auto"/>
            </w:tcBorders>
            <w:vAlign w:val="center"/>
          </w:tcPr>
          <w:p w14:paraId="12B70F65"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-175,016,175.46</w:t>
            </w:r>
          </w:p>
        </w:tc>
      </w:tr>
      <w:tr w:rsidR="00C57E60" w14:paraId="537984F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173A942"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三、筹资活动产生的现金流量：</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6D310464" w14:textId="77777777" w:rsidR="00DC359B" w:rsidRPr="002154F2"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0C82721B" w14:textId="77777777" w:rsidR="00DC359B" w:rsidRPr="002154F2" w:rsidRDefault="00DC359B" w:rsidP="00DC359B">
            <w:pPr>
              <w:spacing w:line="360" w:lineRule="auto"/>
              <w:rPr>
                <w:rFonts w:ascii="Times New Roman" w:hAnsi="Times New Roman" w:cs="Times New Roman"/>
              </w:rPr>
            </w:pPr>
          </w:p>
        </w:tc>
      </w:tr>
      <w:tr w:rsidR="00C57E60" w14:paraId="26AFF1B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E91FF5D"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吸收投资收到的现金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61FE4283"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724A907A"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19AB2D9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F5A48D8"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其中：子公司吸收少数股东投资收到的现金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55A96FD1" w14:textId="77777777" w:rsidR="00DC359B" w:rsidRPr="002154F2"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60338D99"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56C319F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58BAF1E"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取得借款收到的现金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2AC9DD9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421,740,381.86</w:t>
            </w:r>
          </w:p>
        </w:tc>
        <w:tc>
          <w:tcPr>
            <w:tcW w:w="2339" w:type="dxa"/>
            <w:tcBorders>
              <w:top w:val="single" w:sz="2" w:space="0" w:color="auto"/>
              <w:left w:val="single" w:sz="2" w:space="0" w:color="auto"/>
              <w:bottom w:val="single" w:sz="2" w:space="0" w:color="auto"/>
              <w:right w:val="single" w:sz="2" w:space="0" w:color="auto"/>
            </w:tcBorders>
            <w:vAlign w:val="center"/>
          </w:tcPr>
          <w:p w14:paraId="1D463BC7"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154,444,750.02</w:t>
            </w:r>
          </w:p>
        </w:tc>
      </w:tr>
      <w:tr w:rsidR="00C57E60" w14:paraId="2485FFE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5BA47F8"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收到其他与筹资活动有关的现金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7667CE4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1,089,811.72</w:t>
            </w:r>
          </w:p>
        </w:tc>
        <w:tc>
          <w:tcPr>
            <w:tcW w:w="2339" w:type="dxa"/>
            <w:tcBorders>
              <w:top w:val="single" w:sz="2" w:space="0" w:color="auto"/>
              <w:left w:val="single" w:sz="2" w:space="0" w:color="auto"/>
              <w:bottom w:val="single" w:sz="2" w:space="0" w:color="auto"/>
              <w:right w:val="single" w:sz="2" w:space="0" w:color="auto"/>
            </w:tcBorders>
            <w:vAlign w:val="center"/>
          </w:tcPr>
          <w:p w14:paraId="076099AA"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77,070,000.00</w:t>
            </w:r>
          </w:p>
        </w:tc>
      </w:tr>
      <w:tr w:rsidR="00C57E60" w14:paraId="7CB9A88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5300C50"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筹资活动现金流入小计</w:t>
            </w:r>
          </w:p>
        </w:tc>
        <w:tc>
          <w:tcPr>
            <w:tcW w:w="2338" w:type="dxa"/>
            <w:tcBorders>
              <w:top w:val="single" w:sz="2" w:space="0" w:color="auto"/>
              <w:left w:val="single" w:sz="2" w:space="0" w:color="auto"/>
              <w:bottom w:val="single" w:sz="2" w:space="0" w:color="auto"/>
              <w:right w:val="single" w:sz="2" w:space="0" w:color="auto"/>
            </w:tcBorders>
            <w:vAlign w:val="center"/>
          </w:tcPr>
          <w:p w14:paraId="7F554063"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422,830,193.58</w:t>
            </w:r>
          </w:p>
        </w:tc>
        <w:tc>
          <w:tcPr>
            <w:tcW w:w="2339" w:type="dxa"/>
            <w:tcBorders>
              <w:top w:val="single" w:sz="2" w:space="0" w:color="auto"/>
              <w:left w:val="single" w:sz="2" w:space="0" w:color="auto"/>
              <w:bottom w:val="single" w:sz="2" w:space="0" w:color="auto"/>
              <w:right w:val="single" w:sz="2" w:space="0" w:color="auto"/>
            </w:tcBorders>
            <w:vAlign w:val="center"/>
          </w:tcPr>
          <w:p w14:paraId="0494025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231,514,750.02</w:t>
            </w:r>
          </w:p>
        </w:tc>
      </w:tr>
      <w:tr w:rsidR="00C57E60" w14:paraId="66B8EA5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CAED659"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偿还债务支付的现金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5A62107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442,567,639.20</w:t>
            </w:r>
          </w:p>
        </w:tc>
        <w:tc>
          <w:tcPr>
            <w:tcW w:w="2339" w:type="dxa"/>
            <w:tcBorders>
              <w:top w:val="single" w:sz="2" w:space="0" w:color="auto"/>
              <w:left w:val="single" w:sz="2" w:space="0" w:color="auto"/>
              <w:bottom w:val="single" w:sz="2" w:space="0" w:color="auto"/>
              <w:right w:val="single" w:sz="2" w:space="0" w:color="auto"/>
            </w:tcBorders>
            <w:vAlign w:val="center"/>
          </w:tcPr>
          <w:p w14:paraId="7F1F647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413,966,000.00</w:t>
            </w:r>
          </w:p>
        </w:tc>
      </w:tr>
      <w:tr w:rsidR="00C57E60" w14:paraId="6934F62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F3B2937" w14:textId="77777777" w:rsidR="00DC359B" w:rsidRPr="002154F2" w:rsidRDefault="00DC359B" w:rsidP="00DC359B">
            <w:pPr>
              <w:spacing w:before="40" w:after="40"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分配股利、利润或偿付利息支付的现金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2BA913E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136,787,579.63</w:t>
            </w:r>
          </w:p>
        </w:tc>
        <w:tc>
          <w:tcPr>
            <w:tcW w:w="2339" w:type="dxa"/>
            <w:tcBorders>
              <w:top w:val="single" w:sz="2" w:space="0" w:color="auto"/>
              <w:left w:val="single" w:sz="2" w:space="0" w:color="auto"/>
              <w:bottom w:val="single" w:sz="2" w:space="0" w:color="auto"/>
              <w:right w:val="single" w:sz="2" w:space="0" w:color="auto"/>
            </w:tcBorders>
            <w:vAlign w:val="center"/>
          </w:tcPr>
          <w:p w14:paraId="106D2E2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132,189,521.63</w:t>
            </w:r>
          </w:p>
        </w:tc>
      </w:tr>
      <w:tr w:rsidR="00C57E60" w14:paraId="28EF9D9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6E4BA27"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其中：子公司支付给少数股东的股利、利润</w:t>
            </w:r>
          </w:p>
        </w:tc>
        <w:tc>
          <w:tcPr>
            <w:tcW w:w="2338" w:type="dxa"/>
            <w:tcBorders>
              <w:top w:val="single" w:sz="2" w:space="0" w:color="auto"/>
              <w:left w:val="single" w:sz="2" w:space="0" w:color="auto"/>
              <w:bottom w:val="single" w:sz="2" w:space="0" w:color="auto"/>
              <w:right w:val="single" w:sz="2" w:space="0" w:color="auto"/>
            </w:tcBorders>
            <w:vAlign w:val="center"/>
          </w:tcPr>
          <w:p w14:paraId="6FC651CB" w14:textId="1052B744" w:rsidR="00DC359B" w:rsidRPr="002154F2" w:rsidRDefault="000F2096" w:rsidP="00DC359B">
            <w:pPr>
              <w:spacing w:line="360" w:lineRule="auto"/>
              <w:jc w:val="right"/>
              <w:rPr>
                <w:rFonts w:ascii="Times New Roman" w:eastAsia="宋体" w:hAnsi="Times New Roman" w:cs="Times New Roman"/>
                <w:sz w:val="18"/>
                <w:szCs w:val="18"/>
              </w:rPr>
            </w:pPr>
            <w:r w:rsidRPr="000F2096">
              <w:rPr>
                <w:rFonts w:ascii="Times New Roman" w:eastAsia="宋体" w:hAnsi="Times New Roman" w:cs="Times New Roman"/>
                <w:sz w:val="18"/>
                <w:szCs w:val="18"/>
              </w:rPr>
              <w:t>1,679,238.19</w:t>
            </w:r>
          </w:p>
        </w:tc>
        <w:tc>
          <w:tcPr>
            <w:tcW w:w="2339" w:type="dxa"/>
            <w:tcBorders>
              <w:top w:val="single" w:sz="2" w:space="0" w:color="auto"/>
              <w:left w:val="single" w:sz="2" w:space="0" w:color="auto"/>
              <w:bottom w:val="single" w:sz="2" w:space="0" w:color="auto"/>
              <w:right w:val="single" w:sz="2" w:space="0" w:color="auto"/>
            </w:tcBorders>
            <w:vAlign w:val="center"/>
          </w:tcPr>
          <w:p w14:paraId="263CBA9B" w14:textId="77777777" w:rsidR="00DC359B" w:rsidRPr="002154F2" w:rsidRDefault="00DC359B" w:rsidP="00DC359B">
            <w:pPr>
              <w:spacing w:line="360" w:lineRule="auto"/>
              <w:jc w:val="right"/>
              <w:rPr>
                <w:rFonts w:ascii="Times New Roman" w:eastAsia="宋体" w:hAnsi="Times New Roman" w:cs="Times New Roman"/>
                <w:sz w:val="18"/>
                <w:szCs w:val="18"/>
              </w:rPr>
            </w:pPr>
          </w:p>
        </w:tc>
      </w:tr>
      <w:tr w:rsidR="00C57E60" w14:paraId="49F53D1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EB384B0"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支付其他与筹资活动有关的现金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77F64202"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219,185,675.82</w:t>
            </w:r>
          </w:p>
        </w:tc>
        <w:tc>
          <w:tcPr>
            <w:tcW w:w="2339" w:type="dxa"/>
            <w:tcBorders>
              <w:top w:val="single" w:sz="2" w:space="0" w:color="auto"/>
              <w:left w:val="single" w:sz="2" w:space="0" w:color="auto"/>
              <w:bottom w:val="single" w:sz="2" w:space="0" w:color="auto"/>
              <w:right w:val="single" w:sz="2" w:space="0" w:color="auto"/>
            </w:tcBorders>
            <w:vAlign w:val="center"/>
          </w:tcPr>
          <w:p w14:paraId="3D4F310D"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69,632,746.39</w:t>
            </w:r>
          </w:p>
        </w:tc>
      </w:tr>
      <w:tr w:rsidR="00C57E60" w14:paraId="2AEA49FB"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9B50B8A"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筹资活动现金流出小计</w:t>
            </w:r>
          </w:p>
        </w:tc>
        <w:tc>
          <w:tcPr>
            <w:tcW w:w="2338" w:type="dxa"/>
            <w:tcBorders>
              <w:top w:val="single" w:sz="2" w:space="0" w:color="auto"/>
              <w:left w:val="single" w:sz="2" w:space="0" w:color="auto"/>
              <w:bottom w:val="single" w:sz="2" w:space="0" w:color="auto"/>
              <w:right w:val="single" w:sz="2" w:space="0" w:color="auto"/>
            </w:tcBorders>
            <w:vAlign w:val="center"/>
          </w:tcPr>
          <w:p w14:paraId="41887CEF"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798,540,894.65</w:t>
            </w:r>
          </w:p>
        </w:tc>
        <w:tc>
          <w:tcPr>
            <w:tcW w:w="2339" w:type="dxa"/>
            <w:tcBorders>
              <w:top w:val="single" w:sz="2" w:space="0" w:color="auto"/>
              <w:left w:val="single" w:sz="2" w:space="0" w:color="auto"/>
              <w:bottom w:val="single" w:sz="2" w:space="0" w:color="auto"/>
              <w:right w:val="single" w:sz="2" w:space="0" w:color="auto"/>
            </w:tcBorders>
            <w:vAlign w:val="center"/>
          </w:tcPr>
          <w:p w14:paraId="2C2DA17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615,788,268.02</w:t>
            </w:r>
          </w:p>
        </w:tc>
      </w:tr>
      <w:tr w:rsidR="00C57E60" w14:paraId="1AF6831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8936B4A"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筹资活动产生的现金流量净额</w:t>
            </w:r>
          </w:p>
        </w:tc>
        <w:tc>
          <w:tcPr>
            <w:tcW w:w="2338" w:type="dxa"/>
            <w:tcBorders>
              <w:top w:val="single" w:sz="2" w:space="0" w:color="auto"/>
              <w:left w:val="single" w:sz="2" w:space="0" w:color="auto"/>
              <w:bottom w:val="single" w:sz="2" w:space="0" w:color="auto"/>
              <w:right w:val="single" w:sz="2" w:space="0" w:color="auto"/>
            </w:tcBorders>
            <w:vAlign w:val="center"/>
          </w:tcPr>
          <w:p w14:paraId="4A87F3B0"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-375,710,701.07</w:t>
            </w:r>
          </w:p>
        </w:tc>
        <w:tc>
          <w:tcPr>
            <w:tcW w:w="2339" w:type="dxa"/>
            <w:tcBorders>
              <w:top w:val="single" w:sz="2" w:space="0" w:color="auto"/>
              <w:left w:val="single" w:sz="2" w:space="0" w:color="auto"/>
              <w:bottom w:val="single" w:sz="2" w:space="0" w:color="auto"/>
              <w:right w:val="single" w:sz="2" w:space="0" w:color="auto"/>
            </w:tcBorders>
            <w:vAlign w:val="center"/>
          </w:tcPr>
          <w:p w14:paraId="5C9C7FE0"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-384,273,518.00</w:t>
            </w:r>
          </w:p>
        </w:tc>
      </w:tr>
      <w:tr w:rsidR="00C57E60" w14:paraId="2D86B8E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3F49D6E"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四、汇率变动对现金及现金等价物的影响</w:t>
            </w:r>
          </w:p>
        </w:tc>
        <w:tc>
          <w:tcPr>
            <w:tcW w:w="2338" w:type="dxa"/>
            <w:tcBorders>
              <w:top w:val="single" w:sz="2" w:space="0" w:color="auto"/>
              <w:left w:val="single" w:sz="2" w:space="0" w:color="auto"/>
              <w:bottom w:val="single" w:sz="2" w:space="0" w:color="auto"/>
              <w:right w:val="single" w:sz="2" w:space="0" w:color="auto"/>
            </w:tcBorders>
            <w:vAlign w:val="center"/>
          </w:tcPr>
          <w:p w14:paraId="3A48752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-7,126,733.52</w:t>
            </w:r>
          </w:p>
        </w:tc>
        <w:tc>
          <w:tcPr>
            <w:tcW w:w="2339" w:type="dxa"/>
            <w:tcBorders>
              <w:top w:val="single" w:sz="2" w:space="0" w:color="auto"/>
              <w:left w:val="single" w:sz="2" w:space="0" w:color="auto"/>
              <w:bottom w:val="single" w:sz="2" w:space="0" w:color="auto"/>
              <w:right w:val="single" w:sz="2" w:space="0" w:color="auto"/>
            </w:tcBorders>
            <w:vAlign w:val="center"/>
          </w:tcPr>
          <w:p w14:paraId="08C2499C"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-9,210,729.26</w:t>
            </w:r>
          </w:p>
        </w:tc>
      </w:tr>
      <w:tr w:rsidR="00C57E60" w14:paraId="322CFFB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9739A08"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五、现金及现金等价物净增加额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02E8E307"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-71,584,619.67</w:t>
            </w:r>
          </w:p>
        </w:tc>
        <w:tc>
          <w:tcPr>
            <w:tcW w:w="2339" w:type="dxa"/>
            <w:tcBorders>
              <w:top w:val="single" w:sz="2" w:space="0" w:color="auto"/>
              <w:left w:val="single" w:sz="2" w:space="0" w:color="auto"/>
              <w:bottom w:val="single" w:sz="2" w:space="0" w:color="auto"/>
              <w:right w:val="single" w:sz="2" w:space="0" w:color="auto"/>
            </w:tcBorders>
            <w:vAlign w:val="center"/>
          </w:tcPr>
          <w:p w14:paraId="3B5A26E9"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62,788,476.45</w:t>
            </w:r>
          </w:p>
        </w:tc>
      </w:tr>
      <w:tr w:rsidR="00C57E60" w14:paraId="75B561D7"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2E09950" w14:textId="77777777" w:rsidR="00DC359B" w:rsidRPr="002154F2" w:rsidRDefault="00DC359B" w:rsidP="00DC359B">
            <w:pPr>
              <w:spacing w:line="360" w:lineRule="auto"/>
              <w:ind w:firstLineChars="100" w:firstLine="180"/>
              <w:rPr>
                <w:rFonts w:ascii="Times New Roman" w:eastAsia="宋体" w:hAnsi="Times New Roman" w:cs="Times New Roman"/>
                <w:sz w:val="18"/>
                <w:szCs w:val="18"/>
              </w:rPr>
            </w:pPr>
            <w:r w:rsidRPr="002154F2">
              <w:rPr>
                <w:rFonts w:ascii="Times New Roman" w:eastAsia="宋体" w:hAnsi="Times New Roman" w:cs="Times New Roman"/>
                <w:sz w:val="18"/>
                <w:szCs w:val="18"/>
              </w:rPr>
              <w:t>加：期初现金及现金等价物余额</w:t>
            </w:r>
          </w:p>
        </w:tc>
        <w:tc>
          <w:tcPr>
            <w:tcW w:w="2338" w:type="dxa"/>
            <w:tcBorders>
              <w:top w:val="single" w:sz="2" w:space="0" w:color="auto"/>
              <w:left w:val="single" w:sz="2" w:space="0" w:color="auto"/>
              <w:bottom w:val="single" w:sz="2" w:space="0" w:color="auto"/>
              <w:right w:val="single" w:sz="2" w:space="0" w:color="auto"/>
            </w:tcBorders>
            <w:vAlign w:val="center"/>
          </w:tcPr>
          <w:p w14:paraId="4D665366"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842,454,892.22</w:t>
            </w:r>
          </w:p>
        </w:tc>
        <w:tc>
          <w:tcPr>
            <w:tcW w:w="2339" w:type="dxa"/>
            <w:tcBorders>
              <w:top w:val="single" w:sz="2" w:space="0" w:color="auto"/>
              <w:left w:val="single" w:sz="2" w:space="0" w:color="auto"/>
              <w:bottom w:val="single" w:sz="2" w:space="0" w:color="auto"/>
              <w:right w:val="single" w:sz="2" w:space="0" w:color="auto"/>
            </w:tcBorders>
            <w:vAlign w:val="center"/>
          </w:tcPr>
          <w:p w14:paraId="699A58E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779,666,415.77</w:t>
            </w:r>
          </w:p>
        </w:tc>
      </w:tr>
      <w:tr w:rsidR="00C57E60" w14:paraId="6186445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A645CCE" w14:textId="77777777" w:rsidR="00DC359B" w:rsidRPr="002154F2" w:rsidRDefault="00DC359B" w:rsidP="00DC359B">
            <w:pPr>
              <w:spacing w:line="360" w:lineRule="auto"/>
              <w:rPr>
                <w:rFonts w:ascii="Times New Roman" w:eastAsia="宋体" w:hAnsi="Times New Roman" w:cs="Times New Roman"/>
                <w:sz w:val="18"/>
                <w:szCs w:val="18"/>
              </w:rPr>
            </w:pPr>
            <w:r w:rsidRPr="002154F2">
              <w:rPr>
                <w:rFonts w:ascii="Times New Roman" w:eastAsia="宋体" w:hAnsi="Times New Roman" w:cs="Times New Roman"/>
                <w:sz w:val="18"/>
                <w:szCs w:val="18"/>
              </w:rPr>
              <w:t>六、期末现金及现金等价物余额</w:t>
            </w:r>
          </w:p>
        </w:tc>
        <w:tc>
          <w:tcPr>
            <w:tcW w:w="2338" w:type="dxa"/>
            <w:tcBorders>
              <w:top w:val="single" w:sz="2" w:space="0" w:color="auto"/>
              <w:left w:val="single" w:sz="2" w:space="0" w:color="auto"/>
              <w:bottom w:val="single" w:sz="2" w:space="0" w:color="auto"/>
              <w:right w:val="single" w:sz="2" w:space="0" w:color="auto"/>
            </w:tcBorders>
            <w:vAlign w:val="center"/>
          </w:tcPr>
          <w:p w14:paraId="27493DA1"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770,870,272.55</w:t>
            </w:r>
          </w:p>
        </w:tc>
        <w:tc>
          <w:tcPr>
            <w:tcW w:w="2339" w:type="dxa"/>
            <w:tcBorders>
              <w:top w:val="single" w:sz="2" w:space="0" w:color="auto"/>
              <w:left w:val="single" w:sz="2" w:space="0" w:color="auto"/>
              <w:bottom w:val="single" w:sz="2" w:space="0" w:color="auto"/>
              <w:right w:val="single" w:sz="2" w:space="0" w:color="auto"/>
            </w:tcBorders>
            <w:vAlign w:val="center"/>
          </w:tcPr>
          <w:p w14:paraId="3FCE0774" w14:textId="77777777" w:rsidR="00DC359B" w:rsidRPr="002154F2" w:rsidRDefault="00DC359B" w:rsidP="00DC359B">
            <w:pPr>
              <w:spacing w:line="360" w:lineRule="auto"/>
              <w:jc w:val="right"/>
              <w:rPr>
                <w:rFonts w:ascii="Times New Roman" w:eastAsia="宋体" w:hAnsi="Times New Roman" w:cs="Times New Roman"/>
                <w:sz w:val="18"/>
                <w:szCs w:val="18"/>
              </w:rPr>
            </w:pPr>
            <w:r w:rsidRPr="002154F2">
              <w:rPr>
                <w:rFonts w:ascii="Times New Roman" w:eastAsia="宋体" w:hAnsi="Times New Roman" w:cs="Times New Roman"/>
                <w:sz w:val="18"/>
                <w:szCs w:val="18"/>
              </w:rPr>
              <w:t>842,454,892.22</w:t>
            </w:r>
          </w:p>
        </w:tc>
      </w:tr>
    </w:tbl>
    <w:p w14:paraId="601D6E80" w14:textId="77777777" w:rsidR="00DC359B" w:rsidRDefault="00DC359B" w:rsidP="00DC359B">
      <w:pPr>
        <w:pStyle w:val="3"/>
        <w:spacing w:line="280" w:lineRule="exact"/>
        <w:jc w:val="left"/>
        <w:rPr>
          <w:rFonts w:ascii="宋体" w:hAnsi="宋体" w:cs="宋体"/>
          <w:b/>
          <w:bCs/>
        </w:rPr>
        <w:sectPr w:rsidR="00DC359B">
          <w:pgSz w:w="11905" w:h="16840"/>
          <w:pgMar w:top="1440" w:right="1134" w:bottom="1440" w:left="1134" w:header="850" w:footer="992" w:gutter="0"/>
          <w:cols w:space="720"/>
          <w:docGrid w:type="linesAndChars" w:linePitch="312"/>
        </w:sectPr>
      </w:pPr>
    </w:p>
    <w:p w14:paraId="642500CF" w14:textId="77777777" w:rsidR="00DC359B" w:rsidRPr="00877EF3" w:rsidRDefault="00DC359B" w:rsidP="00DC359B">
      <w:pPr>
        <w:pStyle w:val="3"/>
        <w:spacing w:line="280" w:lineRule="exact"/>
        <w:jc w:val="left"/>
        <w:rPr>
          <w:rFonts w:ascii="Times New Roman" w:hAnsi="Times New Roman" w:cs="Times New Roman"/>
          <w:b/>
          <w:bCs/>
        </w:rPr>
      </w:pPr>
      <w:r w:rsidRPr="00877EF3">
        <w:rPr>
          <w:rFonts w:ascii="Times New Roman" w:hAnsi="Times New Roman" w:cs="Times New Roman"/>
          <w:b/>
          <w:bCs/>
        </w:rPr>
        <w:t>6</w:t>
      </w:r>
      <w:r w:rsidRPr="00877EF3">
        <w:rPr>
          <w:rFonts w:ascii="Times New Roman" w:hAnsi="Times New Roman" w:cs="Times New Roman"/>
          <w:b/>
          <w:bCs/>
        </w:rPr>
        <w:t>、母公司现金流量表</w:t>
      </w:r>
    </w:p>
    <w:p w14:paraId="7A9CFD02" w14:textId="77777777" w:rsidR="00DC359B" w:rsidRDefault="00DC359B" w:rsidP="00DC359B">
      <w:pPr>
        <w:spacing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000" w:firstRow="0" w:lastRow="0" w:firstColumn="0" w:lastColumn="0" w:noHBand="0" w:noVBand="0"/>
      </w:tblPr>
      <w:tblGrid>
        <w:gridCol w:w="4962"/>
        <w:gridCol w:w="2338"/>
        <w:gridCol w:w="2339"/>
      </w:tblGrid>
      <w:tr w:rsidR="00C57E60" w14:paraId="428A7DD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3A32092" w14:textId="77777777" w:rsidR="00DC359B" w:rsidRPr="00877EF3" w:rsidRDefault="00DC359B" w:rsidP="00DC359B">
            <w:pPr>
              <w:spacing w:line="360" w:lineRule="auto"/>
              <w:jc w:val="center"/>
              <w:rPr>
                <w:rFonts w:ascii="Times New Roman" w:eastAsia="宋体" w:hAnsi="Times New Roman" w:cs="Times New Roman"/>
                <w:sz w:val="18"/>
                <w:szCs w:val="18"/>
              </w:rPr>
            </w:pPr>
            <w:r w:rsidRPr="00877EF3">
              <w:rPr>
                <w:rFonts w:ascii="Times New Roman" w:eastAsia="宋体" w:hAnsi="Times New Roman" w:cs="Times New Roman"/>
                <w:sz w:val="18"/>
                <w:szCs w:val="18"/>
              </w:rPr>
              <w:t>项目</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54258224" w14:textId="77777777" w:rsidR="00DC359B" w:rsidRPr="00877EF3" w:rsidRDefault="00DC359B" w:rsidP="00DC359B">
            <w:pPr>
              <w:spacing w:line="360" w:lineRule="auto"/>
              <w:jc w:val="center"/>
              <w:rPr>
                <w:rFonts w:ascii="Times New Roman" w:eastAsia="宋体" w:hAnsi="Times New Roman" w:cs="Times New Roman"/>
                <w:sz w:val="18"/>
                <w:szCs w:val="18"/>
              </w:rPr>
            </w:pPr>
            <w:r w:rsidRPr="00877EF3">
              <w:rPr>
                <w:rFonts w:ascii="Times New Roman" w:eastAsia="宋体" w:hAnsi="Times New Roman" w:cs="Times New Roman"/>
                <w:sz w:val="18"/>
                <w:szCs w:val="18"/>
              </w:rPr>
              <w:t>2025</w:t>
            </w:r>
            <w:r w:rsidRPr="00877EF3">
              <w:rPr>
                <w:rFonts w:ascii="Times New Roman" w:eastAsia="宋体" w:hAnsi="Times New Roman" w:cs="Times New Roman"/>
                <w:sz w:val="18"/>
                <w:szCs w:val="18"/>
              </w:rPr>
              <w:t>年度</w:t>
            </w: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3DFE77B8" w14:textId="77777777" w:rsidR="00DC359B" w:rsidRPr="00877EF3" w:rsidRDefault="00DC359B" w:rsidP="00DC359B">
            <w:pPr>
              <w:spacing w:line="360" w:lineRule="auto"/>
              <w:jc w:val="center"/>
              <w:rPr>
                <w:rFonts w:ascii="Times New Roman" w:eastAsia="宋体" w:hAnsi="Times New Roman" w:cs="Times New Roman"/>
                <w:sz w:val="18"/>
                <w:szCs w:val="18"/>
              </w:rPr>
            </w:pPr>
            <w:r w:rsidRPr="00877EF3">
              <w:rPr>
                <w:rFonts w:ascii="Times New Roman" w:eastAsia="宋体" w:hAnsi="Times New Roman" w:cs="Times New Roman"/>
                <w:sz w:val="18"/>
                <w:szCs w:val="18"/>
              </w:rPr>
              <w:t>2024</w:t>
            </w:r>
            <w:r w:rsidRPr="00877EF3">
              <w:rPr>
                <w:rFonts w:ascii="Times New Roman" w:eastAsia="宋体" w:hAnsi="Times New Roman" w:cs="Times New Roman"/>
                <w:sz w:val="18"/>
                <w:szCs w:val="18"/>
              </w:rPr>
              <w:t>年度</w:t>
            </w:r>
          </w:p>
        </w:tc>
      </w:tr>
      <w:tr w:rsidR="00C57E60" w14:paraId="0658EDD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BD55E22"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一、经营活动产生的现金流量：</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53892CF2" w14:textId="77777777" w:rsidR="00DC359B" w:rsidRPr="00877EF3"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508E1DA6" w14:textId="77777777" w:rsidR="00DC359B" w:rsidRPr="00877EF3" w:rsidRDefault="00DC359B" w:rsidP="00DC359B">
            <w:pPr>
              <w:spacing w:line="360" w:lineRule="auto"/>
              <w:rPr>
                <w:rFonts w:ascii="Times New Roman" w:hAnsi="Times New Roman" w:cs="Times New Roman"/>
              </w:rPr>
            </w:pPr>
          </w:p>
        </w:tc>
      </w:tr>
      <w:tr w:rsidR="00C57E60" w14:paraId="2314BE3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0B6C4B9"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销售商品、提供劳务收到的现金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5EA5CEFD"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3,150,019,267.29</w:t>
            </w:r>
          </w:p>
        </w:tc>
        <w:tc>
          <w:tcPr>
            <w:tcW w:w="2339" w:type="dxa"/>
            <w:tcBorders>
              <w:top w:val="single" w:sz="2" w:space="0" w:color="auto"/>
              <w:left w:val="single" w:sz="2" w:space="0" w:color="auto"/>
              <w:bottom w:val="single" w:sz="2" w:space="0" w:color="auto"/>
              <w:right w:val="single" w:sz="2" w:space="0" w:color="auto"/>
            </w:tcBorders>
            <w:vAlign w:val="center"/>
          </w:tcPr>
          <w:p w14:paraId="1A029B53"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2,817,766,092.46</w:t>
            </w:r>
          </w:p>
        </w:tc>
      </w:tr>
      <w:tr w:rsidR="00C57E60" w14:paraId="52EB8A1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F68B454"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收到的税费返还</w:t>
            </w:r>
          </w:p>
        </w:tc>
        <w:tc>
          <w:tcPr>
            <w:tcW w:w="2338" w:type="dxa"/>
            <w:tcBorders>
              <w:top w:val="single" w:sz="2" w:space="0" w:color="auto"/>
              <w:left w:val="single" w:sz="2" w:space="0" w:color="auto"/>
              <w:bottom w:val="single" w:sz="2" w:space="0" w:color="auto"/>
              <w:right w:val="single" w:sz="2" w:space="0" w:color="auto"/>
            </w:tcBorders>
            <w:vAlign w:val="center"/>
          </w:tcPr>
          <w:p w14:paraId="5EDAD0C2"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32,777,336.87</w:t>
            </w:r>
          </w:p>
        </w:tc>
        <w:tc>
          <w:tcPr>
            <w:tcW w:w="2339" w:type="dxa"/>
            <w:tcBorders>
              <w:top w:val="single" w:sz="2" w:space="0" w:color="auto"/>
              <w:left w:val="single" w:sz="2" w:space="0" w:color="auto"/>
              <w:bottom w:val="single" w:sz="2" w:space="0" w:color="auto"/>
              <w:right w:val="single" w:sz="2" w:space="0" w:color="auto"/>
            </w:tcBorders>
            <w:vAlign w:val="center"/>
          </w:tcPr>
          <w:p w14:paraId="0B877EF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64,687,756.70</w:t>
            </w:r>
          </w:p>
        </w:tc>
      </w:tr>
      <w:tr w:rsidR="00C57E60" w14:paraId="3249A8B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30C6FA5"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收到其他与经营活动有关的现金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1F23E848"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271,538,149.01</w:t>
            </w:r>
          </w:p>
        </w:tc>
        <w:tc>
          <w:tcPr>
            <w:tcW w:w="2339" w:type="dxa"/>
            <w:tcBorders>
              <w:top w:val="single" w:sz="2" w:space="0" w:color="auto"/>
              <w:left w:val="single" w:sz="2" w:space="0" w:color="auto"/>
              <w:bottom w:val="single" w:sz="2" w:space="0" w:color="auto"/>
              <w:right w:val="single" w:sz="2" w:space="0" w:color="auto"/>
            </w:tcBorders>
            <w:vAlign w:val="center"/>
          </w:tcPr>
          <w:p w14:paraId="3F92D5BE"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101,770,128.74</w:t>
            </w:r>
          </w:p>
        </w:tc>
      </w:tr>
      <w:tr w:rsidR="00C57E60" w14:paraId="1B11C63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6FB4190"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经营活动现金流入小计</w:t>
            </w:r>
          </w:p>
        </w:tc>
        <w:tc>
          <w:tcPr>
            <w:tcW w:w="2338" w:type="dxa"/>
            <w:tcBorders>
              <w:top w:val="single" w:sz="2" w:space="0" w:color="auto"/>
              <w:left w:val="single" w:sz="2" w:space="0" w:color="auto"/>
              <w:bottom w:val="single" w:sz="2" w:space="0" w:color="auto"/>
              <w:right w:val="single" w:sz="2" w:space="0" w:color="auto"/>
            </w:tcBorders>
            <w:vAlign w:val="center"/>
          </w:tcPr>
          <w:p w14:paraId="000F035D"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3,454,334,753.17</w:t>
            </w:r>
          </w:p>
        </w:tc>
        <w:tc>
          <w:tcPr>
            <w:tcW w:w="2339" w:type="dxa"/>
            <w:tcBorders>
              <w:top w:val="single" w:sz="2" w:space="0" w:color="auto"/>
              <w:left w:val="single" w:sz="2" w:space="0" w:color="auto"/>
              <w:bottom w:val="single" w:sz="2" w:space="0" w:color="auto"/>
              <w:right w:val="single" w:sz="2" w:space="0" w:color="auto"/>
            </w:tcBorders>
            <w:vAlign w:val="center"/>
          </w:tcPr>
          <w:p w14:paraId="5B00B64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2,984,223,977.90</w:t>
            </w:r>
          </w:p>
        </w:tc>
      </w:tr>
      <w:tr w:rsidR="00C57E60" w14:paraId="02668A0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55363E9"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购买商品、接受劳务支付的现金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2B2CC4A0"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1,036,098,425.39</w:t>
            </w:r>
          </w:p>
        </w:tc>
        <w:tc>
          <w:tcPr>
            <w:tcW w:w="2339" w:type="dxa"/>
            <w:tcBorders>
              <w:top w:val="single" w:sz="2" w:space="0" w:color="auto"/>
              <w:left w:val="single" w:sz="2" w:space="0" w:color="auto"/>
              <w:bottom w:val="single" w:sz="2" w:space="0" w:color="auto"/>
              <w:right w:val="single" w:sz="2" w:space="0" w:color="auto"/>
            </w:tcBorders>
            <w:vAlign w:val="center"/>
          </w:tcPr>
          <w:p w14:paraId="6F8005F0"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861,532,082.66</w:t>
            </w:r>
          </w:p>
        </w:tc>
      </w:tr>
      <w:tr w:rsidR="00C57E60" w14:paraId="0156208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A17FDD7"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支付给职工以及为职工支付的现金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5571C5D2"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588,571,158.10</w:t>
            </w:r>
          </w:p>
        </w:tc>
        <w:tc>
          <w:tcPr>
            <w:tcW w:w="2339" w:type="dxa"/>
            <w:tcBorders>
              <w:top w:val="single" w:sz="2" w:space="0" w:color="auto"/>
              <w:left w:val="single" w:sz="2" w:space="0" w:color="auto"/>
              <w:bottom w:val="single" w:sz="2" w:space="0" w:color="auto"/>
              <w:right w:val="single" w:sz="2" w:space="0" w:color="auto"/>
            </w:tcBorders>
            <w:vAlign w:val="center"/>
          </w:tcPr>
          <w:p w14:paraId="08BEE348"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550,792,155.17</w:t>
            </w:r>
          </w:p>
        </w:tc>
      </w:tr>
      <w:tr w:rsidR="00C57E60" w14:paraId="4E0B92D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8901291"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支付的各项税费</w:t>
            </w:r>
          </w:p>
        </w:tc>
        <w:tc>
          <w:tcPr>
            <w:tcW w:w="2338" w:type="dxa"/>
            <w:tcBorders>
              <w:top w:val="single" w:sz="2" w:space="0" w:color="auto"/>
              <w:left w:val="single" w:sz="2" w:space="0" w:color="auto"/>
              <w:bottom w:val="single" w:sz="2" w:space="0" w:color="auto"/>
              <w:right w:val="single" w:sz="2" w:space="0" w:color="auto"/>
            </w:tcBorders>
            <w:vAlign w:val="center"/>
          </w:tcPr>
          <w:p w14:paraId="6A2513A6"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262,743,131.94</w:t>
            </w:r>
          </w:p>
        </w:tc>
        <w:tc>
          <w:tcPr>
            <w:tcW w:w="2339" w:type="dxa"/>
            <w:tcBorders>
              <w:top w:val="single" w:sz="2" w:space="0" w:color="auto"/>
              <w:left w:val="single" w:sz="2" w:space="0" w:color="auto"/>
              <w:bottom w:val="single" w:sz="2" w:space="0" w:color="auto"/>
              <w:right w:val="single" w:sz="2" w:space="0" w:color="auto"/>
            </w:tcBorders>
            <w:vAlign w:val="center"/>
          </w:tcPr>
          <w:p w14:paraId="2B6FB26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243,424,861.01</w:t>
            </w:r>
          </w:p>
        </w:tc>
      </w:tr>
      <w:tr w:rsidR="00C57E60" w14:paraId="0B18B27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15086C7"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支付其他与经营活动有关的现金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694F5808"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1,013,239,974.46</w:t>
            </w:r>
          </w:p>
        </w:tc>
        <w:tc>
          <w:tcPr>
            <w:tcW w:w="2339" w:type="dxa"/>
            <w:tcBorders>
              <w:top w:val="single" w:sz="2" w:space="0" w:color="auto"/>
              <w:left w:val="single" w:sz="2" w:space="0" w:color="auto"/>
              <w:bottom w:val="single" w:sz="2" w:space="0" w:color="auto"/>
              <w:right w:val="single" w:sz="2" w:space="0" w:color="auto"/>
            </w:tcBorders>
            <w:vAlign w:val="center"/>
          </w:tcPr>
          <w:p w14:paraId="23F11FA6"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889,438,073.13</w:t>
            </w:r>
          </w:p>
        </w:tc>
      </w:tr>
      <w:tr w:rsidR="00C57E60" w14:paraId="34E27BA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8D1C896"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经营活动现金流出小计</w:t>
            </w:r>
          </w:p>
        </w:tc>
        <w:tc>
          <w:tcPr>
            <w:tcW w:w="2338" w:type="dxa"/>
            <w:tcBorders>
              <w:top w:val="single" w:sz="2" w:space="0" w:color="auto"/>
              <w:left w:val="single" w:sz="2" w:space="0" w:color="auto"/>
              <w:bottom w:val="single" w:sz="2" w:space="0" w:color="auto"/>
              <w:right w:val="single" w:sz="2" w:space="0" w:color="auto"/>
            </w:tcBorders>
            <w:vAlign w:val="center"/>
          </w:tcPr>
          <w:p w14:paraId="5309041F"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2,900,652,689.89</w:t>
            </w:r>
          </w:p>
        </w:tc>
        <w:tc>
          <w:tcPr>
            <w:tcW w:w="2339" w:type="dxa"/>
            <w:tcBorders>
              <w:top w:val="single" w:sz="2" w:space="0" w:color="auto"/>
              <w:left w:val="single" w:sz="2" w:space="0" w:color="auto"/>
              <w:bottom w:val="single" w:sz="2" w:space="0" w:color="auto"/>
              <w:right w:val="single" w:sz="2" w:space="0" w:color="auto"/>
            </w:tcBorders>
            <w:vAlign w:val="center"/>
          </w:tcPr>
          <w:p w14:paraId="1BF00D1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2,545,187,171.97</w:t>
            </w:r>
          </w:p>
        </w:tc>
      </w:tr>
      <w:tr w:rsidR="00C57E60" w14:paraId="0AC08A4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78C2659"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经营活动产生的现金流量净额</w:t>
            </w:r>
          </w:p>
        </w:tc>
        <w:tc>
          <w:tcPr>
            <w:tcW w:w="2338" w:type="dxa"/>
            <w:tcBorders>
              <w:top w:val="single" w:sz="2" w:space="0" w:color="auto"/>
              <w:left w:val="single" w:sz="2" w:space="0" w:color="auto"/>
              <w:bottom w:val="single" w:sz="2" w:space="0" w:color="auto"/>
              <w:right w:val="single" w:sz="2" w:space="0" w:color="auto"/>
            </w:tcBorders>
            <w:vAlign w:val="center"/>
          </w:tcPr>
          <w:p w14:paraId="66A80177"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553,682,063.28</w:t>
            </w:r>
          </w:p>
        </w:tc>
        <w:tc>
          <w:tcPr>
            <w:tcW w:w="2339" w:type="dxa"/>
            <w:tcBorders>
              <w:top w:val="single" w:sz="2" w:space="0" w:color="auto"/>
              <w:left w:val="single" w:sz="2" w:space="0" w:color="auto"/>
              <w:bottom w:val="single" w:sz="2" w:space="0" w:color="auto"/>
              <w:right w:val="single" w:sz="2" w:space="0" w:color="auto"/>
            </w:tcBorders>
            <w:vAlign w:val="center"/>
          </w:tcPr>
          <w:p w14:paraId="564D29F7"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439,036,805.93</w:t>
            </w:r>
          </w:p>
        </w:tc>
      </w:tr>
      <w:tr w:rsidR="00C57E60" w14:paraId="7BE2602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5695B62"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二、投资活动产生的现金流量：</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25E388DB" w14:textId="77777777" w:rsidR="00DC359B" w:rsidRPr="00877EF3"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250613A0" w14:textId="77777777" w:rsidR="00DC359B" w:rsidRPr="00877EF3" w:rsidRDefault="00DC359B" w:rsidP="00DC359B">
            <w:pPr>
              <w:spacing w:line="360" w:lineRule="auto"/>
              <w:rPr>
                <w:rFonts w:ascii="Times New Roman" w:hAnsi="Times New Roman" w:cs="Times New Roman"/>
              </w:rPr>
            </w:pPr>
          </w:p>
        </w:tc>
      </w:tr>
      <w:tr w:rsidR="00C57E60" w14:paraId="644AA28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5D953A2"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收回投资收到的现金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1D6A3D34"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34,452,466.02</w:t>
            </w:r>
          </w:p>
        </w:tc>
        <w:tc>
          <w:tcPr>
            <w:tcW w:w="2339" w:type="dxa"/>
            <w:tcBorders>
              <w:top w:val="single" w:sz="2" w:space="0" w:color="auto"/>
              <w:left w:val="single" w:sz="2" w:space="0" w:color="auto"/>
              <w:bottom w:val="single" w:sz="2" w:space="0" w:color="auto"/>
              <w:right w:val="single" w:sz="2" w:space="0" w:color="auto"/>
            </w:tcBorders>
            <w:vAlign w:val="center"/>
          </w:tcPr>
          <w:p w14:paraId="0FBAB515"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85,683,300.00</w:t>
            </w:r>
          </w:p>
        </w:tc>
      </w:tr>
      <w:tr w:rsidR="00C57E60" w14:paraId="274CB73E"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66A0DAC"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取得投资收益收到的现金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2D9B458B"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5,494,791.70</w:t>
            </w:r>
          </w:p>
        </w:tc>
        <w:tc>
          <w:tcPr>
            <w:tcW w:w="2339" w:type="dxa"/>
            <w:tcBorders>
              <w:top w:val="single" w:sz="2" w:space="0" w:color="auto"/>
              <w:left w:val="single" w:sz="2" w:space="0" w:color="auto"/>
              <w:bottom w:val="single" w:sz="2" w:space="0" w:color="auto"/>
              <w:right w:val="single" w:sz="2" w:space="0" w:color="auto"/>
            </w:tcBorders>
            <w:vAlign w:val="center"/>
          </w:tcPr>
          <w:p w14:paraId="38C7B8F8"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729,850.20</w:t>
            </w:r>
          </w:p>
        </w:tc>
      </w:tr>
      <w:tr w:rsidR="00C57E60" w14:paraId="3F95C9D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4B51CB1"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处置固定资产、无形资产和其他长期资产收回的现金净额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231A870C"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527,559.61</w:t>
            </w:r>
          </w:p>
        </w:tc>
        <w:tc>
          <w:tcPr>
            <w:tcW w:w="2339" w:type="dxa"/>
            <w:tcBorders>
              <w:top w:val="single" w:sz="2" w:space="0" w:color="auto"/>
              <w:left w:val="single" w:sz="2" w:space="0" w:color="auto"/>
              <w:bottom w:val="single" w:sz="2" w:space="0" w:color="auto"/>
              <w:right w:val="single" w:sz="2" w:space="0" w:color="auto"/>
            </w:tcBorders>
            <w:vAlign w:val="center"/>
          </w:tcPr>
          <w:p w14:paraId="4BBB9B8B"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116,912.00</w:t>
            </w:r>
          </w:p>
        </w:tc>
      </w:tr>
      <w:tr w:rsidR="00C57E60" w14:paraId="18C775D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494CA85"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处置子公司及其他营业单位收到的现金净额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2B29FF00"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200,135.15</w:t>
            </w:r>
          </w:p>
        </w:tc>
        <w:tc>
          <w:tcPr>
            <w:tcW w:w="2339" w:type="dxa"/>
            <w:tcBorders>
              <w:top w:val="single" w:sz="2" w:space="0" w:color="auto"/>
              <w:left w:val="single" w:sz="2" w:space="0" w:color="auto"/>
              <w:bottom w:val="single" w:sz="2" w:space="0" w:color="auto"/>
              <w:right w:val="single" w:sz="2" w:space="0" w:color="auto"/>
            </w:tcBorders>
            <w:vAlign w:val="center"/>
          </w:tcPr>
          <w:p w14:paraId="05285CB3" w14:textId="77777777" w:rsidR="00DC359B" w:rsidRPr="00877EF3" w:rsidRDefault="00DC359B" w:rsidP="00DC359B">
            <w:pPr>
              <w:spacing w:line="360" w:lineRule="auto"/>
              <w:jc w:val="right"/>
              <w:rPr>
                <w:rFonts w:ascii="Times New Roman" w:eastAsia="宋体" w:hAnsi="Times New Roman" w:cs="Times New Roman"/>
                <w:sz w:val="18"/>
                <w:szCs w:val="18"/>
              </w:rPr>
            </w:pPr>
          </w:p>
        </w:tc>
      </w:tr>
      <w:tr w:rsidR="00C57E60" w14:paraId="0A852204"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232D996"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收到其他与投资活动有关的现金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03D23CD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920,334,316.38</w:t>
            </w:r>
          </w:p>
        </w:tc>
        <w:tc>
          <w:tcPr>
            <w:tcW w:w="2339" w:type="dxa"/>
            <w:tcBorders>
              <w:top w:val="single" w:sz="2" w:space="0" w:color="auto"/>
              <w:left w:val="single" w:sz="2" w:space="0" w:color="auto"/>
              <w:bottom w:val="single" w:sz="2" w:space="0" w:color="auto"/>
              <w:right w:val="single" w:sz="2" w:space="0" w:color="auto"/>
            </w:tcBorders>
            <w:vAlign w:val="center"/>
          </w:tcPr>
          <w:p w14:paraId="3373D1ED"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373,774,069.00</w:t>
            </w:r>
          </w:p>
        </w:tc>
      </w:tr>
      <w:tr w:rsidR="00C57E60" w14:paraId="52BB0C7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022E6FC"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投资活动现金流入小计</w:t>
            </w:r>
          </w:p>
        </w:tc>
        <w:tc>
          <w:tcPr>
            <w:tcW w:w="2338" w:type="dxa"/>
            <w:tcBorders>
              <w:top w:val="single" w:sz="2" w:space="0" w:color="auto"/>
              <w:left w:val="single" w:sz="2" w:space="0" w:color="auto"/>
              <w:bottom w:val="single" w:sz="2" w:space="0" w:color="auto"/>
              <w:right w:val="single" w:sz="2" w:space="0" w:color="auto"/>
            </w:tcBorders>
            <w:vAlign w:val="center"/>
          </w:tcPr>
          <w:p w14:paraId="5603FC08"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961,009,268.86</w:t>
            </w:r>
          </w:p>
        </w:tc>
        <w:tc>
          <w:tcPr>
            <w:tcW w:w="2339" w:type="dxa"/>
            <w:tcBorders>
              <w:top w:val="single" w:sz="2" w:space="0" w:color="auto"/>
              <w:left w:val="single" w:sz="2" w:space="0" w:color="auto"/>
              <w:bottom w:val="single" w:sz="2" w:space="0" w:color="auto"/>
              <w:right w:val="single" w:sz="2" w:space="0" w:color="auto"/>
            </w:tcBorders>
            <w:vAlign w:val="center"/>
          </w:tcPr>
          <w:p w14:paraId="71E8985F"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460,304,131.20</w:t>
            </w:r>
          </w:p>
        </w:tc>
      </w:tr>
      <w:tr w:rsidR="00C57E60" w14:paraId="7DB4CA9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A8253A2"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购建固定资产、无形资产和其他长期资产支付的现金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44CF2932"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152,080,253.35</w:t>
            </w:r>
          </w:p>
        </w:tc>
        <w:tc>
          <w:tcPr>
            <w:tcW w:w="2339" w:type="dxa"/>
            <w:tcBorders>
              <w:top w:val="single" w:sz="2" w:space="0" w:color="auto"/>
              <w:left w:val="single" w:sz="2" w:space="0" w:color="auto"/>
              <w:bottom w:val="single" w:sz="2" w:space="0" w:color="auto"/>
              <w:right w:val="single" w:sz="2" w:space="0" w:color="auto"/>
            </w:tcBorders>
            <w:vAlign w:val="center"/>
          </w:tcPr>
          <w:p w14:paraId="5A6C4E9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139,414,763.15</w:t>
            </w:r>
          </w:p>
        </w:tc>
      </w:tr>
      <w:tr w:rsidR="00C57E60" w14:paraId="2A6452D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37282C6"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投资支付的现金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0B0FE28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2,325,770.00</w:t>
            </w:r>
          </w:p>
        </w:tc>
        <w:tc>
          <w:tcPr>
            <w:tcW w:w="2339" w:type="dxa"/>
            <w:tcBorders>
              <w:top w:val="single" w:sz="2" w:space="0" w:color="auto"/>
              <w:left w:val="single" w:sz="2" w:space="0" w:color="auto"/>
              <w:bottom w:val="single" w:sz="2" w:space="0" w:color="auto"/>
              <w:right w:val="single" w:sz="2" w:space="0" w:color="auto"/>
            </w:tcBorders>
            <w:vAlign w:val="center"/>
          </w:tcPr>
          <w:p w14:paraId="7B727E4D"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1,552,280.00</w:t>
            </w:r>
          </w:p>
        </w:tc>
      </w:tr>
      <w:tr w:rsidR="00C57E60" w14:paraId="33F4329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F44AA93"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取得子公司及其他营业单位支付的现金净额</w:t>
            </w:r>
          </w:p>
        </w:tc>
        <w:tc>
          <w:tcPr>
            <w:tcW w:w="2338" w:type="dxa"/>
            <w:tcBorders>
              <w:top w:val="single" w:sz="2" w:space="0" w:color="auto"/>
              <w:left w:val="single" w:sz="2" w:space="0" w:color="auto"/>
              <w:bottom w:val="single" w:sz="2" w:space="0" w:color="auto"/>
              <w:right w:val="single" w:sz="2" w:space="0" w:color="auto"/>
            </w:tcBorders>
            <w:vAlign w:val="center"/>
          </w:tcPr>
          <w:p w14:paraId="58508CC3" w14:textId="77777777" w:rsidR="00DC359B" w:rsidRPr="00877EF3"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2534F9FF" w14:textId="77777777" w:rsidR="00DC359B" w:rsidRPr="00877EF3" w:rsidRDefault="00DC359B" w:rsidP="00DC359B">
            <w:pPr>
              <w:spacing w:line="360" w:lineRule="auto"/>
              <w:jc w:val="right"/>
              <w:rPr>
                <w:rFonts w:ascii="Times New Roman" w:eastAsia="宋体" w:hAnsi="Times New Roman" w:cs="Times New Roman"/>
                <w:sz w:val="18"/>
                <w:szCs w:val="18"/>
              </w:rPr>
            </w:pPr>
          </w:p>
        </w:tc>
      </w:tr>
      <w:tr w:rsidR="00C57E60" w14:paraId="39DE2383"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5F4DEFC"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支付其他与投资活动有关的现金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3E1B239E"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1,239,762,191.78</w:t>
            </w:r>
          </w:p>
        </w:tc>
        <w:tc>
          <w:tcPr>
            <w:tcW w:w="2339" w:type="dxa"/>
            <w:tcBorders>
              <w:top w:val="single" w:sz="2" w:space="0" w:color="auto"/>
              <w:left w:val="single" w:sz="2" w:space="0" w:color="auto"/>
              <w:bottom w:val="single" w:sz="2" w:space="0" w:color="auto"/>
              <w:right w:val="single" w:sz="2" w:space="0" w:color="auto"/>
            </w:tcBorders>
            <w:vAlign w:val="center"/>
          </w:tcPr>
          <w:p w14:paraId="32323579"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753,000,000.00</w:t>
            </w:r>
          </w:p>
        </w:tc>
      </w:tr>
      <w:tr w:rsidR="00C57E60" w14:paraId="53B1A00A"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18F0E90"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投资活动现金流出小计</w:t>
            </w:r>
          </w:p>
        </w:tc>
        <w:tc>
          <w:tcPr>
            <w:tcW w:w="2338" w:type="dxa"/>
            <w:tcBorders>
              <w:top w:val="single" w:sz="2" w:space="0" w:color="auto"/>
              <w:left w:val="single" w:sz="2" w:space="0" w:color="auto"/>
              <w:bottom w:val="single" w:sz="2" w:space="0" w:color="auto"/>
              <w:right w:val="single" w:sz="2" w:space="0" w:color="auto"/>
            </w:tcBorders>
            <w:vAlign w:val="center"/>
          </w:tcPr>
          <w:p w14:paraId="382E7312"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1,394,168,215.13</w:t>
            </w:r>
          </w:p>
        </w:tc>
        <w:tc>
          <w:tcPr>
            <w:tcW w:w="2339" w:type="dxa"/>
            <w:tcBorders>
              <w:top w:val="single" w:sz="2" w:space="0" w:color="auto"/>
              <w:left w:val="single" w:sz="2" w:space="0" w:color="auto"/>
              <w:bottom w:val="single" w:sz="2" w:space="0" w:color="auto"/>
              <w:right w:val="single" w:sz="2" w:space="0" w:color="auto"/>
            </w:tcBorders>
            <w:vAlign w:val="center"/>
          </w:tcPr>
          <w:p w14:paraId="69013B53"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893,967,043.15</w:t>
            </w:r>
          </w:p>
        </w:tc>
      </w:tr>
      <w:tr w:rsidR="00C57E60" w14:paraId="49F6CA92"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681DA22"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投资活动产生的现金流量净额</w:t>
            </w:r>
          </w:p>
        </w:tc>
        <w:tc>
          <w:tcPr>
            <w:tcW w:w="2338" w:type="dxa"/>
            <w:tcBorders>
              <w:top w:val="single" w:sz="2" w:space="0" w:color="auto"/>
              <w:left w:val="single" w:sz="2" w:space="0" w:color="auto"/>
              <w:bottom w:val="single" w:sz="2" w:space="0" w:color="auto"/>
              <w:right w:val="single" w:sz="2" w:space="0" w:color="auto"/>
            </w:tcBorders>
            <w:vAlign w:val="center"/>
          </w:tcPr>
          <w:p w14:paraId="0E9A1369"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-433,158,946.27</w:t>
            </w:r>
          </w:p>
        </w:tc>
        <w:tc>
          <w:tcPr>
            <w:tcW w:w="2339" w:type="dxa"/>
            <w:tcBorders>
              <w:top w:val="single" w:sz="2" w:space="0" w:color="auto"/>
              <w:left w:val="single" w:sz="2" w:space="0" w:color="auto"/>
              <w:bottom w:val="single" w:sz="2" w:space="0" w:color="auto"/>
              <w:right w:val="single" w:sz="2" w:space="0" w:color="auto"/>
            </w:tcBorders>
            <w:vAlign w:val="center"/>
          </w:tcPr>
          <w:p w14:paraId="47E75A7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-433,662,911.95</w:t>
            </w:r>
          </w:p>
        </w:tc>
      </w:tr>
      <w:tr w:rsidR="00C57E60" w14:paraId="18016FE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49130B23"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三、筹资活动产生的现金流量：</w:t>
            </w:r>
          </w:p>
        </w:tc>
        <w:tc>
          <w:tcPr>
            <w:tcW w:w="2338" w:type="dxa"/>
            <w:tcBorders>
              <w:top w:val="single" w:sz="2" w:space="0" w:color="auto"/>
              <w:left w:val="single" w:sz="2" w:space="0" w:color="auto"/>
              <w:bottom w:val="single" w:sz="2" w:space="0" w:color="auto"/>
              <w:right w:val="single" w:sz="2" w:space="0" w:color="auto"/>
            </w:tcBorders>
            <w:shd w:val="clear" w:color="auto" w:fill="D3D3D3"/>
            <w:vAlign w:val="center"/>
          </w:tcPr>
          <w:p w14:paraId="7A9F1F0B" w14:textId="77777777" w:rsidR="00DC359B" w:rsidRPr="00877EF3" w:rsidRDefault="00DC359B" w:rsidP="00DC359B">
            <w:pPr>
              <w:spacing w:line="360" w:lineRule="auto"/>
              <w:rPr>
                <w:rFonts w:ascii="Times New Roman" w:hAnsi="Times New Roman" w:cs="Times New Roman"/>
              </w:rPr>
            </w:pPr>
          </w:p>
        </w:tc>
        <w:tc>
          <w:tcPr>
            <w:tcW w:w="2339" w:type="dxa"/>
            <w:tcBorders>
              <w:top w:val="single" w:sz="2" w:space="0" w:color="auto"/>
              <w:left w:val="single" w:sz="2" w:space="0" w:color="auto"/>
              <w:bottom w:val="single" w:sz="2" w:space="0" w:color="auto"/>
              <w:right w:val="single" w:sz="2" w:space="0" w:color="auto"/>
            </w:tcBorders>
            <w:shd w:val="clear" w:color="auto" w:fill="D3D3D3"/>
            <w:vAlign w:val="center"/>
          </w:tcPr>
          <w:p w14:paraId="4576E753" w14:textId="77777777" w:rsidR="00DC359B" w:rsidRPr="00877EF3" w:rsidRDefault="00DC359B" w:rsidP="00DC359B">
            <w:pPr>
              <w:spacing w:line="360" w:lineRule="auto"/>
              <w:rPr>
                <w:rFonts w:ascii="Times New Roman" w:hAnsi="Times New Roman" w:cs="Times New Roman"/>
              </w:rPr>
            </w:pPr>
          </w:p>
        </w:tc>
      </w:tr>
      <w:tr w:rsidR="00C57E60" w14:paraId="5CF25A6D"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18EB564"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吸收投资收到的现金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3AD1A075" w14:textId="77777777" w:rsidR="00DC359B" w:rsidRPr="00877EF3"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17058E42" w14:textId="77777777" w:rsidR="00DC359B" w:rsidRPr="00877EF3" w:rsidRDefault="00DC359B" w:rsidP="00DC359B">
            <w:pPr>
              <w:spacing w:line="360" w:lineRule="auto"/>
              <w:jc w:val="right"/>
              <w:rPr>
                <w:rFonts w:ascii="Times New Roman" w:eastAsia="宋体" w:hAnsi="Times New Roman" w:cs="Times New Roman"/>
                <w:sz w:val="18"/>
                <w:szCs w:val="18"/>
              </w:rPr>
            </w:pPr>
          </w:p>
        </w:tc>
      </w:tr>
      <w:tr w:rsidR="00C57E60" w14:paraId="5904597C"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6FC6A095"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取得借款收到的现金</w:t>
            </w:r>
          </w:p>
        </w:tc>
        <w:tc>
          <w:tcPr>
            <w:tcW w:w="2338" w:type="dxa"/>
            <w:tcBorders>
              <w:top w:val="single" w:sz="2" w:space="0" w:color="auto"/>
              <w:left w:val="single" w:sz="2" w:space="0" w:color="auto"/>
              <w:bottom w:val="single" w:sz="2" w:space="0" w:color="auto"/>
              <w:right w:val="single" w:sz="2" w:space="0" w:color="auto"/>
            </w:tcBorders>
            <w:vAlign w:val="center"/>
          </w:tcPr>
          <w:p w14:paraId="320B578F"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189,000,000.00</w:t>
            </w:r>
          </w:p>
        </w:tc>
        <w:tc>
          <w:tcPr>
            <w:tcW w:w="2339" w:type="dxa"/>
            <w:tcBorders>
              <w:top w:val="single" w:sz="2" w:space="0" w:color="auto"/>
              <w:left w:val="single" w:sz="2" w:space="0" w:color="auto"/>
              <w:bottom w:val="single" w:sz="2" w:space="0" w:color="auto"/>
              <w:right w:val="single" w:sz="2" w:space="0" w:color="auto"/>
            </w:tcBorders>
            <w:vAlign w:val="center"/>
          </w:tcPr>
          <w:p w14:paraId="782AE449"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25,136,000.00</w:t>
            </w:r>
          </w:p>
        </w:tc>
      </w:tr>
      <w:tr w:rsidR="00C57E60" w14:paraId="220C81A1"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D260571"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收到其他与筹资活动有关的现金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56AB7D57" w14:textId="77777777" w:rsidR="00DC359B" w:rsidRPr="00877EF3" w:rsidRDefault="00DC359B" w:rsidP="00DC359B">
            <w:pPr>
              <w:spacing w:line="360" w:lineRule="auto"/>
              <w:jc w:val="right"/>
              <w:rPr>
                <w:rFonts w:ascii="Times New Roman" w:eastAsia="宋体" w:hAnsi="Times New Roman" w:cs="Times New Roman"/>
                <w:sz w:val="18"/>
                <w:szCs w:val="18"/>
              </w:rPr>
            </w:pPr>
          </w:p>
        </w:tc>
        <w:tc>
          <w:tcPr>
            <w:tcW w:w="2339" w:type="dxa"/>
            <w:tcBorders>
              <w:top w:val="single" w:sz="2" w:space="0" w:color="auto"/>
              <w:left w:val="single" w:sz="2" w:space="0" w:color="auto"/>
              <w:bottom w:val="single" w:sz="2" w:space="0" w:color="auto"/>
              <w:right w:val="single" w:sz="2" w:space="0" w:color="auto"/>
            </w:tcBorders>
            <w:vAlign w:val="center"/>
          </w:tcPr>
          <w:p w14:paraId="0BF462C7"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77,070,000.00</w:t>
            </w:r>
          </w:p>
        </w:tc>
      </w:tr>
      <w:tr w:rsidR="00C57E60" w14:paraId="2768491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619FFCD"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筹资活动现金流入小计</w:t>
            </w:r>
          </w:p>
        </w:tc>
        <w:tc>
          <w:tcPr>
            <w:tcW w:w="2338" w:type="dxa"/>
            <w:tcBorders>
              <w:top w:val="single" w:sz="2" w:space="0" w:color="auto"/>
              <w:left w:val="single" w:sz="2" w:space="0" w:color="auto"/>
              <w:bottom w:val="single" w:sz="2" w:space="0" w:color="auto"/>
              <w:right w:val="single" w:sz="2" w:space="0" w:color="auto"/>
            </w:tcBorders>
            <w:vAlign w:val="center"/>
          </w:tcPr>
          <w:p w14:paraId="1E77264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189,000,000.00</w:t>
            </w:r>
          </w:p>
        </w:tc>
        <w:tc>
          <w:tcPr>
            <w:tcW w:w="2339" w:type="dxa"/>
            <w:tcBorders>
              <w:top w:val="single" w:sz="2" w:space="0" w:color="auto"/>
              <w:left w:val="single" w:sz="2" w:space="0" w:color="auto"/>
              <w:bottom w:val="single" w:sz="2" w:space="0" w:color="auto"/>
              <w:right w:val="single" w:sz="2" w:space="0" w:color="auto"/>
            </w:tcBorders>
            <w:vAlign w:val="center"/>
          </w:tcPr>
          <w:p w14:paraId="5C0349B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102,206,000.00</w:t>
            </w:r>
          </w:p>
        </w:tc>
      </w:tr>
      <w:tr w:rsidR="00C57E60" w14:paraId="327844D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A2CCD69"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偿还债务支付的现金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13D0EBD8"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3,320,000.00</w:t>
            </w:r>
          </w:p>
        </w:tc>
        <w:tc>
          <w:tcPr>
            <w:tcW w:w="2339" w:type="dxa"/>
            <w:tcBorders>
              <w:top w:val="single" w:sz="2" w:space="0" w:color="auto"/>
              <w:left w:val="single" w:sz="2" w:space="0" w:color="auto"/>
              <w:bottom w:val="single" w:sz="2" w:space="0" w:color="auto"/>
              <w:right w:val="single" w:sz="2" w:space="0" w:color="auto"/>
            </w:tcBorders>
            <w:vAlign w:val="center"/>
          </w:tcPr>
          <w:p w14:paraId="50F487DF"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25,016,000.00</w:t>
            </w:r>
          </w:p>
        </w:tc>
      </w:tr>
      <w:tr w:rsidR="00C57E60" w14:paraId="43836A2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BDC776D"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分配股利、利润或偿付利息支付的现金</w:t>
            </w:r>
          </w:p>
        </w:tc>
        <w:tc>
          <w:tcPr>
            <w:tcW w:w="2338" w:type="dxa"/>
            <w:tcBorders>
              <w:top w:val="single" w:sz="2" w:space="0" w:color="auto"/>
              <w:left w:val="single" w:sz="2" w:space="0" w:color="auto"/>
              <w:bottom w:val="single" w:sz="2" w:space="0" w:color="auto"/>
              <w:right w:val="single" w:sz="2" w:space="0" w:color="auto"/>
            </w:tcBorders>
            <w:vAlign w:val="center"/>
          </w:tcPr>
          <w:p w14:paraId="43DE5E60"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131,648,559.44</w:t>
            </w:r>
          </w:p>
        </w:tc>
        <w:tc>
          <w:tcPr>
            <w:tcW w:w="2339" w:type="dxa"/>
            <w:tcBorders>
              <w:top w:val="single" w:sz="2" w:space="0" w:color="auto"/>
              <w:left w:val="single" w:sz="2" w:space="0" w:color="auto"/>
              <w:bottom w:val="single" w:sz="2" w:space="0" w:color="auto"/>
              <w:right w:val="single" w:sz="2" w:space="0" w:color="auto"/>
            </w:tcBorders>
            <w:vAlign w:val="center"/>
          </w:tcPr>
          <w:p w14:paraId="44D7512E"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117,349,651.35</w:t>
            </w:r>
          </w:p>
        </w:tc>
      </w:tr>
      <w:tr w:rsidR="00C57E60" w14:paraId="01FCD8D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53FE5F24"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支付其他与筹资活动有关的现金</w:t>
            </w:r>
          </w:p>
        </w:tc>
        <w:tc>
          <w:tcPr>
            <w:tcW w:w="2338" w:type="dxa"/>
            <w:tcBorders>
              <w:top w:val="single" w:sz="2" w:space="0" w:color="auto"/>
              <w:left w:val="single" w:sz="2" w:space="0" w:color="auto"/>
              <w:bottom w:val="single" w:sz="2" w:space="0" w:color="auto"/>
              <w:right w:val="single" w:sz="2" w:space="0" w:color="auto"/>
            </w:tcBorders>
            <w:vAlign w:val="center"/>
          </w:tcPr>
          <w:p w14:paraId="6094D1B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202,885,018.92</w:t>
            </w:r>
          </w:p>
        </w:tc>
        <w:tc>
          <w:tcPr>
            <w:tcW w:w="2339" w:type="dxa"/>
            <w:tcBorders>
              <w:top w:val="single" w:sz="2" w:space="0" w:color="auto"/>
              <w:left w:val="single" w:sz="2" w:space="0" w:color="auto"/>
              <w:bottom w:val="single" w:sz="2" w:space="0" w:color="auto"/>
              <w:right w:val="single" w:sz="2" w:space="0" w:color="auto"/>
            </w:tcBorders>
            <w:vAlign w:val="center"/>
          </w:tcPr>
          <w:p w14:paraId="483EAAC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96,526,991.98</w:t>
            </w:r>
          </w:p>
        </w:tc>
      </w:tr>
      <w:tr w:rsidR="00C57E60" w14:paraId="7B6D5165"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012BB7FA"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筹资活动现金流出小计</w:t>
            </w:r>
          </w:p>
        </w:tc>
        <w:tc>
          <w:tcPr>
            <w:tcW w:w="2338" w:type="dxa"/>
            <w:tcBorders>
              <w:top w:val="single" w:sz="2" w:space="0" w:color="auto"/>
              <w:left w:val="single" w:sz="2" w:space="0" w:color="auto"/>
              <w:bottom w:val="single" w:sz="2" w:space="0" w:color="auto"/>
              <w:right w:val="single" w:sz="2" w:space="0" w:color="auto"/>
            </w:tcBorders>
            <w:vAlign w:val="center"/>
          </w:tcPr>
          <w:p w14:paraId="053DAF6A"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337,853,578.36</w:t>
            </w:r>
          </w:p>
        </w:tc>
        <w:tc>
          <w:tcPr>
            <w:tcW w:w="2339" w:type="dxa"/>
            <w:tcBorders>
              <w:top w:val="single" w:sz="2" w:space="0" w:color="auto"/>
              <w:left w:val="single" w:sz="2" w:space="0" w:color="auto"/>
              <w:bottom w:val="single" w:sz="2" w:space="0" w:color="auto"/>
              <w:right w:val="single" w:sz="2" w:space="0" w:color="auto"/>
            </w:tcBorders>
            <w:vAlign w:val="center"/>
          </w:tcPr>
          <w:p w14:paraId="2A7F34D3"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238,892,643.33</w:t>
            </w:r>
          </w:p>
        </w:tc>
      </w:tr>
      <w:tr w:rsidR="00C57E60" w14:paraId="2E2C14E8"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26202F9A"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筹资活动产生的现金流量净额</w:t>
            </w:r>
          </w:p>
        </w:tc>
        <w:tc>
          <w:tcPr>
            <w:tcW w:w="2338" w:type="dxa"/>
            <w:tcBorders>
              <w:top w:val="single" w:sz="2" w:space="0" w:color="auto"/>
              <w:left w:val="single" w:sz="2" w:space="0" w:color="auto"/>
              <w:bottom w:val="single" w:sz="2" w:space="0" w:color="auto"/>
              <w:right w:val="single" w:sz="2" w:space="0" w:color="auto"/>
            </w:tcBorders>
            <w:vAlign w:val="center"/>
          </w:tcPr>
          <w:p w14:paraId="3BCEF64C"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-148,853,578.36</w:t>
            </w:r>
          </w:p>
        </w:tc>
        <w:tc>
          <w:tcPr>
            <w:tcW w:w="2339" w:type="dxa"/>
            <w:tcBorders>
              <w:top w:val="single" w:sz="2" w:space="0" w:color="auto"/>
              <w:left w:val="single" w:sz="2" w:space="0" w:color="auto"/>
              <w:bottom w:val="single" w:sz="2" w:space="0" w:color="auto"/>
              <w:right w:val="single" w:sz="2" w:space="0" w:color="auto"/>
            </w:tcBorders>
            <w:vAlign w:val="center"/>
          </w:tcPr>
          <w:p w14:paraId="0DCB82CD"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-136,686,643.33</w:t>
            </w:r>
          </w:p>
        </w:tc>
      </w:tr>
      <w:tr w:rsidR="00C57E60" w14:paraId="403ADE96"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7DC46B23"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四、汇率变动对现金及现金等价物的影响</w:t>
            </w:r>
          </w:p>
        </w:tc>
        <w:tc>
          <w:tcPr>
            <w:tcW w:w="2338" w:type="dxa"/>
            <w:tcBorders>
              <w:top w:val="single" w:sz="2" w:space="0" w:color="auto"/>
              <w:left w:val="single" w:sz="2" w:space="0" w:color="auto"/>
              <w:bottom w:val="single" w:sz="2" w:space="0" w:color="auto"/>
              <w:right w:val="single" w:sz="2" w:space="0" w:color="auto"/>
            </w:tcBorders>
            <w:vAlign w:val="center"/>
          </w:tcPr>
          <w:p w14:paraId="734F0A22"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-758,234.66</w:t>
            </w:r>
          </w:p>
        </w:tc>
        <w:tc>
          <w:tcPr>
            <w:tcW w:w="2339" w:type="dxa"/>
            <w:tcBorders>
              <w:top w:val="single" w:sz="2" w:space="0" w:color="auto"/>
              <w:left w:val="single" w:sz="2" w:space="0" w:color="auto"/>
              <w:bottom w:val="single" w:sz="2" w:space="0" w:color="auto"/>
              <w:right w:val="single" w:sz="2" w:space="0" w:color="auto"/>
            </w:tcBorders>
            <w:vAlign w:val="center"/>
          </w:tcPr>
          <w:p w14:paraId="3A44B443"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1,467,022.90</w:t>
            </w:r>
          </w:p>
        </w:tc>
      </w:tr>
      <w:tr w:rsidR="00C57E60" w14:paraId="3B01268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1A5FFD6C"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五、现金及现金等价物净增加额</w:t>
            </w:r>
          </w:p>
        </w:tc>
        <w:tc>
          <w:tcPr>
            <w:tcW w:w="2338" w:type="dxa"/>
            <w:tcBorders>
              <w:top w:val="single" w:sz="2" w:space="0" w:color="auto"/>
              <w:left w:val="single" w:sz="2" w:space="0" w:color="auto"/>
              <w:bottom w:val="single" w:sz="2" w:space="0" w:color="auto"/>
              <w:right w:val="single" w:sz="2" w:space="0" w:color="auto"/>
            </w:tcBorders>
            <w:vAlign w:val="center"/>
          </w:tcPr>
          <w:p w14:paraId="6F89E96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-29,088,696.01</w:t>
            </w:r>
          </w:p>
        </w:tc>
        <w:tc>
          <w:tcPr>
            <w:tcW w:w="2339" w:type="dxa"/>
            <w:tcBorders>
              <w:top w:val="single" w:sz="2" w:space="0" w:color="auto"/>
              <w:left w:val="single" w:sz="2" w:space="0" w:color="auto"/>
              <w:bottom w:val="single" w:sz="2" w:space="0" w:color="auto"/>
              <w:right w:val="single" w:sz="2" w:space="0" w:color="auto"/>
            </w:tcBorders>
            <w:vAlign w:val="center"/>
          </w:tcPr>
          <w:p w14:paraId="18CB2394"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-129,845,726.45</w:t>
            </w:r>
          </w:p>
        </w:tc>
      </w:tr>
      <w:tr w:rsidR="00C57E60" w14:paraId="3D7A1DEF"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4183631" w14:textId="77777777" w:rsidR="00DC359B" w:rsidRPr="00877EF3" w:rsidRDefault="00DC359B" w:rsidP="00DC359B">
            <w:pPr>
              <w:spacing w:line="360" w:lineRule="auto"/>
              <w:ind w:firstLineChars="100" w:firstLine="180"/>
              <w:rPr>
                <w:rFonts w:ascii="Times New Roman" w:eastAsia="宋体" w:hAnsi="Times New Roman" w:cs="Times New Roman"/>
                <w:sz w:val="18"/>
                <w:szCs w:val="18"/>
              </w:rPr>
            </w:pPr>
            <w:r w:rsidRPr="00877EF3">
              <w:rPr>
                <w:rFonts w:ascii="Times New Roman" w:eastAsia="宋体" w:hAnsi="Times New Roman" w:cs="Times New Roman"/>
                <w:sz w:val="18"/>
                <w:szCs w:val="18"/>
              </w:rPr>
              <w:t>加：期初现金及现金等价物余额</w:t>
            </w:r>
          </w:p>
        </w:tc>
        <w:tc>
          <w:tcPr>
            <w:tcW w:w="2338" w:type="dxa"/>
            <w:tcBorders>
              <w:top w:val="single" w:sz="2" w:space="0" w:color="auto"/>
              <w:left w:val="single" w:sz="2" w:space="0" w:color="auto"/>
              <w:bottom w:val="single" w:sz="2" w:space="0" w:color="auto"/>
              <w:right w:val="single" w:sz="2" w:space="0" w:color="auto"/>
            </w:tcBorders>
            <w:vAlign w:val="center"/>
          </w:tcPr>
          <w:p w14:paraId="1FE3D231"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253,619,320.31</w:t>
            </w:r>
          </w:p>
        </w:tc>
        <w:tc>
          <w:tcPr>
            <w:tcW w:w="2339" w:type="dxa"/>
            <w:tcBorders>
              <w:top w:val="single" w:sz="2" w:space="0" w:color="auto"/>
              <w:left w:val="single" w:sz="2" w:space="0" w:color="auto"/>
              <w:bottom w:val="single" w:sz="2" w:space="0" w:color="auto"/>
              <w:right w:val="single" w:sz="2" w:space="0" w:color="auto"/>
            </w:tcBorders>
            <w:vAlign w:val="center"/>
          </w:tcPr>
          <w:p w14:paraId="020353DB"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383,465,046.76</w:t>
            </w:r>
          </w:p>
        </w:tc>
      </w:tr>
      <w:tr w:rsidR="00C57E60" w14:paraId="43851C00" w14:textId="77777777" w:rsidTr="00DC359B">
        <w:trPr>
          <w:trHeight w:val="240"/>
        </w:trPr>
        <w:tc>
          <w:tcPr>
            <w:tcW w:w="4962" w:type="dxa"/>
            <w:tcBorders>
              <w:top w:val="single" w:sz="2" w:space="0" w:color="auto"/>
              <w:left w:val="single" w:sz="2" w:space="0" w:color="auto"/>
              <w:bottom w:val="single" w:sz="2" w:space="0" w:color="auto"/>
              <w:right w:val="single" w:sz="2" w:space="0" w:color="auto"/>
            </w:tcBorders>
            <w:shd w:val="clear" w:color="auto" w:fill="D3D3D3"/>
            <w:vAlign w:val="center"/>
          </w:tcPr>
          <w:p w14:paraId="342710B3" w14:textId="77777777" w:rsidR="00DC359B" w:rsidRPr="00877EF3" w:rsidRDefault="00DC359B" w:rsidP="00DC359B">
            <w:pPr>
              <w:spacing w:line="360" w:lineRule="auto"/>
              <w:rPr>
                <w:rFonts w:ascii="Times New Roman" w:eastAsia="宋体" w:hAnsi="Times New Roman" w:cs="Times New Roman"/>
                <w:sz w:val="18"/>
                <w:szCs w:val="18"/>
              </w:rPr>
            </w:pPr>
            <w:r w:rsidRPr="00877EF3">
              <w:rPr>
                <w:rFonts w:ascii="Times New Roman" w:eastAsia="宋体" w:hAnsi="Times New Roman" w:cs="Times New Roman"/>
                <w:sz w:val="18"/>
                <w:szCs w:val="18"/>
              </w:rPr>
              <w:t>六、期末现金及现金等价物余额</w:t>
            </w:r>
          </w:p>
        </w:tc>
        <w:tc>
          <w:tcPr>
            <w:tcW w:w="2338" w:type="dxa"/>
            <w:tcBorders>
              <w:top w:val="single" w:sz="2" w:space="0" w:color="auto"/>
              <w:left w:val="single" w:sz="2" w:space="0" w:color="auto"/>
              <w:bottom w:val="single" w:sz="2" w:space="0" w:color="auto"/>
              <w:right w:val="single" w:sz="2" w:space="0" w:color="auto"/>
            </w:tcBorders>
            <w:vAlign w:val="center"/>
          </w:tcPr>
          <w:p w14:paraId="59B88123"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224,530,624.30</w:t>
            </w:r>
          </w:p>
        </w:tc>
        <w:tc>
          <w:tcPr>
            <w:tcW w:w="2339" w:type="dxa"/>
            <w:tcBorders>
              <w:top w:val="single" w:sz="2" w:space="0" w:color="auto"/>
              <w:left w:val="single" w:sz="2" w:space="0" w:color="auto"/>
              <w:bottom w:val="single" w:sz="2" w:space="0" w:color="auto"/>
              <w:right w:val="single" w:sz="2" w:space="0" w:color="auto"/>
            </w:tcBorders>
            <w:vAlign w:val="center"/>
          </w:tcPr>
          <w:p w14:paraId="163EFAF4" w14:textId="77777777" w:rsidR="00DC359B" w:rsidRPr="00877EF3" w:rsidRDefault="00DC359B" w:rsidP="00DC359B">
            <w:pPr>
              <w:spacing w:line="360" w:lineRule="auto"/>
              <w:jc w:val="right"/>
              <w:rPr>
                <w:rFonts w:ascii="Times New Roman" w:eastAsia="宋体" w:hAnsi="Times New Roman" w:cs="Times New Roman"/>
                <w:sz w:val="18"/>
                <w:szCs w:val="18"/>
              </w:rPr>
            </w:pPr>
            <w:r w:rsidRPr="00877EF3">
              <w:rPr>
                <w:rFonts w:ascii="Times New Roman" w:eastAsia="宋体" w:hAnsi="Times New Roman" w:cs="Times New Roman"/>
                <w:sz w:val="18"/>
                <w:szCs w:val="18"/>
              </w:rPr>
              <w:t>253,619,320.31</w:t>
            </w:r>
          </w:p>
        </w:tc>
      </w:tr>
    </w:tbl>
    <w:p w14:paraId="474CF77E" w14:textId="77777777" w:rsidR="00DC359B" w:rsidRDefault="00DC359B" w:rsidP="00DC359B">
      <w:pPr>
        <w:pStyle w:val="3"/>
        <w:spacing w:line="280" w:lineRule="exact"/>
        <w:jc w:val="left"/>
        <w:rPr>
          <w:rFonts w:ascii="宋体" w:hAnsi="宋体" w:cs="宋体"/>
          <w:b/>
          <w:bCs/>
        </w:rPr>
        <w:sectPr w:rsidR="00DC359B">
          <w:pgSz w:w="11905" w:h="16840"/>
          <w:pgMar w:top="1440" w:right="1134" w:bottom="1440" w:left="1134" w:header="850" w:footer="992" w:gutter="0"/>
          <w:cols w:space="720"/>
          <w:docGrid w:type="linesAndChars" w:linePitch="312"/>
        </w:sectPr>
      </w:pPr>
    </w:p>
    <w:p w14:paraId="6EBF85F8" w14:textId="77777777" w:rsidR="00DC359B" w:rsidRPr="00877EF3" w:rsidRDefault="00DC359B" w:rsidP="00DC359B">
      <w:pPr>
        <w:pStyle w:val="3"/>
        <w:spacing w:line="280" w:lineRule="exact"/>
        <w:jc w:val="left"/>
        <w:rPr>
          <w:rFonts w:ascii="Times New Roman" w:hAnsi="Times New Roman" w:cs="Times New Roman"/>
          <w:b/>
          <w:bCs/>
        </w:rPr>
      </w:pPr>
      <w:r w:rsidRPr="00877EF3">
        <w:rPr>
          <w:rFonts w:ascii="Times New Roman" w:hAnsi="Times New Roman" w:cs="Times New Roman"/>
          <w:b/>
          <w:bCs/>
        </w:rPr>
        <w:t>7</w:t>
      </w:r>
      <w:r w:rsidRPr="00877EF3">
        <w:rPr>
          <w:rFonts w:ascii="Times New Roman" w:hAnsi="Times New Roman" w:cs="Times New Roman"/>
          <w:b/>
          <w:bCs/>
        </w:rPr>
        <w:t>、合并所有者权益变动表</w:t>
      </w:r>
    </w:p>
    <w:p w14:paraId="44837C32"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本期金额</w:t>
      </w:r>
    </w:p>
    <w:p w14:paraId="034062CF" w14:textId="77777777" w:rsidR="00DC359B" w:rsidRDefault="00DC359B" w:rsidP="00DC359B">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0" w:type="auto"/>
        <w:tblLayout w:type="fixed"/>
        <w:tblCellMar>
          <w:left w:w="28" w:type="dxa"/>
          <w:right w:w="28" w:type="dxa"/>
        </w:tblCellMar>
        <w:tblLook w:val="0000" w:firstRow="0" w:lastRow="0" w:firstColumn="0" w:lastColumn="0" w:noHBand="0" w:noVBand="0"/>
      </w:tblPr>
      <w:tblGrid>
        <w:gridCol w:w="2692"/>
        <w:gridCol w:w="880"/>
        <w:gridCol w:w="566"/>
        <w:gridCol w:w="566"/>
        <w:gridCol w:w="987"/>
        <w:gridCol w:w="967"/>
        <w:gridCol w:w="877"/>
        <w:gridCol w:w="869"/>
        <w:gridCol w:w="406"/>
        <w:gridCol w:w="869"/>
        <w:gridCol w:w="320"/>
        <w:gridCol w:w="967"/>
        <w:gridCol w:w="244"/>
        <w:gridCol w:w="970"/>
        <w:gridCol w:w="869"/>
        <w:gridCol w:w="967"/>
      </w:tblGrid>
      <w:tr w:rsidR="00C57E60" w14:paraId="03E0DEEB" w14:textId="77777777" w:rsidTr="00B562D4">
        <w:trPr>
          <w:trHeight w:val="240"/>
        </w:trPr>
        <w:tc>
          <w:tcPr>
            <w:tcW w:w="269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81B4E1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项目</w:t>
            </w:r>
          </w:p>
        </w:tc>
        <w:tc>
          <w:tcPr>
            <w:tcW w:w="11324" w:type="dxa"/>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2A90306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2025</w:t>
            </w:r>
            <w:r w:rsidRPr="00877EF3">
              <w:rPr>
                <w:rFonts w:ascii="Times New Roman" w:eastAsia="宋体" w:hAnsi="Times New Roman" w:cs="Times New Roman"/>
                <w:sz w:val="13"/>
                <w:szCs w:val="13"/>
              </w:rPr>
              <w:t>年度</w:t>
            </w:r>
          </w:p>
        </w:tc>
      </w:tr>
      <w:tr w:rsidR="00C57E60" w14:paraId="4C384A4F" w14:textId="77777777" w:rsidTr="00B562D4">
        <w:trPr>
          <w:trHeight w:val="240"/>
        </w:trPr>
        <w:tc>
          <w:tcPr>
            <w:tcW w:w="269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2275CE8" w14:textId="77777777" w:rsidR="00DC359B" w:rsidRPr="00877EF3" w:rsidRDefault="00DC359B" w:rsidP="00DC359B">
            <w:pPr>
              <w:spacing w:line="360" w:lineRule="auto"/>
              <w:rPr>
                <w:rFonts w:ascii="Times New Roman" w:hAnsi="Times New Roman" w:cs="Times New Roman"/>
                <w:sz w:val="13"/>
                <w:szCs w:val="13"/>
              </w:rPr>
            </w:pPr>
          </w:p>
        </w:tc>
        <w:tc>
          <w:tcPr>
            <w:tcW w:w="9488"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1B241403"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归属于母公司所有者权益</w:t>
            </w:r>
          </w:p>
        </w:tc>
        <w:tc>
          <w:tcPr>
            <w:tcW w:w="86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2087DD"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少数股东权益</w:t>
            </w:r>
          </w:p>
        </w:tc>
        <w:tc>
          <w:tcPr>
            <w:tcW w:w="96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508FBC8"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所有者权益合计</w:t>
            </w:r>
          </w:p>
        </w:tc>
      </w:tr>
      <w:tr w:rsidR="00C57E60" w14:paraId="3D54E40B" w14:textId="77777777" w:rsidTr="00B562D4">
        <w:trPr>
          <w:trHeight w:val="240"/>
        </w:trPr>
        <w:tc>
          <w:tcPr>
            <w:tcW w:w="269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F2217B6" w14:textId="77777777" w:rsidR="00DC359B" w:rsidRPr="00877EF3" w:rsidRDefault="00DC359B" w:rsidP="00DC359B">
            <w:pPr>
              <w:spacing w:line="360" w:lineRule="auto"/>
              <w:rPr>
                <w:rFonts w:ascii="Times New Roman" w:hAnsi="Times New Roman" w:cs="Times New Roman"/>
                <w:sz w:val="13"/>
                <w:szCs w:val="13"/>
              </w:rPr>
            </w:pPr>
          </w:p>
        </w:tc>
        <w:tc>
          <w:tcPr>
            <w:tcW w:w="88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9F4975C"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股本</w:t>
            </w:r>
          </w:p>
        </w:tc>
        <w:tc>
          <w:tcPr>
            <w:tcW w:w="211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75F49D1"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其他权益工具</w:t>
            </w:r>
          </w:p>
        </w:tc>
        <w:tc>
          <w:tcPr>
            <w:tcW w:w="96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D9F7C8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资本公积</w:t>
            </w:r>
          </w:p>
        </w:tc>
        <w:tc>
          <w:tcPr>
            <w:tcW w:w="8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A799B05"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减：库存股</w:t>
            </w:r>
          </w:p>
        </w:tc>
        <w:tc>
          <w:tcPr>
            <w:tcW w:w="86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63CBD0C"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其他综合收益</w:t>
            </w:r>
          </w:p>
        </w:tc>
        <w:tc>
          <w:tcPr>
            <w:tcW w:w="40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2D51F9"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专项储备</w:t>
            </w:r>
          </w:p>
        </w:tc>
        <w:tc>
          <w:tcPr>
            <w:tcW w:w="86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AE846B"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盈余公积</w:t>
            </w:r>
          </w:p>
        </w:tc>
        <w:tc>
          <w:tcPr>
            <w:tcW w:w="32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E1AB0DE"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一般风险准备</w:t>
            </w:r>
          </w:p>
        </w:tc>
        <w:tc>
          <w:tcPr>
            <w:tcW w:w="96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100371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未分配利润</w:t>
            </w:r>
          </w:p>
        </w:tc>
        <w:tc>
          <w:tcPr>
            <w:tcW w:w="24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04E9D10"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w:t>
            </w:r>
          </w:p>
        </w:tc>
        <w:tc>
          <w:tcPr>
            <w:tcW w:w="97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2EC46A0"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小计</w:t>
            </w:r>
          </w:p>
        </w:tc>
        <w:tc>
          <w:tcPr>
            <w:tcW w:w="86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D5E63D4" w14:textId="77777777" w:rsidR="00DC359B" w:rsidRPr="00877EF3" w:rsidRDefault="00DC359B" w:rsidP="00DC359B">
            <w:pPr>
              <w:spacing w:line="360" w:lineRule="auto"/>
              <w:rPr>
                <w:rFonts w:ascii="Times New Roman" w:hAnsi="Times New Roman" w:cs="Times New Roman"/>
                <w:sz w:val="13"/>
                <w:szCs w:val="13"/>
              </w:rPr>
            </w:pPr>
          </w:p>
        </w:tc>
        <w:tc>
          <w:tcPr>
            <w:tcW w:w="96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928B805" w14:textId="77777777" w:rsidR="00DC359B" w:rsidRPr="00877EF3" w:rsidRDefault="00DC359B" w:rsidP="00DC359B">
            <w:pPr>
              <w:spacing w:line="360" w:lineRule="auto"/>
              <w:rPr>
                <w:rFonts w:ascii="Times New Roman" w:hAnsi="Times New Roman" w:cs="Times New Roman"/>
                <w:sz w:val="13"/>
                <w:szCs w:val="13"/>
              </w:rPr>
            </w:pPr>
          </w:p>
        </w:tc>
      </w:tr>
      <w:tr w:rsidR="00C57E60" w14:paraId="04186382" w14:textId="77777777" w:rsidTr="00B562D4">
        <w:trPr>
          <w:trHeight w:val="240"/>
        </w:trPr>
        <w:tc>
          <w:tcPr>
            <w:tcW w:w="269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02962D6" w14:textId="77777777" w:rsidR="00DC359B" w:rsidRPr="00877EF3" w:rsidRDefault="00DC359B" w:rsidP="00DC359B">
            <w:pPr>
              <w:spacing w:line="360" w:lineRule="auto"/>
              <w:rPr>
                <w:rFonts w:ascii="Times New Roman" w:hAnsi="Times New Roman" w:cs="Times New Roman"/>
                <w:sz w:val="13"/>
                <w:szCs w:val="13"/>
              </w:rPr>
            </w:pPr>
          </w:p>
        </w:tc>
        <w:tc>
          <w:tcPr>
            <w:tcW w:w="88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EC1873A" w14:textId="77777777" w:rsidR="00DC359B" w:rsidRPr="00877EF3" w:rsidRDefault="00DC359B" w:rsidP="00DC359B">
            <w:pPr>
              <w:spacing w:line="360" w:lineRule="auto"/>
              <w:rPr>
                <w:rFonts w:ascii="Times New Roman"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shd w:val="clear" w:color="auto" w:fill="D3D3D3"/>
            <w:vAlign w:val="center"/>
          </w:tcPr>
          <w:p w14:paraId="416DB3F5"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优先股</w:t>
            </w:r>
          </w:p>
        </w:tc>
        <w:tc>
          <w:tcPr>
            <w:tcW w:w="566" w:type="dxa"/>
            <w:tcBorders>
              <w:top w:val="single" w:sz="2" w:space="0" w:color="auto"/>
              <w:left w:val="single" w:sz="2" w:space="0" w:color="auto"/>
              <w:bottom w:val="single" w:sz="2" w:space="0" w:color="auto"/>
              <w:right w:val="single" w:sz="2" w:space="0" w:color="auto"/>
            </w:tcBorders>
            <w:shd w:val="clear" w:color="auto" w:fill="D3D3D3"/>
            <w:vAlign w:val="center"/>
          </w:tcPr>
          <w:p w14:paraId="289D8975"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永续债</w:t>
            </w:r>
          </w:p>
        </w:tc>
        <w:tc>
          <w:tcPr>
            <w:tcW w:w="987" w:type="dxa"/>
            <w:tcBorders>
              <w:top w:val="single" w:sz="2" w:space="0" w:color="auto"/>
              <w:left w:val="single" w:sz="2" w:space="0" w:color="auto"/>
              <w:bottom w:val="single" w:sz="2" w:space="0" w:color="auto"/>
              <w:right w:val="single" w:sz="2" w:space="0" w:color="auto"/>
            </w:tcBorders>
            <w:shd w:val="clear" w:color="auto" w:fill="D3D3D3"/>
            <w:vAlign w:val="center"/>
          </w:tcPr>
          <w:p w14:paraId="3EAF23F9"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w:t>
            </w:r>
          </w:p>
        </w:tc>
        <w:tc>
          <w:tcPr>
            <w:tcW w:w="96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03D275" w14:textId="77777777" w:rsidR="00DC359B" w:rsidRPr="00877EF3" w:rsidRDefault="00DC359B" w:rsidP="00DC359B">
            <w:pPr>
              <w:spacing w:line="360" w:lineRule="auto"/>
              <w:rPr>
                <w:rFonts w:ascii="Times New Roman" w:hAnsi="Times New Roman" w:cs="Times New Roman"/>
                <w:sz w:val="13"/>
                <w:szCs w:val="13"/>
              </w:rPr>
            </w:pPr>
          </w:p>
        </w:tc>
        <w:tc>
          <w:tcPr>
            <w:tcW w:w="8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DADCBE4" w14:textId="77777777" w:rsidR="00DC359B" w:rsidRPr="00877EF3" w:rsidRDefault="00DC359B" w:rsidP="00DC359B">
            <w:pPr>
              <w:spacing w:line="360" w:lineRule="auto"/>
              <w:rPr>
                <w:rFonts w:ascii="Times New Roman" w:hAnsi="Times New Roman" w:cs="Times New Roman"/>
                <w:sz w:val="13"/>
                <w:szCs w:val="13"/>
              </w:rPr>
            </w:pPr>
          </w:p>
        </w:tc>
        <w:tc>
          <w:tcPr>
            <w:tcW w:w="86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F73A731" w14:textId="77777777" w:rsidR="00DC359B" w:rsidRPr="00877EF3" w:rsidRDefault="00DC359B" w:rsidP="00DC359B">
            <w:pPr>
              <w:spacing w:line="360" w:lineRule="auto"/>
              <w:rPr>
                <w:rFonts w:ascii="Times New Roman" w:hAnsi="Times New Roman" w:cs="Times New Roman"/>
                <w:sz w:val="13"/>
                <w:szCs w:val="13"/>
              </w:rPr>
            </w:pPr>
          </w:p>
        </w:tc>
        <w:tc>
          <w:tcPr>
            <w:tcW w:w="40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2E1F9EF" w14:textId="77777777" w:rsidR="00DC359B" w:rsidRPr="00877EF3" w:rsidRDefault="00DC359B" w:rsidP="00DC359B">
            <w:pPr>
              <w:spacing w:line="360" w:lineRule="auto"/>
              <w:rPr>
                <w:rFonts w:ascii="Times New Roman" w:hAnsi="Times New Roman" w:cs="Times New Roman"/>
                <w:sz w:val="13"/>
                <w:szCs w:val="13"/>
              </w:rPr>
            </w:pPr>
          </w:p>
        </w:tc>
        <w:tc>
          <w:tcPr>
            <w:tcW w:w="86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23E3EAF" w14:textId="77777777" w:rsidR="00DC359B" w:rsidRPr="00877EF3" w:rsidRDefault="00DC359B" w:rsidP="00DC359B">
            <w:pPr>
              <w:spacing w:line="360" w:lineRule="auto"/>
              <w:rPr>
                <w:rFonts w:ascii="Times New Roman" w:hAnsi="Times New Roman" w:cs="Times New Roman"/>
                <w:sz w:val="13"/>
                <w:szCs w:val="13"/>
              </w:rPr>
            </w:pPr>
          </w:p>
        </w:tc>
        <w:tc>
          <w:tcPr>
            <w:tcW w:w="32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8F798F8" w14:textId="77777777" w:rsidR="00DC359B" w:rsidRPr="00877EF3" w:rsidRDefault="00DC359B" w:rsidP="00DC359B">
            <w:pPr>
              <w:spacing w:line="360" w:lineRule="auto"/>
              <w:rPr>
                <w:rFonts w:ascii="Times New Roman" w:hAnsi="Times New Roman" w:cs="Times New Roman"/>
                <w:sz w:val="13"/>
                <w:szCs w:val="13"/>
              </w:rPr>
            </w:pPr>
          </w:p>
        </w:tc>
        <w:tc>
          <w:tcPr>
            <w:tcW w:w="96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B409F5" w14:textId="77777777" w:rsidR="00DC359B" w:rsidRPr="00877EF3" w:rsidRDefault="00DC359B" w:rsidP="00DC359B">
            <w:pPr>
              <w:spacing w:line="360" w:lineRule="auto"/>
              <w:rPr>
                <w:rFonts w:ascii="Times New Roman" w:hAnsi="Times New Roman" w:cs="Times New Roman"/>
                <w:sz w:val="13"/>
                <w:szCs w:val="13"/>
              </w:rPr>
            </w:pPr>
          </w:p>
        </w:tc>
        <w:tc>
          <w:tcPr>
            <w:tcW w:w="24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EEEC7C2" w14:textId="77777777" w:rsidR="00DC359B" w:rsidRPr="00877EF3" w:rsidRDefault="00DC359B" w:rsidP="00DC359B">
            <w:pPr>
              <w:spacing w:line="360" w:lineRule="auto"/>
              <w:rPr>
                <w:rFonts w:ascii="Times New Roman" w:hAnsi="Times New Roman" w:cs="Times New Roman"/>
                <w:sz w:val="13"/>
                <w:szCs w:val="13"/>
              </w:rPr>
            </w:pPr>
          </w:p>
        </w:tc>
        <w:tc>
          <w:tcPr>
            <w:tcW w:w="97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9722974" w14:textId="77777777" w:rsidR="00DC359B" w:rsidRPr="00877EF3" w:rsidRDefault="00DC359B" w:rsidP="00DC359B">
            <w:pPr>
              <w:spacing w:line="360" w:lineRule="auto"/>
              <w:rPr>
                <w:rFonts w:ascii="Times New Roman" w:hAnsi="Times New Roman" w:cs="Times New Roman"/>
                <w:sz w:val="13"/>
                <w:szCs w:val="13"/>
              </w:rPr>
            </w:pPr>
          </w:p>
        </w:tc>
        <w:tc>
          <w:tcPr>
            <w:tcW w:w="86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BAD2806" w14:textId="77777777" w:rsidR="00DC359B" w:rsidRPr="00877EF3" w:rsidRDefault="00DC359B" w:rsidP="00DC359B">
            <w:pPr>
              <w:spacing w:line="360" w:lineRule="auto"/>
              <w:rPr>
                <w:rFonts w:ascii="Times New Roman" w:hAnsi="Times New Roman" w:cs="Times New Roman"/>
                <w:sz w:val="13"/>
                <w:szCs w:val="13"/>
              </w:rPr>
            </w:pPr>
          </w:p>
        </w:tc>
        <w:tc>
          <w:tcPr>
            <w:tcW w:w="96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E542B2" w14:textId="77777777" w:rsidR="00DC359B" w:rsidRPr="00877EF3" w:rsidRDefault="00DC359B" w:rsidP="00DC359B">
            <w:pPr>
              <w:spacing w:line="360" w:lineRule="auto"/>
              <w:rPr>
                <w:rFonts w:ascii="Times New Roman" w:hAnsi="Times New Roman" w:cs="Times New Roman"/>
                <w:sz w:val="13"/>
                <w:szCs w:val="13"/>
              </w:rPr>
            </w:pPr>
          </w:p>
        </w:tc>
      </w:tr>
      <w:tr w:rsidR="00C57E60" w14:paraId="50EC4771"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B396BA3"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一、上年期末余额</w:t>
            </w:r>
          </w:p>
        </w:tc>
        <w:tc>
          <w:tcPr>
            <w:tcW w:w="880" w:type="dxa"/>
            <w:tcBorders>
              <w:top w:val="single" w:sz="2" w:space="0" w:color="auto"/>
              <w:left w:val="single" w:sz="2" w:space="0" w:color="auto"/>
              <w:bottom w:val="single" w:sz="2" w:space="0" w:color="auto"/>
              <w:right w:val="single" w:sz="2" w:space="0" w:color="auto"/>
            </w:tcBorders>
            <w:vAlign w:val="center"/>
          </w:tcPr>
          <w:p w14:paraId="14E32D2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564,265,375.00</w:t>
            </w:r>
          </w:p>
        </w:tc>
        <w:tc>
          <w:tcPr>
            <w:tcW w:w="566" w:type="dxa"/>
            <w:tcBorders>
              <w:top w:val="single" w:sz="2" w:space="0" w:color="auto"/>
              <w:left w:val="single" w:sz="2" w:space="0" w:color="auto"/>
              <w:bottom w:val="single" w:sz="2" w:space="0" w:color="auto"/>
              <w:right w:val="single" w:sz="2" w:space="0" w:color="auto"/>
            </w:tcBorders>
            <w:vAlign w:val="center"/>
          </w:tcPr>
          <w:p w14:paraId="6A48E38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94E67A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1FEB137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123,953,405.74</w:t>
            </w:r>
          </w:p>
        </w:tc>
        <w:tc>
          <w:tcPr>
            <w:tcW w:w="967" w:type="dxa"/>
            <w:tcBorders>
              <w:top w:val="single" w:sz="2" w:space="0" w:color="auto"/>
              <w:left w:val="single" w:sz="2" w:space="0" w:color="auto"/>
              <w:bottom w:val="single" w:sz="2" w:space="0" w:color="auto"/>
              <w:right w:val="single" w:sz="2" w:space="0" w:color="auto"/>
            </w:tcBorders>
            <w:vAlign w:val="center"/>
          </w:tcPr>
          <w:p w14:paraId="18566CA3"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1,104,915,880.07</w:t>
            </w:r>
          </w:p>
        </w:tc>
        <w:tc>
          <w:tcPr>
            <w:tcW w:w="877" w:type="dxa"/>
            <w:tcBorders>
              <w:top w:val="single" w:sz="2" w:space="0" w:color="auto"/>
              <w:left w:val="single" w:sz="2" w:space="0" w:color="auto"/>
              <w:bottom w:val="single" w:sz="2" w:space="0" w:color="auto"/>
              <w:right w:val="single" w:sz="2" w:space="0" w:color="auto"/>
            </w:tcBorders>
            <w:vAlign w:val="center"/>
          </w:tcPr>
          <w:p w14:paraId="469269B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181,302,394.30</w:t>
            </w:r>
          </w:p>
        </w:tc>
        <w:tc>
          <w:tcPr>
            <w:tcW w:w="869" w:type="dxa"/>
            <w:tcBorders>
              <w:top w:val="single" w:sz="2" w:space="0" w:color="auto"/>
              <w:left w:val="single" w:sz="2" w:space="0" w:color="auto"/>
              <w:bottom w:val="single" w:sz="2" w:space="0" w:color="auto"/>
              <w:right w:val="single" w:sz="2" w:space="0" w:color="auto"/>
            </w:tcBorders>
            <w:vAlign w:val="center"/>
          </w:tcPr>
          <w:p w14:paraId="79EEED7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136,397,201.91</w:t>
            </w:r>
          </w:p>
        </w:tc>
        <w:tc>
          <w:tcPr>
            <w:tcW w:w="406" w:type="dxa"/>
            <w:tcBorders>
              <w:top w:val="single" w:sz="2" w:space="0" w:color="auto"/>
              <w:left w:val="single" w:sz="2" w:space="0" w:color="auto"/>
              <w:bottom w:val="single" w:sz="2" w:space="0" w:color="auto"/>
              <w:right w:val="single" w:sz="2" w:space="0" w:color="auto"/>
            </w:tcBorders>
            <w:vAlign w:val="center"/>
          </w:tcPr>
          <w:p w14:paraId="5E18F9D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F34D66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482,490,060.31</w:t>
            </w:r>
          </w:p>
        </w:tc>
        <w:tc>
          <w:tcPr>
            <w:tcW w:w="320" w:type="dxa"/>
            <w:tcBorders>
              <w:top w:val="single" w:sz="2" w:space="0" w:color="auto"/>
              <w:left w:val="single" w:sz="2" w:space="0" w:color="auto"/>
              <w:bottom w:val="single" w:sz="2" w:space="0" w:color="auto"/>
              <w:right w:val="single" w:sz="2" w:space="0" w:color="auto"/>
            </w:tcBorders>
            <w:vAlign w:val="center"/>
          </w:tcPr>
          <w:p w14:paraId="291274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403A4A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1,127,020,330.07</w:t>
            </w:r>
          </w:p>
        </w:tc>
        <w:tc>
          <w:tcPr>
            <w:tcW w:w="244" w:type="dxa"/>
            <w:tcBorders>
              <w:top w:val="single" w:sz="2" w:space="0" w:color="auto"/>
              <w:left w:val="single" w:sz="2" w:space="0" w:color="auto"/>
              <w:bottom w:val="single" w:sz="2" w:space="0" w:color="auto"/>
              <w:right w:val="single" w:sz="2" w:space="0" w:color="auto"/>
            </w:tcBorders>
            <w:vAlign w:val="center"/>
          </w:tcPr>
          <w:p w14:paraId="5ACF905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67E19AB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3,357,739,858.80</w:t>
            </w:r>
          </w:p>
        </w:tc>
        <w:tc>
          <w:tcPr>
            <w:tcW w:w="869" w:type="dxa"/>
            <w:tcBorders>
              <w:top w:val="single" w:sz="2" w:space="0" w:color="auto"/>
              <w:left w:val="single" w:sz="2" w:space="0" w:color="auto"/>
              <w:bottom w:val="single" w:sz="2" w:space="0" w:color="auto"/>
              <w:right w:val="single" w:sz="2" w:space="0" w:color="auto"/>
            </w:tcBorders>
            <w:vAlign w:val="center"/>
          </w:tcPr>
          <w:p w14:paraId="54F87BE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411,876,323.72</w:t>
            </w:r>
          </w:p>
        </w:tc>
        <w:tc>
          <w:tcPr>
            <w:tcW w:w="967" w:type="dxa"/>
            <w:tcBorders>
              <w:top w:val="single" w:sz="2" w:space="0" w:color="auto"/>
              <w:left w:val="single" w:sz="2" w:space="0" w:color="auto"/>
              <w:bottom w:val="single" w:sz="2" w:space="0" w:color="auto"/>
              <w:right w:val="single" w:sz="2" w:space="0" w:color="auto"/>
            </w:tcBorders>
            <w:vAlign w:val="center"/>
          </w:tcPr>
          <w:p w14:paraId="5BB518B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3,769,616,182.52</w:t>
            </w:r>
          </w:p>
        </w:tc>
      </w:tr>
      <w:tr w:rsidR="00C57E60" w14:paraId="56290645"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0FE9773F" w14:textId="77777777" w:rsidR="00DC359B" w:rsidRPr="00877EF3" w:rsidRDefault="00DC359B" w:rsidP="00DC359B">
            <w:pPr>
              <w:spacing w:before="40" w:after="40" w:line="360" w:lineRule="auto"/>
              <w:ind w:firstLineChars="200" w:firstLine="260"/>
              <w:rPr>
                <w:rFonts w:ascii="Times New Roman" w:eastAsia="宋体" w:hAnsi="Times New Roman" w:cs="Times New Roman"/>
                <w:sz w:val="13"/>
                <w:szCs w:val="13"/>
              </w:rPr>
            </w:pPr>
            <w:r w:rsidRPr="00877EF3">
              <w:rPr>
                <w:rFonts w:ascii="Times New Roman" w:eastAsia="宋体" w:hAnsi="Times New Roman" w:cs="Times New Roman"/>
                <w:sz w:val="13"/>
                <w:szCs w:val="13"/>
              </w:rPr>
              <w:t>加：会计政策变更</w:t>
            </w:r>
          </w:p>
        </w:tc>
        <w:tc>
          <w:tcPr>
            <w:tcW w:w="880" w:type="dxa"/>
            <w:tcBorders>
              <w:top w:val="single" w:sz="2" w:space="0" w:color="auto"/>
              <w:left w:val="single" w:sz="2" w:space="0" w:color="auto"/>
              <w:bottom w:val="single" w:sz="2" w:space="0" w:color="auto"/>
              <w:right w:val="single" w:sz="2" w:space="0" w:color="auto"/>
            </w:tcBorders>
            <w:vAlign w:val="center"/>
          </w:tcPr>
          <w:p w14:paraId="0A90729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28A033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3AA63C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1AC3448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028CA7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47EBB50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88DD00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33724C4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2E4E7F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62A3634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3124099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4E8F955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7560A44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78C610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F7282BB"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1760CE1"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2AC1D964" w14:textId="77777777" w:rsidR="00DC359B" w:rsidRPr="00877EF3" w:rsidRDefault="00DC359B" w:rsidP="00DC359B">
            <w:pPr>
              <w:spacing w:before="40" w:after="40" w:line="360" w:lineRule="auto"/>
              <w:ind w:firstLineChars="400" w:firstLine="520"/>
              <w:rPr>
                <w:rFonts w:ascii="Times New Roman" w:eastAsia="宋体" w:hAnsi="Times New Roman" w:cs="Times New Roman"/>
                <w:sz w:val="13"/>
                <w:szCs w:val="13"/>
              </w:rPr>
            </w:pPr>
            <w:r w:rsidRPr="00877EF3">
              <w:rPr>
                <w:rFonts w:ascii="Times New Roman" w:eastAsia="宋体" w:hAnsi="Times New Roman" w:cs="Times New Roman"/>
                <w:sz w:val="13"/>
                <w:szCs w:val="13"/>
              </w:rPr>
              <w:t>前期差错更正</w:t>
            </w:r>
          </w:p>
        </w:tc>
        <w:tc>
          <w:tcPr>
            <w:tcW w:w="880" w:type="dxa"/>
            <w:tcBorders>
              <w:top w:val="single" w:sz="2" w:space="0" w:color="auto"/>
              <w:left w:val="single" w:sz="2" w:space="0" w:color="auto"/>
              <w:bottom w:val="single" w:sz="2" w:space="0" w:color="auto"/>
              <w:right w:val="single" w:sz="2" w:space="0" w:color="auto"/>
            </w:tcBorders>
            <w:vAlign w:val="center"/>
          </w:tcPr>
          <w:p w14:paraId="69BD898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2751BC5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5B3F7B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6433806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6D19D2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5285A6D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C5DAA1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6053327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2C3A75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56F6AF1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0A79EC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4982420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252CFB2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9AC393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F1B232E"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747E1FAD"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44D4EF72" w14:textId="77777777" w:rsidR="00DC359B" w:rsidRPr="00877EF3" w:rsidRDefault="00DC359B" w:rsidP="00DC359B">
            <w:pPr>
              <w:spacing w:before="40" w:after="40" w:line="360" w:lineRule="auto"/>
              <w:ind w:firstLineChars="400" w:firstLine="520"/>
              <w:rPr>
                <w:rFonts w:ascii="Times New Roman" w:eastAsia="宋体" w:hAnsi="Times New Roman" w:cs="Times New Roman"/>
                <w:sz w:val="13"/>
                <w:szCs w:val="13"/>
              </w:rPr>
            </w:pPr>
            <w:r w:rsidRPr="00877EF3">
              <w:rPr>
                <w:rFonts w:ascii="Times New Roman" w:eastAsia="宋体" w:hAnsi="Times New Roman" w:cs="Times New Roman"/>
                <w:sz w:val="13"/>
                <w:szCs w:val="13"/>
              </w:rPr>
              <w:t>其他</w:t>
            </w:r>
          </w:p>
        </w:tc>
        <w:tc>
          <w:tcPr>
            <w:tcW w:w="880" w:type="dxa"/>
            <w:tcBorders>
              <w:top w:val="single" w:sz="2" w:space="0" w:color="auto"/>
              <w:left w:val="single" w:sz="2" w:space="0" w:color="auto"/>
              <w:bottom w:val="single" w:sz="2" w:space="0" w:color="auto"/>
              <w:right w:val="single" w:sz="2" w:space="0" w:color="auto"/>
            </w:tcBorders>
            <w:vAlign w:val="center"/>
          </w:tcPr>
          <w:p w14:paraId="37F2C07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6CE0C6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59BE218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6E194A1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B3BBBC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1D9FAB5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17C1D1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6174CCF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8E77F1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44025B2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96FFF4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48A0EFE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61214C9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583E92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093CAF7"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744FF435"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AF441C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二、本年期初余额</w:t>
            </w:r>
          </w:p>
        </w:tc>
        <w:tc>
          <w:tcPr>
            <w:tcW w:w="880" w:type="dxa"/>
            <w:tcBorders>
              <w:top w:val="single" w:sz="2" w:space="0" w:color="auto"/>
              <w:left w:val="single" w:sz="2" w:space="0" w:color="auto"/>
              <w:bottom w:val="single" w:sz="2" w:space="0" w:color="auto"/>
              <w:right w:val="single" w:sz="2" w:space="0" w:color="auto"/>
            </w:tcBorders>
            <w:vAlign w:val="center"/>
          </w:tcPr>
          <w:p w14:paraId="378CF3A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564,265,375.00</w:t>
            </w:r>
          </w:p>
        </w:tc>
        <w:tc>
          <w:tcPr>
            <w:tcW w:w="566" w:type="dxa"/>
            <w:tcBorders>
              <w:top w:val="single" w:sz="2" w:space="0" w:color="auto"/>
              <w:left w:val="single" w:sz="2" w:space="0" w:color="auto"/>
              <w:bottom w:val="single" w:sz="2" w:space="0" w:color="auto"/>
              <w:right w:val="single" w:sz="2" w:space="0" w:color="auto"/>
            </w:tcBorders>
            <w:vAlign w:val="center"/>
          </w:tcPr>
          <w:p w14:paraId="356CD44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2B190DA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7B2E63CF"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123,953,405.74</w:t>
            </w:r>
          </w:p>
        </w:tc>
        <w:tc>
          <w:tcPr>
            <w:tcW w:w="967" w:type="dxa"/>
            <w:tcBorders>
              <w:top w:val="single" w:sz="2" w:space="0" w:color="auto"/>
              <w:left w:val="single" w:sz="2" w:space="0" w:color="auto"/>
              <w:bottom w:val="single" w:sz="2" w:space="0" w:color="auto"/>
              <w:right w:val="single" w:sz="2" w:space="0" w:color="auto"/>
            </w:tcBorders>
            <w:vAlign w:val="center"/>
          </w:tcPr>
          <w:p w14:paraId="3DB804B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1,104,915,880.07</w:t>
            </w:r>
          </w:p>
        </w:tc>
        <w:tc>
          <w:tcPr>
            <w:tcW w:w="877" w:type="dxa"/>
            <w:tcBorders>
              <w:top w:val="single" w:sz="2" w:space="0" w:color="auto"/>
              <w:left w:val="single" w:sz="2" w:space="0" w:color="auto"/>
              <w:bottom w:val="single" w:sz="2" w:space="0" w:color="auto"/>
              <w:right w:val="single" w:sz="2" w:space="0" w:color="auto"/>
            </w:tcBorders>
            <w:vAlign w:val="center"/>
          </w:tcPr>
          <w:p w14:paraId="5799DEE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181,302,394.30</w:t>
            </w:r>
          </w:p>
        </w:tc>
        <w:tc>
          <w:tcPr>
            <w:tcW w:w="869" w:type="dxa"/>
            <w:tcBorders>
              <w:top w:val="single" w:sz="2" w:space="0" w:color="auto"/>
              <w:left w:val="single" w:sz="2" w:space="0" w:color="auto"/>
              <w:bottom w:val="single" w:sz="2" w:space="0" w:color="auto"/>
              <w:right w:val="single" w:sz="2" w:space="0" w:color="auto"/>
            </w:tcBorders>
            <w:vAlign w:val="center"/>
          </w:tcPr>
          <w:p w14:paraId="45086E5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136,397,201.91</w:t>
            </w:r>
          </w:p>
        </w:tc>
        <w:tc>
          <w:tcPr>
            <w:tcW w:w="406" w:type="dxa"/>
            <w:tcBorders>
              <w:top w:val="single" w:sz="2" w:space="0" w:color="auto"/>
              <w:left w:val="single" w:sz="2" w:space="0" w:color="auto"/>
              <w:bottom w:val="single" w:sz="2" w:space="0" w:color="auto"/>
              <w:right w:val="single" w:sz="2" w:space="0" w:color="auto"/>
            </w:tcBorders>
            <w:vAlign w:val="center"/>
          </w:tcPr>
          <w:p w14:paraId="6F7E3BE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8CCD22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482,490,060.31</w:t>
            </w:r>
          </w:p>
        </w:tc>
        <w:tc>
          <w:tcPr>
            <w:tcW w:w="320" w:type="dxa"/>
            <w:tcBorders>
              <w:top w:val="single" w:sz="2" w:space="0" w:color="auto"/>
              <w:left w:val="single" w:sz="2" w:space="0" w:color="auto"/>
              <w:bottom w:val="single" w:sz="2" w:space="0" w:color="auto"/>
              <w:right w:val="single" w:sz="2" w:space="0" w:color="auto"/>
            </w:tcBorders>
            <w:vAlign w:val="center"/>
          </w:tcPr>
          <w:p w14:paraId="44A6F5B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42D3543"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1,127,020,330.07</w:t>
            </w:r>
          </w:p>
        </w:tc>
        <w:tc>
          <w:tcPr>
            <w:tcW w:w="244" w:type="dxa"/>
            <w:tcBorders>
              <w:top w:val="single" w:sz="2" w:space="0" w:color="auto"/>
              <w:left w:val="single" w:sz="2" w:space="0" w:color="auto"/>
              <w:bottom w:val="single" w:sz="2" w:space="0" w:color="auto"/>
              <w:right w:val="single" w:sz="2" w:space="0" w:color="auto"/>
            </w:tcBorders>
            <w:vAlign w:val="center"/>
          </w:tcPr>
          <w:p w14:paraId="656125A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5AED669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3,357,739,858.80</w:t>
            </w:r>
          </w:p>
        </w:tc>
        <w:tc>
          <w:tcPr>
            <w:tcW w:w="869" w:type="dxa"/>
            <w:tcBorders>
              <w:top w:val="single" w:sz="2" w:space="0" w:color="auto"/>
              <w:left w:val="single" w:sz="2" w:space="0" w:color="auto"/>
              <w:bottom w:val="single" w:sz="2" w:space="0" w:color="auto"/>
              <w:right w:val="single" w:sz="2" w:space="0" w:color="auto"/>
            </w:tcBorders>
            <w:vAlign w:val="center"/>
          </w:tcPr>
          <w:p w14:paraId="60862F55"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411,876,323.72</w:t>
            </w:r>
          </w:p>
        </w:tc>
        <w:tc>
          <w:tcPr>
            <w:tcW w:w="967" w:type="dxa"/>
            <w:tcBorders>
              <w:top w:val="single" w:sz="2" w:space="0" w:color="auto"/>
              <w:left w:val="single" w:sz="2" w:space="0" w:color="auto"/>
              <w:bottom w:val="single" w:sz="2" w:space="0" w:color="auto"/>
              <w:right w:val="single" w:sz="2" w:space="0" w:color="auto"/>
            </w:tcBorders>
            <w:vAlign w:val="center"/>
          </w:tcPr>
          <w:p w14:paraId="16D2C6B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3,769,616,182.52</w:t>
            </w:r>
          </w:p>
        </w:tc>
      </w:tr>
      <w:tr w:rsidR="00C57E60" w14:paraId="73285E26"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3542BA08" w14:textId="77777777" w:rsidR="00B562D4" w:rsidRPr="00877EF3" w:rsidRDefault="00B562D4" w:rsidP="00B562D4">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三、本期增减变动金额（减少以</w:t>
            </w:r>
            <w:r w:rsidRPr="00877EF3">
              <w:rPr>
                <w:rFonts w:ascii="Times New Roman" w:eastAsia="宋体" w:hAnsi="Times New Roman" w:cs="Times New Roman"/>
                <w:sz w:val="13"/>
                <w:szCs w:val="13"/>
              </w:rPr>
              <w:t>“</w:t>
            </w:r>
            <w:r w:rsidRPr="00877EF3">
              <w:rPr>
                <w:rFonts w:ascii="Times New Roman" w:eastAsia="宋体" w:hAnsi="Times New Roman" w:cs="Times New Roman"/>
                <w:sz w:val="13"/>
                <w:szCs w:val="13"/>
              </w:rPr>
              <w:t>－</w:t>
            </w:r>
            <w:r w:rsidRPr="00877EF3">
              <w:rPr>
                <w:rFonts w:ascii="Times New Roman" w:eastAsia="宋体" w:hAnsi="Times New Roman" w:cs="Times New Roman"/>
                <w:sz w:val="13"/>
                <w:szCs w:val="13"/>
              </w:rPr>
              <w:t>”</w:t>
            </w:r>
            <w:r w:rsidRPr="00877EF3">
              <w:rPr>
                <w:rFonts w:ascii="Times New Roman" w:eastAsia="宋体" w:hAnsi="Times New Roman" w:cs="Times New Roman"/>
                <w:sz w:val="13"/>
                <w:szCs w:val="13"/>
              </w:rPr>
              <w:t>号填列）</w:t>
            </w:r>
          </w:p>
        </w:tc>
        <w:tc>
          <w:tcPr>
            <w:tcW w:w="880" w:type="dxa"/>
            <w:tcBorders>
              <w:top w:val="single" w:sz="2" w:space="0" w:color="auto"/>
              <w:left w:val="single" w:sz="2" w:space="0" w:color="auto"/>
              <w:bottom w:val="single" w:sz="2" w:space="0" w:color="auto"/>
              <w:right w:val="single" w:sz="2" w:space="0" w:color="auto"/>
            </w:tcBorders>
            <w:vAlign w:val="center"/>
          </w:tcPr>
          <w:p w14:paraId="5BE78AAA"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-3,998,069.00</w:t>
            </w:r>
          </w:p>
        </w:tc>
        <w:tc>
          <w:tcPr>
            <w:tcW w:w="566" w:type="dxa"/>
            <w:tcBorders>
              <w:top w:val="single" w:sz="2" w:space="0" w:color="auto"/>
              <w:left w:val="single" w:sz="2" w:space="0" w:color="auto"/>
              <w:bottom w:val="single" w:sz="2" w:space="0" w:color="auto"/>
              <w:right w:val="single" w:sz="2" w:space="0" w:color="auto"/>
            </w:tcBorders>
            <w:vAlign w:val="center"/>
          </w:tcPr>
          <w:p w14:paraId="5CBF79B7"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8AD5924"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6D4196FD"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-10,445.88</w:t>
            </w:r>
          </w:p>
        </w:tc>
        <w:tc>
          <w:tcPr>
            <w:tcW w:w="967" w:type="dxa"/>
            <w:tcBorders>
              <w:top w:val="single" w:sz="2" w:space="0" w:color="auto"/>
              <w:left w:val="single" w:sz="2" w:space="0" w:color="auto"/>
              <w:bottom w:val="single" w:sz="2" w:space="0" w:color="auto"/>
              <w:right w:val="single" w:sz="2" w:space="0" w:color="auto"/>
            </w:tcBorders>
            <w:vAlign w:val="center"/>
          </w:tcPr>
          <w:p w14:paraId="084A4ABF"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-79,565,659.11</w:t>
            </w:r>
          </w:p>
        </w:tc>
        <w:tc>
          <w:tcPr>
            <w:tcW w:w="877" w:type="dxa"/>
            <w:tcBorders>
              <w:top w:val="single" w:sz="2" w:space="0" w:color="auto"/>
              <w:left w:val="single" w:sz="2" w:space="0" w:color="auto"/>
              <w:bottom w:val="single" w:sz="2" w:space="0" w:color="auto"/>
              <w:right w:val="single" w:sz="2" w:space="0" w:color="auto"/>
            </w:tcBorders>
            <w:vAlign w:val="center"/>
          </w:tcPr>
          <w:p w14:paraId="252224FB"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105,314,229.38</w:t>
            </w:r>
          </w:p>
        </w:tc>
        <w:tc>
          <w:tcPr>
            <w:tcW w:w="869" w:type="dxa"/>
            <w:tcBorders>
              <w:top w:val="single" w:sz="2" w:space="0" w:color="auto"/>
              <w:left w:val="single" w:sz="2" w:space="0" w:color="auto"/>
              <w:bottom w:val="single" w:sz="2" w:space="0" w:color="auto"/>
              <w:right w:val="single" w:sz="2" w:space="0" w:color="auto"/>
            </w:tcBorders>
            <w:vAlign w:val="center"/>
          </w:tcPr>
          <w:p w14:paraId="29F16F60"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-50,382,432.40</w:t>
            </w:r>
          </w:p>
        </w:tc>
        <w:tc>
          <w:tcPr>
            <w:tcW w:w="406" w:type="dxa"/>
            <w:tcBorders>
              <w:top w:val="single" w:sz="2" w:space="0" w:color="auto"/>
              <w:left w:val="single" w:sz="2" w:space="0" w:color="auto"/>
              <w:bottom w:val="single" w:sz="2" w:space="0" w:color="auto"/>
              <w:right w:val="single" w:sz="2" w:space="0" w:color="auto"/>
            </w:tcBorders>
            <w:vAlign w:val="center"/>
          </w:tcPr>
          <w:p w14:paraId="2E4A8693"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C1980ED" w14:textId="72D0E67E"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50,390,125.19</w:t>
            </w:r>
          </w:p>
        </w:tc>
        <w:tc>
          <w:tcPr>
            <w:tcW w:w="320" w:type="dxa"/>
            <w:tcBorders>
              <w:top w:val="single" w:sz="2" w:space="0" w:color="auto"/>
              <w:left w:val="single" w:sz="2" w:space="0" w:color="auto"/>
              <w:bottom w:val="single" w:sz="2" w:space="0" w:color="auto"/>
              <w:right w:val="single" w:sz="2" w:space="0" w:color="auto"/>
            </w:tcBorders>
            <w:vAlign w:val="center"/>
          </w:tcPr>
          <w:p w14:paraId="797407E5"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35FC982" w14:textId="2B794F28"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-56,001,817.44</w:t>
            </w:r>
          </w:p>
        </w:tc>
        <w:tc>
          <w:tcPr>
            <w:tcW w:w="244" w:type="dxa"/>
            <w:tcBorders>
              <w:top w:val="single" w:sz="2" w:space="0" w:color="auto"/>
              <w:left w:val="single" w:sz="2" w:space="0" w:color="auto"/>
              <w:bottom w:val="single" w:sz="2" w:space="0" w:color="auto"/>
              <w:right w:val="single" w:sz="2" w:space="0" w:color="auto"/>
            </w:tcBorders>
            <w:vAlign w:val="center"/>
          </w:tcPr>
          <w:p w14:paraId="3CC28107"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0CDCCCAD" w14:textId="5FF1890B"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-244,882,528.02</w:t>
            </w:r>
          </w:p>
        </w:tc>
        <w:tc>
          <w:tcPr>
            <w:tcW w:w="869" w:type="dxa"/>
            <w:tcBorders>
              <w:top w:val="single" w:sz="2" w:space="0" w:color="auto"/>
              <w:left w:val="single" w:sz="2" w:space="0" w:color="auto"/>
              <w:bottom w:val="single" w:sz="2" w:space="0" w:color="auto"/>
              <w:right w:val="single" w:sz="2" w:space="0" w:color="auto"/>
            </w:tcBorders>
            <w:vAlign w:val="center"/>
          </w:tcPr>
          <w:p w14:paraId="0DA4C83E" w14:textId="773F32F1"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-80,551,795.52</w:t>
            </w:r>
          </w:p>
        </w:tc>
        <w:tc>
          <w:tcPr>
            <w:tcW w:w="967" w:type="dxa"/>
            <w:tcBorders>
              <w:top w:val="single" w:sz="2" w:space="0" w:color="auto"/>
              <w:left w:val="single" w:sz="2" w:space="0" w:color="auto"/>
              <w:bottom w:val="single" w:sz="2" w:space="0" w:color="auto"/>
              <w:right w:val="single" w:sz="2" w:space="0" w:color="auto"/>
            </w:tcBorders>
            <w:vAlign w:val="center"/>
          </w:tcPr>
          <w:p w14:paraId="05A29944" w14:textId="5B171D09"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-325,434,323.54</w:t>
            </w:r>
          </w:p>
        </w:tc>
      </w:tr>
      <w:tr w:rsidR="00C57E60" w14:paraId="0E3F5A60"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76549175" w14:textId="77777777" w:rsidR="00B562D4" w:rsidRPr="00877EF3" w:rsidRDefault="00B562D4" w:rsidP="00B562D4">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（一）综合收益总额</w:t>
            </w:r>
          </w:p>
        </w:tc>
        <w:tc>
          <w:tcPr>
            <w:tcW w:w="880" w:type="dxa"/>
            <w:tcBorders>
              <w:top w:val="single" w:sz="2" w:space="0" w:color="auto"/>
              <w:left w:val="single" w:sz="2" w:space="0" w:color="auto"/>
              <w:bottom w:val="single" w:sz="2" w:space="0" w:color="auto"/>
              <w:right w:val="single" w:sz="2" w:space="0" w:color="auto"/>
            </w:tcBorders>
            <w:vAlign w:val="center"/>
          </w:tcPr>
          <w:p w14:paraId="255D3722"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418D01F"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46F4F4A7"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3E5A77C5"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FB196E3"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4AF63F88"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3F01FAB"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-26,988,265.98</w:t>
            </w:r>
          </w:p>
        </w:tc>
        <w:tc>
          <w:tcPr>
            <w:tcW w:w="406" w:type="dxa"/>
            <w:tcBorders>
              <w:top w:val="single" w:sz="2" w:space="0" w:color="auto"/>
              <w:left w:val="single" w:sz="2" w:space="0" w:color="auto"/>
              <w:bottom w:val="single" w:sz="2" w:space="0" w:color="auto"/>
              <w:right w:val="single" w:sz="2" w:space="0" w:color="auto"/>
            </w:tcBorders>
            <w:vAlign w:val="center"/>
          </w:tcPr>
          <w:p w14:paraId="0DFBC61B"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0EEBAB44"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0215FEB0"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0D85525" w14:textId="2C218BE5"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92,648,858.69</w:t>
            </w:r>
          </w:p>
        </w:tc>
        <w:tc>
          <w:tcPr>
            <w:tcW w:w="244" w:type="dxa"/>
            <w:tcBorders>
              <w:top w:val="single" w:sz="2" w:space="0" w:color="auto"/>
              <w:left w:val="single" w:sz="2" w:space="0" w:color="auto"/>
              <w:bottom w:val="single" w:sz="2" w:space="0" w:color="auto"/>
              <w:right w:val="single" w:sz="2" w:space="0" w:color="auto"/>
            </w:tcBorders>
            <w:vAlign w:val="center"/>
          </w:tcPr>
          <w:p w14:paraId="2647308E"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41E8657" w14:textId="1691143C"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65,660,592.71</w:t>
            </w:r>
          </w:p>
        </w:tc>
        <w:tc>
          <w:tcPr>
            <w:tcW w:w="869" w:type="dxa"/>
            <w:tcBorders>
              <w:top w:val="single" w:sz="2" w:space="0" w:color="auto"/>
              <w:left w:val="single" w:sz="2" w:space="0" w:color="auto"/>
              <w:bottom w:val="single" w:sz="2" w:space="0" w:color="auto"/>
              <w:right w:val="single" w:sz="2" w:space="0" w:color="auto"/>
            </w:tcBorders>
            <w:vAlign w:val="center"/>
          </w:tcPr>
          <w:p w14:paraId="72146768" w14:textId="6964362D"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-78,541,795.52</w:t>
            </w:r>
          </w:p>
        </w:tc>
        <w:tc>
          <w:tcPr>
            <w:tcW w:w="967" w:type="dxa"/>
            <w:tcBorders>
              <w:top w:val="single" w:sz="2" w:space="0" w:color="auto"/>
              <w:left w:val="single" w:sz="2" w:space="0" w:color="auto"/>
              <w:bottom w:val="single" w:sz="2" w:space="0" w:color="auto"/>
              <w:right w:val="single" w:sz="2" w:space="0" w:color="auto"/>
            </w:tcBorders>
            <w:vAlign w:val="center"/>
          </w:tcPr>
          <w:p w14:paraId="13CFFCA4" w14:textId="6544FC6F"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-12,881,202.81</w:t>
            </w:r>
          </w:p>
        </w:tc>
      </w:tr>
      <w:tr w:rsidR="00C57E60" w14:paraId="1505EF21"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20F240F3"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（二）所有者投入和减少资本</w:t>
            </w:r>
          </w:p>
        </w:tc>
        <w:tc>
          <w:tcPr>
            <w:tcW w:w="880" w:type="dxa"/>
            <w:tcBorders>
              <w:top w:val="single" w:sz="2" w:space="0" w:color="auto"/>
              <w:left w:val="single" w:sz="2" w:space="0" w:color="auto"/>
              <w:bottom w:val="single" w:sz="2" w:space="0" w:color="auto"/>
              <w:right w:val="single" w:sz="2" w:space="0" w:color="auto"/>
            </w:tcBorders>
            <w:vAlign w:val="center"/>
          </w:tcPr>
          <w:p w14:paraId="08B25EA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-3,998,069.00</w:t>
            </w:r>
          </w:p>
        </w:tc>
        <w:tc>
          <w:tcPr>
            <w:tcW w:w="566" w:type="dxa"/>
            <w:tcBorders>
              <w:top w:val="single" w:sz="2" w:space="0" w:color="auto"/>
              <w:left w:val="single" w:sz="2" w:space="0" w:color="auto"/>
              <w:bottom w:val="single" w:sz="2" w:space="0" w:color="auto"/>
              <w:right w:val="single" w:sz="2" w:space="0" w:color="auto"/>
            </w:tcBorders>
            <w:vAlign w:val="center"/>
          </w:tcPr>
          <w:p w14:paraId="3DE6053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C639D1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548E9AC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-10,445.88</w:t>
            </w:r>
          </w:p>
        </w:tc>
        <w:tc>
          <w:tcPr>
            <w:tcW w:w="967" w:type="dxa"/>
            <w:tcBorders>
              <w:top w:val="single" w:sz="2" w:space="0" w:color="auto"/>
              <w:left w:val="single" w:sz="2" w:space="0" w:color="auto"/>
              <w:bottom w:val="single" w:sz="2" w:space="0" w:color="auto"/>
              <w:right w:val="single" w:sz="2" w:space="0" w:color="auto"/>
            </w:tcBorders>
            <w:vAlign w:val="center"/>
          </w:tcPr>
          <w:p w14:paraId="7DD598B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-79,639,027.89</w:t>
            </w:r>
          </w:p>
        </w:tc>
        <w:tc>
          <w:tcPr>
            <w:tcW w:w="877" w:type="dxa"/>
            <w:tcBorders>
              <w:top w:val="single" w:sz="2" w:space="0" w:color="auto"/>
              <w:left w:val="single" w:sz="2" w:space="0" w:color="auto"/>
              <w:bottom w:val="single" w:sz="2" w:space="0" w:color="auto"/>
              <w:right w:val="single" w:sz="2" w:space="0" w:color="auto"/>
            </w:tcBorders>
            <w:vAlign w:val="center"/>
          </w:tcPr>
          <w:p w14:paraId="064F9F9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105,314,229.38</w:t>
            </w:r>
          </w:p>
        </w:tc>
        <w:tc>
          <w:tcPr>
            <w:tcW w:w="869" w:type="dxa"/>
            <w:tcBorders>
              <w:top w:val="single" w:sz="2" w:space="0" w:color="auto"/>
              <w:left w:val="single" w:sz="2" w:space="0" w:color="auto"/>
              <w:bottom w:val="single" w:sz="2" w:space="0" w:color="auto"/>
              <w:right w:val="single" w:sz="2" w:space="0" w:color="auto"/>
            </w:tcBorders>
            <w:vAlign w:val="center"/>
          </w:tcPr>
          <w:p w14:paraId="37A9021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69C2480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D532C2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5AD1EA0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20BCCC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59BCF8D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41A4240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-188,961,772.15</w:t>
            </w:r>
          </w:p>
        </w:tc>
        <w:tc>
          <w:tcPr>
            <w:tcW w:w="869" w:type="dxa"/>
            <w:tcBorders>
              <w:top w:val="single" w:sz="2" w:space="0" w:color="auto"/>
              <w:left w:val="single" w:sz="2" w:space="0" w:color="auto"/>
              <w:bottom w:val="single" w:sz="2" w:space="0" w:color="auto"/>
              <w:right w:val="single" w:sz="2" w:space="0" w:color="auto"/>
            </w:tcBorders>
            <w:vAlign w:val="center"/>
          </w:tcPr>
          <w:p w14:paraId="51080AE5"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75,646.52</w:t>
            </w:r>
          </w:p>
        </w:tc>
        <w:tc>
          <w:tcPr>
            <w:tcW w:w="967" w:type="dxa"/>
            <w:tcBorders>
              <w:top w:val="single" w:sz="2" w:space="0" w:color="auto"/>
              <w:left w:val="single" w:sz="2" w:space="0" w:color="auto"/>
              <w:bottom w:val="single" w:sz="2" w:space="0" w:color="auto"/>
              <w:right w:val="single" w:sz="2" w:space="0" w:color="auto"/>
            </w:tcBorders>
            <w:vAlign w:val="center"/>
          </w:tcPr>
          <w:p w14:paraId="3C96DCE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-188,886,125.63</w:t>
            </w:r>
          </w:p>
        </w:tc>
      </w:tr>
      <w:tr w:rsidR="00C57E60" w14:paraId="42F900B7"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30E220FA"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．所有者投入的普通股</w:t>
            </w:r>
          </w:p>
        </w:tc>
        <w:tc>
          <w:tcPr>
            <w:tcW w:w="880" w:type="dxa"/>
            <w:tcBorders>
              <w:top w:val="single" w:sz="2" w:space="0" w:color="auto"/>
              <w:left w:val="single" w:sz="2" w:space="0" w:color="auto"/>
              <w:bottom w:val="single" w:sz="2" w:space="0" w:color="auto"/>
              <w:right w:val="single" w:sz="2" w:space="0" w:color="auto"/>
            </w:tcBorders>
            <w:vAlign w:val="center"/>
          </w:tcPr>
          <w:p w14:paraId="6E17E7B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26225B7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F1B860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2DF16AF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1A0ACC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2C11AA4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105,314,229.38</w:t>
            </w:r>
          </w:p>
        </w:tc>
        <w:tc>
          <w:tcPr>
            <w:tcW w:w="869" w:type="dxa"/>
            <w:tcBorders>
              <w:top w:val="single" w:sz="2" w:space="0" w:color="auto"/>
              <w:left w:val="single" w:sz="2" w:space="0" w:color="auto"/>
              <w:bottom w:val="single" w:sz="2" w:space="0" w:color="auto"/>
              <w:right w:val="single" w:sz="2" w:space="0" w:color="auto"/>
            </w:tcBorders>
            <w:vAlign w:val="center"/>
          </w:tcPr>
          <w:p w14:paraId="3CBE716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7110A5A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6AFC4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4011107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9B1ECD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69D7C9B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66395D5"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-105,314,229.38</w:t>
            </w:r>
          </w:p>
        </w:tc>
        <w:tc>
          <w:tcPr>
            <w:tcW w:w="869" w:type="dxa"/>
            <w:tcBorders>
              <w:top w:val="single" w:sz="2" w:space="0" w:color="auto"/>
              <w:left w:val="single" w:sz="2" w:space="0" w:color="auto"/>
              <w:bottom w:val="single" w:sz="2" w:space="0" w:color="auto"/>
              <w:right w:val="single" w:sz="2" w:space="0" w:color="auto"/>
            </w:tcBorders>
            <w:vAlign w:val="center"/>
          </w:tcPr>
          <w:p w14:paraId="0577C00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E0DC5F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-105,314,229.38</w:t>
            </w:r>
          </w:p>
        </w:tc>
      </w:tr>
      <w:tr w:rsidR="00C57E60" w14:paraId="5AB42B16"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B80B34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．其他权益工具持有者投入资本</w:t>
            </w:r>
          </w:p>
        </w:tc>
        <w:tc>
          <w:tcPr>
            <w:tcW w:w="880" w:type="dxa"/>
            <w:tcBorders>
              <w:top w:val="single" w:sz="2" w:space="0" w:color="auto"/>
              <w:left w:val="single" w:sz="2" w:space="0" w:color="auto"/>
              <w:bottom w:val="single" w:sz="2" w:space="0" w:color="auto"/>
              <w:right w:val="single" w:sz="2" w:space="0" w:color="auto"/>
            </w:tcBorders>
            <w:vAlign w:val="center"/>
          </w:tcPr>
          <w:p w14:paraId="436ABC3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1,218.00</w:t>
            </w:r>
          </w:p>
        </w:tc>
        <w:tc>
          <w:tcPr>
            <w:tcW w:w="566" w:type="dxa"/>
            <w:tcBorders>
              <w:top w:val="single" w:sz="2" w:space="0" w:color="auto"/>
              <w:left w:val="single" w:sz="2" w:space="0" w:color="auto"/>
              <w:bottom w:val="single" w:sz="2" w:space="0" w:color="auto"/>
              <w:right w:val="single" w:sz="2" w:space="0" w:color="auto"/>
            </w:tcBorders>
            <w:vAlign w:val="center"/>
          </w:tcPr>
          <w:p w14:paraId="70C3ECA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275A14D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45DD431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-10,445.88</w:t>
            </w:r>
          </w:p>
        </w:tc>
        <w:tc>
          <w:tcPr>
            <w:tcW w:w="967" w:type="dxa"/>
            <w:tcBorders>
              <w:top w:val="single" w:sz="2" w:space="0" w:color="auto"/>
              <w:left w:val="single" w:sz="2" w:space="0" w:color="auto"/>
              <w:bottom w:val="single" w:sz="2" w:space="0" w:color="auto"/>
              <w:right w:val="single" w:sz="2" w:space="0" w:color="auto"/>
            </w:tcBorders>
            <w:vAlign w:val="center"/>
          </w:tcPr>
          <w:p w14:paraId="546450F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51,203.48</w:t>
            </w:r>
          </w:p>
        </w:tc>
        <w:tc>
          <w:tcPr>
            <w:tcW w:w="877" w:type="dxa"/>
            <w:tcBorders>
              <w:top w:val="single" w:sz="2" w:space="0" w:color="auto"/>
              <w:left w:val="single" w:sz="2" w:space="0" w:color="auto"/>
              <w:bottom w:val="single" w:sz="2" w:space="0" w:color="auto"/>
              <w:right w:val="single" w:sz="2" w:space="0" w:color="auto"/>
            </w:tcBorders>
            <w:vAlign w:val="center"/>
          </w:tcPr>
          <w:p w14:paraId="27827AE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3B2D19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0E1F01C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694993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1DC6D65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0193E5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13786F3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0E4E3C1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41,975.60</w:t>
            </w:r>
          </w:p>
        </w:tc>
        <w:tc>
          <w:tcPr>
            <w:tcW w:w="869" w:type="dxa"/>
            <w:tcBorders>
              <w:top w:val="single" w:sz="2" w:space="0" w:color="auto"/>
              <w:left w:val="single" w:sz="2" w:space="0" w:color="auto"/>
              <w:bottom w:val="single" w:sz="2" w:space="0" w:color="auto"/>
              <w:right w:val="single" w:sz="2" w:space="0" w:color="auto"/>
            </w:tcBorders>
            <w:vAlign w:val="center"/>
          </w:tcPr>
          <w:p w14:paraId="6A64D66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39835F7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41,975.60</w:t>
            </w:r>
          </w:p>
        </w:tc>
      </w:tr>
      <w:tr w:rsidR="00C57E60" w14:paraId="2544367C"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1C1E3767"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3</w:t>
            </w:r>
            <w:r w:rsidRPr="00877EF3">
              <w:rPr>
                <w:rFonts w:ascii="Times New Roman" w:eastAsia="宋体" w:hAnsi="Times New Roman" w:cs="Times New Roman"/>
                <w:sz w:val="13"/>
                <w:szCs w:val="13"/>
              </w:rPr>
              <w:t>．股份支付计入所有者权益的金额</w:t>
            </w:r>
          </w:p>
        </w:tc>
        <w:tc>
          <w:tcPr>
            <w:tcW w:w="880" w:type="dxa"/>
            <w:tcBorders>
              <w:top w:val="single" w:sz="2" w:space="0" w:color="auto"/>
              <w:left w:val="single" w:sz="2" w:space="0" w:color="auto"/>
              <w:bottom w:val="single" w:sz="2" w:space="0" w:color="auto"/>
              <w:right w:val="single" w:sz="2" w:space="0" w:color="auto"/>
            </w:tcBorders>
            <w:vAlign w:val="center"/>
          </w:tcPr>
          <w:p w14:paraId="4E4033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1003869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250372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0A61F3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AC623E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12,713,159.13</w:t>
            </w:r>
          </w:p>
        </w:tc>
        <w:tc>
          <w:tcPr>
            <w:tcW w:w="877" w:type="dxa"/>
            <w:tcBorders>
              <w:top w:val="single" w:sz="2" w:space="0" w:color="auto"/>
              <w:left w:val="single" w:sz="2" w:space="0" w:color="auto"/>
              <w:bottom w:val="single" w:sz="2" w:space="0" w:color="auto"/>
              <w:right w:val="single" w:sz="2" w:space="0" w:color="auto"/>
            </w:tcBorders>
            <w:vAlign w:val="center"/>
          </w:tcPr>
          <w:p w14:paraId="4E5D131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3B1303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1F9495C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243230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04A28ED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B4DBD4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2062D5A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0AAA927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12,713,159.13</w:t>
            </w:r>
          </w:p>
        </w:tc>
        <w:tc>
          <w:tcPr>
            <w:tcW w:w="869" w:type="dxa"/>
            <w:tcBorders>
              <w:top w:val="single" w:sz="2" w:space="0" w:color="auto"/>
              <w:left w:val="single" w:sz="2" w:space="0" w:color="auto"/>
              <w:bottom w:val="single" w:sz="2" w:space="0" w:color="auto"/>
              <w:right w:val="single" w:sz="2" w:space="0" w:color="auto"/>
            </w:tcBorders>
            <w:vAlign w:val="center"/>
          </w:tcPr>
          <w:p w14:paraId="4CC2180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D1FB55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12,713,159.13</w:t>
            </w:r>
          </w:p>
        </w:tc>
      </w:tr>
      <w:tr w:rsidR="00C57E60" w14:paraId="057A533F"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312D9D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4</w:t>
            </w:r>
            <w:r w:rsidRPr="00877EF3">
              <w:rPr>
                <w:rFonts w:ascii="Times New Roman" w:eastAsia="宋体" w:hAnsi="Times New Roman" w:cs="Times New Roman"/>
                <w:sz w:val="13"/>
                <w:szCs w:val="13"/>
              </w:rPr>
              <w:t>．其他</w:t>
            </w:r>
          </w:p>
        </w:tc>
        <w:tc>
          <w:tcPr>
            <w:tcW w:w="880" w:type="dxa"/>
            <w:tcBorders>
              <w:top w:val="single" w:sz="2" w:space="0" w:color="auto"/>
              <w:left w:val="single" w:sz="2" w:space="0" w:color="auto"/>
              <w:bottom w:val="single" w:sz="2" w:space="0" w:color="auto"/>
              <w:right w:val="single" w:sz="2" w:space="0" w:color="auto"/>
            </w:tcBorders>
            <w:vAlign w:val="center"/>
          </w:tcPr>
          <w:p w14:paraId="653C8CE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-3,999,287.00</w:t>
            </w:r>
          </w:p>
        </w:tc>
        <w:tc>
          <w:tcPr>
            <w:tcW w:w="566" w:type="dxa"/>
            <w:tcBorders>
              <w:top w:val="single" w:sz="2" w:space="0" w:color="auto"/>
              <w:left w:val="single" w:sz="2" w:space="0" w:color="auto"/>
              <w:bottom w:val="single" w:sz="2" w:space="0" w:color="auto"/>
              <w:right w:val="single" w:sz="2" w:space="0" w:color="auto"/>
            </w:tcBorders>
            <w:vAlign w:val="center"/>
          </w:tcPr>
          <w:p w14:paraId="5EF6A52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729BEB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5785BF7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10EAA9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-92,403,390.50</w:t>
            </w:r>
          </w:p>
        </w:tc>
        <w:tc>
          <w:tcPr>
            <w:tcW w:w="877" w:type="dxa"/>
            <w:tcBorders>
              <w:top w:val="single" w:sz="2" w:space="0" w:color="auto"/>
              <w:left w:val="single" w:sz="2" w:space="0" w:color="auto"/>
              <w:bottom w:val="single" w:sz="2" w:space="0" w:color="auto"/>
              <w:right w:val="single" w:sz="2" w:space="0" w:color="auto"/>
            </w:tcBorders>
            <w:vAlign w:val="center"/>
          </w:tcPr>
          <w:p w14:paraId="6AB360C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E95CBF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53BFFDE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077D7CE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742CD9B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7AA409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597CB05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F866243"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-96,402,677.50</w:t>
            </w:r>
          </w:p>
        </w:tc>
        <w:tc>
          <w:tcPr>
            <w:tcW w:w="869" w:type="dxa"/>
            <w:tcBorders>
              <w:top w:val="single" w:sz="2" w:space="0" w:color="auto"/>
              <w:left w:val="single" w:sz="2" w:space="0" w:color="auto"/>
              <w:bottom w:val="single" w:sz="2" w:space="0" w:color="auto"/>
              <w:right w:val="single" w:sz="2" w:space="0" w:color="auto"/>
            </w:tcBorders>
            <w:vAlign w:val="center"/>
          </w:tcPr>
          <w:p w14:paraId="0174579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75,646.52</w:t>
            </w:r>
          </w:p>
        </w:tc>
        <w:tc>
          <w:tcPr>
            <w:tcW w:w="967" w:type="dxa"/>
            <w:tcBorders>
              <w:top w:val="single" w:sz="2" w:space="0" w:color="auto"/>
              <w:left w:val="single" w:sz="2" w:space="0" w:color="auto"/>
              <w:bottom w:val="single" w:sz="2" w:space="0" w:color="auto"/>
              <w:right w:val="single" w:sz="2" w:space="0" w:color="auto"/>
            </w:tcBorders>
            <w:vAlign w:val="center"/>
          </w:tcPr>
          <w:p w14:paraId="67511EF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-96,327,030.98</w:t>
            </w:r>
          </w:p>
        </w:tc>
      </w:tr>
      <w:tr w:rsidR="00C57E60" w14:paraId="479EA020"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56C5589" w14:textId="77777777" w:rsidR="00B562D4" w:rsidRPr="00877EF3" w:rsidRDefault="00B562D4" w:rsidP="00B562D4">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（三）利润分配</w:t>
            </w:r>
          </w:p>
        </w:tc>
        <w:tc>
          <w:tcPr>
            <w:tcW w:w="880" w:type="dxa"/>
            <w:tcBorders>
              <w:top w:val="single" w:sz="2" w:space="0" w:color="auto"/>
              <w:left w:val="single" w:sz="2" w:space="0" w:color="auto"/>
              <w:bottom w:val="single" w:sz="2" w:space="0" w:color="auto"/>
              <w:right w:val="single" w:sz="2" w:space="0" w:color="auto"/>
            </w:tcBorders>
            <w:vAlign w:val="center"/>
          </w:tcPr>
          <w:p w14:paraId="081A5D70"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67F3E0B"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A7C1A38"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56069150"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5018207"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35E629D3"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9DF50FA"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6732720A"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54DE711" w14:textId="6EC1DB32"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50,390,125.19</w:t>
            </w:r>
          </w:p>
        </w:tc>
        <w:tc>
          <w:tcPr>
            <w:tcW w:w="320" w:type="dxa"/>
            <w:tcBorders>
              <w:top w:val="single" w:sz="2" w:space="0" w:color="auto"/>
              <w:left w:val="single" w:sz="2" w:space="0" w:color="auto"/>
              <w:bottom w:val="single" w:sz="2" w:space="0" w:color="auto"/>
              <w:right w:val="single" w:sz="2" w:space="0" w:color="auto"/>
            </w:tcBorders>
            <w:vAlign w:val="center"/>
          </w:tcPr>
          <w:p w14:paraId="68A62D32"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A20D5F1" w14:textId="76C599A6"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-172,044,842.55</w:t>
            </w:r>
          </w:p>
        </w:tc>
        <w:tc>
          <w:tcPr>
            <w:tcW w:w="244" w:type="dxa"/>
            <w:tcBorders>
              <w:top w:val="single" w:sz="2" w:space="0" w:color="auto"/>
              <w:left w:val="single" w:sz="2" w:space="0" w:color="auto"/>
              <w:bottom w:val="single" w:sz="2" w:space="0" w:color="auto"/>
              <w:right w:val="single" w:sz="2" w:space="0" w:color="auto"/>
            </w:tcBorders>
            <w:vAlign w:val="center"/>
          </w:tcPr>
          <w:p w14:paraId="68BC6546"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E862FC2"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-121,654,717.36</w:t>
            </w:r>
          </w:p>
        </w:tc>
        <w:tc>
          <w:tcPr>
            <w:tcW w:w="869" w:type="dxa"/>
            <w:tcBorders>
              <w:top w:val="single" w:sz="2" w:space="0" w:color="auto"/>
              <w:left w:val="single" w:sz="2" w:space="0" w:color="auto"/>
              <w:bottom w:val="single" w:sz="2" w:space="0" w:color="auto"/>
              <w:right w:val="single" w:sz="2" w:space="0" w:color="auto"/>
            </w:tcBorders>
            <w:vAlign w:val="center"/>
          </w:tcPr>
          <w:p w14:paraId="1CE2EC96"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-2,085,646.52</w:t>
            </w:r>
          </w:p>
        </w:tc>
        <w:tc>
          <w:tcPr>
            <w:tcW w:w="967" w:type="dxa"/>
            <w:tcBorders>
              <w:top w:val="single" w:sz="2" w:space="0" w:color="auto"/>
              <w:left w:val="single" w:sz="2" w:space="0" w:color="auto"/>
              <w:bottom w:val="single" w:sz="2" w:space="0" w:color="auto"/>
              <w:right w:val="single" w:sz="2" w:space="0" w:color="auto"/>
            </w:tcBorders>
            <w:vAlign w:val="center"/>
          </w:tcPr>
          <w:p w14:paraId="489AF86E"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-123,740,363.88</w:t>
            </w:r>
          </w:p>
        </w:tc>
      </w:tr>
      <w:tr w:rsidR="00C57E60" w14:paraId="4774AF1C"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41502D7E" w14:textId="77777777" w:rsidR="00B562D4" w:rsidRPr="00877EF3" w:rsidRDefault="00B562D4" w:rsidP="00B562D4">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．提取盈余公积</w:t>
            </w:r>
          </w:p>
        </w:tc>
        <w:tc>
          <w:tcPr>
            <w:tcW w:w="880" w:type="dxa"/>
            <w:tcBorders>
              <w:top w:val="single" w:sz="2" w:space="0" w:color="auto"/>
              <w:left w:val="single" w:sz="2" w:space="0" w:color="auto"/>
              <w:bottom w:val="single" w:sz="2" w:space="0" w:color="auto"/>
              <w:right w:val="single" w:sz="2" w:space="0" w:color="auto"/>
            </w:tcBorders>
            <w:vAlign w:val="center"/>
          </w:tcPr>
          <w:p w14:paraId="3BEE04BA"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5383820"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48CDF453"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2022DFAF"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4EBF3A5"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1AEEEE31"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B347AFB"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075EDD55"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D5DB9CE" w14:textId="621FE3D4"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50,390,125.19</w:t>
            </w:r>
          </w:p>
        </w:tc>
        <w:tc>
          <w:tcPr>
            <w:tcW w:w="320" w:type="dxa"/>
            <w:tcBorders>
              <w:top w:val="single" w:sz="2" w:space="0" w:color="auto"/>
              <w:left w:val="single" w:sz="2" w:space="0" w:color="auto"/>
              <w:bottom w:val="single" w:sz="2" w:space="0" w:color="auto"/>
              <w:right w:val="single" w:sz="2" w:space="0" w:color="auto"/>
            </w:tcBorders>
            <w:vAlign w:val="center"/>
          </w:tcPr>
          <w:p w14:paraId="6FADE8F4"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DCEBFAA" w14:textId="1170AAF1"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-50,390,125.19</w:t>
            </w:r>
          </w:p>
        </w:tc>
        <w:tc>
          <w:tcPr>
            <w:tcW w:w="244" w:type="dxa"/>
            <w:tcBorders>
              <w:top w:val="single" w:sz="2" w:space="0" w:color="auto"/>
              <w:left w:val="single" w:sz="2" w:space="0" w:color="auto"/>
              <w:bottom w:val="single" w:sz="2" w:space="0" w:color="auto"/>
              <w:right w:val="single" w:sz="2" w:space="0" w:color="auto"/>
            </w:tcBorders>
            <w:vAlign w:val="center"/>
          </w:tcPr>
          <w:p w14:paraId="7F9BD3AA"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8142B27"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8C83D86"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4ED2D07" w14:textId="77777777" w:rsidR="00B562D4" w:rsidRPr="00877EF3" w:rsidRDefault="00B562D4" w:rsidP="00B562D4">
            <w:pPr>
              <w:spacing w:line="360" w:lineRule="auto"/>
              <w:jc w:val="right"/>
              <w:rPr>
                <w:rFonts w:ascii="Times New Roman" w:eastAsia="宋体" w:hAnsi="Times New Roman" w:cs="Times New Roman"/>
                <w:sz w:val="13"/>
                <w:szCs w:val="13"/>
              </w:rPr>
            </w:pPr>
          </w:p>
        </w:tc>
      </w:tr>
      <w:tr w:rsidR="00C57E60" w14:paraId="47055CB6"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1484EBEC"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．提取一般风险准备</w:t>
            </w:r>
          </w:p>
        </w:tc>
        <w:tc>
          <w:tcPr>
            <w:tcW w:w="880" w:type="dxa"/>
            <w:tcBorders>
              <w:top w:val="single" w:sz="2" w:space="0" w:color="auto"/>
              <w:left w:val="single" w:sz="2" w:space="0" w:color="auto"/>
              <w:bottom w:val="single" w:sz="2" w:space="0" w:color="auto"/>
              <w:right w:val="single" w:sz="2" w:space="0" w:color="auto"/>
            </w:tcBorders>
            <w:vAlign w:val="center"/>
          </w:tcPr>
          <w:p w14:paraId="4A5B836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3CC782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462B69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0A72D09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1B8033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3B61670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2BB053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7BC3B7E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E72866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2A9B493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255232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3732EE1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37E45DB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EEC174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24540C0"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4BBEEDCF"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22F0CDB2"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3</w:t>
            </w:r>
            <w:r w:rsidRPr="00877EF3">
              <w:rPr>
                <w:rFonts w:ascii="Times New Roman" w:eastAsia="宋体" w:hAnsi="Times New Roman" w:cs="Times New Roman"/>
                <w:sz w:val="13"/>
                <w:szCs w:val="13"/>
              </w:rPr>
              <w:t>．对所有者（或股东）的分配</w:t>
            </w:r>
          </w:p>
        </w:tc>
        <w:tc>
          <w:tcPr>
            <w:tcW w:w="880" w:type="dxa"/>
            <w:tcBorders>
              <w:top w:val="single" w:sz="2" w:space="0" w:color="auto"/>
              <w:left w:val="single" w:sz="2" w:space="0" w:color="auto"/>
              <w:bottom w:val="single" w:sz="2" w:space="0" w:color="auto"/>
              <w:right w:val="single" w:sz="2" w:space="0" w:color="auto"/>
            </w:tcBorders>
            <w:vAlign w:val="center"/>
          </w:tcPr>
          <w:p w14:paraId="0B0FFBC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F3A0FF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184B7A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0B85570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5699D8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0FCC73D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185FE3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7C76536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26A84E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2B7AC20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F72746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-121,654,717.36</w:t>
            </w:r>
          </w:p>
        </w:tc>
        <w:tc>
          <w:tcPr>
            <w:tcW w:w="244" w:type="dxa"/>
            <w:tcBorders>
              <w:top w:val="single" w:sz="2" w:space="0" w:color="auto"/>
              <w:left w:val="single" w:sz="2" w:space="0" w:color="auto"/>
              <w:bottom w:val="single" w:sz="2" w:space="0" w:color="auto"/>
              <w:right w:val="single" w:sz="2" w:space="0" w:color="auto"/>
            </w:tcBorders>
            <w:vAlign w:val="center"/>
          </w:tcPr>
          <w:p w14:paraId="04E7DEB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4E5904A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-121,654,717.36</w:t>
            </w:r>
          </w:p>
        </w:tc>
        <w:tc>
          <w:tcPr>
            <w:tcW w:w="869" w:type="dxa"/>
            <w:tcBorders>
              <w:top w:val="single" w:sz="2" w:space="0" w:color="auto"/>
              <w:left w:val="single" w:sz="2" w:space="0" w:color="auto"/>
              <w:bottom w:val="single" w:sz="2" w:space="0" w:color="auto"/>
              <w:right w:val="single" w:sz="2" w:space="0" w:color="auto"/>
            </w:tcBorders>
            <w:vAlign w:val="center"/>
          </w:tcPr>
          <w:p w14:paraId="481353A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-2,085,646.52</w:t>
            </w:r>
          </w:p>
        </w:tc>
        <w:tc>
          <w:tcPr>
            <w:tcW w:w="967" w:type="dxa"/>
            <w:tcBorders>
              <w:top w:val="single" w:sz="2" w:space="0" w:color="auto"/>
              <w:left w:val="single" w:sz="2" w:space="0" w:color="auto"/>
              <w:bottom w:val="single" w:sz="2" w:space="0" w:color="auto"/>
              <w:right w:val="single" w:sz="2" w:space="0" w:color="auto"/>
            </w:tcBorders>
            <w:vAlign w:val="center"/>
          </w:tcPr>
          <w:p w14:paraId="287D0C3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-123,740,363.88</w:t>
            </w:r>
          </w:p>
        </w:tc>
      </w:tr>
      <w:tr w:rsidR="00C57E60" w14:paraId="40DF07F0"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35DC7B0F"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4</w:t>
            </w:r>
            <w:r w:rsidRPr="00877EF3">
              <w:rPr>
                <w:rFonts w:ascii="Times New Roman" w:eastAsia="宋体" w:hAnsi="Times New Roman" w:cs="Times New Roman"/>
                <w:sz w:val="13"/>
                <w:szCs w:val="13"/>
              </w:rPr>
              <w:t>．其他</w:t>
            </w:r>
          </w:p>
        </w:tc>
        <w:tc>
          <w:tcPr>
            <w:tcW w:w="880" w:type="dxa"/>
            <w:tcBorders>
              <w:top w:val="single" w:sz="2" w:space="0" w:color="auto"/>
              <w:left w:val="single" w:sz="2" w:space="0" w:color="auto"/>
              <w:bottom w:val="single" w:sz="2" w:space="0" w:color="auto"/>
              <w:right w:val="single" w:sz="2" w:space="0" w:color="auto"/>
            </w:tcBorders>
            <w:vAlign w:val="center"/>
          </w:tcPr>
          <w:p w14:paraId="6669ADE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F41BE1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1825D77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7EC7ADB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D61571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2A57245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C19D14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357F83E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7F4751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783D897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BD063D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34930A7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08047B1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EF2629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3BC2646"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0CA9B81D"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3927068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（四）所有者权益内部结转</w:t>
            </w:r>
          </w:p>
        </w:tc>
        <w:tc>
          <w:tcPr>
            <w:tcW w:w="880" w:type="dxa"/>
            <w:tcBorders>
              <w:top w:val="single" w:sz="2" w:space="0" w:color="auto"/>
              <w:left w:val="single" w:sz="2" w:space="0" w:color="auto"/>
              <w:bottom w:val="single" w:sz="2" w:space="0" w:color="auto"/>
              <w:right w:val="single" w:sz="2" w:space="0" w:color="auto"/>
            </w:tcBorders>
            <w:vAlign w:val="center"/>
          </w:tcPr>
          <w:p w14:paraId="2932CDE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1D10D9E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2A83358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06A8422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FFE6CB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5E9CA7A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AD98EE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-23,394,166.42</w:t>
            </w:r>
          </w:p>
        </w:tc>
        <w:tc>
          <w:tcPr>
            <w:tcW w:w="406" w:type="dxa"/>
            <w:tcBorders>
              <w:top w:val="single" w:sz="2" w:space="0" w:color="auto"/>
              <w:left w:val="single" w:sz="2" w:space="0" w:color="auto"/>
              <w:bottom w:val="single" w:sz="2" w:space="0" w:color="auto"/>
              <w:right w:val="single" w:sz="2" w:space="0" w:color="auto"/>
            </w:tcBorders>
            <w:vAlign w:val="center"/>
          </w:tcPr>
          <w:p w14:paraId="474C4C2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513116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5790231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FA0094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23,394,166.42</w:t>
            </w:r>
          </w:p>
        </w:tc>
        <w:tc>
          <w:tcPr>
            <w:tcW w:w="244" w:type="dxa"/>
            <w:tcBorders>
              <w:top w:val="single" w:sz="2" w:space="0" w:color="auto"/>
              <w:left w:val="single" w:sz="2" w:space="0" w:color="auto"/>
              <w:bottom w:val="single" w:sz="2" w:space="0" w:color="auto"/>
              <w:right w:val="single" w:sz="2" w:space="0" w:color="auto"/>
            </w:tcBorders>
            <w:vAlign w:val="center"/>
          </w:tcPr>
          <w:p w14:paraId="4991627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697ADEA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9BD40D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C6DD943"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7DD55C1F"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F76946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．资本公积转增资本（或股本）</w:t>
            </w:r>
          </w:p>
        </w:tc>
        <w:tc>
          <w:tcPr>
            <w:tcW w:w="880" w:type="dxa"/>
            <w:tcBorders>
              <w:top w:val="single" w:sz="2" w:space="0" w:color="auto"/>
              <w:left w:val="single" w:sz="2" w:space="0" w:color="auto"/>
              <w:bottom w:val="single" w:sz="2" w:space="0" w:color="auto"/>
              <w:right w:val="single" w:sz="2" w:space="0" w:color="auto"/>
            </w:tcBorders>
            <w:vAlign w:val="center"/>
          </w:tcPr>
          <w:p w14:paraId="3328B39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B7ECF9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AEFD4D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2DC4F9E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8B4A6F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4575BEC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1248D9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0257D32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E4BA8E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379C635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59AF57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24C7A44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9F7288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9DA242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0AA8C1F"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0334E277"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670C255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．盈余公积转增资本（或股本）</w:t>
            </w:r>
          </w:p>
        </w:tc>
        <w:tc>
          <w:tcPr>
            <w:tcW w:w="880" w:type="dxa"/>
            <w:tcBorders>
              <w:top w:val="single" w:sz="2" w:space="0" w:color="auto"/>
              <w:left w:val="single" w:sz="2" w:space="0" w:color="auto"/>
              <w:bottom w:val="single" w:sz="2" w:space="0" w:color="auto"/>
              <w:right w:val="single" w:sz="2" w:space="0" w:color="auto"/>
            </w:tcBorders>
            <w:vAlign w:val="center"/>
          </w:tcPr>
          <w:p w14:paraId="58020D4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1C35C1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1EAFCFC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59C2790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4A8FD4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320A0F9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70522E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2B187B8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547460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7A55600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38524B0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48144A7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4D78AC2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9719C4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6861609"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2BF9BDFB"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0BC7DC1D"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3</w:t>
            </w:r>
            <w:r w:rsidRPr="00877EF3">
              <w:rPr>
                <w:rFonts w:ascii="Times New Roman" w:eastAsia="宋体" w:hAnsi="Times New Roman" w:cs="Times New Roman"/>
                <w:sz w:val="13"/>
                <w:szCs w:val="13"/>
              </w:rPr>
              <w:t>．盈余公积弥补亏损</w:t>
            </w:r>
          </w:p>
        </w:tc>
        <w:tc>
          <w:tcPr>
            <w:tcW w:w="880" w:type="dxa"/>
            <w:tcBorders>
              <w:top w:val="single" w:sz="2" w:space="0" w:color="auto"/>
              <w:left w:val="single" w:sz="2" w:space="0" w:color="auto"/>
              <w:bottom w:val="single" w:sz="2" w:space="0" w:color="auto"/>
              <w:right w:val="single" w:sz="2" w:space="0" w:color="auto"/>
            </w:tcBorders>
            <w:vAlign w:val="center"/>
          </w:tcPr>
          <w:p w14:paraId="0D540B7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C49BB2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39D09C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1A8DE07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FE899F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2967215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747728E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1A68EA0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5E6ECB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471481C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8C359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794C814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0708404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295F81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E5C966E"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614FDE85"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7601A945"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4</w:t>
            </w:r>
            <w:r w:rsidRPr="00877EF3">
              <w:rPr>
                <w:rFonts w:ascii="Times New Roman" w:eastAsia="宋体" w:hAnsi="Times New Roman" w:cs="Times New Roman"/>
                <w:sz w:val="13"/>
                <w:szCs w:val="13"/>
              </w:rPr>
              <w:t>．设定受益计划变动额结转留存收益</w:t>
            </w:r>
          </w:p>
        </w:tc>
        <w:tc>
          <w:tcPr>
            <w:tcW w:w="880" w:type="dxa"/>
            <w:tcBorders>
              <w:top w:val="single" w:sz="2" w:space="0" w:color="auto"/>
              <w:left w:val="single" w:sz="2" w:space="0" w:color="auto"/>
              <w:bottom w:val="single" w:sz="2" w:space="0" w:color="auto"/>
              <w:right w:val="single" w:sz="2" w:space="0" w:color="auto"/>
            </w:tcBorders>
            <w:vAlign w:val="center"/>
          </w:tcPr>
          <w:p w14:paraId="38C7AD4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5F4F8EA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A2175C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40B0924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0E8D46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0F2A7EF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6C559EF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2BC1919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BFB894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3BCD40F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C41AF4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0EEDFA1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5A9FAF7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B1AB4F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A9DD1BC"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4E4DF17"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53D7A824"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5</w:t>
            </w:r>
            <w:r w:rsidRPr="00877EF3">
              <w:rPr>
                <w:rFonts w:ascii="Times New Roman" w:eastAsia="宋体" w:hAnsi="Times New Roman" w:cs="Times New Roman"/>
                <w:sz w:val="13"/>
                <w:szCs w:val="13"/>
              </w:rPr>
              <w:t>．其他综合收益结转留存收益</w:t>
            </w:r>
          </w:p>
        </w:tc>
        <w:tc>
          <w:tcPr>
            <w:tcW w:w="880" w:type="dxa"/>
            <w:tcBorders>
              <w:top w:val="single" w:sz="2" w:space="0" w:color="auto"/>
              <w:left w:val="single" w:sz="2" w:space="0" w:color="auto"/>
              <w:bottom w:val="single" w:sz="2" w:space="0" w:color="auto"/>
              <w:right w:val="single" w:sz="2" w:space="0" w:color="auto"/>
            </w:tcBorders>
            <w:vAlign w:val="center"/>
          </w:tcPr>
          <w:p w14:paraId="135A599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0C2B36D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0E3B92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6B4338A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CE23C8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5E38243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AD2156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-23,394,166.42</w:t>
            </w:r>
          </w:p>
        </w:tc>
        <w:tc>
          <w:tcPr>
            <w:tcW w:w="406" w:type="dxa"/>
            <w:tcBorders>
              <w:top w:val="single" w:sz="2" w:space="0" w:color="auto"/>
              <w:left w:val="single" w:sz="2" w:space="0" w:color="auto"/>
              <w:bottom w:val="single" w:sz="2" w:space="0" w:color="auto"/>
              <w:right w:val="single" w:sz="2" w:space="0" w:color="auto"/>
            </w:tcBorders>
            <w:vAlign w:val="center"/>
          </w:tcPr>
          <w:p w14:paraId="588C6FA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EA3517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7A787A1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7AF007CF"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23,394,166.42</w:t>
            </w:r>
          </w:p>
        </w:tc>
        <w:tc>
          <w:tcPr>
            <w:tcW w:w="244" w:type="dxa"/>
            <w:tcBorders>
              <w:top w:val="single" w:sz="2" w:space="0" w:color="auto"/>
              <w:left w:val="single" w:sz="2" w:space="0" w:color="auto"/>
              <w:bottom w:val="single" w:sz="2" w:space="0" w:color="auto"/>
              <w:right w:val="single" w:sz="2" w:space="0" w:color="auto"/>
            </w:tcBorders>
            <w:vAlign w:val="center"/>
          </w:tcPr>
          <w:p w14:paraId="6568996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78D181A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8677B7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4F987FC"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D13DD88"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29545049"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6</w:t>
            </w:r>
            <w:r w:rsidRPr="00877EF3">
              <w:rPr>
                <w:rFonts w:ascii="Times New Roman" w:eastAsia="宋体" w:hAnsi="Times New Roman" w:cs="Times New Roman"/>
                <w:sz w:val="13"/>
                <w:szCs w:val="13"/>
              </w:rPr>
              <w:t>．其他</w:t>
            </w:r>
          </w:p>
        </w:tc>
        <w:tc>
          <w:tcPr>
            <w:tcW w:w="880" w:type="dxa"/>
            <w:tcBorders>
              <w:top w:val="single" w:sz="2" w:space="0" w:color="auto"/>
              <w:left w:val="single" w:sz="2" w:space="0" w:color="auto"/>
              <w:bottom w:val="single" w:sz="2" w:space="0" w:color="auto"/>
              <w:right w:val="single" w:sz="2" w:space="0" w:color="auto"/>
            </w:tcBorders>
            <w:vAlign w:val="center"/>
          </w:tcPr>
          <w:p w14:paraId="2298C82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5A434C8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2DB67A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16253E2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DCD292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32B029E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B44B5B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05FB56A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637976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6DB87C1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97CB21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1FC886B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6AE46E4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86746D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D14ECF0"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0A0A8FC4"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03121E6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（五）专项储备</w:t>
            </w:r>
          </w:p>
        </w:tc>
        <w:tc>
          <w:tcPr>
            <w:tcW w:w="880" w:type="dxa"/>
            <w:tcBorders>
              <w:top w:val="single" w:sz="2" w:space="0" w:color="auto"/>
              <w:left w:val="single" w:sz="2" w:space="0" w:color="auto"/>
              <w:bottom w:val="single" w:sz="2" w:space="0" w:color="auto"/>
              <w:right w:val="single" w:sz="2" w:space="0" w:color="auto"/>
            </w:tcBorders>
            <w:vAlign w:val="center"/>
          </w:tcPr>
          <w:p w14:paraId="69251D9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4FEC672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3B3EDA8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7551405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91DE2E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1A97AD9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7EB274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234E120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051664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471925D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ACD5F3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23CA2D4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1E37B90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AC2699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F5A4941"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159A05AA"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5E596847"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．本期提取</w:t>
            </w:r>
          </w:p>
        </w:tc>
        <w:tc>
          <w:tcPr>
            <w:tcW w:w="880" w:type="dxa"/>
            <w:tcBorders>
              <w:top w:val="single" w:sz="2" w:space="0" w:color="auto"/>
              <w:left w:val="single" w:sz="2" w:space="0" w:color="auto"/>
              <w:bottom w:val="single" w:sz="2" w:space="0" w:color="auto"/>
              <w:right w:val="single" w:sz="2" w:space="0" w:color="auto"/>
            </w:tcBorders>
            <w:vAlign w:val="center"/>
          </w:tcPr>
          <w:p w14:paraId="270244E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1D196AD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323B02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3B2A05B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62AEC6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47BC86A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686C74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1B98C0D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4E2BF41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073F0DD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902A68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15BB767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53BB880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5C5DFFC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D2A7EF0"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09CB0F44"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0052AED1"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．本期使用</w:t>
            </w:r>
          </w:p>
        </w:tc>
        <w:tc>
          <w:tcPr>
            <w:tcW w:w="880" w:type="dxa"/>
            <w:tcBorders>
              <w:top w:val="single" w:sz="2" w:space="0" w:color="auto"/>
              <w:left w:val="single" w:sz="2" w:space="0" w:color="auto"/>
              <w:bottom w:val="single" w:sz="2" w:space="0" w:color="auto"/>
              <w:right w:val="single" w:sz="2" w:space="0" w:color="auto"/>
            </w:tcBorders>
            <w:vAlign w:val="center"/>
          </w:tcPr>
          <w:p w14:paraId="7F0938A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1FCE6BE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4D0D2F8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0DE59FB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3D2C2BF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77" w:type="dxa"/>
            <w:tcBorders>
              <w:top w:val="single" w:sz="2" w:space="0" w:color="auto"/>
              <w:left w:val="single" w:sz="2" w:space="0" w:color="auto"/>
              <w:bottom w:val="single" w:sz="2" w:space="0" w:color="auto"/>
              <w:right w:val="single" w:sz="2" w:space="0" w:color="auto"/>
            </w:tcBorders>
            <w:vAlign w:val="center"/>
          </w:tcPr>
          <w:p w14:paraId="62A01E7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3BE873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2F57033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3823C0A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4EA1C44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2EF448F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6CA0E0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72C92A3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A651D6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0426C747"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22C71C82"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446BF32A"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（六）其他</w:t>
            </w:r>
          </w:p>
        </w:tc>
        <w:tc>
          <w:tcPr>
            <w:tcW w:w="880" w:type="dxa"/>
            <w:tcBorders>
              <w:top w:val="single" w:sz="2" w:space="0" w:color="auto"/>
              <w:left w:val="single" w:sz="2" w:space="0" w:color="auto"/>
              <w:bottom w:val="single" w:sz="2" w:space="0" w:color="auto"/>
              <w:right w:val="single" w:sz="2" w:space="0" w:color="auto"/>
            </w:tcBorders>
            <w:vAlign w:val="center"/>
          </w:tcPr>
          <w:p w14:paraId="7C5C5DE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7E8C853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FDEB43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4DB589B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4870E73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73,368.78</w:t>
            </w:r>
          </w:p>
        </w:tc>
        <w:tc>
          <w:tcPr>
            <w:tcW w:w="877" w:type="dxa"/>
            <w:tcBorders>
              <w:top w:val="single" w:sz="2" w:space="0" w:color="auto"/>
              <w:left w:val="single" w:sz="2" w:space="0" w:color="auto"/>
              <w:bottom w:val="single" w:sz="2" w:space="0" w:color="auto"/>
              <w:right w:val="single" w:sz="2" w:space="0" w:color="auto"/>
            </w:tcBorders>
            <w:vAlign w:val="center"/>
          </w:tcPr>
          <w:p w14:paraId="2E6298C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178C9AF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406" w:type="dxa"/>
            <w:tcBorders>
              <w:top w:val="single" w:sz="2" w:space="0" w:color="auto"/>
              <w:left w:val="single" w:sz="2" w:space="0" w:color="auto"/>
              <w:bottom w:val="single" w:sz="2" w:space="0" w:color="auto"/>
              <w:right w:val="single" w:sz="2" w:space="0" w:color="auto"/>
            </w:tcBorders>
            <w:vAlign w:val="center"/>
          </w:tcPr>
          <w:p w14:paraId="082182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08970AC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20" w:type="dxa"/>
            <w:tcBorders>
              <w:top w:val="single" w:sz="2" w:space="0" w:color="auto"/>
              <w:left w:val="single" w:sz="2" w:space="0" w:color="auto"/>
              <w:bottom w:val="single" w:sz="2" w:space="0" w:color="auto"/>
              <w:right w:val="single" w:sz="2" w:space="0" w:color="auto"/>
            </w:tcBorders>
            <w:vAlign w:val="center"/>
          </w:tcPr>
          <w:p w14:paraId="2585AF0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1497F8C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44" w:type="dxa"/>
            <w:tcBorders>
              <w:top w:val="single" w:sz="2" w:space="0" w:color="auto"/>
              <w:left w:val="single" w:sz="2" w:space="0" w:color="auto"/>
              <w:bottom w:val="single" w:sz="2" w:space="0" w:color="auto"/>
              <w:right w:val="single" w:sz="2" w:space="0" w:color="auto"/>
            </w:tcBorders>
            <w:vAlign w:val="center"/>
          </w:tcPr>
          <w:p w14:paraId="2530D43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5D49687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73,368.78</w:t>
            </w:r>
          </w:p>
        </w:tc>
        <w:tc>
          <w:tcPr>
            <w:tcW w:w="869" w:type="dxa"/>
            <w:tcBorders>
              <w:top w:val="single" w:sz="2" w:space="0" w:color="auto"/>
              <w:left w:val="single" w:sz="2" w:space="0" w:color="auto"/>
              <w:bottom w:val="single" w:sz="2" w:space="0" w:color="auto"/>
              <w:right w:val="single" w:sz="2" w:space="0" w:color="auto"/>
            </w:tcBorders>
            <w:vAlign w:val="center"/>
          </w:tcPr>
          <w:p w14:paraId="64388E9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68C2308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73,368.78</w:t>
            </w:r>
          </w:p>
        </w:tc>
      </w:tr>
      <w:tr w:rsidR="00C57E60" w14:paraId="6FFAEE0F" w14:textId="77777777" w:rsidTr="00B562D4">
        <w:trPr>
          <w:trHeight w:val="240"/>
        </w:trPr>
        <w:tc>
          <w:tcPr>
            <w:tcW w:w="2692" w:type="dxa"/>
            <w:tcBorders>
              <w:top w:val="single" w:sz="2" w:space="0" w:color="auto"/>
              <w:left w:val="single" w:sz="2" w:space="0" w:color="auto"/>
              <w:bottom w:val="single" w:sz="2" w:space="0" w:color="auto"/>
              <w:right w:val="single" w:sz="2" w:space="0" w:color="auto"/>
            </w:tcBorders>
            <w:shd w:val="clear" w:color="auto" w:fill="D3D3D3"/>
            <w:vAlign w:val="center"/>
          </w:tcPr>
          <w:p w14:paraId="322879C5" w14:textId="77777777" w:rsidR="00B562D4" w:rsidRPr="00877EF3" w:rsidRDefault="00B562D4" w:rsidP="00B562D4">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四、本期期末余额</w:t>
            </w:r>
          </w:p>
        </w:tc>
        <w:tc>
          <w:tcPr>
            <w:tcW w:w="880" w:type="dxa"/>
            <w:tcBorders>
              <w:top w:val="single" w:sz="2" w:space="0" w:color="auto"/>
              <w:left w:val="single" w:sz="2" w:space="0" w:color="auto"/>
              <w:bottom w:val="single" w:sz="2" w:space="0" w:color="auto"/>
              <w:right w:val="single" w:sz="2" w:space="0" w:color="auto"/>
            </w:tcBorders>
            <w:vAlign w:val="center"/>
          </w:tcPr>
          <w:p w14:paraId="55D44079"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560,267,306.00</w:t>
            </w:r>
          </w:p>
        </w:tc>
        <w:tc>
          <w:tcPr>
            <w:tcW w:w="566" w:type="dxa"/>
            <w:tcBorders>
              <w:top w:val="single" w:sz="2" w:space="0" w:color="auto"/>
              <w:left w:val="single" w:sz="2" w:space="0" w:color="auto"/>
              <w:bottom w:val="single" w:sz="2" w:space="0" w:color="auto"/>
              <w:right w:val="single" w:sz="2" w:space="0" w:color="auto"/>
            </w:tcBorders>
            <w:vAlign w:val="center"/>
          </w:tcPr>
          <w:p w14:paraId="4ABA4DDA"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566" w:type="dxa"/>
            <w:tcBorders>
              <w:top w:val="single" w:sz="2" w:space="0" w:color="auto"/>
              <w:left w:val="single" w:sz="2" w:space="0" w:color="auto"/>
              <w:bottom w:val="single" w:sz="2" w:space="0" w:color="auto"/>
              <w:right w:val="single" w:sz="2" w:space="0" w:color="auto"/>
            </w:tcBorders>
            <w:vAlign w:val="center"/>
          </w:tcPr>
          <w:p w14:paraId="6849939D"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87" w:type="dxa"/>
            <w:tcBorders>
              <w:top w:val="single" w:sz="2" w:space="0" w:color="auto"/>
              <w:left w:val="single" w:sz="2" w:space="0" w:color="auto"/>
              <w:bottom w:val="single" w:sz="2" w:space="0" w:color="auto"/>
              <w:right w:val="single" w:sz="2" w:space="0" w:color="auto"/>
            </w:tcBorders>
            <w:vAlign w:val="center"/>
          </w:tcPr>
          <w:p w14:paraId="69B0CBB1"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123,942,959.86</w:t>
            </w:r>
          </w:p>
        </w:tc>
        <w:tc>
          <w:tcPr>
            <w:tcW w:w="967" w:type="dxa"/>
            <w:tcBorders>
              <w:top w:val="single" w:sz="2" w:space="0" w:color="auto"/>
              <w:left w:val="single" w:sz="2" w:space="0" w:color="auto"/>
              <w:bottom w:val="single" w:sz="2" w:space="0" w:color="auto"/>
              <w:right w:val="single" w:sz="2" w:space="0" w:color="auto"/>
            </w:tcBorders>
            <w:vAlign w:val="center"/>
          </w:tcPr>
          <w:p w14:paraId="3E834774"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1,025,350,220.96</w:t>
            </w:r>
          </w:p>
        </w:tc>
        <w:tc>
          <w:tcPr>
            <w:tcW w:w="877" w:type="dxa"/>
            <w:tcBorders>
              <w:top w:val="single" w:sz="2" w:space="0" w:color="auto"/>
              <w:left w:val="single" w:sz="2" w:space="0" w:color="auto"/>
              <w:bottom w:val="single" w:sz="2" w:space="0" w:color="auto"/>
              <w:right w:val="single" w:sz="2" w:space="0" w:color="auto"/>
            </w:tcBorders>
            <w:vAlign w:val="center"/>
          </w:tcPr>
          <w:p w14:paraId="4D58F42C"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286,616,623.68</w:t>
            </w:r>
          </w:p>
        </w:tc>
        <w:tc>
          <w:tcPr>
            <w:tcW w:w="869" w:type="dxa"/>
            <w:tcBorders>
              <w:top w:val="single" w:sz="2" w:space="0" w:color="auto"/>
              <w:left w:val="single" w:sz="2" w:space="0" w:color="auto"/>
              <w:bottom w:val="single" w:sz="2" w:space="0" w:color="auto"/>
              <w:right w:val="single" w:sz="2" w:space="0" w:color="auto"/>
            </w:tcBorders>
            <w:vAlign w:val="center"/>
          </w:tcPr>
          <w:p w14:paraId="689C1D50" w14:textId="77777777" w:rsidR="00B562D4" w:rsidRPr="00877EF3" w:rsidRDefault="00B562D4" w:rsidP="00B562D4">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86,014,769.51</w:t>
            </w:r>
          </w:p>
        </w:tc>
        <w:tc>
          <w:tcPr>
            <w:tcW w:w="406" w:type="dxa"/>
            <w:tcBorders>
              <w:top w:val="single" w:sz="2" w:space="0" w:color="auto"/>
              <w:left w:val="single" w:sz="2" w:space="0" w:color="auto"/>
              <w:bottom w:val="single" w:sz="2" w:space="0" w:color="auto"/>
              <w:right w:val="single" w:sz="2" w:space="0" w:color="auto"/>
            </w:tcBorders>
            <w:vAlign w:val="center"/>
          </w:tcPr>
          <w:p w14:paraId="481D8464"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869" w:type="dxa"/>
            <w:tcBorders>
              <w:top w:val="single" w:sz="2" w:space="0" w:color="auto"/>
              <w:left w:val="single" w:sz="2" w:space="0" w:color="auto"/>
              <w:bottom w:val="single" w:sz="2" w:space="0" w:color="auto"/>
              <w:right w:val="single" w:sz="2" w:space="0" w:color="auto"/>
            </w:tcBorders>
            <w:vAlign w:val="center"/>
          </w:tcPr>
          <w:p w14:paraId="2F6CD39C" w14:textId="40F9F89A"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532,880,185.50</w:t>
            </w:r>
          </w:p>
        </w:tc>
        <w:tc>
          <w:tcPr>
            <w:tcW w:w="320" w:type="dxa"/>
            <w:tcBorders>
              <w:top w:val="single" w:sz="2" w:space="0" w:color="auto"/>
              <w:left w:val="single" w:sz="2" w:space="0" w:color="auto"/>
              <w:bottom w:val="single" w:sz="2" w:space="0" w:color="auto"/>
              <w:right w:val="single" w:sz="2" w:space="0" w:color="auto"/>
            </w:tcBorders>
            <w:vAlign w:val="center"/>
          </w:tcPr>
          <w:p w14:paraId="7CFED4FF"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67" w:type="dxa"/>
            <w:tcBorders>
              <w:top w:val="single" w:sz="2" w:space="0" w:color="auto"/>
              <w:left w:val="single" w:sz="2" w:space="0" w:color="auto"/>
              <w:bottom w:val="single" w:sz="2" w:space="0" w:color="auto"/>
              <w:right w:val="single" w:sz="2" w:space="0" w:color="auto"/>
            </w:tcBorders>
            <w:vAlign w:val="center"/>
          </w:tcPr>
          <w:p w14:paraId="573E25DC" w14:textId="61BF6459"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1,071,018,512.63</w:t>
            </w:r>
          </w:p>
        </w:tc>
        <w:tc>
          <w:tcPr>
            <w:tcW w:w="244" w:type="dxa"/>
            <w:tcBorders>
              <w:top w:val="single" w:sz="2" w:space="0" w:color="auto"/>
              <w:left w:val="single" w:sz="2" w:space="0" w:color="auto"/>
              <w:bottom w:val="single" w:sz="2" w:space="0" w:color="auto"/>
              <w:right w:val="single" w:sz="2" w:space="0" w:color="auto"/>
            </w:tcBorders>
            <w:vAlign w:val="center"/>
          </w:tcPr>
          <w:p w14:paraId="063F4011" w14:textId="77777777" w:rsidR="00B562D4" w:rsidRPr="00877EF3" w:rsidRDefault="00B562D4" w:rsidP="00B562D4">
            <w:pPr>
              <w:spacing w:line="360" w:lineRule="auto"/>
              <w:jc w:val="right"/>
              <w:rPr>
                <w:rFonts w:ascii="Times New Roman" w:eastAsia="宋体" w:hAnsi="Times New Roman" w:cs="Times New Roman"/>
                <w:sz w:val="13"/>
                <w:szCs w:val="13"/>
              </w:rPr>
            </w:pPr>
          </w:p>
        </w:tc>
        <w:tc>
          <w:tcPr>
            <w:tcW w:w="970" w:type="dxa"/>
            <w:tcBorders>
              <w:top w:val="single" w:sz="2" w:space="0" w:color="auto"/>
              <w:left w:val="single" w:sz="2" w:space="0" w:color="auto"/>
              <w:bottom w:val="single" w:sz="2" w:space="0" w:color="auto"/>
              <w:right w:val="single" w:sz="2" w:space="0" w:color="auto"/>
            </w:tcBorders>
            <w:vAlign w:val="center"/>
          </w:tcPr>
          <w:p w14:paraId="4389892B" w14:textId="03486A30"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3,112,857,330.78</w:t>
            </w:r>
          </w:p>
        </w:tc>
        <w:tc>
          <w:tcPr>
            <w:tcW w:w="869" w:type="dxa"/>
            <w:tcBorders>
              <w:top w:val="single" w:sz="2" w:space="0" w:color="auto"/>
              <w:left w:val="single" w:sz="2" w:space="0" w:color="auto"/>
              <w:bottom w:val="single" w:sz="2" w:space="0" w:color="auto"/>
              <w:right w:val="single" w:sz="2" w:space="0" w:color="auto"/>
            </w:tcBorders>
            <w:vAlign w:val="center"/>
          </w:tcPr>
          <w:p w14:paraId="0E600AEB" w14:textId="06B7E12B"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331,324,528.20</w:t>
            </w:r>
          </w:p>
        </w:tc>
        <w:tc>
          <w:tcPr>
            <w:tcW w:w="967" w:type="dxa"/>
            <w:tcBorders>
              <w:top w:val="single" w:sz="2" w:space="0" w:color="auto"/>
              <w:left w:val="single" w:sz="2" w:space="0" w:color="auto"/>
              <w:bottom w:val="single" w:sz="2" w:space="0" w:color="auto"/>
              <w:right w:val="single" w:sz="2" w:space="0" w:color="auto"/>
            </w:tcBorders>
            <w:vAlign w:val="center"/>
          </w:tcPr>
          <w:p w14:paraId="158F9A1D" w14:textId="2D41C2D1" w:rsidR="00B562D4" w:rsidRPr="00877EF3" w:rsidRDefault="00B562D4" w:rsidP="00B562D4">
            <w:pPr>
              <w:spacing w:line="360" w:lineRule="auto"/>
              <w:jc w:val="right"/>
              <w:rPr>
                <w:rFonts w:ascii="Times New Roman" w:eastAsia="宋体" w:hAnsi="Times New Roman" w:cs="Times New Roman"/>
                <w:sz w:val="13"/>
                <w:szCs w:val="13"/>
              </w:rPr>
            </w:pPr>
            <w:r w:rsidRPr="00B562D4">
              <w:rPr>
                <w:rFonts w:ascii="Times New Roman" w:eastAsia="宋体" w:hAnsi="Times New Roman" w:cs="Times New Roman"/>
                <w:sz w:val="13"/>
                <w:szCs w:val="13"/>
              </w:rPr>
              <w:t>3,444,181,858.98</w:t>
            </w:r>
          </w:p>
        </w:tc>
      </w:tr>
    </w:tbl>
    <w:p w14:paraId="501C8EE6" w14:textId="77777777" w:rsidR="00DC359B" w:rsidRDefault="00DC359B" w:rsidP="00DC359B">
      <w:pPr>
        <w:spacing w:line="240" w:lineRule="exact"/>
        <w:rPr>
          <w:rFonts w:ascii="宋体" w:eastAsia="宋体" w:hAnsi="宋体" w:cs="宋体"/>
          <w:sz w:val="18"/>
          <w:szCs w:val="18"/>
        </w:rPr>
        <w:sectPr w:rsidR="00DC359B" w:rsidSect="00DC359B">
          <w:pgSz w:w="16840" w:h="11905" w:orient="landscape"/>
          <w:pgMar w:top="1134" w:right="1440" w:bottom="1134" w:left="1440" w:header="850" w:footer="992" w:gutter="0"/>
          <w:cols w:space="720"/>
          <w:docGrid w:type="linesAndChars" w:linePitch="312"/>
        </w:sectPr>
      </w:pPr>
    </w:p>
    <w:p w14:paraId="72A2F7BA" w14:textId="77777777" w:rsidR="00DC359B" w:rsidRDefault="00DC359B" w:rsidP="00DC359B">
      <w:pPr>
        <w:spacing w:line="240" w:lineRule="exact"/>
        <w:rPr>
          <w:rFonts w:ascii="宋体" w:eastAsia="宋体" w:hAnsi="宋体" w:cs="宋体"/>
          <w:sz w:val="18"/>
          <w:szCs w:val="18"/>
        </w:rPr>
      </w:pPr>
      <w:r>
        <w:rPr>
          <w:rFonts w:ascii="宋体" w:eastAsia="宋体" w:hAnsi="宋体" w:cs="宋体"/>
          <w:sz w:val="18"/>
          <w:szCs w:val="18"/>
        </w:rPr>
        <w:t>上期金额</w:t>
      </w:r>
    </w:p>
    <w:p w14:paraId="7106832B" w14:textId="77777777" w:rsidR="00DC359B" w:rsidRDefault="00DC359B" w:rsidP="00DC359B">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000" w:firstRow="0" w:lastRow="0" w:firstColumn="0" w:lastColumn="0" w:noHBand="0" w:noVBand="0"/>
      </w:tblPr>
      <w:tblGrid>
        <w:gridCol w:w="2720"/>
        <w:gridCol w:w="869"/>
        <w:gridCol w:w="564"/>
        <w:gridCol w:w="559"/>
        <w:gridCol w:w="985"/>
        <w:gridCol w:w="966"/>
        <w:gridCol w:w="874"/>
        <w:gridCol w:w="869"/>
        <w:gridCol w:w="318"/>
        <w:gridCol w:w="869"/>
        <w:gridCol w:w="441"/>
        <w:gridCol w:w="966"/>
        <w:gridCol w:w="215"/>
        <w:gridCol w:w="966"/>
        <w:gridCol w:w="869"/>
        <w:gridCol w:w="966"/>
      </w:tblGrid>
      <w:tr w:rsidR="00C57E60" w14:paraId="700CF8B6" w14:textId="77777777" w:rsidTr="00DC359B">
        <w:trPr>
          <w:trHeight w:val="240"/>
        </w:trPr>
        <w:tc>
          <w:tcPr>
            <w:tcW w:w="971"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E2F857"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项目</w:t>
            </w:r>
          </w:p>
        </w:tc>
        <w:tc>
          <w:tcPr>
            <w:tcW w:w="4029" w:type="pct"/>
            <w:gridSpan w:val="15"/>
            <w:tcBorders>
              <w:top w:val="single" w:sz="2" w:space="0" w:color="auto"/>
              <w:left w:val="single" w:sz="2" w:space="0" w:color="auto"/>
              <w:bottom w:val="single" w:sz="2" w:space="0" w:color="auto"/>
              <w:right w:val="single" w:sz="2" w:space="0" w:color="auto"/>
            </w:tcBorders>
            <w:shd w:val="clear" w:color="auto" w:fill="D3D3D3"/>
            <w:vAlign w:val="center"/>
          </w:tcPr>
          <w:p w14:paraId="1B5DF4D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2024</w:t>
            </w:r>
            <w:r w:rsidRPr="00877EF3">
              <w:rPr>
                <w:rFonts w:ascii="Times New Roman" w:eastAsia="宋体" w:hAnsi="Times New Roman" w:cs="Times New Roman"/>
                <w:sz w:val="13"/>
                <w:szCs w:val="13"/>
              </w:rPr>
              <w:t>年度</w:t>
            </w:r>
          </w:p>
        </w:tc>
      </w:tr>
      <w:tr w:rsidR="00C57E60" w14:paraId="0399D8B0" w14:textId="77777777" w:rsidTr="00DC359B">
        <w:trPr>
          <w:trHeight w:val="240"/>
        </w:trPr>
        <w:tc>
          <w:tcPr>
            <w:tcW w:w="97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11BBD01" w14:textId="77777777" w:rsidR="00DC359B" w:rsidRPr="00877EF3" w:rsidRDefault="00DC359B" w:rsidP="00DC359B">
            <w:pPr>
              <w:spacing w:line="360" w:lineRule="auto"/>
              <w:rPr>
                <w:rFonts w:ascii="Times New Roman" w:hAnsi="Times New Roman" w:cs="Times New Roman"/>
                <w:sz w:val="13"/>
                <w:szCs w:val="13"/>
              </w:rPr>
            </w:pPr>
          </w:p>
        </w:tc>
        <w:tc>
          <w:tcPr>
            <w:tcW w:w="3374" w:type="pct"/>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402EA30F"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归属于母公司所有者权益</w:t>
            </w:r>
          </w:p>
        </w:tc>
        <w:tc>
          <w:tcPr>
            <w:tcW w:w="310"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8324C2B"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少数股东权益</w:t>
            </w:r>
          </w:p>
        </w:tc>
        <w:tc>
          <w:tcPr>
            <w:tcW w:w="34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CA0DFAC"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所有者权益合计</w:t>
            </w:r>
          </w:p>
        </w:tc>
      </w:tr>
      <w:tr w:rsidR="00C57E60" w14:paraId="54915C9F" w14:textId="77777777" w:rsidTr="00DC359B">
        <w:trPr>
          <w:trHeight w:val="240"/>
        </w:trPr>
        <w:tc>
          <w:tcPr>
            <w:tcW w:w="97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4D7B61E5" w14:textId="77777777" w:rsidR="00DC359B" w:rsidRPr="00877EF3" w:rsidRDefault="00DC359B" w:rsidP="00DC359B">
            <w:pPr>
              <w:spacing w:line="360" w:lineRule="auto"/>
              <w:rPr>
                <w:rFonts w:ascii="Times New Roman" w:hAnsi="Times New Roman" w:cs="Times New Roman"/>
                <w:sz w:val="13"/>
                <w:szCs w:val="13"/>
              </w:rPr>
            </w:pPr>
          </w:p>
        </w:tc>
        <w:tc>
          <w:tcPr>
            <w:tcW w:w="303"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1675BD2"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股本</w:t>
            </w:r>
          </w:p>
        </w:tc>
        <w:tc>
          <w:tcPr>
            <w:tcW w:w="754" w:type="pct"/>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53A41A9"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其他权益工具</w:t>
            </w:r>
          </w:p>
        </w:tc>
        <w:tc>
          <w:tcPr>
            <w:tcW w:w="34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F5B6F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资本公积</w:t>
            </w:r>
          </w:p>
        </w:tc>
        <w:tc>
          <w:tcPr>
            <w:tcW w:w="313"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B7972B4"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减：库存股</w:t>
            </w:r>
          </w:p>
        </w:tc>
        <w:tc>
          <w:tcPr>
            <w:tcW w:w="310"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325414"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其他综合收益</w:t>
            </w:r>
          </w:p>
        </w:tc>
        <w:tc>
          <w:tcPr>
            <w:tcW w:w="114"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ED08AA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专项储备</w:t>
            </w:r>
          </w:p>
        </w:tc>
        <w:tc>
          <w:tcPr>
            <w:tcW w:w="310"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6457EC"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盈余公积</w:t>
            </w:r>
          </w:p>
        </w:tc>
        <w:tc>
          <w:tcPr>
            <w:tcW w:w="158"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18DF378"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一般风险准备</w:t>
            </w:r>
          </w:p>
        </w:tc>
        <w:tc>
          <w:tcPr>
            <w:tcW w:w="34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DC20A74"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未分配利润</w:t>
            </w:r>
          </w:p>
        </w:tc>
        <w:tc>
          <w:tcPr>
            <w:tcW w:w="77"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817BF0A"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w:t>
            </w:r>
          </w:p>
        </w:tc>
        <w:tc>
          <w:tcPr>
            <w:tcW w:w="34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2088D45"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小计</w:t>
            </w:r>
          </w:p>
        </w:tc>
        <w:tc>
          <w:tcPr>
            <w:tcW w:w="31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6D20511A" w14:textId="77777777" w:rsidR="00DC359B" w:rsidRPr="00877EF3" w:rsidRDefault="00DC359B" w:rsidP="00DC359B">
            <w:pPr>
              <w:spacing w:line="360" w:lineRule="auto"/>
              <w:rPr>
                <w:rFonts w:ascii="Times New Roman" w:hAnsi="Times New Roman" w:cs="Times New Roman"/>
                <w:sz w:val="13"/>
                <w:szCs w:val="13"/>
              </w:rPr>
            </w:pPr>
          </w:p>
        </w:tc>
        <w:tc>
          <w:tcPr>
            <w:tcW w:w="34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BD445C3" w14:textId="77777777" w:rsidR="00DC359B" w:rsidRPr="00877EF3" w:rsidRDefault="00DC359B" w:rsidP="00DC359B">
            <w:pPr>
              <w:spacing w:line="360" w:lineRule="auto"/>
              <w:rPr>
                <w:rFonts w:ascii="Times New Roman" w:hAnsi="Times New Roman" w:cs="Times New Roman"/>
                <w:sz w:val="13"/>
                <w:szCs w:val="13"/>
              </w:rPr>
            </w:pPr>
          </w:p>
        </w:tc>
      </w:tr>
      <w:tr w:rsidR="00C57E60" w14:paraId="4337E5DE" w14:textId="77777777" w:rsidTr="00DC359B">
        <w:trPr>
          <w:trHeight w:val="240"/>
        </w:trPr>
        <w:tc>
          <w:tcPr>
            <w:tcW w:w="97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11BB9E3" w14:textId="77777777" w:rsidR="00DC359B" w:rsidRPr="00877EF3" w:rsidRDefault="00DC359B" w:rsidP="00DC359B">
            <w:pPr>
              <w:spacing w:line="360" w:lineRule="auto"/>
              <w:rPr>
                <w:rFonts w:ascii="Times New Roman" w:hAnsi="Times New Roman" w:cs="Times New Roman"/>
                <w:sz w:val="13"/>
                <w:szCs w:val="13"/>
              </w:rPr>
            </w:pPr>
          </w:p>
        </w:tc>
        <w:tc>
          <w:tcPr>
            <w:tcW w:w="303"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FB70FDC" w14:textId="77777777" w:rsidR="00DC359B" w:rsidRPr="00877EF3" w:rsidRDefault="00DC359B" w:rsidP="00DC359B">
            <w:pPr>
              <w:spacing w:line="360" w:lineRule="auto"/>
              <w:rPr>
                <w:rFonts w:ascii="Times New Roman"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shd w:val="clear" w:color="auto" w:fill="D3D3D3"/>
            <w:vAlign w:val="center"/>
          </w:tcPr>
          <w:p w14:paraId="7CE82EF4"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优先股</w:t>
            </w:r>
          </w:p>
        </w:tc>
        <w:tc>
          <w:tcPr>
            <w:tcW w:w="200" w:type="pct"/>
            <w:tcBorders>
              <w:top w:val="single" w:sz="2" w:space="0" w:color="auto"/>
              <w:left w:val="single" w:sz="2" w:space="0" w:color="auto"/>
              <w:bottom w:val="single" w:sz="2" w:space="0" w:color="auto"/>
              <w:right w:val="single" w:sz="2" w:space="0" w:color="auto"/>
            </w:tcBorders>
            <w:shd w:val="clear" w:color="auto" w:fill="D3D3D3"/>
            <w:vAlign w:val="center"/>
          </w:tcPr>
          <w:p w14:paraId="725E4425"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永续债</w:t>
            </w:r>
          </w:p>
        </w:tc>
        <w:tc>
          <w:tcPr>
            <w:tcW w:w="352" w:type="pct"/>
            <w:tcBorders>
              <w:top w:val="single" w:sz="2" w:space="0" w:color="auto"/>
              <w:left w:val="single" w:sz="2" w:space="0" w:color="auto"/>
              <w:bottom w:val="single" w:sz="2" w:space="0" w:color="auto"/>
              <w:right w:val="single" w:sz="2" w:space="0" w:color="auto"/>
            </w:tcBorders>
            <w:shd w:val="clear" w:color="auto" w:fill="D3D3D3"/>
            <w:vAlign w:val="center"/>
          </w:tcPr>
          <w:p w14:paraId="256922E0" w14:textId="77777777" w:rsidR="00DC359B" w:rsidRPr="00877EF3" w:rsidRDefault="00DC359B" w:rsidP="00DC359B">
            <w:pPr>
              <w:spacing w:before="40" w:after="40" w:line="360" w:lineRule="auto"/>
              <w:jc w:val="center"/>
              <w:rPr>
                <w:rFonts w:ascii="Times New Roman" w:eastAsia="宋体" w:hAnsi="Times New Roman" w:cs="Times New Roman"/>
                <w:sz w:val="13"/>
                <w:szCs w:val="13"/>
              </w:rPr>
            </w:pPr>
            <w:r w:rsidRPr="00877EF3">
              <w:rPr>
                <w:rFonts w:ascii="Times New Roman" w:eastAsia="宋体" w:hAnsi="Times New Roman" w:cs="Times New Roman"/>
                <w:sz w:val="13"/>
                <w:szCs w:val="13"/>
              </w:rPr>
              <w:t>其他</w:t>
            </w:r>
          </w:p>
        </w:tc>
        <w:tc>
          <w:tcPr>
            <w:tcW w:w="34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4D6BA059" w14:textId="77777777" w:rsidR="00DC359B" w:rsidRPr="00877EF3" w:rsidRDefault="00DC359B" w:rsidP="00DC359B">
            <w:pPr>
              <w:spacing w:line="360" w:lineRule="auto"/>
              <w:rPr>
                <w:rFonts w:ascii="Times New Roman" w:hAnsi="Times New Roman" w:cs="Times New Roman"/>
                <w:sz w:val="13"/>
                <w:szCs w:val="13"/>
              </w:rPr>
            </w:pPr>
          </w:p>
        </w:tc>
        <w:tc>
          <w:tcPr>
            <w:tcW w:w="313"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4F36048" w14:textId="77777777" w:rsidR="00DC359B" w:rsidRPr="00877EF3" w:rsidRDefault="00DC359B" w:rsidP="00DC359B">
            <w:pPr>
              <w:spacing w:line="360" w:lineRule="auto"/>
              <w:rPr>
                <w:rFonts w:ascii="Times New Roman" w:hAnsi="Times New Roman" w:cs="Times New Roman"/>
                <w:sz w:val="13"/>
                <w:szCs w:val="13"/>
              </w:rPr>
            </w:pPr>
          </w:p>
        </w:tc>
        <w:tc>
          <w:tcPr>
            <w:tcW w:w="31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77C17DD9" w14:textId="77777777" w:rsidR="00DC359B" w:rsidRPr="00877EF3" w:rsidRDefault="00DC359B" w:rsidP="00DC359B">
            <w:pPr>
              <w:spacing w:line="360" w:lineRule="auto"/>
              <w:rPr>
                <w:rFonts w:ascii="Times New Roman" w:hAnsi="Times New Roman" w:cs="Times New Roman"/>
                <w:sz w:val="13"/>
                <w:szCs w:val="13"/>
              </w:rPr>
            </w:pPr>
          </w:p>
        </w:tc>
        <w:tc>
          <w:tcPr>
            <w:tcW w:w="114"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505E9EA" w14:textId="77777777" w:rsidR="00DC359B" w:rsidRPr="00877EF3" w:rsidRDefault="00DC359B" w:rsidP="00DC359B">
            <w:pPr>
              <w:spacing w:line="360" w:lineRule="auto"/>
              <w:rPr>
                <w:rFonts w:ascii="Times New Roman" w:hAnsi="Times New Roman" w:cs="Times New Roman"/>
                <w:sz w:val="13"/>
                <w:szCs w:val="13"/>
              </w:rPr>
            </w:pPr>
          </w:p>
        </w:tc>
        <w:tc>
          <w:tcPr>
            <w:tcW w:w="31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EEB880D" w14:textId="77777777" w:rsidR="00DC359B" w:rsidRPr="00877EF3" w:rsidRDefault="00DC359B" w:rsidP="00DC359B">
            <w:pPr>
              <w:spacing w:line="360" w:lineRule="auto"/>
              <w:rPr>
                <w:rFonts w:ascii="Times New Roman" w:hAnsi="Times New Roman" w:cs="Times New Roman"/>
                <w:sz w:val="13"/>
                <w:szCs w:val="13"/>
              </w:rPr>
            </w:pPr>
          </w:p>
        </w:tc>
        <w:tc>
          <w:tcPr>
            <w:tcW w:w="158"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CCF56F5" w14:textId="77777777" w:rsidR="00DC359B" w:rsidRPr="00877EF3" w:rsidRDefault="00DC359B" w:rsidP="00DC359B">
            <w:pPr>
              <w:spacing w:line="360" w:lineRule="auto"/>
              <w:rPr>
                <w:rFonts w:ascii="Times New Roman" w:hAnsi="Times New Roman" w:cs="Times New Roman"/>
                <w:sz w:val="13"/>
                <w:szCs w:val="13"/>
              </w:rPr>
            </w:pPr>
          </w:p>
        </w:tc>
        <w:tc>
          <w:tcPr>
            <w:tcW w:w="34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947AEA1" w14:textId="77777777" w:rsidR="00DC359B" w:rsidRPr="00877EF3" w:rsidRDefault="00DC359B" w:rsidP="00DC359B">
            <w:pPr>
              <w:spacing w:line="360" w:lineRule="auto"/>
              <w:rPr>
                <w:rFonts w:ascii="Times New Roman" w:hAnsi="Times New Roman" w:cs="Times New Roman"/>
                <w:sz w:val="13"/>
                <w:szCs w:val="13"/>
              </w:rPr>
            </w:pPr>
          </w:p>
        </w:tc>
        <w:tc>
          <w:tcPr>
            <w:tcW w:w="77"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1E02FDC1" w14:textId="77777777" w:rsidR="00DC359B" w:rsidRPr="00877EF3" w:rsidRDefault="00DC359B" w:rsidP="00DC359B">
            <w:pPr>
              <w:spacing w:line="360" w:lineRule="auto"/>
              <w:rPr>
                <w:rFonts w:ascii="Times New Roman" w:hAnsi="Times New Roman" w:cs="Times New Roman"/>
                <w:sz w:val="13"/>
                <w:szCs w:val="13"/>
              </w:rPr>
            </w:pPr>
          </w:p>
        </w:tc>
        <w:tc>
          <w:tcPr>
            <w:tcW w:w="34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73CD8F7B" w14:textId="77777777" w:rsidR="00DC359B" w:rsidRPr="00877EF3" w:rsidRDefault="00DC359B" w:rsidP="00DC359B">
            <w:pPr>
              <w:spacing w:line="360" w:lineRule="auto"/>
              <w:rPr>
                <w:rFonts w:ascii="Times New Roman" w:hAnsi="Times New Roman" w:cs="Times New Roman"/>
                <w:sz w:val="13"/>
                <w:szCs w:val="13"/>
              </w:rPr>
            </w:pPr>
          </w:p>
        </w:tc>
        <w:tc>
          <w:tcPr>
            <w:tcW w:w="31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0064EA1" w14:textId="77777777" w:rsidR="00DC359B" w:rsidRPr="00877EF3" w:rsidRDefault="00DC359B" w:rsidP="00DC359B">
            <w:pPr>
              <w:spacing w:line="360" w:lineRule="auto"/>
              <w:rPr>
                <w:rFonts w:ascii="Times New Roman" w:hAnsi="Times New Roman" w:cs="Times New Roman"/>
                <w:sz w:val="13"/>
                <w:szCs w:val="13"/>
              </w:rPr>
            </w:pPr>
          </w:p>
        </w:tc>
        <w:tc>
          <w:tcPr>
            <w:tcW w:w="34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7D035485" w14:textId="77777777" w:rsidR="00DC359B" w:rsidRPr="00877EF3" w:rsidRDefault="00DC359B" w:rsidP="00DC359B">
            <w:pPr>
              <w:spacing w:line="360" w:lineRule="auto"/>
              <w:rPr>
                <w:rFonts w:ascii="Times New Roman" w:hAnsi="Times New Roman" w:cs="Times New Roman"/>
                <w:sz w:val="13"/>
                <w:szCs w:val="13"/>
              </w:rPr>
            </w:pPr>
          </w:p>
        </w:tc>
      </w:tr>
      <w:tr w:rsidR="00C57E60" w14:paraId="3B33C9F8"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21CFCCD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一、上年期末余额</w:t>
            </w:r>
          </w:p>
        </w:tc>
        <w:tc>
          <w:tcPr>
            <w:tcW w:w="303" w:type="pct"/>
            <w:tcBorders>
              <w:top w:val="single" w:sz="2" w:space="0" w:color="auto"/>
              <w:left w:val="single" w:sz="2" w:space="0" w:color="auto"/>
              <w:bottom w:val="single" w:sz="2" w:space="0" w:color="auto"/>
              <w:right w:val="single" w:sz="2" w:space="0" w:color="auto"/>
            </w:tcBorders>
            <w:vAlign w:val="center"/>
          </w:tcPr>
          <w:p w14:paraId="3BF2B856"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564,265,373.00</w:t>
            </w:r>
          </w:p>
        </w:tc>
        <w:tc>
          <w:tcPr>
            <w:tcW w:w="202" w:type="pct"/>
            <w:tcBorders>
              <w:top w:val="single" w:sz="2" w:space="0" w:color="auto"/>
              <w:left w:val="single" w:sz="2" w:space="0" w:color="auto"/>
              <w:bottom w:val="single" w:sz="2" w:space="0" w:color="auto"/>
              <w:right w:val="single" w:sz="2" w:space="0" w:color="auto"/>
            </w:tcBorders>
            <w:vAlign w:val="center"/>
          </w:tcPr>
          <w:p w14:paraId="69969FB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527A45F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37D9D7D6"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123,953,430.61</w:t>
            </w:r>
          </w:p>
        </w:tc>
        <w:tc>
          <w:tcPr>
            <w:tcW w:w="345" w:type="pct"/>
            <w:tcBorders>
              <w:top w:val="single" w:sz="2" w:space="0" w:color="auto"/>
              <w:left w:val="single" w:sz="2" w:space="0" w:color="auto"/>
              <w:bottom w:val="single" w:sz="2" w:space="0" w:color="auto"/>
              <w:right w:val="single" w:sz="2" w:space="0" w:color="auto"/>
            </w:tcBorders>
            <w:vAlign w:val="center"/>
          </w:tcPr>
          <w:p w14:paraId="3B3A09C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1,087,027,813.78</w:t>
            </w:r>
          </w:p>
        </w:tc>
        <w:tc>
          <w:tcPr>
            <w:tcW w:w="313" w:type="pct"/>
            <w:tcBorders>
              <w:top w:val="single" w:sz="2" w:space="0" w:color="auto"/>
              <w:left w:val="single" w:sz="2" w:space="0" w:color="auto"/>
              <w:bottom w:val="single" w:sz="2" w:space="0" w:color="auto"/>
              <w:right w:val="single" w:sz="2" w:space="0" w:color="auto"/>
            </w:tcBorders>
            <w:vAlign w:val="center"/>
          </w:tcPr>
          <w:p w14:paraId="3C96EE3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202,777,079.40</w:t>
            </w:r>
          </w:p>
        </w:tc>
        <w:tc>
          <w:tcPr>
            <w:tcW w:w="310" w:type="pct"/>
            <w:tcBorders>
              <w:top w:val="single" w:sz="2" w:space="0" w:color="auto"/>
              <w:left w:val="single" w:sz="2" w:space="0" w:color="auto"/>
              <w:bottom w:val="single" w:sz="2" w:space="0" w:color="auto"/>
              <w:right w:val="single" w:sz="2" w:space="0" w:color="auto"/>
            </w:tcBorders>
            <w:vAlign w:val="center"/>
          </w:tcPr>
          <w:p w14:paraId="053E822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155,203,740.66</w:t>
            </w:r>
          </w:p>
        </w:tc>
        <w:tc>
          <w:tcPr>
            <w:tcW w:w="114" w:type="pct"/>
            <w:tcBorders>
              <w:top w:val="single" w:sz="2" w:space="0" w:color="auto"/>
              <w:left w:val="single" w:sz="2" w:space="0" w:color="auto"/>
              <w:bottom w:val="single" w:sz="2" w:space="0" w:color="auto"/>
              <w:right w:val="single" w:sz="2" w:space="0" w:color="auto"/>
            </w:tcBorders>
            <w:vAlign w:val="center"/>
          </w:tcPr>
          <w:p w14:paraId="4A143D3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57DCE3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430,853,505.74</w:t>
            </w:r>
          </w:p>
        </w:tc>
        <w:tc>
          <w:tcPr>
            <w:tcW w:w="158" w:type="pct"/>
            <w:tcBorders>
              <w:top w:val="single" w:sz="2" w:space="0" w:color="auto"/>
              <w:left w:val="single" w:sz="2" w:space="0" w:color="auto"/>
              <w:bottom w:val="single" w:sz="2" w:space="0" w:color="auto"/>
              <w:right w:val="single" w:sz="2" w:space="0" w:color="auto"/>
            </w:tcBorders>
            <w:vAlign w:val="center"/>
          </w:tcPr>
          <w:p w14:paraId="465CB5E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DBC036F"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920,121,591.90</w:t>
            </w:r>
          </w:p>
        </w:tc>
        <w:tc>
          <w:tcPr>
            <w:tcW w:w="77" w:type="pct"/>
            <w:tcBorders>
              <w:top w:val="single" w:sz="2" w:space="0" w:color="auto"/>
              <w:left w:val="single" w:sz="2" w:space="0" w:color="auto"/>
              <w:bottom w:val="single" w:sz="2" w:space="0" w:color="auto"/>
              <w:right w:val="single" w:sz="2" w:space="0" w:color="auto"/>
            </w:tcBorders>
            <w:vAlign w:val="center"/>
          </w:tcPr>
          <w:p w14:paraId="60DCBE5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F7E398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3,078,648,376.29</w:t>
            </w:r>
          </w:p>
        </w:tc>
        <w:tc>
          <w:tcPr>
            <w:tcW w:w="310" w:type="pct"/>
            <w:tcBorders>
              <w:top w:val="single" w:sz="2" w:space="0" w:color="auto"/>
              <w:left w:val="single" w:sz="2" w:space="0" w:color="auto"/>
              <w:bottom w:val="single" w:sz="2" w:space="0" w:color="auto"/>
              <w:right w:val="single" w:sz="2" w:space="0" w:color="auto"/>
            </w:tcBorders>
            <w:vAlign w:val="center"/>
          </w:tcPr>
          <w:p w14:paraId="78713BB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392,071,892.73</w:t>
            </w:r>
          </w:p>
        </w:tc>
        <w:tc>
          <w:tcPr>
            <w:tcW w:w="345" w:type="pct"/>
            <w:tcBorders>
              <w:top w:val="single" w:sz="2" w:space="0" w:color="auto"/>
              <w:left w:val="single" w:sz="2" w:space="0" w:color="auto"/>
              <w:bottom w:val="single" w:sz="2" w:space="0" w:color="auto"/>
              <w:right w:val="single" w:sz="2" w:space="0" w:color="auto"/>
            </w:tcBorders>
            <w:vAlign w:val="center"/>
          </w:tcPr>
          <w:p w14:paraId="2B0DCA1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3,470,720,269.02</w:t>
            </w:r>
          </w:p>
        </w:tc>
      </w:tr>
      <w:tr w:rsidR="00C57E60" w14:paraId="14AB03B8"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22E94C3D" w14:textId="77777777" w:rsidR="00DC359B" w:rsidRPr="00877EF3" w:rsidRDefault="00DC359B" w:rsidP="00DC359B">
            <w:pPr>
              <w:spacing w:before="40" w:after="40" w:line="360" w:lineRule="auto"/>
              <w:ind w:firstLineChars="200" w:firstLine="260"/>
              <w:rPr>
                <w:rFonts w:ascii="Times New Roman" w:eastAsia="宋体" w:hAnsi="Times New Roman" w:cs="Times New Roman"/>
                <w:sz w:val="13"/>
                <w:szCs w:val="13"/>
              </w:rPr>
            </w:pPr>
            <w:r w:rsidRPr="00877EF3">
              <w:rPr>
                <w:rFonts w:ascii="Times New Roman" w:eastAsia="宋体" w:hAnsi="Times New Roman" w:cs="Times New Roman"/>
                <w:sz w:val="13"/>
                <w:szCs w:val="13"/>
              </w:rPr>
              <w:t>加：会计政策变更</w:t>
            </w:r>
          </w:p>
        </w:tc>
        <w:tc>
          <w:tcPr>
            <w:tcW w:w="303" w:type="pct"/>
            <w:tcBorders>
              <w:top w:val="single" w:sz="2" w:space="0" w:color="auto"/>
              <w:left w:val="single" w:sz="2" w:space="0" w:color="auto"/>
              <w:bottom w:val="single" w:sz="2" w:space="0" w:color="auto"/>
              <w:right w:val="single" w:sz="2" w:space="0" w:color="auto"/>
            </w:tcBorders>
            <w:vAlign w:val="center"/>
          </w:tcPr>
          <w:p w14:paraId="6B1E8D1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0E1859E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573E51D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0CD61A7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CC2290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0FAC338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C40A66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373D267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FF8B98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43F17EC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298736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4D8F0BB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3C1E75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0D3D4D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999CBDF"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2B3C08BB"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719CC069" w14:textId="77777777" w:rsidR="00DC359B" w:rsidRPr="00877EF3" w:rsidRDefault="00DC359B" w:rsidP="00DC359B">
            <w:pPr>
              <w:spacing w:before="40" w:after="40" w:line="360" w:lineRule="auto"/>
              <w:ind w:firstLineChars="400" w:firstLine="520"/>
              <w:rPr>
                <w:rFonts w:ascii="Times New Roman" w:eastAsia="宋体" w:hAnsi="Times New Roman" w:cs="Times New Roman"/>
                <w:sz w:val="13"/>
                <w:szCs w:val="13"/>
              </w:rPr>
            </w:pPr>
            <w:r w:rsidRPr="00877EF3">
              <w:rPr>
                <w:rFonts w:ascii="Times New Roman" w:eastAsia="宋体" w:hAnsi="Times New Roman" w:cs="Times New Roman"/>
                <w:sz w:val="13"/>
                <w:szCs w:val="13"/>
              </w:rPr>
              <w:t>前期差错更正</w:t>
            </w:r>
          </w:p>
        </w:tc>
        <w:tc>
          <w:tcPr>
            <w:tcW w:w="303" w:type="pct"/>
            <w:tcBorders>
              <w:top w:val="single" w:sz="2" w:space="0" w:color="auto"/>
              <w:left w:val="single" w:sz="2" w:space="0" w:color="auto"/>
              <w:bottom w:val="single" w:sz="2" w:space="0" w:color="auto"/>
              <w:right w:val="single" w:sz="2" w:space="0" w:color="auto"/>
            </w:tcBorders>
            <w:vAlign w:val="center"/>
          </w:tcPr>
          <w:p w14:paraId="258E65A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62DE3B3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02918EE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252343E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4F0B98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20B55C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7E5866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3B63287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661341E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0BD4265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4D0A9C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340D478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C7CD30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BB902C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3AD0FC5"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437BA762"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7BAE5007" w14:textId="77777777" w:rsidR="00DC359B" w:rsidRPr="00877EF3" w:rsidRDefault="00DC359B" w:rsidP="00DC359B">
            <w:pPr>
              <w:spacing w:before="40" w:after="40" w:line="360" w:lineRule="auto"/>
              <w:ind w:firstLineChars="400" w:firstLine="520"/>
              <w:rPr>
                <w:rFonts w:ascii="Times New Roman" w:eastAsia="宋体" w:hAnsi="Times New Roman" w:cs="Times New Roman"/>
                <w:sz w:val="13"/>
                <w:szCs w:val="13"/>
              </w:rPr>
            </w:pPr>
            <w:r w:rsidRPr="00877EF3">
              <w:rPr>
                <w:rFonts w:ascii="Times New Roman" w:eastAsia="宋体" w:hAnsi="Times New Roman" w:cs="Times New Roman"/>
                <w:sz w:val="13"/>
                <w:szCs w:val="13"/>
              </w:rPr>
              <w:t>其他</w:t>
            </w:r>
          </w:p>
        </w:tc>
        <w:tc>
          <w:tcPr>
            <w:tcW w:w="303" w:type="pct"/>
            <w:tcBorders>
              <w:top w:val="single" w:sz="2" w:space="0" w:color="auto"/>
              <w:left w:val="single" w:sz="2" w:space="0" w:color="auto"/>
              <w:bottom w:val="single" w:sz="2" w:space="0" w:color="auto"/>
              <w:right w:val="single" w:sz="2" w:space="0" w:color="auto"/>
            </w:tcBorders>
            <w:vAlign w:val="center"/>
          </w:tcPr>
          <w:p w14:paraId="6941155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00DC156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162DDAC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782DB26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C22A0D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2780C11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17CE55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7F777E8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63E73F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44F379B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B9110A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1739F40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5544E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E5330D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88509AF"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67464235"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25AF5B5F"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二、本年期初余额</w:t>
            </w:r>
          </w:p>
        </w:tc>
        <w:tc>
          <w:tcPr>
            <w:tcW w:w="303" w:type="pct"/>
            <w:tcBorders>
              <w:top w:val="single" w:sz="2" w:space="0" w:color="auto"/>
              <w:left w:val="single" w:sz="2" w:space="0" w:color="auto"/>
              <w:bottom w:val="single" w:sz="2" w:space="0" w:color="auto"/>
              <w:right w:val="single" w:sz="2" w:space="0" w:color="auto"/>
            </w:tcBorders>
            <w:vAlign w:val="center"/>
          </w:tcPr>
          <w:p w14:paraId="5350FFE3"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564,265,373.00</w:t>
            </w:r>
          </w:p>
        </w:tc>
        <w:tc>
          <w:tcPr>
            <w:tcW w:w="202" w:type="pct"/>
            <w:tcBorders>
              <w:top w:val="single" w:sz="2" w:space="0" w:color="auto"/>
              <w:left w:val="single" w:sz="2" w:space="0" w:color="auto"/>
              <w:bottom w:val="single" w:sz="2" w:space="0" w:color="auto"/>
              <w:right w:val="single" w:sz="2" w:space="0" w:color="auto"/>
            </w:tcBorders>
            <w:vAlign w:val="center"/>
          </w:tcPr>
          <w:p w14:paraId="6575800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67BD813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6C12A0F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123,953,430.61</w:t>
            </w:r>
          </w:p>
        </w:tc>
        <w:tc>
          <w:tcPr>
            <w:tcW w:w="345" w:type="pct"/>
            <w:tcBorders>
              <w:top w:val="single" w:sz="2" w:space="0" w:color="auto"/>
              <w:left w:val="single" w:sz="2" w:space="0" w:color="auto"/>
              <w:bottom w:val="single" w:sz="2" w:space="0" w:color="auto"/>
              <w:right w:val="single" w:sz="2" w:space="0" w:color="auto"/>
            </w:tcBorders>
            <w:vAlign w:val="center"/>
          </w:tcPr>
          <w:p w14:paraId="21B65EA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1,087,027,813.78</w:t>
            </w:r>
          </w:p>
        </w:tc>
        <w:tc>
          <w:tcPr>
            <w:tcW w:w="313" w:type="pct"/>
            <w:tcBorders>
              <w:top w:val="single" w:sz="2" w:space="0" w:color="auto"/>
              <w:left w:val="single" w:sz="2" w:space="0" w:color="auto"/>
              <w:bottom w:val="single" w:sz="2" w:space="0" w:color="auto"/>
              <w:right w:val="single" w:sz="2" w:space="0" w:color="auto"/>
            </w:tcBorders>
            <w:vAlign w:val="center"/>
          </w:tcPr>
          <w:p w14:paraId="6C5AF42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202,777,079.40</w:t>
            </w:r>
          </w:p>
        </w:tc>
        <w:tc>
          <w:tcPr>
            <w:tcW w:w="310" w:type="pct"/>
            <w:tcBorders>
              <w:top w:val="single" w:sz="2" w:space="0" w:color="auto"/>
              <w:left w:val="single" w:sz="2" w:space="0" w:color="auto"/>
              <w:bottom w:val="single" w:sz="2" w:space="0" w:color="auto"/>
              <w:right w:val="single" w:sz="2" w:space="0" w:color="auto"/>
            </w:tcBorders>
            <w:vAlign w:val="center"/>
          </w:tcPr>
          <w:p w14:paraId="785660A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155,203,740.66</w:t>
            </w:r>
          </w:p>
        </w:tc>
        <w:tc>
          <w:tcPr>
            <w:tcW w:w="114" w:type="pct"/>
            <w:tcBorders>
              <w:top w:val="single" w:sz="2" w:space="0" w:color="auto"/>
              <w:left w:val="single" w:sz="2" w:space="0" w:color="auto"/>
              <w:bottom w:val="single" w:sz="2" w:space="0" w:color="auto"/>
              <w:right w:val="single" w:sz="2" w:space="0" w:color="auto"/>
            </w:tcBorders>
            <w:vAlign w:val="center"/>
          </w:tcPr>
          <w:p w14:paraId="24C7B0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BC26F2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430,853,505.74</w:t>
            </w:r>
          </w:p>
        </w:tc>
        <w:tc>
          <w:tcPr>
            <w:tcW w:w="158" w:type="pct"/>
            <w:tcBorders>
              <w:top w:val="single" w:sz="2" w:space="0" w:color="auto"/>
              <w:left w:val="single" w:sz="2" w:space="0" w:color="auto"/>
              <w:bottom w:val="single" w:sz="2" w:space="0" w:color="auto"/>
              <w:right w:val="single" w:sz="2" w:space="0" w:color="auto"/>
            </w:tcBorders>
            <w:vAlign w:val="center"/>
          </w:tcPr>
          <w:p w14:paraId="0D2E2EF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FCB80E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920,121,591.90</w:t>
            </w:r>
          </w:p>
        </w:tc>
        <w:tc>
          <w:tcPr>
            <w:tcW w:w="77" w:type="pct"/>
            <w:tcBorders>
              <w:top w:val="single" w:sz="2" w:space="0" w:color="auto"/>
              <w:left w:val="single" w:sz="2" w:space="0" w:color="auto"/>
              <w:bottom w:val="single" w:sz="2" w:space="0" w:color="auto"/>
              <w:right w:val="single" w:sz="2" w:space="0" w:color="auto"/>
            </w:tcBorders>
            <w:vAlign w:val="center"/>
          </w:tcPr>
          <w:p w14:paraId="7D1C33D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DFCD156"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3,078,648,376.29</w:t>
            </w:r>
          </w:p>
        </w:tc>
        <w:tc>
          <w:tcPr>
            <w:tcW w:w="310" w:type="pct"/>
            <w:tcBorders>
              <w:top w:val="single" w:sz="2" w:space="0" w:color="auto"/>
              <w:left w:val="single" w:sz="2" w:space="0" w:color="auto"/>
              <w:bottom w:val="single" w:sz="2" w:space="0" w:color="auto"/>
              <w:right w:val="single" w:sz="2" w:space="0" w:color="auto"/>
            </w:tcBorders>
            <w:vAlign w:val="center"/>
          </w:tcPr>
          <w:p w14:paraId="26F7A63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392,071,892.73</w:t>
            </w:r>
          </w:p>
        </w:tc>
        <w:tc>
          <w:tcPr>
            <w:tcW w:w="345" w:type="pct"/>
            <w:tcBorders>
              <w:top w:val="single" w:sz="2" w:space="0" w:color="auto"/>
              <w:left w:val="single" w:sz="2" w:space="0" w:color="auto"/>
              <w:bottom w:val="single" w:sz="2" w:space="0" w:color="auto"/>
              <w:right w:val="single" w:sz="2" w:space="0" w:color="auto"/>
            </w:tcBorders>
            <w:vAlign w:val="center"/>
          </w:tcPr>
          <w:p w14:paraId="05AF400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3,470,720,269.02</w:t>
            </w:r>
          </w:p>
        </w:tc>
      </w:tr>
      <w:tr w:rsidR="00C57E60" w14:paraId="3D6CDB51"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15B2AB7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三、本期增减变动金额（减少以</w:t>
            </w:r>
            <w:r w:rsidRPr="00877EF3">
              <w:rPr>
                <w:rFonts w:ascii="Times New Roman" w:eastAsia="宋体" w:hAnsi="Times New Roman" w:cs="Times New Roman"/>
                <w:sz w:val="13"/>
                <w:szCs w:val="13"/>
              </w:rPr>
              <w:t>“</w:t>
            </w:r>
            <w:r w:rsidRPr="00877EF3">
              <w:rPr>
                <w:rFonts w:ascii="Times New Roman" w:eastAsia="宋体" w:hAnsi="Times New Roman" w:cs="Times New Roman"/>
                <w:sz w:val="13"/>
                <w:szCs w:val="13"/>
              </w:rPr>
              <w:t>－</w:t>
            </w:r>
            <w:r w:rsidRPr="00877EF3">
              <w:rPr>
                <w:rFonts w:ascii="Times New Roman" w:eastAsia="宋体" w:hAnsi="Times New Roman" w:cs="Times New Roman"/>
                <w:sz w:val="13"/>
                <w:szCs w:val="13"/>
              </w:rPr>
              <w:t>”</w:t>
            </w:r>
            <w:r w:rsidRPr="00877EF3">
              <w:rPr>
                <w:rFonts w:ascii="Times New Roman" w:eastAsia="宋体" w:hAnsi="Times New Roman" w:cs="Times New Roman"/>
                <w:sz w:val="13"/>
                <w:szCs w:val="13"/>
              </w:rPr>
              <w:t>号填列）</w:t>
            </w:r>
          </w:p>
        </w:tc>
        <w:tc>
          <w:tcPr>
            <w:tcW w:w="303" w:type="pct"/>
            <w:tcBorders>
              <w:top w:val="single" w:sz="2" w:space="0" w:color="auto"/>
              <w:left w:val="single" w:sz="2" w:space="0" w:color="auto"/>
              <w:bottom w:val="single" w:sz="2" w:space="0" w:color="auto"/>
              <w:right w:val="single" w:sz="2" w:space="0" w:color="auto"/>
            </w:tcBorders>
            <w:vAlign w:val="center"/>
          </w:tcPr>
          <w:p w14:paraId="0268DDA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2.00</w:t>
            </w:r>
          </w:p>
        </w:tc>
        <w:tc>
          <w:tcPr>
            <w:tcW w:w="202" w:type="pct"/>
            <w:tcBorders>
              <w:top w:val="single" w:sz="2" w:space="0" w:color="auto"/>
              <w:left w:val="single" w:sz="2" w:space="0" w:color="auto"/>
              <w:bottom w:val="single" w:sz="2" w:space="0" w:color="auto"/>
              <w:right w:val="single" w:sz="2" w:space="0" w:color="auto"/>
            </w:tcBorders>
            <w:vAlign w:val="center"/>
          </w:tcPr>
          <w:p w14:paraId="0C0C3F5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CE5AC4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220E931F"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-24.87</w:t>
            </w:r>
          </w:p>
        </w:tc>
        <w:tc>
          <w:tcPr>
            <w:tcW w:w="345" w:type="pct"/>
            <w:tcBorders>
              <w:top w:val="single" w:sz="2" w:space="0" w:color="auto"/>
              <w:left w:val="single" w:sz="2" w:space="0" w:color="auto"/>
              <w:bottom w:val="single" w:sz="2" w:space="0" w:color="auto"/>
              <w:right w:val="single" w:sz="2" w:space="0" w:color="auto"/>
            </w:tcBorders>
            <w:vAlign w:val="center"/>
          </w:tcPr>
          <w:p w14:paraId="242EE26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17,888,066.29</w:t>
            </w:r>
          </w:p>
        </w:tc>
        <w:tc>
          <w:tcPr>
            <w:tcW w:w="313" w:type="pct"/>
            <w:tcBorders>
              <w:top w:val="single" w:sz="2" w:space="0" w:color="auto"/>
              <w:left w:val="single" w:sz="2" w:space="0" w:color="auto"/>
              <w:bottom w:val="single" w:sz="2" w:space="0" w:color="auto"/>
              <w:right w:val="single" w:sz="2" w:space="0" w:color="auto"/>
            </w:tcBorders>
            <w:vAlign w:val="center"/>
          </w:tcPr>
          <w:p w14:paraId="35B16B7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-21,474,685.10</w:t>
            </w:r>
          </w:p>
        </w:tc>
        <w:tc>
          <w:tcPr>
            <w:tcW w:w="310" w:type="pct"/>
            <w:tcBorders>
              <w:top w:val="single" w:sz="2" w:space="0" w:color="auto"/>
              <w:left w:val="single" w:sz="2" w:space="0" w:color="auto"/>
              <w:bottom w:val="single" w:sz="2" w:space="0" w:color="auto"/>
              <w:right w:val="single" w:sz="2" w:space="0" w:color="auto"/>
            </w:tcBorders>
            <w:vAlign w:val="center"/>
          </w:tcPr>
          <w:p w14:paraId="727424A5"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-18,806,538.75</w:t>
            </w:r>
          </w:p>
        </w:tc>
        <w:tc>
          <w:tcPr>
            <w:tcW w:w="114" w:type="pct"/>
            <w:tcBorders>
              <w:top w:val="single" w:sz="2" w:space="0" w:color="auto"/>
              <w:left w:val="single" w:sz="2" w:space="0" w:color="auto"/>
              <w:bottom w:val="single" w:sz="2" w:space="0" w:color="auto"/>
              <w:right w:val="single" w:sz="2" w:space="0" w:color="auto"/>
            </w:tcBorders>
            <w:vAlign w:val="center"/>
          </w:tcPr>
          <w:p w14:paraId="6CAEB02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4A966E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51,636,554.57</w:t>
            </w:r>
          </w:p>
        </w:tc>
        <w:tc>
          <w:tcPr>
            <w:tcW w:w="158" w:type="pct"/>
            <w:tcBorders>
              <w:top w:val="single" w:sz="2" w:space="0" w:color="auto"/>
              <w:left w:val="single" w:sz="2" w:space="0" w:color="auto"/>
              <w:bottom w:val="single" w:sz="2" w:space="0" w:color="auto"/>
              <w:right w:val="single" w:sz="2" w:space="0" w:color="auto"/>
            </w:tcBorders>
            <w:vAlign w:val="center"/>
          </w:tcPr>
          <w:p w14:paraId="71DE249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22F22F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206,898,738.17</w:t>
            </w:r>
          </w:p>
        </w:tc>
        <w:tc>
          <w:tcPr>
            <w:tcW w:w="77" w:type="pct"/>
            <w:tcBorders>
              <w:top w:val="single" w:sz="2" w:space="0" w:color="auto"/>
              <w:left w:val="single" w:sz="2" w:space="0" w:color="auto"/>
              <w:bottom w:val="single" w:sz="2" w:space="0" w:color="auto"/>
              <w:right w:val="single" w:sz="2" w:space="0" w:color="auto"/>
            </w:tcBorders>
            <w:vAlign w:val="center"/>
          </w:tcPr>
          <w:p w14:paraId="155DB48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6E4561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279,091,482.51</w:t>
            </w:r>
          </w:p>
        </w:tc>
        <w:tc>
          <w:tcPr>
            <w:tcW w:w="310" w:type="pct"/>
            <w:tcBorders>
              <w:top w:val="single" w:sz="2" w:space="0" w:color="auto"/>
              <w:left w:val="single" w:sz="2" w:space="0" w:color="auto"/>
              <w:bottom w:val="single" w:sz="2" w:space="0" w:color="auto"/>
              <w:right w:val="single" w:sz="2" w:space="0" w:color="auto"/>
            </w:tcBorders>
            <w:vAlign w:val="center"/>
          </w:tcPr>
          <w:p w14:paraId="40C6CA0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19,804,430.99</w:t>
            </w:r>
          </w:p>
        </w:tc>
        <w:tc>
          <w:tcPr>
            <w:tcW w:w="345" w:type="pct"/>
            <w:tcBorders>
              <w:top w:val="single" w:sz="2" w:space="0" w:color="auto"/>
              <w:left w:val="single" w:sz="2" w:space="0" w:color="auto"/>
              <w:bottom w:val="single" w:sz="2" w:space="0" w:color="auto"/>
              <w:right w:val="single" w:sz="2" w:space="0" w:color="auto"/>
            </w:tcBorders>
            <w:vAlign w:val="center"/>
          </w:tcPr>
          <w:p w14:paraId="25405D8F"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298,895,913.50</w:t>
            </w:r>
          </w:p>
        </w:tc>
      </w:tr>
      <w:tr w:rsidR="00C57E60" w14:paraId="27DF875B"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31A0667B"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（一）综合收益总额</w:t>
            </w:r>
          </w:p>
        </w:tc>
        <w:tc>
          <w:tcPr>
            <w:tcW w:w="303" w:type="pct"/>
            <w:tcBorders>
              <w:top w:val="single" w:sz="2" w:space="0" w:color="auto"/>
              <w:left w:val="single" w:sz="2" w:space="0" w:color="auto"/>
              <w:bottom w:val="single" w:sz="2" w:space="0" w:color="auto"/>
              <w:right w:val="single" w:sz="2" w:space="0" w:color="auto"/>
            </w:tcBorders>
            <w:vAlign w:val="center"/>
          </w:tcPr>
          <w:p w14:paraId="71885A0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16F33E4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0CA8DB0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44E7359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500D05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B450FD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637E7A1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24,206,678.54</w:t>
            </w:r>
          </w:p>
        </w:tc>
        <w:tc>
          <w:tcPr>
            <w:tcW w:w="114" w:type="pct"/>
            <w:tcBorders>
              <w:top w:val="single" w:sz="2" w:space="0" w:color="auto"/>
              <w:left w:val="single" w:sz="2" w:space="0" w:color="auto"/>
              <w:bottom w:val="single" w:sz="2" w:space="0" w:color="auto"/>
              <w:right w:val="single" w:sz="2" w:space="0" w:color="auto"/>
            </w:tcBorders>
            <w:vAlign w:val="center"/>
          </w:tcPr>
          <w:p w14:paraId="061F626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D10032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6A54FBC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94BE59F"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326,290,993.05</w:t>
            </w:r>
          </w:p>
        </w:tc>
        <w:tc>
          <w:tcPr>
            <w:tcW w:w="77" w:type="pct"/>
            <w:tcBorders>
              <w:top w:val="single" w:sz="2" w:space="0" w:color="auto"/>
              <w:left w:val="single" w:sz="2" w:space="0" w:color="auto"/>
              <w:bottom w:val="single" w:sz="2" w:space="0" w:color="auto"/>
              <w:right w:val="single" w:sz="2" w:space="0" w:color="auto"/>
            </w:tcBorders>
            <w:vAlign w:val="center"/>
          </w:tcPr>
          <w:p w14:paraId="4FB4E6E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A0B9D4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350,497,671.59</w:t>
            </w:r>
          </w:p>
        </w:tc>
        <w:tc>
          <w:tcPr>
            <w:tcW w:w="310" w:type="pct"/>
            <w:tcBorders>
              <w:top w:val="single" w:sz="2" w:space="0" w:color="auto"/>
              <w:left w:val="single" w:sz="2" w:space="0" w:color="auto"/>
              <w:bottom w:val="single" w:sz="2" w:space="0" w:color="auto"/>
              <w:right w:val="single" w:sz="2" w:space="0" w:color="auto"/>
            </w:tcBorders>
            <w:vAlign w:val="center"/>
          </w:tcPr>
          <w:p w14:paraId="5A9CEFA6"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19,804,430.99</w:t>
            </w:r>
          </w:p>
        </w:tc>
        <w:tc>
          <w:tcPr>
            <w:tcW w:w="345" w:type="pct"/>
            <w:tcBorders>
              <w:top w:val="single" w:sz="2" w:space="0" w:color="auto"/>
              <w:left w:val="single" w:sz="2" w:space="0" w:color="auto"/>
              <w:bottom w:val="single" w:sz="2" w:space="0" w:color="auto"/>
              <w:right w:val="single" w:sz="2" w:space="0" w:color="auto"/>
            </w:tcBorders>
            <w:vAlign w:val="center"/>
          </w:tcPr>
          <w:p w14:paraId="51A2AB1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370,302,102.58</w:t>
            </w:r>
          </w:p>
        </w:tc>
      </w:tr>
      <w:tr w:rsidR="00C57E60" w14:paraId="6F9EDD05"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464A2431"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（二）所有者投入和减少资本</w:t>
            </w:r>
          </w:p>
        </w:tc>
        <w:tc>
          <w:tcPr>
            <w:tcW w:w="303" w:type="pct"/>
            <w:tcBorders>
              <w:top w:val="single" w:sz="2" w:space="0" w:color="auto"/>
              <w:left w:val="single" w:sz="2" w:space="0" w:color="auto"/>
              <w:bottom w:val="single" w:sz="2" w:space="0" w:color="auto"/>
              <w:right w:val="single" w:sz="2" w:space="0" w:color="auto"/>
            </w:tcBorders>
            <w:vAlign w:val="center"/>
          </w:tcPr>
          <w:p w14:paraId="255B366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2.00</w:t>
            </w:r>
          </w:p>
        </w:tc>
        <w:tc>
          <w:tcPr>
            <w:tcW w:w="202" w:type="pct"/>
            <w:tcBorders>
              <w:top w:val="single" w:sz="2" w:space="0" w:color="auto"/>
              <w:left w:val="single" w:sz="2" w:space="0" w:color="auto"/>
              <w:bottom w:val="single" w:sz="2" w:space="0" w:color="auto"/>
              <w:right w:val="single" w:sz="2" w:space="0" w:color="auto"/>
            </w:tcBorders>
            <w:vAlign w:val="center"/>
          </w:tcPr>
          <w:p w14:paraId="3743F08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46E56D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58061EA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-24.87</w:t>
            </w:r>
          </w:p>
        </w:tc>
        <w:tc>
          <w:tcPr>
            <w:tcW w:w="345" w:type="pct"/>
            <w:tcBorders>
              <w:top w:val="single" w:sz="2" w:space="0" w:color="auto"/>
              <w:left w:val="single" w:sz="2" w:space="0" w:color="auto"/>
              <w:bottom w:val="single" w:sz="2" w:space="0" w:color="auto"/>
              <w:right w:val="single" w:sz="2" w:space="0" w:color="auto"/>
            </w:tcBorders>
            <w:vAlign w:val="center"/>
          </w:tcPr>
          <w:p w14:paraId="7DD25DA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16,404,570.11</w:t>
            </w:r>
          </w:p>
        </w:tc>
        <w:tc>
          <w:tcPr>
            <w:tcW w:w="313" w:type="pct"/>
            <w:tcBorders>
              <w:top w:val="single" w:sz="2" w:space="0" w:color="auto"/>
              <w:left w:val="single" w:sz="2" w:space="0" w:color="auto"/>
              <w:bottom w:val="single" w:sz="2" w:space="0" w:color="auto"/>
              <w:right w:val="single" w:sz="2" w:space="0" w:color="auto"/>
            </w:tcBorders>
            <w:vAlign w:val="center"/>
          </w:tcPr>
          <w:p w14:paraId="0A60CFD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-21,474,685.10</w:t>
            </w:r>
          </w:p>
        </w:tc>
        <w:tc>
          <w:tcPr>
            <w:tcW w:w="310" w:type="pct"/>
            <w:tcBorders>
              <w:top w:val="single" w:sz="2" w:space="0" w:color="auto"/>
              <w:left w:val="single" w:sz="2" w:space="0" w:color="auto"/>
              <w:bottom w:val="single" w:sz="2" w:space="0" w:color="auto"/>
              <w:right w:val="single" w:sz="2" w:space="0" w:color="auto"/>
            </w:tcBorders>
            <w:vAlign w:val="center"/>
          </w:tcPr>
          <w:p w14:paraId="3F11B5F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257F405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DD4218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6E15E17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876CA3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6038D7A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FB51D0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37,879,232.34</w:t>
            </w:r>
          </w:p>
        </w:tc>
        <w:tc>
          <w:tcPr>
            <w:tcW w:w="310" w:type="pct"/>
            <w:tcBorders>
              <w:top w:val="single" w:sz="2" w:space="0" w:color="auto"/>
              <w:left w:val="single" w:sz="2" w:space="0" w:color="auto"/>
              <w:bottom w:val="single" w:sz="2" w:space="0" w:color="auto"/>
              <w:right w:val="single" w:sz="2" w:space="0" w:color="auto"/>
            </w:tcBorders>
            <w:vAlign w:val="center"/>
          </w:tcPr>
          <w:p w14:paraId="62281BD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7C1EAA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37,879,232.34</w:t>
            </w:r>
          </w:p>
        </w:tc>
      </w:tr>
      <w:tr w:rsidR="00C57E60" w14:paraId="45604561"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0C3C952D"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．所有者投入的普通股</w:t>
            </w:r>
          </w:p>
        </w:tc>
        <w:tc>
          <w:tcPr>
            <w:tcW w:w="303" w:type="pct"/>
            <w:tcBorders>
              <w:top w:val="single" w:sz="2" w:space="0" w:color="auto"/>
              <w:left w:val="single" w:sz="2" w:space="0" w:color="auto"/>
              <w:bottom w:val="single" w:sz="2" w:space="0" w:color="auto"/>
              <w:right w:val="single" w:sz="2" w:space="0" w:color="auto"/>
            </w:tcBorders>
            <w:vAlign w:val="center"/>
          </w:tcPr>
          <w:p w14:paraId="0B339F5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567484B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F14AF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6795439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44E909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50D7BB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-21,474,685.10</w:t>
            </w:r>
          </w:p>
        </w:tc>
        <w:tc>
          <w:tcPr>
            <w:tcW w:w="310" w:type="pct"/>
            <w:tcBorders>
              <w:top w:val="single" w:sz="2" w:space="0" w:color="auto"/>
              <w:left w:val="single" w:sz="2" w:space="0" w:color="auto"/>
              <w:bottom w:val="single" w:sz="2" w:space="0" w:color="auto"/>
              <w:right w:val="single" w:sz="2" w:space="0" w:color="auto"/>
            </w:tcBorders>
            <w:vAlign w:val="center"/>
          </w:tcPr>
          <w:p w14:paraId="615028A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5B3423D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A510B5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122DB11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DEFDC7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75EA30B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45B30F3"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21,474,685.10</w:t>
            </w:r>
          </w:p>
        </w:tc>
        <w:tc>
          <w:tcPr>
            <w:tcW w:w="310" w:type="pct"/>
            <w:tcBorders>
              <w:top w:val="single" w:sz="2" w:space="0" w:color="auto"/>
              <w:left w:val="single" w:sz="2" w:space="0" w:color="auto"/>
              <w:bottom w:val="single" w:sz="2" w:space="0" w:color="auto"/>
              <w:right w:val="single" w:sz="2" w:space="0" w:color="auto"/>
            </w:tcBorders>
            <w:vAlign w:val="center"/>
          </w:tcPr>
          <w:p w14:paraId="29719FB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709D7C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21,474,685.10</w:t>
            </w:r>
          </w:p>
        </w:tc>
      </w:tr>
      <w:tr w:rsidR="00C57E60" w14:paraId="0B8F5131"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55C1F90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．其他权益工具持有者投入资本</w:t>
            </w:r>
          </w:p>
        </w:tc>
        <w:tc>
          <w:tcPr>
            <w:tcW w:w="303" w:type="pct"/>
            <w:tcBorders>
              <w:top w:val="single" w:sz="2" w:space="0" w:color="auto"/>
              <w:left w:val="single" w:sz="2" w:space="0" w:color="auto"/>
              <w:bottom w:val="single" w:sz="2" w:space="0" w:color="auto"/>
              <w:right w:val="single" w:sz="2" w:space="0" w:color="auto"/>
            </w:tcBorders>
            <w:vAlign w:val="center"/>
          </w:tcPr>
          <w:p w14:paraId="0D7B98D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2.00</w:t>
            </w:r>
          </w:p>
        </w:tc>
        <w:tc>
          <w:tcPr>
            <w:tcW w:w="202" w:type="pct"/>
            <w:tcBorders>
              <w:top w:val="single" w:sz="2" w:space="0" w:color="auto"/>
              <w:left w:val="single" w:sz="2" w:space="0" w:color="auto"/>
              <w:bottom w:val="single" w:sz="2" w:space="0" w:color="auto"/>
              <w:right w:val="single" w:sz="2" w:space="0" w:color="auto"/>
            </w:tcBorders>
            <w:vAlign w:val="center"/>
          </w:tcPr>
          <w:p w14:paraId="59A2A63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FCFD52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73317AC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-24.87</w:t>
            </w:r>
          </w:p>
        </w:tc>
        <w:tc>
          <w:tcPr>
            <w:tcW w:w="345" w:type="pct"/>
            <w:tcBorders>
              <w:top w:val="single" w:sz="2" w:space="0" w:color="auto"/>
              <w:left w:val="single" w:sz="2" w:space="0" w:color="auto"/>
              <w:bottom w:val="single" w:sz="2" w:space="0" w:color="auto"/>
              <w:right w:val="single" w:sz="2" w:space="0" w:color="auto"/>
            </w:tcBorders>
            <w:vAlign w:val="center"/>
          </w:tcPr>
          <w:p w14:paraId="4C40324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80.64</w:t>
            </w:r>
          </w:p>
        </w:tc>
        <w:tc>
          <w:tcPr>
            <w:tcW w:w="313" w:type="pct"/>
            <w:tcBorders>
              <w:top w:val="single" w:sz="2" w:space="0" w:color="auto"/>
              <w:left w:val="single" w:sz="2" w:space="0" w:color="auto"/>
              <w:bottom w:val="single" w:sz="2" w:space="0" w:color="auto"/>
              <w:right w:val="single" w:sz="2" w:space="0" w:color="auto"/>
            </w:tcBorders>
            <w:vAlign w:val="center"/>
          </w:tcPr>
          <w:p w14:paraId="55D5D61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782F35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45BE39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DA84F7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2CFDF0B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50927F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6B4F66D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028B80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57.77</w:t>
            </w:r>
          </w:p>
        </w:tc>
        <w:tc>
          <w:tcPr>
            <w:tcW w:w="310" w:type="pct"/>
            <w:tcBorders>
              <w:top w:val="single" w:sz="2" w:space="0" w:color="auto"/>
              <w:left w:val="single" w:sz="2" w:space="0" w:color="auto"/>
              <w:bottom w:val="single" w:sz="2" w:space="0" w:color="auto"/>
              <w:right w:val="single" w:sz="2" w:space="0" w:color="auto"/>
            </w:tcBorders>
            <w:vAlign w:val="center"/>
          </w:tcPr>
          <w:p w14:paraId="15286BF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AC29588"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57.77</w:t>
            </w:r>
          </w:p>
        </w:tc>
      </w:tr>
      <w:tr w:rsidR="00C57E60" w14:paraId="3B9A35DF"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6B92E47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3</w:t>
            </w:r>
            <w:r w:rsidRPr="00877EF3">
              <w:rPr>
                <w:rFonts w:ascii="Times New Roman" w:eastAsia="宋体" w:hAnsi="Times New Roman" w:cs="Times New Roman"/>
                <w:sz w:val="13"/>
                <w:szCs w:val="13"/>
              </w:rPr>
              <w:t>．股份支付计入所有者权益的金额</w:t>
            </w:r>
          </w:p>
        </w:tc>
        <w:tc>
          <w:tcPr>
            <w:tcW w:w="303" w:type="pct"/>
            <w:tcBorders>
              <w:top w:val="single" w:sz="2" w:space="0" w:color="auto"/>
              <w:left w:val="single" w:sz="2" w:space="0" w:color="auto"/>
              <w:bottom w:val="single" w:sz="2" w:space="0" w:color="auto"/>
              <w:right w:val="single" w:sz="2" w:space="0" w:color="auto"/>
            </w:tcBorders>
            <w:vAlign w:val="center"/>
          </w:tcPr>
          <w:p w14:paraId="7D53C0C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1118B0B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7B4075D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72F64BC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DC680B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16,404,489.47</w:t>
            </w:r>
          </w:p>
        </w:tc>
        <w:tc>
          <w:tcPr>
            <w:tcW w:w="313" w:type="pct"/>
            <w:tcBorders>
              <w:top w:val="single" w:sz="2" w:space="0" w:color="auto"/>
              <w:left w:val="single" w:sz="2" w:space="0" w:color="auto"/>
              <w:bottom w:val="single" w:sz="2" w:space="0" w:color="auto"/>
              <w:right w:val="single" w:sz="2" w:space="0" w:color="auto"/>
            </w:tcBorders>
            <w:vAlign w:val="center"/>
          </w:tcPr>
          <w:p w14:paraId="7343C6F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A34C24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250E01D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568C1F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3EE4D63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BFA3D5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7A10122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594B955"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16,404,489.47</w:t>
            </w:r>
          </w:p>
        </w:tc>
        <w:tc>
          <w:tcPr>
            <w:tcW w:w="310" w:type="pct"/>
            <w:tcBorders>
              <w:top w:val="single" w:sz="2" w:space="0" w:color="auto"/>
              <w:left w:val="single" w:sz="2" w:space="0" w:color="auto"/>
              <w:bottom w:val="single" w:sz="2" w:space="0" w:color="auto"/>
              <w:right w:val="single" w:sz="2" w:space="0" w:color="auto"/>
            </w:tcBorders>
            <w:vAlign w:val="center"/>
          </w:tcPr>
          <w:p w14:paraId="4596CC0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51DA30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16,404,489.47</w:t>
            </w:r>
          </w:p>
        </w:tc>
      </w:tr>
      <w:tr w:rsidR="00C57E60" w14:paraId="091DAFD0"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17203702"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4</w:t>
            </w:r>
            <w:r w:rsidRPr="00877EF3">
              <w:rPr>
                <w:rFonts w:ascii="Times New Roman" w:eastAsia="宋体" w:hAnsi="Times New Roman" w:cs="Times New Roman"/>
                <w:sz w:val="13"/>
                <w:szCs w:val="13"/>
              </w:rPr>
              <w:t>．其他</w:t>
            </w:r>
          </w:p>
        </w:tc>
        <w:tc>
          <w:tcPr>
            <w:tcW w:w="303" w:type="pct"/>
            <w:tcBorders>
              <w:top w:val="single" w:sz="2" w:space="0" w:color="auto"/>
              <w:left w:val="single" w:sz="2" w:space="0" w:color="auto"/>
              <w:bottom w:val="single" w:sz="2" w:space="0" w:color="auto"/>
              <w:right w:val="single" w:sz="2" w:space="0" w:color="auto"/>
            </w:tcBorders>
            <w:vAlign w:val="center"/>
          </w:tcPr>
          <w:p w14:paraId="49EB056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583AB9F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5FFD6DD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186B5F3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A2FBA5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440C3F6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4E9E55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3C0FB23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134B4A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1E027DB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09DF80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273FF10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B0DF83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1F79CE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34A7A91"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1E4C75D2"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03E5DD15"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（三）利润分配</w:t>
            </w:r>
          </w:p>
        </w:tc>
        <w:tc>
          <w:tcPr>
            <w:tcW w:w="303" w:type="pct"/>
            <w:tcBorders>
              <w:top w:val="single" w:sz="2" w:space="0" w:color="auto"/>
              <w:left w:val="single" w:sz="2" w:space="0" w:color="auto"/>
              <w:bottom w:val="single" w:sz="2" w:space="0" w:color="auto"/>
              <w:right w:val="single" w:sz="2" w:space="0" w:color="auto"/>
            </w:tcBorders>
            <w:vAlign w:val="center"/>
          </w:tcPr>
          <w:p w14:paraId="245F149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6EA6CEC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1056CEC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6D4699B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883753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7633BAB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98F814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515F8FF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A236E7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51,636,554.57</w:t>
            </w:r>
          </w:p>
        </w:tc>
        <w:tc>
          <w:tcPr>
            <w:tcW w:w="158" w:type="pct"/>
            <w:tcBorders>
              <w:top w:val="single" w:sz="2" w:space="0" w:color="auto"/>
              <w:left w:val="single" w:sz="2" w:space="0" w:color="auto"/>
              <w:bottom w:val="single" w:sz="2" w:space="0" w:color="auto"/>
              <w:right w:val="single" w:sz="2" w:space="0" w:color="auto"/>
            </w:tcBorders>
            <w:vAlign w:val="center"/>
          </w:tcPr>
          <w:p w14:paraId="1C50D23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39DA122"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-162,405,472.17</w:t>
            </w:r>
          </w:p>
        </w:tc>
        <w:tc>
          <w:tcPr>
            <w:tcW w:w="77" w:type="pct"/>
            <w:tcBorders>
              <w:top w:val="single" w:sz="2" w:space="0" w:color="auto"/>
              <w:left w:val="single" w:sz="2" w:space="0" w:color="auto"/>
              <w:bottom w:val="single" w:sz="2" w:space="0" w:color="auto"/>
              <w:right w:val="single" w:sz="2" w:space="0" w:color="auto"/>
            </w:tcBorders>
            <w:vAlign w:val="center"/>
          </w:tcPr>
          <w:p w14:paraId="313B79A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1B7EA5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-110,768,917.60</w:t>
            </w:r>
          </w:p>
        </w:tc>
        <w:tc>
          <w:tcPr>
            <w:tcW w:w="310" w:type="pct"/>
            <w:tcBorders>
              <w:top w:val="single" w:sz="2" w:space="0" w:color="auto"/>
              <w:left w:val="single" w:sz="2" w:space="0" w:color="auto"/>
              <w:bottom w:val="single" w:sz="2" w:space="0" w:color="auto"/>
              <w:right w:val="single" w:sz="2" w:space="0" w:color="auto"/>
            </w:tcBorders>
            <w:vAlign w:val="center"/>
          </w:tcPr>
          <w:p w14:paraId="17A6F00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A538BF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-110,768,917.60</w:t>
            </w:r>
          </w:p>
        </w:tc>
      </w:tr>
      <w:tr w:rsidR="00C57E60" w14:paraId="100F0C3B"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3344785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．提取盈余公积</w:t>
            </w:r>
          </w:p>
        </w:tc>
        <w:tc>
          <w:tcPr>
            <w:tcW w:w="303" w:type="pct"/>
            <w:tcBorders>
              <w:top w:val="single" w:sz="2" w:space="0" w:color="auto"/>
              <w:left w:val="single" w:sz="2" w:space="0" w:color="auto"/>
              <w:bottom w:val="single" w:sz="2" w:space="0" w:color="auto"/>
              <w:right w:val="single" w:sz="2" w:space="0" w:color="auto"/>
            </w:tcBorders>
            <w:vAlign w:val="center"/>
          </w:tcPr>
          <w:p w14:paraId="64C9A99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277C466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65A6700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3D24B1B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3C3301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217F3E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BF5158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6447946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9148A95"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51,636,554.57</w:t>
            </w:r>
          </w:p>
        </w:tc>
        <w:tc>
          <w:tcPr>
            <w:tcW w:w="158" w:type="pct"/>
            <w:tcBorders>
              <w:top w:val="single" w:sz="2" w:space="0" w:color="auto"/>
              <w:left w:val="single" w:sz="2" w:space="0" w:color="auto"/>
              <w:bottom w:val="single" w:sz="2" w:space="0" w:color="auto"/>
              <w:right w:val="single" w:sz="2" w:space="0" w:color="auto"/>
            </w:tcBorders>
            <w:vAlign w:val="center"/>
          </w:tcPr>
          <w:p w14:paraId="1415503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0B24E6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-51,636,554.57</w:t>
            </w:r>
          </w:p>
        </w:tc>
        <w:tc>
          <w:tcPr>
            <w:tcW w:w="77" w:type="pct"/>
            <w:tcBorders>
              <w:top w:val="single" w:sz="2" w:space="0" w:color="auto"/>
              <w:left w:val="single" w:sz="2" w:space="0" w:color="auto"/>
              <w:bottom w:val="single" w:sz="2" w:space="0" w:color="auto"/>
              <w:right w:val="single" w:sz="2" w:space="0" w:color="auto"/>
            </w:tcBorders>
            <w:vAlign w:val="center"/>
          </w:tcPr>
          <w:p w14:paraId="2375AC4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45E7C0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67C9E64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793E678"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2C62C50"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05191F4E"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．提取一般风险准备</w:t>
            </w:r>
          </w:p>
        </w:tc>
        <w:tc>
          <w:tcPr>
            <w:tcW w:w="303" w:type="pct"/>
            <w:tcBorders>
              <w:top w:val="single" w:sz="2" w:space="0" w:color="auto"/>
              <w:left w:val="single" w:sz="2" w:space="0" w:color="auto"/>
              <w:bottom w:val="single" w:sz="2" w:space="0" w:color="auto"/>
              <w:right w:val="single" w:sz="2" w:space="0" w:color="auto"/>
            </w:tcBorders>
            <w:vAlign w:val="center"/>
          </w:tcPr>
          <w:p w14:paraId="2FD2A13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3E7EB4E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1DF0106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1DB17E7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D4D15D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514B899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9EA06F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021A633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95DDA6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3090609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DD629B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0C0A44E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102A82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DF92C7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B2BC4B2"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436F7531"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58A16AD3"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3</w:t>
            </w:r>
            <w:r w:rsidRPr="00877EF3">
              <w:rPr>
                <w:rFonts w:ascii="Times New Roman" w:eastAsia="宋体" w:hAnsi="Times New Roman" w:cs="Times New Roman"/>
                <w:sz w:val="13"/>
                <w:szCs w:val="13"/>
              </w:rPr>
              <w:t>．对所有者（或股东）的分配</w:t>
            </w:r>
          </w:p>
        </w:tc>
        <w:tc>
          <w:tcPr>
            <w:tcW w:w="303" w:type="pct"/>
            <w:tcBorders>
              <w:top w:val="single" w:sz="2" w:space="0" w:color="auto"/>
              <w:left w:val="single" w:sz="2" w:space="0" w:color="auto"/>
              <w:bottom w:val="single" w:sz="2" w:space="0" w:color="auto"/>
              <w:right w:val="single" w:sz="2" w:space="0" w:color="auto"/>
            </w:tcBorders>
            <w:vAlign w:val="center"/>
          </w:tcPr>
          <w:p w14:paraId="438C119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6F8ADD9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3D64A62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59460E9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FAA7F1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7ADA4CB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3BE5E6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59385F5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62AFA41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0735F0E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B668CE7"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-110,768,917.60</w:t>
            </w:r>
          </w:p>
        </w:tc>
        <w:tc>
          <w:tcPr>
            <w:tcW w:w="77" w:type="pct"/>
            <w:tcBorders>
              <w:top w:val="single" w:sz="2" w:space="0" w:color="auto"/>
              <w:left w:val="single" w:sz="2" w:space="0" w:color="auto"/>
              <w:bottom w:val="single" w:sz="2" w:space="0" w:color="auto"/>
              <w:right w:val="single" w:sz="2" w:space="0" w:color="auto"/>
            </w:tcBorders>
            <w:vAlign w:val="center"/>
          </w:tcPr>
          <w:p w14:paraId="6838575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47C04F1"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-110,768,917.60</w:t>
            </w:r>
          </w:p>
        </w:tc>
        <w:tc>
          <w:tcPr>
            <w:tcW w:w="310" w:type="pct"/>
            <w:tcBorders>
              <w:top w:val="single" w:sz="2" w:space="0" w:color="auto"/>
              <w:left w:val="single" w:sz="2" w:space="0" w:color="auto"/>
              <w:bottom w:val="single" w:sz="2" w:space="0" w:color="auto"/>
              <w:right w:val="single" w:sz="2" w:space="0" w:color="auto"/>
            </w:tcBorders>
            <w:vAlign w:val="center"/>
          </w:tcPr>
          <w:p w14:paraId="34D664F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FEB782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-110,768,917.60</w:t>
            </w:r>
          </w:p>
        </w:tc>
      </w:tr>
      <w:tr w:rsidR="00C57E60" w14:paraId="79937901"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7A0C831D"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4</w:t>
            </w:r>
            <w:r w:rsidRPr="00877EF3">
              <w:rPr>
                <w:rFonts w:ascii="Times New Roman" w:eastAsia="宋体" w:hAnsi="Times New Roman" w:cs="Times New Roman"/>
                <w:sz w:val="13"/>
                <w:szCs w:val="13"/>
              </w:rPr>
              <w:t>．其他</w:t>
            </w:r>
          </w:p>
        </w:tc>
        <w:tc>
          <w:tcPr>
            <w:tcW w:w="303" w:type="pct"/>
            <w:tcBorders>
              <w:top w:val="single" w:sz="2" w:space="0" w:color="auto"/>
              <w:left w:val="single" w:sz="2" w:space="0" w:color="auto"/>
              <w:bottom w:val="single" w:sz="2" w:space="0" w:color="auto"/>
              <w:right w:val="single" w:sz="2" w:space="0" w:color="auto"/>
            </w:tcBorders>
            <w:vAlign w:val="center"/>
          </w:tcPr>
          <w:p w14:paraId="4D0EDD9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4E5856B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2E03179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47AD2B1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95BCBE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1AA4AF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6D0B9F3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71E873A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DAA743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0F3916A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C26F92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1E3244D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9887C0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40AAC5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881C432"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7BDDBBC0"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5ACD99ED"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（四）所有者权益内部结转</w:t>
            </w:r>
          </w:p>
        </w:tc>
        <w:tc>
          <w:tcPr>
            <w:tcW w:w="303" w:type="pct"/>
            <w:tcBorders>
              <w:top w:val="single" w:sz="2" w:space="0" w:color="auto"/>
              <w:left w:val="single" w:sz="2" w:space="0" w:color="auto"/>
              <w:bottom w:val="single" w:sz="2" w:space="0" w:color="auto"/>
              <w:right w:val="single" w:sz="2" w:space="0" w:color="auto"/>
            </w:tcBorders>
            <w:vAlign w:val="center"/>
          </w:tcPr>
          <w:p w14:paraId="1C9704B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689BF43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1F4836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5C61BA5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C36971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454F0E0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4D9A64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-43,013,217.29</w:t>
            </w:r>
          </w:p>
        </w:tc>
        <w:tc>
          <w:tcPr>
            <w:tcW w:w="114" w:type="pct"/>
            <w:tcBorders>
              <w:top w:val="single" w:sz="2" w:space="0" w:color="auto"/>
              <w:left w:val="single" w:sz="2" w:space="0" w:color="auto"/>
              <w:bottom w:val="single" w:sz="2" w:space="0" w:color="auto"/>
              <w:right w:val="single" w:sz="2" w:space="0" w:color="auto"/>
            </w:tcBorders>
            <w:vAlign w:val="center"/>
          </w:tcPr>
          <w:p w14:paraId="2CCD41D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964CB7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0ADDC08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83025B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43,013,217.29</w:t>
            </w:r>
          </w:p>
        </w:tc>
        <w:tc>
          <w:tcPr>
            <w:tcW w:w="77" w:type="pct"/>
            <w:tcBorders>
              <w:top w:val="single" w:sz="2" w:space="0" w:color="auto"/>
              <w:left w:val="single" w:sz="2" w:space="0" w:color="auto"/>
              <w:bottom w:val="single" w:sz="2" w:space="0" w:color="auto"/>
              <w:right w:val="single" w:sz="2" w:space="0" w:color="auto"/>
            </w:tcBorders>
            <w:vAlign w:val="center"/>
          </w:tcPr>
          <w:p w14:paraId="6A24483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CF3DC6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25BDEA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97A323F"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25E824A2"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41F74759"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．资本公积转增资本（或股本）</w:t>
            </w:r>
          </w:p>
        </w:tc>
        <w:tc>
          <w:tcPr>
            <w:tcW w:w="303" w:type="pct"/>
            <w:tcBorders>
              <w:top w:val="single" w:sz="2" w:space="0" w:color="auto"/>
              <w:left w:val="single" w:sz="2" w:space="0" w:color="auto"/>
              <w:bottom w:val="single" w:sz="2" w:space="0" w:color="auto"/>
              <w:right w:val="single" w:sz="2" w:space="0" w:color="auto"/>
            </w:tcBorders>
            <w:vAlign w:val="center"/>
          </w:tcPr>
          <w:p w14:paraId="4678F52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2962A30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814272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482F733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F64C41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7C3E43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117432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2479522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D520B4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2F87332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0C1436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41433B5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B47E3D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FFCEFF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58EEBC3"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79E37700"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2F71BF22"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．盈余公积转增资本（或股本）</w:t>
            </w:r>
          </w:p>
        </w:tc>
        <w:tc>
          <w:tcPr>
            <w:tcW w:w="303" w:type="pct"/>
            <w:tcBorders>
              <w:top w:val="single" w:sz="2" w:space="0" w:color="auto"/>
              <w:left w:val="single" w:sz="2" w:space="0" w:color="auto"/>
              <w:bottom w:val="single" w:sz="2" w:space="0" w:color="auto"/>
              <w:right w:val="single" w:sz="2" w:space="0" w:color="auto"/>
            </w:tcBorders>
            <w:vAlign w:val="center"/>
          </w:tcPr>
          <w:p w14:paraId="39BE3EA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5275D16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0CEF1C4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4C1BE08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48158A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5132248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BB03B8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02E8F79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E6E7F1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300E9A8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B4A2F1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27FD523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C48893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5C4A60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422F480"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450810AE"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6DB6977A"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3</w:t>
            </w:r>
            <w:r w:rsidRPr="00877EF3">
              <w:rPr>
                <w:rFonts w:ascii="Times New Roman" w:eastAsia="宋体" w:hAnsi="Times New Roman" w:cs="Times New Roman"/>
                <w:sz w:val="13"/>
                <w:szCs w:val="13"/>
              </w:rPr>
              <w:t>．盈余公积弥补亏损</w:t>
            </w:r>
          </w:p>
        </w:tc>
        <w:tc>
          <w:tcPr>
            <w:tcW w:w="303" w:type="pct"/>
            <w:tcBorders>
              <w:top w:val="single" w:sz="2" w:space="0" w:color="auto"/>
              <w:left w:val="single" w:sz="2" w:space="0" w:color="auto"/>
              <w:bottom w:val="single" w:sz="2" w:space="0" w:color="auto"/>
              <w:right w:val="single" w:sz="2" w:space="0" w:color="auto"/>
            </w:tcBorders>
            <w:vAlign w:val="center"/>
          </w:tcPr>
          <w:p w14:paraId="10DE197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33846EC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7A99D19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7A0B0BE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4D5CDE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6949F1E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4D2584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249267F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FAAB74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734635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77E478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728A3D6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C63CB2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B756C8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2D0B328"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57A196C"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56853479"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4</w:t>
            </w:r>
            <w:r w:rsidRPr="00877EF3">
              <w:rPr>
                <w:rFonts w:ascii="Times New Roman" w:eastAsia="宋体" w:hAnsi="Times New Roman" w:cs="Times New Roman"/>
                <w:sz w:val="13"/>
                <w:szCs w:val="13"/>
              </w:rPr>
              <w:t>．设定受益计划变动额结转留存收益</w:t>
            </w:r>
          </w:p>
        </w:tc>
        <w:tc>
          <w:tcPr>
            <w:tcW w:w="303" w:type="pct"/>
            <w:tcBorders>
              <w:top w:val="single" w:sz="2" w:space="0" w:color="auto"/>
              <w:left w:val="single" w:sz="2" w:space="0" w:color="auto"/>
              <w:bottom w:val="single" w:sz="2" w:space="0" w:color="auto"/>
              <w:right w:val="single" w:sz="2" w:space="0" w:color="auto"/>
            </w:tcBorders>
            <w:vAlign w:val="center"/>
          </w:tcPr>
          <w:p w14:paraId="4F3AE53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21775D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7B49A82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53C5892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C2CAAD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38A1C62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13AAE4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333D1F9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AF2452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4B543D8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9C8C1F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25C56EA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233D62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9ABD1A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F9645E4"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2C24F200"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191A33D9"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5</w:t>
            </w:r>
            <w:r w:rsidRPr="00877EF3">
              <w:rPr>
                <w:rFonts w:ascii="Times New Roman" w:eastAsia="宋体" w:hAnsi="Times New Roman" w:cs="Times New Roman"/>
                <w:sz w:val="13"/>
                <w:szCs w:val="13"/>
              </w:rPr>
              <w:t>．其他综合收益结转留存收益</w:t>
            </w:r>
          </w:p>
        </w:tc>
        <w:tc>
          <w:tcPr>
            <w:tcW w:w="303" w:type="pct"/>
            <w:tcBorders>
              <w:top w:val="single" w:sz="2" w:space="0" w:color="auto"/>
              <w:left w:val="single" w:sz="2" w:space="0" w:color="auto"/>
              <w:bottom w:val="single" w:sz="2" w:space="0" w:color="auto"/>
              <w:right w:val="single" w:sz="2" w:space="0" w:color="auto"/>
            </w:tcBorders>
            <w:vAlign w:val="center"/>
          </w:tcPr>
          <w:p w14:paraId="1D43C02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4B2EA9F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583AA1B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5C5A225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8E5884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68A8F51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4D028A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-43,013,217.29</w:t>
            </w:r>
          </w:p>
        </w:tc>
        <w:tc>
          <w:tcPr>
            <w:tcW w:w="114" w:type="pct"/>
            <w:tcBorders>
              <w:top w:val="single" w:sz="2" w:space="0" w:color="auto"/>
              <w:left w:val="single" w:sz="2" w:space="0" w:color="auto"/>
              <w:bottom w:val="single" w:sz="2" w:space="0" w:color="auto"/>
              <w:right w:val="single" w:sz="2" w:space="0" w:color="auto"/>
            </w:tcBorders>
            <w:vAlign w:val="center"/>
          </w:tcPr>
          <w:p w14:paraId="30B4AE0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E859CE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06E06F7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B21924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43,013,217.29</w:t>
            </w:r>
          </w:p>
        </w:tc>
        <w:tc>
          <w:tcPr>
            <w:tcW w:w="77" w:type="pct"/>
            <w:tcBorders>
              <w:top w:val="single" w:sz="2" w:space="0" w:color="auto"/>
              <w:left w:val="single" w:sz="2" w:space="0" w:color="auto"/>
              <w:bottom w:val="single" w:sz="2" w:space="0" w:color="auto"/>
              <w:right w:val="single" w:sz="2" w:space="0" w:color="auto"/>
            </w:tcBorders>
            <w:vAlign w:val="center"/>
          </w:tcPr>
          <w:p w14:paraId="01F6A54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E2EB69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1204C2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F1637AE"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4FF437BD"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15760308"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6</w:t>
            </w:r>
            <w:r w:rsidRPr="00877EF3">
              <w:rPr>
                <w:rFonts w:ascii="Times New Roman" w:eastAsia="宋体" w:hAnsi="Times New Roman" w:cs="Times New Roman"/>
                <w:sz w:val="13"/>
                <w:szCs w:val="13"/>
              </w:rPr>
              <w:t>．其他</w:t>
            </w:r>
          </w:p>
        </w:tc>
        <w:tc>
          <w:tcPr>
            <w:tcW w:w="303" w:type="pct"/>
            <w:tcBorders>
              <w:top w:val="single" w:sz="2" w:space="0" w:color="auto"/>
              <w:left w:val="single" w:sz="2" w:space="0" w:color="auto"/>
              <w:bottom w:val="single" w:sz="2" w:space="0" w:color="auto"/>
              <w:right w:val="single" w:sz="2" w:space="0" w:color="auto"/>
            </w:tcBorders>
            <w:vAlign w:val="center"/>
          </w:tcPr>
          <w:p w14:paraId="6B5EF53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34F2185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69DC2D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2D47784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9DE506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50BE5422"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30AE6D5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2EA5D6B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B2BB74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4721DAA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8CD3E2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74D6856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4C8D0C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6FF499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AB664F9"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35A8E0A0"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141B916A"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（五）专项储备</w:t>
            </w:r>
          </w:p>
        </w:tc>
        <w:tc>
          <w:tcPr>
            <w:tcW w:w="303" w:type="pct"/>
            <w:tcBorders>
              <w:top w:val="single" w:sz="2" w:space="0" w:color="auto"/>
              <w:left w:val="single" w:sz="2" w:space="0" w:color="auto"/>
              <w:bottom w:val="single" w:sz="2" w:space="0" w:color="auto"/>
              <w:right w:val="single" w:sz="2" w:space="0" w:color="auto"/>
            </w:tcBorders>
            <w:vAlign w:val="center"/>
          </w:tcPr>
          <w:p w14:paraId="00A6575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08726C0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28A7B2F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448AAD2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172272F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1FA09D1C"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6FB803E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017B834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A66F44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5AB74E2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53EBA5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127F529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990C43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1C4963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DC3E88A"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BD413CF"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5B57F720"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1</w:t>
            </w:r>
            <w:r w:rsidRPr="00877EF3">
              <w:rPr>
                <w:rFonts w:ascii="Times New Roman" w:eastAsia="宋体" w:hAnsi="Times New Roman" w:cs="Times New Roman"/>
                <w:sz w:val="13"/>
                <w:szCs w:val="13"/>
              </w:rPr>
              <w:t>．本期提取</w:t>
            </w:r>
          </w:p>
        </w:tc>
        <w:tc>
          <w:tcPr>
            <w:tcW w:w="303" w:type="pct"/>
            <w:tcBorders>
              <w:top w:val="single" w:sz="2" w:space="0" w:color="auto"/>
              <w:left w:val="single" w:sz="2" w:space="0" w:color="auto"/>
              <w:bottom w:val="single" w:sz="2" w:space="0" w:color="auto"/>
              <w:right w:val="single" w:sz="2" w:space="0" w:color="auto"/>
            </w:tcBorders>
            <w:vAlign w:val="center"/>
          </w:tcPr>
          <w:p w14:paraId="58B070B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03E14AD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7500E79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3EC111E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FD98000"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26103DB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81D6F4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7C42B4A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261A78C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6097ACE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5D1E30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4FFE6E3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ED6E71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456BE5D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75C975C"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581D82B9"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03298D44"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2</w:t>
            </w:r>
            <w:r w:rsidRPr="00877EF3">
              <w:rPr>
                <w:rFonts w:ascii="Times New Roman" w:eastAsia="宋体" w:hAnsi="Times New Roman" w:cs="Times New Roman"/>
                <w:sz w:val="13"/>
                <w:szCs w:val="13"/>
              </w:rPr>
              <w:t>．本期使用</w:t>
            </w:r>
          </w:p>
        </w:tc>
        <w:tc>
          <w:tcPr>
            <w:tcW w:w="303" w:type="pct"/>
            <w:tcBorders>
              <w:top w:val="single" w:sz="2" w:space="0" w:color="auto"/>
              <w:left w:val="single" w:sz="2" w:space="0" w:color="auto"/>
              <w:bottom w:val="single" w:sz="2" w:space="0" w:color="auto"/>
              <w:right w:val="single" w:sz="2" w:space="0" w:color="auto"/>
            </w:tcBorders>
            <w:vAlign w:val="center"/>
          </w:tcPr>
          <w:p w14:paraId="6C1D29F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35E0C94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0B963E4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1DE0C87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3777BC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3" w:type="pct"/>
            <w:tcBorders>
              <w:top w:val="single" w:sz="2" w:space="0" w:color="auto"/>
              <w:left w:val="single" w:sz="2" w:space="0" w:color="auto"/>
              <w:bottom w:val="single" w:sz="2" w:space="0" w:color="auto"/>
              <w:right w:val="single" w:sz="2" w:space="0" w:color="auto"/>
            </w:tcBorders>
            <w:vAlign w:val="center"/>
          </w:tcPr>
          <w:p w14:paraId="29D49FD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D04E26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1F6F824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3E6DD3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1AC0D8D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734AF4A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1D99DC3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32A18FD5"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7B17A927"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55C14802" w14:textId="77777777" w:rsidR="00DC359B" w:rsidRPr="00877EF3" w:rsidRDefault="00DC359B" w:rsidP="00DC359B">
            <w:pPr>
              <w:spacing w:line="360" w:lineRule="auto"/>
              <w:jc w:val="right"/>
              <w:rPr>
                <w:rFonts w:ascii="Times New Roman" w:eastAsia="宋体" w:hAnsi="Times New Roman" w:cs="Times New Roman"/>
                <w:sz w:val="13"/>
                <w:szCs w:val="13"/>
              </w:rPr>
            </w:pPr>
          </w:p>
        </w:tc>
      </w:tr>
      <w:tr w:rsidR="00C57E60" w14:paraId="76330679"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24CF7BCF"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（六）其他</w:t>
            </w:r>
          </w:p>
        </w:tc>
        <w:tc>
          <w:tcPr>
            <w:tcW w:w="303" w:type="pct"/>
            <w:tcBorders>
              <w:top w:val="single" w:sz="2" w:space="0" w:color="auto"/>
              <w:left w:val="single" w:sz="2" w:space="0" w:color="auto"/>
              <w:bottom w:val="single" w:sz="2" w:space="0" w:color="auto"/>
              <w:right w:val="single" w:sz="2" w:space="0" w:color="auto"/>
            </w:tcBorders>
            <w:vAlign w:val="center"/>
          </w:tcPr>
          <w:p w14:paraId="46CD8D24"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2" w:type="pct"/>
            <w:tcBorders>
              <w:top w:val="single" w:sz="2" w:space="0" w:color="auto"/>
              <w:left w:val="single" w:sz="2" w:space="0" w:color="auto"/>
              <w:bottom w:val="single" w:sz="2" w:space="0" w:color="auto"/>
              <w:right w:val="single" w:sz="2" w:space="0" w:color="auto"/>
            </w:tcBorders>
            <w:vAlign w:val="center"/>
          </w:tcPr>
          <w:p w14:paraId="56AC68DB"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2F3F7E0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31D30F5D"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09013270"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1,483,496.18</w:t>
            </w:r>
          </w:p>
        </w:tc>
        <w:tc>
          <w:tcPr>
            <w:tcW w:w="313" w:type="pct"/>
            <w:tcBorders>
              <w:top w:val="single" w:sz="2" w:space="0" w:color="auto"/>
              <w:left w:val="single" w:sz="2" w:space="0" w:color="auto"/>
              <w:bottom w:val="single" w:sz="2" w:space="0" w:color="auto"/>
              <w:right w:val="single" w:sz="2" w:space="0" w:color="auto"/>
            </w:tcBorders>
            <w:vAlign w:val="center"/>
          </w:tcPr>
          <w:p w14:paraId="0DF8A96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1787055F"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14" w:type="pct"/>
            <w:tcBorders>
              <w:top w:val="single" w:sz="2" w:space="0" w:color="auto"/>
              <w:left w:val="single" w:sz="2" w:space="0" w:color="auto"/>
              <w:bottom w:val="single" w:sz="2" w:space="0" w:color="auto"/>
              <w:right w:val="single" w:sz="2" w:space="0" w:color="auto"/>
            </w:tcBorders>
            <w:vAlign w:val="center"/>
          </w:tcPr>
          <w:p w14:paraId="31E5CF2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5848C323"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158" w:type="pct"/>
            <w:tcBorders>
              <w:top w:val="single" w:sz="2" w:space="0" w:color="auto"/>
              <w:left w:val="single" w:sz="2" w:space="0" w:color="auto"/>
              <w:bottom w:val="single" w:sz="2" w:space="0" w:color="auto"/>
              <w:right w:val="single" w:sz="2" w:space="0" w:color="auto"/>
            </w:tcBorders>
            <w:vAlign w:val="center"/>
          </w:tcPr>
          <w:p w14:paraId="7A7309DA"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A4DDED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77" w:type="pct"/>
            <w:tcBorders>
              <w:top w:val="single" w:sz="2" w:space="0" w:color="auto"/>
              <w:left w:val="single" w:sz="2" w:space="0" w:color="auto"/>
              <w:bottom w:val="single" w:sz="2" w:space="0" w:color="auto"/>
              <w:right w:val="single" w:sz="2" w:space="0" w:color="auto"/>
            </w:tcBorders>
            <w:vAlign w:val="center"/>
          </w:tcPr>
          <w:p w14:paraId="086BA91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2541B06B"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1,483,496.18</w:t>
            </w:r>
          </w:p>
        </w:tc>
        <w:tc>
          <w:tcPr>
            <w:tcW w:w="310" w:type="pct"/>
            <w:tcBorders>
              <w:top w:val="single" w:sz="2" w:space="0" w:color="auto"/>
              <w:left w:val="single" w:sz="2" w:space="0" w:color="auto"/>
              <w:bottom w:val="single" w:sz="2" w:space="0" w:color="auto"/>
              <w:right w:val="single" w:sz="2" w:space="0" w:color="auto"/>
            </w:tcBorders>
            <w:vAlign w:val="center"/>
          </w:tcPr>
          <w:p w14:paraId="6419B80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9B60FD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1,483,496.18</w:t>
            </w:r>
          </w:p>
        </w:tc>
      </w:tr>
      <w:tr w:rsidR="00C57E60" w14:paraId="0950769C" w14:textId="77777777" w:rsidTr="00DC359B">
        <w:trPr>
          <w:trHeight w:val="240"/>
        </w:trPr>
        <w:tc>
          <w:tcPr>
            <w:tcW w:w="971" w:type="pct"/>
            <w:tcBorders>
              <w:top w:val="single" w:sz="2" w:space="0" w:color="auto"/>
              <w:left w:val="single" w:sz="2" w:space="0" w:color="auto"/>
              <w:bottom w:val="single" w:sz="2" w:space="0" w:color="auto"/>
              <w:right w:val="single" w:sz="2" w:space="0" w:color="auto"/>
            </w:tcBorders>
            <w:shd w:val="clear" w:color="auto" w:fill="D3D3D3"/>
            <w:vAlign w:val="center"/>
          </w:tcPr>
          <w:p w14:paraId="152F00F9" w14:textId="77777777" w:rsidR="00DC359B" w:rsidRPr="00877EF3" w:rsidRDefault="00DC359B" w:rsidP="00DC359B">
            <w:pPr>
              <w:spacing w:before="40" w:after="40" w:line="360" w:lineRule="auto"/>
              <w:rPr>
                <w:rFonts w:ascii="Times New Roman" w:eastAsia="宋体" w:hAnsi="Times New Roman" w:cs="Times New Roman"/>
                <w:sz w:val="13"/>
                <w:szCs w:val="13"/>
              </w:rPr>
            </w:pPr>
            <w:r w:rsidRPr="00877EF3">
              <w:rPr>
                <w:rFonts w:ascii="Times New Roman" w:eastAsia="宋体" w:hAnsi="Times New Roman" w:cs="Times New Roman"/>
                <w:sz w:val="13"/>
                <w:szCs w:val="13"/>
              </w:rPr>
              <w:t>四、本期期末余额</w:t>
            </w:r>
          </w:p>
        </w:tc>
        <w:tc>
          <w:tcPr>
            <w:tcW w:w="303" w:type="pct"/>
            <w:tcBorders>
              <w:top w:val="single" w:sz="2" w:space="0" w:color="auto"/>
              <w:left w:val="single" w:sz="2" w:space="0" w:color="auto"/>
              <w:bottom w:val="single" w:sz="2" w:space="0" w:color="auto"/>
              <w:right w:val="single" w:sz="2" w:space="0" w:color="auto"/>
            </w:tcBorders>
            <w:vAlign w:val="center"/>
          </w:tcPr>
          <w:p w14:paraId="47450FE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564,265,375.00</w:t>
            </w:r>
          </w:p>
        </w:tc>
        <w:tc>
          <w:tcPr>
            <w:tcW w:w="202" w:type="pct"/>
            <w:tcBorders>
              <w:top w:val="single" w:sz="2" w:space="0" w:color="auto"/>
              <w:left w:val="single" w:sz="2" w:space="0" w:color="auto"/>
              <w:bottom w:val="single" w:sz="2" w:space="0" w:color="auto"/>
              <w:right w:val="single" w:sz="2" w:space="0" w:color="auto"/>
            </w:tcBorders>
            <w:vAlign w:val="center"/>
          </w:tcPr>
          <w:p w14:paraId="3F80A4CE"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200" w:type="pct"/>
            <w:tcBorders>
              <w:top w:val="single" w:sz="2" w:space="0" w:color="auto"/>
              <w:left w:val="single" w:sz="2" w:space="0" w:color="auto"/>
              <w:bottom w:val="single" w:sz="2" w:space="0" w:color="auto"/>
              <w:right w:val="single" w:sz="2" w:space="0" w:color="auto"/>
            </w:tcBorders>
            <w:vAlign w:val="center"/>
          </w:tcPr>
          <w:p w14:paraId="453F4508"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52" w:type="pct"/>
            <w:tcBorders>
              <w:top w:val="single" w:sz="2" w:space="0" w:color="auto"/>
              <w:left w:val="single" w:sz="2" w:space="0" w:color="auto"/>
              <w:bottom w:val="single" w:sz="2" w:space="0" w:color="auto"/>
              <w:right w:val="single" w:sz="2" w:space="0" w:color="auto"/>
            </w:tcBorders>
            <w:vAlign w:val="center"/>
          </w:tcPr>
          <w:p w14:paraId="274827B6"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123,953,405.74</w:t>
            </w:r>
          </w:p>
        </w:tc>
        <w:tc>
          <w:tcPr>
            <w:tcW w:w="345" w:type="pct"/>
            <w:tcBorders>
              <w:top w:val="single" w:sz="2" w:space="0" w:color="auto"/>
              <w:left w:val="single" w:sz="2" w:space="0" w:color="auto"/>
              <w:bottom w:val="single" w:sz="2" w:space="0" w:color="auto"/>
              <w:right w:val="single" w:sz="2" w:space="0" w:color="auto"/>
            </w:tcBorders>
            <w:vAlign w:val="center"/>
          </w:tcPr>
          <w:p w14:paraId="162848DC"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1,104,915,880.07</w:t>
            </w:r>
          </w:p>
        </w:tc>
        <w:tc>
          <w:tcPr>
            <w:tcW w:w="313" w:type="pct"/>
            <w:tcBorders>
              <w:top w:val="single" w:sz="2" w:space="0" w:color="auto"/>
              <w:left w:val="single" w:sz="2" w:space="0" w:color="auto"/>
              <w:bottom w:val="single" w:sz="2" w:space="0" w:color="auto"/>
              <w:right w:val="single" w:sz="2" w:space="0" w:color="auto"/>
            </w:tcBorders>
            <w:vAlign w:val="center"/>
          </w:tcPr>
          <w:p w14:paraId="227FEE4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181,302,394.30</w:t>
            </w:r>
          </w:p>
        </w:tc>
        <w:tc>
          <w:tcPr>
            <w:tcW w:w="310" w:type="pct"/>
            <w:tcBorders>
              <w:top w:val="single" w:sz="2" w:space="0" w:color="auto"/>
              <w:left w:val="single" w:sz="2" w:space="0" w:color="auto"/>
              <w:bottom w:val="single" w:sz="2" w:space="0" w:color="auto"/>
              <w:right w:val="single" w:sz="2" w:space="0" w:color="auto"/>
            </w:tcBorders>
            <w:vAlign w:val="center"/>
          </w:tcPr>
          <w:p w14:paraId="20E5B34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136,397,201.91</w:t>
            </w:r>
          </w:p>
        </w:tc>
        <w:tc>
          <w:tcPr>
            <w:tcW w:w="114" w:type="pct"/>
            <w:tcBorders>
              <w:top w:val="single" w:sz="2" w:space="0" w:color="auto"/>
              <w:left w:val="single" w:sz="2" w:space="0" w:color="auto"/>
              <w:bottom w:val="single" w:sz="2" w:space="0" w:color="auto"/>
              <w:right w:val="single" w:sz="2" w:space="0" w:color="auto"/>
            </w:tcBorders>
            <w:vAlign w:val="center"/>
          </w:tcPr>
          <w:p w14:paraId="271C54B6"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10" w:type="pct"/>
            <w:tcBorders>
              <w:top w:val="single" w:sz="2" w:space="0" w:color="auto"/>
              <w:left w:val="single" w:sz="2" w:space="0" w:color="auto"/>
              <w:bottom w:val="single" w:sz="2" w:space="0" w:color="auto"/>
              <w:right w:val="single" w:sz="2" w:space="0" w:color="auto"/>
            </w:tcBorders>
            <w:vAlign w:val="center"/>
          </w:tcPr>
          <w:p w14:paraId="04EA8564"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482,490,060.31</w:t>
            </w:r>
          </w:p>
        </w:tc>
        <w:tc>
          <w:tcPr>
            <w:tcW w:w="158" w:type="pct"/>
            <w:tcBorders>
              <w:top w:val="single" w:sz="2" w:space="0" w:color="auto"/>
              <w:left w:val="single" w:sz="2" w:space="0" w:color="auto"/>
              <w:bottom w:val="single" w:sz="2" w:space="0" w:color="auto"/>
              <w:right w:val="single" w:sz="2" w:space="0" w:color="auto"/>
            </w:tcBorders>
            <w:vAlign w:val="center"/>
          </w:tcPr>
          <w:p w14:paraId="340BF471"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49AD65D9"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1,127,020,330.07</w:t>
            </w:r>
          </w:p>
        </w:tc>
        <w:tc>
          <w:tcPr>
            <w:tcW w:w="77" w:type="pct"/>
            <w:tcBorders>
              <w:top w:val="single" w:sz="2" w:space="0" w:color="auto"/>
              <w:left w:val="single" w:sz="2" w:space="0" w:color="auto"/>
              <w:bottom w:val="single" w:sz="2" w:space="0" w:color="auto"/>
              <w:right w:val="single" w:sz="2" w:space="0" w:color="auto"/>
            </w:tcBorders>
            <w:vAlign w:val="center"/>
          </w:tcPr>
          <w:p w14:paraId="1C2904A9" w14:textId="77777777" w:rsidR="00DC359B" w:rsidRPr="00877EF3" w:rsidRDefault="00DC359B" w:rsidP="00DC359B">
            <w:pPr>
              <w:spacing w:line="360" w:lineRule="auto"/>
              <w:jc w:val="right"/>
              <w:rPr>
                <w:rFonts w:ascii="Times New Roman" w:eastAsia="宋体" w:hAnsi="Times New Roman" w:cs="Times New Roman"/>
                <w:sz w:val="13"/>
                <w:szCs w:val="13"/>
              </w:rPr>
            </w:pPr>
          </w:p>
        </w:tc>
        <w:tc>
          <w:tcPr>
            <w:tcW w:w="345" w:type="pct"/>
            <w:tcBorders>
              <w:top w:val="single" w:sz="2" w:space="0" w:color="auto"/>
              <w:left w:val="single" w:sz="2" w:space="0" w:color="auto"/>
              <w:bottom w:val="single" w:sz="2" w:space="0" w:color="auto"/>
              <w:right w:val="single" w:sz="2" w:space="0" w:color="auto"/>
            </w:tcBorders>
            <w:vAlign w:val="center"/>
          </w:tcPr>
          <w:p w14:paraId="6CA47E2A"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3,357,739,858.80</w:t>
            </w:r>
          </w:p>
        </w:tc>
        <w:tc>
          <w:tcPr>
            <w:tcW w:w="310" w:type="pct"/>
            <w:tcBorders>
              <w:top w:val="single" w:sz="2" w:space="0" w:color="auto"/>
              <w:left w:val="single" w:sz="2" w:space="0" w:color="auto"/>
              <w:bottom w:val="single" w:sz="2" w:space="0" w:color="auto"/>
              <w:right w:val="single" w:sz="2" w:space="0" w:color="auto"/>
            </w:tcBorders>
            <w:vAlign w:val="center"/>
          </w:tcPr>
          <w:p w14:paraId="7D8908FD"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411,876,323.72</w:t>
            </w:r>
          </w:p>
        </w:tc>
        <w:tc>
          <w:tcPr>
            <w:tcW w:w="345" w:type="pct"/>
            <w:tcBorders>
              <w:top w:val="single" w:sz="2" w:space="0" w:color="auto"/>
              <w:left w:val="single" w:sz="2" w:space="0" w:color="auto"/>
              <w:bottom w:val="single" w:sz="2" w:space="0" w:color="auto"/>
              <w:right w:val="single" w:sz="2" w:space="0" w:color="auto"/>
            </w:tcBorders>
            <w:vAlign w:val="center"/>
          </w:tcPr>
          <w:p w14:paraId="0D2ADC4E" w14:textId="77777777" w:rsidR="00DC359B" w:rsidRPr="00877EF3" w:rsidRDefault="00DC359B" w:rsidP="00DC359B">
            <w:pPr>
              <w:spacing w:line="360" w:lineRule="auto"/>
              <w:jc w:val="right"/>
              <w:rPr>
                <w:rFonts w:ascii="Times New Roman" w:eastAsia="宋体" w:hAnsi="Times New Roman" w:cs="Times New Roman"/>
                <w:sz w:val="13"/>
                <w:szCs w:val="13"/>
              </w:rPr>
            </w:pPr>
            <w:r w:rsidRPr="00877EF3">
              <w:rPr>
                <w:rFonts w:ascii="Times New Roman" w:eastAsia="宋体" w:hAnsi="Times New Roman" w:cs="Times New Roman"/>
                <w:sz w:val="13"/>
                <w:szCs w:val="13"/>
              </w:rPr>
              <w:t>3,769,616,182.52</w:t>
            </w:r>
          </w:p>
        </w:tc>
      </w:tr>
    </w:tbl>
    <w:p w14:paraId="33A10FA5" w14:textId="77777777" w:rsidR="00DC359B" w:rsidRDefault="00DC359B" w:rsidP="00DC359B">
      <w:pPr>
        <w:pStyle w:val="3"/>
        <w:spacing w:line="280" w:lineRule="exact"/>
        <w:jc w:val="left"/>
        <w:rPr>
          <w:rFonts w:ascii="宋体" w:hAnsi="宋体" w:cs="宋体"/>
          <w:b/>
          <w:bCs/>
        </w:rPr>
        <w:sectPr w:rsidR="00DC359B" w:rsidSect="00DC359B">
          <w:pgSz w:w="16840" w:h="11905" w:orient="landscape"/>
          <w:pgMar w:top="1134" w:right="1440" w:bottom="1134" w:left="1440" w:header="850" w:footer="992" w:gutter="0"/>
          <w:cols w:space="720"/>
          <w:docGrid w:type="linesAndChars" w:linePitch="312"/>
        </w:sectPr>
      </w:pPr>
    </w:p>
    <w:p w14:paraId="44E203A2" w14:textId="77777777" w:rsidR="00DC359B" w:rsidRDefault="00DC359B" w:rsidP="00DC359B">
      <w:pPr>
        <w:pStyle w:val="3"/>
        <w:spacing w:line="280" w:lineRule="exact"/>
        <w:jc w:val="left"/>
        <w:rPr>
          <w:rFonts w:ascii="宋体" w:hAnsi="宋体" w:cs="宋体"/>
          <w:b/>
          <w:bCs/>
        </w:rPr>
      </w:pPr>
      <w:r>
        <w:rPr>
          <w:rFonts w:ascii="宋体" w:hAnsi="宋体" w:cs="宋体"/>
          <w:b/>
          <w:bCs/>
        </w:rPr>
        <w:t>8、母公司所有者权益变动表</w:t>
      </w:r>
    </w:p>
    <w:p w14:paraId="2DB23DC3"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本期金额</w:t>
      </w:r>
    </w:p>
    <w:p w14:paraId="29F82880" w14:textId="77777777" w:rsidR="00DC359B" w:rsidRDefault="00DC359B" w:rsidP="00DC359B">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0" w:type="auto"/>
        <w:tblLayout w:type="fixed"/>
        <w:tblCellMar>
          <w:left w:w="28" w:type="dxa"/>
          <w:right w:w="28" w:type="dxa"/>
        </w:tblCellMar>
        <w:tblLook w:val="0000" w:firstRow="0" w:lastRow="0" w:firstColumn="0" w:lastColumn="0" w:noHBand="0" w:noVBand="0"/>
      </w:tblPr>
      <w:tblGrid>
        <w:gridCol w:w="2849"/>
        <w:gridCol w:w="1150"/>
        <w:gridCol w:w="569"/>
        <w:gridCol w:w="549"/>
        <w:gridCol w:w="1149"/>
        <w:gridCol w:w="1135"/>
        <w:gridCol w:w="1135"/>
        <w:gridCol w:w="1135"/>
        <w:gridCol w:w="409"/>
        <w:gridCol w:w="1096"/>
        <w:gridCol w:w="1245"/>
        <w:gridCol w:w="367"/>
        <w:gridCol w:w="1228"/>
      </w:tblGrid>
      <w:tr w:rsidR="00C57E60" w14:paraId="12931770" w14:textId="77777777" w:rsidTr="00BC601B">
        <w:trPr>
          <w:trHeight w:val="240"/>
        </w:trPr>
        <w:tc>
          <w:tcPr>
            <w:tcW w:w="284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03674FE"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项目</w:t>
            </w:r>
          </w:p>
        </w:tc>
        <w:tc>
          <w:tcPr>
            <w:tcW w:w="11167" w:type="dxa"/>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3432FA7B"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2025年度</w:t>
            </w:r>
          </w:p>
        </w:tc>
      </w:tr>
      <w:tr w:rsidR="00C57E60" w14:paraId="2D2A669A" w14:textId="77777777" w:rsidTr="00BC601B">
        <w:trPr>
          <w:trHeight w:val="240"/>
        </w:trPr>
        <w:tc>
          <w:tcPr>
            <w:tcW w:w="284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FE8AB4A" w14:textId="77777777" w:rsidR="00DC359B" w:rsidRPr="00FF7639" w:rsidRDefault="00DC359B" w:rsidP="00DC359B">
            <w:pPr>
              <w:spacing w:line="360" w:lineRule="auto"/>
              <w:rPr>
                <w:sz w:val="13"/>
                <w:szCs w:val="13"/>
              </w:rPr>
            </w:pPr>
          </w:p>
        </w:tc>
        <w:tc>
          <w:tcPr>
            <w:tcW w:w="115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C00150A"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股本</w:t>
            </w:r>
          </w:p>
        </w:tc>
        <w:tc>
          <w:tcPr>
            <w:tcW w:w="226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A3414B3"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其他权益工具</w:t>
            </w:r>
          </w:p>
        </w:tc>
        <w:tc>
          <w:tcPr>
            <w:tcW w:w="11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B0AD85E"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资本公积</w:t>
            </w:r>
          </w:p>
        </w:tc>
        <w:tc>
          <w:tcPr>
            <w:tcW w:w="11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1B509C"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减：库存股</w:t>
            </w:r>
          </w:p>
        </w:tc>
        <w:tc>
          <w:tcPr>
            <w:tcW w:w="113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F04EEF"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其他综合收益</w:t>
            </w:r>
          </w:p>
        </w:tc>
        <w:tc>
          <w:tcPr>
            <w:tcW w:w="4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210EDA1"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专项储备</w:t>
            </w:r>
          </w:p>
        </w:tc>
        <w:tc>
          <w:tcPr>
            <w:tcW w:w="109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E792C47"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盈余公积</w:t>
            </w:r>
          </w:p>
        </w:tc>
        <w:tc>
          <w:tcPr>
            <w:tcW w:w="124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9A4841F"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未分配利润</w:t>
            </w:r>
          </w:p>
        </w:tc>
        <w:tc>
          <w:tcPr>
            <w:tcW w:w="36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76D7B7D"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其他</w:t>
            </w:r>
          </w:p>
        </w:tc>
        <w:tc>
          <w:tcPr>
            <w:tcW w:w="12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E276FA2"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所有者权益合计</w:t>
            </w:r>
          </w:p>
        </w:tc>
      </w:tr>
      <w:tr w:rsidR="00C57E60" w14:paraId="27A83A98" w14:textId="77777777" w:rsidTr="00BC601B">
        <w:trPr>
          <w:trHeight w:val="240"/>
        </w:trPr>
        <w:tc>
          <w:tcPr>
            <w:tcW w:w="284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13A18F" w14:textId="77777777" w:rsidR="00DC359B" w:rsidRPr="00FF7639" w:rsidRDefault="00DC359B" w:rsidP="00DC359B">
            <w:pPr>
              <w:spacing w:line="360" w:lineRule="auto"/>
              <w:rPr>
                <w:sz w:val="13"/>
                <w:szCs w:val="13"/>
              </w:rPr>
            </w:pPr>
          </w:p>
        </w:tc>
        <w:tc>
          <w:tcPr>
            <w:tcW w:w="115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29CA08" w14:textId="77777777" w:rsidR="00DC359B" w:rsidRPr="00FF7639" w:rsidRDefault="00DC359B" w:rsidP="00DC359B">
            <w:pPr>
              <w:spacing w:line="360" w:lineRule="auto"/>
              <w:rPr>
                <w:sz w:val="13"/>
                <w:szCs w:val="13"/>
              </w:rPr>
            </w:pPr>
          </w:p>
        </w:tc>
        <w:tc>
          <w:tcPr>
            <w:tcW w:w="569" w:type="dxa"/>
            <w:tcBorders>
              <w:top w:val="single" w:sz="2" w:space="0" w:color="auto"/>
              <w:left w:val="single" w:sz="2" w:space="0" w:color="auto"/>
              <w:bottom w:val="single" w:sz="2" w:space="0" w:color="auto"/>
              <w:right w:val="single" w:sz="2" w:space="0" w:color="auto"/>
            </w:tcBorders>
            <w:shd w:val="clear" w:color="auto" w:fill="D3D3D3"/>
            <w:vAlign w:val="center"/>
          </w:tcPr>
          <w:p w14:paraId="57388200"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优先股</w:t>
            </w:r>
          </w:p>
        </w:tc>
        <w:tc>
          <w:tcPr>
            <w:tcW w:w="549" w:type="dxa"/>
            <w:tcBorders>
              <w:top w:val="single" w:sz="2" w:space="0" w:color="auto"/>
              <w:left w:val="single" w:sz="2" w:space="0" w:color="auto"/>
              <w:bottom w:val="single" w:sz="2" w:space="0" w:color="auto"/>
              <w:right w:val="single" w:sz="2" w:space="0" w:color="auto"/>
            </w:tcBorders>
            <w:shd w:val="clear" w:color="auto" w:fill="D3D3D3"/>
            <w:vAlign w:val="center"/>
          </w:tcPr>
          <w:p w14:paraId="2DE025D3"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永续债</w:t>
            </w:r>
          </w:p>
        </w:tc>
        <w:tc>
          <w:tcPr>
            <w:tcW w:w="1149" w:type="dxa"/>
            <w:tcBorders>
              <w:top w:val="single" w:sz="2" w:space="0" w:color="auto"/>
              <w:left w:val="single" w:sz="2" w:space="0" w:color="auto"/>
              <w:bottom w:val="single" w:sz="2" w:space="0" w:color="auto"/>
              <w:right w:val="single" w:sz="2" w:space="0" w:color="auto"/>
            </w:tcBorders>
            <w:shd w:val="clear" w:color="auto" w:fill="D3D3D3"/>
            <w:vAlign w:val="center"/>
          </w:tcPr>
          <w:p w14:paraId="0B17D1BE" w14:textId="77777777" w:rsidR="00DC359B" w:rsidRPr="00FF7639" w:rsidRDefault="00DC359B" w:rsidP="00DC359B">
            <w:pPr>
              <w:spacing w:before="40" w:after="40" w:line="360" w:lineRule="auto"/>
              <w:jc w:val="center"/>
              <w:rPr>
                <w:rFonts w:ascii="宋体" w:eastAsia="宋体" w:hAnsi="宋体" w:cs="宋体"/>
                <w:sz w:val="13"/>
                <w:szCs w:val="13"/>
              </w:rPr>
            </w:pPr>
            <w:r w:rsidRPr="00FF7639">
              <w:rPr>
                <w:rFonts w:ascii="宋体" w:eastAsia="宋体" w:hAnsi="宋体" w:cs="宋体"/>
                <w:sz w:val="13"/>
                <w:szCs w:val="13"/>
              </w:rPr>
              <w:t>其他</w:t>
            </w:r>
          </w:p>
        </w:tc>
        <w:tc>
          <w:tcPr>
            <w:tcW w:w="113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BD62171" w14:textId="77777777" w:rsidR="00DC359B" w:rsidRPr="00FF7639" w:rsidRDefault="00DC359B" w:rsidP="00DC359B">
            <w:pPr>
              <w:spacing w:line="360" w:lineRule="auto"/>
              <w:rPr>
                <w:sz w:val="13"/>
                <w:szCs w:val="13"/>
              </w:rPr>
            </w:pPr>
          </w:p>
        </w:tc>
        <w:tc>
          <w:tcPr>
            <w:tcW w:w="113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0CDC776" w14:textId="77777777" w:rsidR="00DC359B" w:rsidRPr="00FF7639" w:rsidRDefault="00DC359B" w:rsidP="00DC359B">
            <w:pPr>
              <w:spacing w:line="360" w:lineRule="auto"/>
              <w:rPr>
                <w:sz w:val="13"/>
                <w:szCs w:val="13"/>
              </w:rPr>
            </w:pPr>
          </w:p>
        </w:tc>
        <w:tc>
          <w:tcPr>
            <w:tcW w:w="113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69EACA" w14:textId="77777777" w:rsidR="00DC359B" w:rsidRPr="00FF7639" w:rsidRDefault="00DC359B" w:rsidP="00DC359B">
            <w:pPr>
              <w:spacing w:line="360" w:lineRule="auto"/>
              <w:rPr>
                <w:sz w:val="13"/>
                <w:szCs w:val="13"/>
              </w:rPr>
            </w:pPr>
          </w:p>
        </w:tc>
        <w:tc>
          <w:tcPr>
            <w:tcW w:w="409" w:type="dxa"/>
            <w:vMerge/>
            <w:tcBorders>
              <w:top w:val="single" w:sz="2" w:space="0" w:color="auto"/>
              <w:left w:val="single" w:sz="2" w:space="0" w:color="auto"/>
              <w:bottom w:val="single" w:sz="2" w:space="0" w:color="auto"/>
              <w:right w:val="single" w:sz="2" w:space="0" w:color="auto"/>
            </w:tcBorders>
            <w:vAlign w:val="center"/>
          </w:tcPr>
          <w:p w14:paraId="5760F098" w14:textId="77777777" w:rsidR="00DC359B" w:rsidRPr="00FF7639" w:rsidRDefault="00DC359B" w:rsidP="00DC359B">
            <w:pPr>
              <w:spacing w:line="360" w:lineRule="auto"/>
              <w:rPr>
                <w:sz w:val="13"/>
                <w:szCs w:val="13"/>
              </w:rPr>
            </w:pPr>
          </w:p>
        </w:tc>
        <w:tc>
          <w:tcPr>
            <w:tcW w:w="109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CFACD50" w14:textId="77777777" w:rsidR="00DC359B" w:rsidRPr="00FF7639" w:rsidRDefault="00DC359B" w:rsidP="00DC359B">
            <w:pPr>
              <w:spacing w:line="360" w:lineRule="auto"/>
              <w:rPr>
                <w:sz w:val="13"/>
                <w:szCs w:val="13"/>
              </w:rPr>
            </w:pPr>
          </w:p>
        </w:tc>
        <w:tc>
          <w:tcPr>
            <w:tcW w:w="124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CA3500C" w14:textId="77777777" w:rsidR="00DC359B" w:rsidRPr="00FF7639" w:rsidRDefault="00DC359B" w:rsidP="00DC359B">
            <w:pPr>
              <w:spacing w:line="360" w:lineRule="auto"/>
              <w:rPr>
                <w:sz w:val="13"/>
                <w:szCs w:val="13"/>
              </w:rPr>
            </w:pPr>
          </w:p>
        </w:tc>
        <w:tc>
          <w:tcPr>
            <w:tcW w:w="367" w:type="dxa"/>
            <w:vMerge/>
            <w:tcBorders>
              <w:top w:val="single" w:sz="2" w:space="0" w:color="auto"/>
              <w:left w:val="single" w:sz="2" w:space="0" w:color="auto"/>
              <w:bottom w:val="single" w:sz="2" w:space="0" w:color="auto"/>
              <w:right w:val="single" w:sz="2" w:space="0" w:color="auto"/>
            </w:tcBorders>
            <w:vAlign w:val="center"/>
          </w:tcPr>
          <w:p w14:paraId="2042E255" w14:textId="77777777" w:rsidR="00DC359B" w:rsidRPr="00FF7639" w:rsidRDefault="00DC359B" w:rsidP="00DC359B">
            <w:pPr>
              <w:spacing w:line="360" w:lineRule="auto"/>
              <w:rPr>
                <w:sz w:val="13"/>
                <w:szCs w:val="13"/>
              </w:rPr>
            </w:pPr>
          </w:p>
        </w:tc>
        <w:tc>
          <w:tcPr>
            <w:tcW w:w="12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F1A807" w14:textId="77777777" w:rsidR="00DC359B" w:rsidRPr="00FF7639" w:rsidRDefault="00DC359B" w:rsidP="00DC359B">
            <w:pPr>
              <w:spacing w:line="360" w:lineRule="auto"/>
              <w:rPr>
                <w:sz w:val="13"/>
                <w:szCs w:val="13"/>
              </w:rPr>
            </w:pPr>
          </w:p>
        </w:tc>
      </w:tr>
      <w:tr w:rsidR="00C57E60" w14:paraId="58F70459"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3C702A07"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一、上年期末余额</w:t>
            </w:r>
          </w:p>
        </w:tc>
        <w:tc>
          <w:tcPr>
            <w:tcW w:w="1150" w:type="dxa"/>
            <w:tcBorders>
              <w:top w:val="single" w:sz="2" w:space="0" w:color="auto"/>
              <w:left w:val="single" w:sz="2" w:space="0" w:color="auto"/>
              <w:bottom w:val="single" w:sz="2" w:space="0" w:color="auto"/>
              <w:right w:val="single" w:sz="2" w:space="0" w:color="auto"/>
            </w:tcBorders>
            <w:vAlign w:val="center"/>
          </w:tcPr>
          <w:p w14:paraId="360917A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564,265,375.00</w:t>
            </w:r>
          </w:p>
        </w:tc>
        <w:tc>
          <w:tcPr>
            <w:tcW w:w="569" w:type="dxa"/>
            <w:tcBorders>
              <w:top w:val="single" w:sz="2" w:space="0" w:color="auto"/>
              <w:left w:val="single" w:sz="2" w:space="0" w:color="auto"/>
              <w:bottom w:val="single" w:sz="2" w:space="0" w:color="auto"/>
              <w:right w:val="single" w:sz="2" w:space="0" w:color="auto"/>
            </w:tcBorders>
            <w:vAlign w:val="center"/>
          </w:tcPr>
          <w:p w14:paraId="15DE061E"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19D5E35"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0D33B84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123,953,405.74</w:t>
            </w:r>
          </w:p>
        </w:tc>
        <w:tc>
          <w:tcPr>
            <w:tcW w:w="1135" w:type="dxa"/>
            <w:tcBorders>
              <w:top w:val="single" w:sz="2" w:space="0" w:color="auto"/>
              <w:left w:val="single" w:sz="2" w:space="0" w:color="auto"/>
              <w:bottom w:val="single" w:sz="2" w:space="0" w:color="auto"/>
              <w:right w:val="single" w:sz="2" w:space="0" w:color="auto"/>
            </w:tcBorders>
            <w:vAlign w:val="center"/>
          </w:tcPr>
          <w:p w14:paraId="1432196C"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1,055,267,228.01</w:t>
            </w:r>
          </w:p>
        </w:tc>
        <w:tc>
          <w:tcPr>
            <w:tcW w:w="1135" w:type="dxa"/>
            <w:tcBorders>
              <w:top w:val="single" w:sz="2" w:space="0" w:color="auto"/>
              <w:left w:val="single" w:sz="2" w:space="0" w:color="auto"/>
              <w:bottom w:val="single" w:sz="2" w:space="0" w:color="auto"/>
              <w:right w:val="single" w:sz="2" w:space="0" w:color="auto"/>
            </w:tcBorders>
            <w:vAlign w:val="center"/>
          </w:tcPr>
          <w:p w14:paraId="61061318"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181,302,394.30</w:t>
            </w:r>
          </w:p>
        </w:tc>
        <w:tc>
          <w:tcPr>
            <w:tcW w:w="1135" w:type="dxa"/>
            <w:tcBorders>
              <w:top w:val="single" w:sz="2" w:space="0" w:color="auto"/>
              <w:left w:val="single" w:sz="2" w:space="0" w:color="auto"/>
              <w:bottom w:val="single" w:sz="2" w:space="0" w:color="auto"/>
              <w:right w:val="single" w:sz="2" w:space="0" w:color="auto"/>
            </w:tcBorders>
            <w:vAlign w:val="center"/>
          </w:tcPr>
          <w:p w14:paraId="41177385"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18,925,448.81</w:t>
            </w:r>
          </w:p>
        </w:tc>
        <w:tc>
          <w:tcPr>
            <w:tcW w:w="409" w:type="dxa"/>
            <w:tcBorders>
              <w:top w:val="single" w:sz="2" w:space="0" w:color="auto"/>
              <w:left w:val="single" w:sz="2" w:space="0" w:color="auto"/>
              <w:bottom w:val="single" w:sz="2" w:space="0" w:color="auto"/>
              <w:right w:val="single" w:sz="2" w:space="0" w:color="auto"/>
            </w:tcBorders>
            <w:vAlign w:val="center"/>
          </w:tcPr>
          <w:p w14:paraId="3BB797C6"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0D465456"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482,490,060.31</w:t>
            </w:r>
          </w:p>
        </w:tc>
        <w:tc>
          <w:tcPr>
            <w:tcW w:w="1245" w:type="dxa"/>
            <w:tcBorders>
              <w:top w:val="single" w:sz="2" w:space="0" w:color="auto"/>
              <w:left w:val="single" w:sz="2" w:space="0" w:color="auto"/>
              <w:bottom w:val="single" w:sz="2" w:space="0" w:color="auto"/>
              <w:right w:val="single" w:sz="2" w:space="0" w:color="auto"/>
            </w:tcBorders>
            <w:vAlign w:val="center"/>
          </w:tcPr>
          <w:p w14:paraId="5E1E0CB4"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1,345,686,908.33</w:t>
            </w:r>
          </w:p>
        </w:tc>
        <w:tc>
          <w:tcPr>
            <w:tcW w:w="367" w:type="dxa"/>
            <w:tcBorders>
              <w:top w:val="single" w:sz="2" w:space="0" w:color="auto"/>
              <w:left w:val="single" w:sz="2" w:space="0" w:color="auto"/>
              <w:bottom w:val="single" w:sz="2" w:space="0" w:color="auto"/>
              <w:right w:val="single" w:sz="2" w:space="0" w:color="auto"/>
            </w:tcBorders>
            <w:vAlign w:val="center"/>
          </w:tcPr>
          <w:p w14:paraId="41DA4EB3"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F0A05C9"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3,409,286,031.90</w:t>
            </w:r>
          </w:p>
        </w:tc>
      </w:tr>
      <w:tr w:rsidR="00C57E60" w14:paraId="0ECA4D8D"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2F2AD4FE" w14:textId="77777777" w:rsidR="00DC359B" w:rsidRPr="00FF7639" w:rsidRDefault="00DC359B" w:rsidP="00DC359B">
            <w:pPr>
              <w:spacing w:before="40" w:after="40" w:line="360" w:lineRule="auto"/>
              <w:ind w:firstLineChars="200" w:firstLine="260"/>
              <w:rPr>
                <w:rFonts w:ascii="宋体" w:eastAsia="宋体" w:hAnsi="宋体" w:cs="宋体"/>
                <w:sz w:val="13"/>
                <w:szCs w:val="13"/>
              </w:rPr>
            </w:pPr>
            <w:r w:rsidRPr="00FF7639">
              <w:rPr>
                <w:rFonts w:ascii="宋体" w:eastAsia="宋体" w:hAnsi="宋体" w:cs="宋体"/>
                <w:sz w:val="13"/>
                <w:szCs w:val="13"/>
              </w:rPr>
              <w:t>加：会计政策变更</w:t>
            </w:r>
          </w:p>
        </w:tc>
        <w:tc>
          <w:tcPr>
            <w:tcW w:w="1150" w:type="dxa"/>
            <w:tcBorders>
              <w:top w:val="single" w:sz="2" w:space="0" w:color="auto"/>
              <w:left w:val="single" w:sz="2" w:space="0" w:color="auto"/>
              <w:bottom w:val="single" w:sz="2" w:space="0" w:color="auto"/>
              <w:right w:val="single" w:sz="2" w:space="0" w:color="auto"/>
            </w:tcBorders>
            <w:vAlign w:val="center"/>
          </w:tcPr>
          <w:p w14:paraId="1939D1CB"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5A321117"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4DC68FF9"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558E1D85"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480F5DE5"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091E739"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48601EB1"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2A8653DA"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7E4BAD14"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383BE522"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6CD20F68"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51A6029D" w14:textId="77777777" w:rsidR="00DC359B" w:rsidRPr="00FF7639" w:rsidRDefault="00DC359B" w:rsidP="00DC359B">
            <w:pPr>
              <w:spacing w:line="360" w:lineRule="auto"/>
              <w:jc w:val="right"/>
              <w:rPr>
                <w:rFonts w:ascii="宋体" w:eastAsia="宋体" w:hAnsi="宋体" w:cs="宋体"/>
                <w:sz w:val="13"/>
                <w:szCs w:val="13"/>
              </w:rPr>
            </w:pPr>
          </w:p>
        </w:tc>
      </w:tr>
      <w:tr w:rsidR="00C57E60" w14:paraId="66C15BE3"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087C3DC6" w14:textId="77777777" w:rsidR="00DC359B" w:rsidRPr="00FF7639" w:rsidRDefault="00DC359B" w:rsidP="00DC359B">
            <w:pPr>
              <w:spacing w:before="40" w:after="40" w:line="360" w:lineRule="auto"/>
              <w:ind w:firstLineChars="400" w:firstLine="520"/>
              <w:rPr>
                <w:rFonts w:ascii="宋体" w:eastAsia="宋体" w:hAnsi="宋体" w:cs="宋体"/>
                <w:sz w:val="13"/>
                <w:szCs w:val="13"/>
              </w:rPr>
            </w:pPr>
            <w:r w:rsidRPr="00FF7639">
              <w:rPr>
                <w:rFonts w:ascii="宋体" w:eastAsia="宋体" w:hAnsi="宋体" w:cs="宋体"/>
                <w:sz w:val="13"/>
                <w:szCs w:val="13"/>
              </w:rPr>
              <w:t>前期差错更正</w:t>
            </w:r>
          </w:p>
        </w:tc>
        <w:tc>
          <w:tcPr>
            <w:tcW w:w="1150" w:type="dxa"/>
            <w:tcBorders>
              <w:top w:val="single" w:sz="2" w:space="0" w:color="auto"/>
              <w:left w:val="single" w:sz="2" w:space="0" w:color="auto"/>
              <w:bottom w:val="single" w:sz="2" w:space="0" w:color="auto"/>
              <w:right w:val="single" w:sz="2" w:space="0" w:color="auto"/>
            </w:tcBorders>
            <w:vAlign w:val="center"/>
          </w:tcPr>
          <w:p w14:paraId="215A7B12"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2730267A"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7D40CDFD"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3A2B618A"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D49C413"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1F3D7AF"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2A612B2"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3827DA09"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6BE44B8D"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303352F0"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3C019EA0"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252F2702" w14:textId="77777777" w:rsidR="00DC359B" w:rsidRPr="00FF7639" w:rsidRDefault="00DC359B" w:rsidP="00DC359B">
            <w:pPr>
              <w:spacing w:line="360" w:lineRule="auto"/>
              <w:jc w:val="right"/>
              <w:rPr>
                <w:rFonts w:ascii="宋体" w:eastAsia="宋体" w:hAnsi="宋体" w:cs="宋体"/>
                <w:sz w:val="13"/>
                <w:szCs w:val="13"/>
              </w:rPr>
            </w:pPr>
          </w:p>
        </w:tc>
      </w:tr>
      <w:tr w:rsidR="00C57E60" w14:paraId="45DB91F0"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7C66C477" w14:textId="77777777" w:rsidR="00DC359B" w:rsidRPr="00FF7639" w:rsidRDefault="00DC359B" w:rsidP="00DC359B">
            <w:pPr>
              <w:spacing w:before="40" w:after="40" w:line="360" w:lineRule="auto"/>
              <w:ind w:firstLineChars="400" w:firstLine="520"/>
              <w:rPr>
                <w:rFonts w:ascii="宋体" w:eastAsia="宋体" w:hAnsi="宋体" w:cs="宋体"/>
                <w:sz w:val="13"/>
                <w:szCs w:val="13"/>
              </w:rPr>
            </w:pPr>
            <w:r w:rsidRPr="00FF7639">
              <w:rPr>
                <w:rFonts w:ascii="宋体" w:eastAsia="宋体" w:hAnsi="宋体" w:cs="宋体"/>
                <w:sz w:val="13"/>
                <w:szCs w:val="13"/>
              </w:rPr>
              <w:t>其他</w:t>
            </w:r>
          </w:p>
        </w:tc>
        <w:tc>
          <w:tcPr>
            <w:tcW w:w="1150" w:type="dxa"/>
            <w:tcBorders>
              <w:top w:val="single" w:sz="2" w:space="0" w:color="auto"/>
              <w:left w:val="single" w:sz="2" w:space="0" w:color="auto"/>
              <w:bottom w:val="single" w:sz="2" w:space="0" w:color="auto"/>
              <w:right w:val="single" w:sz="2" w:space="0" w:color="auto"/>
            </w:tcBorders>
            <w:vAlign w:val="center"/>
          </w:tcPr>
          <w:p w14:paraId="0D8C1221"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51A02A12"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87AC338"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689FE42D"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59019253"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C575D49"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EA278E9"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2A054FBF"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28D128B5"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7B1364D1"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320FA78E"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1D9BAF5B" w14:textId="77777777" w:rsidR="00DC359B" w:rsidRPr="00FF7639" w:rsidRDefault="00DC359B" w:rsidP="00DC359B">
            <w:pPr>
              <w:spacing w:line="360" w:lineRule="auto"/>
              <w:jc w:val="right"/>
              <w:rPr>
                <w:rFonts w:ascii="宋体" w:eastAsia="宋体" w:hAnsi="宋体" w:cs="宋体"/>
                <w:sz w:val="13"/>
                <w:szCs w:val="13"/>
              </w:rPr>
            </w:pPr>
          </w:p>
        </w:tc>
      </w:tr>
      <w:tr w:rsidR="00C57E60" w14:paraId="5DE57CD7"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1EAF09E2"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二、本年期初余额</w:t>
            </w:r>
          </w:p>
        </w:tc>
        <w:tc>
          <w:tcPr>
            <w:tcW w:w="1150" w:type="dxa"/>
            <w:tcBorders>
              <w:top w:val="single" w:sz="2" w:space="0" w:color="auto"/>
              <w:left w:val="single" w:sz="2" w:space="0" w:color="auto"/>
              <w:bottom w:val="single" w:sz="2" w:space="0" w:color="auto"/>
              <w:right w:val="single" w:sz="2" w:space="0" w:color="auto"/>
            </w:tcBorders>
            <w:vAlign w:val="center"/>
          </w:tcPr>
          <w:p w14:paraId="3C1AD322"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564,265,375.00</w:t>
            </w:r>
          </w:p>
        </w:tc>
        <w:tc>
          <w:tcPr>
            <w:tcW w:w="569" w:type="dxa"/>
            <w:tcBorders>
              <w:top w:val="single" w:sz="2" w:space="0" w:color="auto"/>
              <w:left w:val="single" w:sz="2" w:space="0" w:color="auto"/>
              <w:bottom w:val="single" w:sz="2" w:space="0" w:color="auto"/>
              <w:right w:val="single" w:sz="2" w:space="0" w:color="auto"/>
            </w:tcBorders>
            <w:vAlign w:val="center"/>
          </w:tcPr>
          <w:p w14:paraId="6C228362"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317441C"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2E9CA33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123,953,405.74</w:t>
            </w:r>
          </w:p>
        </w:tc>
        <w:tc>
          <w:tcPr>
            <w:tcW w:w="1135" w:type="dxa"/>
            <w:tcBorders>
              <w:top w:val="single" w:sz="2" w:space="0" w:color="auto"/>
              <w:left w:val="single" w:sz="2" w:space="0" w:color="auto"/>
              <w:bottom w:val="single" w:sz="2" w:space="0" w:color="auto"/>
              <w:right w:val="single" w:sz="2" w:space="0" w:color="auto"/>
            </w:tcBorders>
            <w:vAlign w:val="center"/>
          </w:tcPr>
          <w:p w14:paraId="4A2F366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1,055,267,228.01</w:t>
            </w:r>
          </w:p>
        </w:tc>
        <w:tc>
          <w:tcPr>
            <w:tcW w:w="1135" w:type="dxa"/>
            <w:tcBorders>
              <w:top w:val="single" w:sz="2" w:space="0" w:color="auto"/>
              <w:left w:val="single" w:sz="2" w:space="0" w:color="auto"/>
              <w:bottom w:val="single" w:sz="2" w:space="0" w:color="auto"/>
              <w:right w:val="single" w:sz="2" w:space="0" w:color="auto"/>
            </w:tcBorders>
            <w:vAlign w:val="center"/>
          </w:tcPr>
          <w:p w14:paraId="1047C739"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181,302,394.30</w:t>
            </w:r>
          </w:p>
        </w:tc>
        <w:tc>
          <w:tcPr>
            <w:tcW w:w="1135" w:type="dxa"/>
            <w:tcBorders>
              <w:top w:val="single" w:sz="2" w:space="0" w:color="auto"/>
              <w:left w:val="single" w:sz="2" w:space="0" w:color="auto"/>
              <w:bottom w:val="single" w:sz="2" w:space="0" w:color="auto"/>
              <w:right w:val="single" w:sz="2" w:space="0" w:color="auto"/>
            </w:tcBorders>
            <w:vAlign w:val="center"/>
          </w:tcPr>
          <w:p w14:paraId="2CB27E18"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18,925,448.81</w:t>
            </w:r>
          </w:p>
        </w:tc>
        <w:tc>
          <w:tcPr>
            <w:tcW w:w="409" w:type="dxa"/>
            <w:tcBorders>
              <w:top w:val="single" w:sz="2" w:space="0" w:color="auto"/>
              <w:left w:val="single" w:sz="2" w:space="0" w:color="auto"/>
              <w:bottom w:val="single" w:sz="2" w:space="0" w:color="auto"/>
              <w:right w:val="single" w:sz="2" w:space="0" w:color="auto"/>
            </w:tcBorders>
            <w:vAlign w:val="center"/>
          </w:tcPr>
          <w:p w14:paraId="569C34E3"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41A5BDF5"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482,490,060.31</w:t>
            </w:r>
          </w:p>
        </w:tc>
        <w:tc>
          <w:tcPr>
            <w:tcW w:w="1245" w:type="dxa"/>
            <w:tcBorders>
              <w:top w:val="single" w:sz="2" w:space="0" w:color="auto"/>
              <w:left w:val="single" w:sz="2" w:space="0" w:color="auto"/>
              <w:bottom w:val="single" w:sz="2" w:space="0" w:color="auto"/>
              <w:right w:val="single" w:sz="2" w:space="0" w:color="auto"/>
            </w:tcBorders>
            <w:vAlign w:val="center"/>
          </w:tcPr>
          <w:p w14:paraId="0E754383"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1,345,686,908.33</w:t>
            </w:r>
          </w:p>
        </w:tc>
        <w:tc>
          <w:tcPr>
            <w:tcW w:w="367" w:type="dxa"/>
            <w:tcBorders>
              <w:top w:val="single" w:sz="2" w:space="0" w:color="auto"/>
              <w:left w:val="single" w:sz="2" w:space="0" w:color="auto"/>
              <w:bottom w:val="single" w:sz="2" w:space="0" w:color="auto"/>
              <w:right w:val="single" w:sz="2" w:space="0" w:color="auto"/>
            </w:tcBorders>
            <w:vAlign w:val="center"/>
          </w:tcPr>
          <w:p w14:paraId="43ABB475"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2D36CB5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3,409,286,031.90</w:t>
            </w:r>
          </w:p>
        </w:tc>
      </w:tr>
      <w:tr w:rsidR="00C57E60" w14:paraId="59CA054B"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565AF6A4"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三、本期增减变动金额（减少以“－”号填列）</w:t>
            </w:r>
          </w:p>
        </w:tc>
        <w:tc>
          <w:tcPr>
            <w:tcW w:w="1150" w:type="dxa"/>
            <w:tcBorders>
              <w:top w:val="single" w:sz="2" w:space="0" w:color="auto"/>
              <w:left w:val="single" w:sz="2" w:space="0" w:color="auto"/>
              <w:bottom w:val="single" w:sz="2" w:space="0" w:color="auto"/>
              <w:right w:val="single" w:sz="2" w:space="0" w:color="auto"/>
            </w:tcBorders>
            <w:vAlign w:val="center"/>
          </w:tcPr>
          <w:p w14:paraId="7AB4D8E7"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-3,998,069.00</w:t>
            </w:r>
          </w:p>
        </w:tc>
        <w:tc>
          <w:tcPr>
            <w:tcW w:w="569" w:type="dxa"/>
            <w:tcBorders>
              <w:top w:val="single" w:sz="2" w:space="0" w:color="auto"/>
              <w:left w:val="single" w:sz="2" w:space="0" w:color="auto"/>
              <w:bottom w:val="single" w:sz="2" w:space="0" w:color="auto"/>
              <w:right w:val="single" w:sz="2" w:space="0" w:color="auto"/>
            </w:tcBorders>
            <w:vAlign w:val="center"/>
          </w:tcPr>
          <w:p w14:paraId="06F20245"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D4DB75C"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797FF0E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-10,445.88</w:t>
            </w:r>
          </w:p>
        </w:tc>
        <w:tc>
          <w:tcPr>
            <w:tcW w:w="1135" w:type="dxa"/>
            <w:tcBorders>
              <w:top w:val="single" w:sz="2" w:space="0" w:color="auto"/>
              <w:left w:val="single" w:sz="2" w:space="0" w:color="auto"/>
              <w:bottom w:val="single" w:sz="2" w:space="0" w:color="auto"/>
              <w:right w:val="single" w:sz="2" w:space="0" w:color="auto"/>
            </w:tcBorders>
            <w:vAlign w:val="center"/>
          </w:tcPr>
          <w:p w14:paraId="3C4AB041"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-79,554,927.76</w:t>
            </w:r>
          </w:p>
        </w:tc>
        <w:tc>
          <w:tcPr>
            <w:tcW w:w="1135" w:type="dxa"/>
            <w:tcBorders>
              <w:top w:val="single" w:sz="2" w:space="0" w:color="auto"/>
              <w:left w:val="single" w:sz="2" w:space="0" w:color="auto"/>
              <w:bottom w:val="single" w:sz="2" w:space="0" w:color="auto"/>
              <w:right w:val="single" w:sz="2" w:space="0" w:color="auto"/>
            </w:tcBorders>
            <w:vAlign w:val="center"/>
          </w:tcPr>
          <w:p w14:paraId="185886B5"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105,314,229.38</w:t>
            </w:r>
          </w:p>
        </w:tc>
        <w:tc>
          <w:tcPr>
            <w:tcW w:w="1135" w:type="dxa"/>
            <w:tcBorders>
              <w:top w:val="single" w:sz="2" w:space="0" w:color="auto"/>
              <w:left w:val="single" w:sz="2" w:space="0" w:color="auto"/>
              <w:bottom w:val="single" w:sz="2" w:space="0" w:color="auto"/>
              <w:right w:val="single" w:sz="2" w:space="0" w:color="auto"/>
            </w:tcBorders>
            <w:vAlign w:val="center"/>
          </w:tcPr>
          <w:p w14:paraId="1734801C"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-27,956,783.10</w:t>
            </w:r>
          </w:p>
        </w:tc>
        <w:tc>
          <w:tcPr>
            <w:tcW w:w="409" w:type="dxa"/>
            <w:tcBorders>
              <w:top w:val="single" w:sz="2" w:space="0" w:color="auto"/>
              <w:left w:val="single" w:sz="2" w:space="0" w:color="auto"/>
              <w:bottom w:val="single" w:sz="2" w:space="0" w:color="auto"/>
              <w:right w:val="single" w:sz="2" w:space="0" w:color="auto"/>
            </w:tcBorders>
            <w:vAlign w:val="center"/>
          </w:tcPr>
          <w:p w14:paraId="5423680B"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6D5B5ED6" w14:textId="6ED2BFDA"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50,390,125.19</w:t>
            </w:r>
          </w:p>
        </w:tc>
        <w:tc>
          <w:tcPr>
            <w:tcW w:w="1245" w:type="dxa"/>
            <w:tcBorders>
              <w:top w:val="single" w:sz="2" w:space="0" w:color="auto"/>
              <w:left w:val="single" w:sz="2" w:space="0" w:color="auto"/>
              <w:bottom w:val="single" w:sz="2" w:space="0" w:color="auto"/>
              <w:right w:val="single" w:sz="2" w:space="0" w:color="auto"/>
            </w:tcBorders>
            <w:vAlign w:val="center"/>
          </w:tcPr>
          <w:p w14:paraId="655226B6" w14:textId="3415938F"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163,889,325.36</w:t>
            </w:r>
          </w:p>
        </w:tc>
        <w:tc>
          <w:tcPr>
            <w:tcW w:w="367" w:type="dxa"/>
            <w:tcBorders>
              <w:top w:val="single" w:sz="2" w:space="0" w:color="auto"/>
              <w:left w:val="single" w:sz="2" w:space="0" w:color="auto"/>
              <w:bottom w:val="single" w:sz="2" w:space="0" w:color="auto"/>
              <w:right w:val="single" w:sz="2" w:space="0" w:color="auto"/>
            </w:tcBorders>
            <w:vAlign w:val="center"/>
          </w:tcPr>
          <w:p w14:paraId="1BA3EE69"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7AFDE0E6" w14:textId="0B3B20BC"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-2,555,004.57</w:t>
            </w:r>
          </w:p>
        </w:tc>
      </w:tr>
      <w:tr w:rsidR="00C57E60" w14:paraId="68D6AB26"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23012AAE"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（一）综合收益总额</w:t>
            </w:r>
          </w:p>
        </w:tc>
        <w:tc>
          <w:tcPr>
            <w:tcW w:w="1150" w:type="dxa"/>
            <w:tcBorders>
              <w:top w:val="single" w:sz="2" w:space="0" w:color="auto"/>
              <w:left w:val="single" w:sz="2" w:space="0" w:color="auto"/>
              <w:bottom w:val="single" w:sz="2" w:space="0" w:color="auto"/>
              <w:right w:val="single" w:sz="2" w:space="0" w:color="auto"/>
            </w:tcBorders>
            <w:vAlign w:val="center"/>
          </w:tcPr>
          <w:p w14:paraId="7ECF12E0"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69140805"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40849057"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38A2425B"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43D8745A"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1F46B9F"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8D1A52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-4,562,616.68</w:t>
            </w:r>
          </w:p>
        </w:tc>
        <w:tc>
          <w:tcPr>
            <w:tcW w:w="409" w:type="dxa"/>
            <w:tcBorders>
              <w:top w:val="single" w:sz="2" w:space="0" w:color="auto"/>
              <w:left w:val="single" w:sz="2" w:space="0" w:color="auto"/>
              <w:bottom w:val="single" w:sz="2" w:space="0" w:color="auto"/>
              <w:right w:val="single" w:sz="2" w:space="0" w:color="auto"/>
            </w:tcBorders>
            <w:vAlign w:val="center"/>
          </w:tcPr>
          <w:p w14:paraId="1DBA9733"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1A475014"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3CD7CCDB" w14:textId="13B2C958"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312,540,001.49</w:t>
            </w:r>
          </w:p>
        </w:tc>
        <w:tc>
          <w:tcPr>
            <w:tcW w:w="367" w:type="dxa"/>
            <w:tcBorders>
              <w:top w:val="single" w:sz="2" w:space="0" w:color="auto"/>
              <w:left w:val="single" w:sz="2" w:space="0" w:color="auto"/>
              <w:bottom w:val="single" w:sz="2" w:space="0" w:color="auto"/>
              <w:right w:val="single" w:sz="2" w:space="0" w:color="auto"/>
            </w:tcBorders>
            <w:vAlign w:val="center"/>
          </w:tcPr>
          <w:p w14:paraId="3DDAD33D"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0EE6914C" w14:textId="7BB0D227"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307,977,384.81</w:t>
            </w:r>
          </w:p>
        </w:tc>
      </w:tr>
      <w:tr w:rsidR="00C57E60" w14:paraId="18DE2D9A"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216650A2"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（二）所有者投入和减少资本</w:t>
            </w:r>
          </w:p>
        </w:tc>
        <w:tc>
          <w:tcPr>
            <w:tcW w:w="1150" w:type="dxa"/>
            <w:tcBorders>
              <w:top w:val="single" w:sz="2" w:space="0" w:color="auto"/>
              <w:left w:val="single" w:sz="2" w:space="0" w:color="auto"/>
              <w:bottom w:val="single" w:sz="2" w:space="0" w:color="auto"/>
              <w:right w:val="single" w:sz="2" w:space="0" w:color="auto"/>
            </w:tcBorders>
            <w:vAlign w:val="center"/>
          </w:tcPr>
          <w:p w14:paraId="6D300F45"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-3,998,069.00</w:t>
            </w:r>
          </w:p>
        </w:tc>
        <w:tc>
          <w:tcPr>
            <w:tcW w:w="569" w:type="dxa"/>
            <w:tcBorders>
              <w:top w:val="single" w:sz="2" w:space="0" w:color="auto"/>
              <w:left w:val="single" w:sz="2" w:space="0" w:color="auto"/>
              <w:bottom w:val="single" w:sz="2" w:space="0" w:color="auto"/>
              <w:right w:val="single" w:sz="2" w:space="0" w:color="auto"/>
            </w:tcBorders>
            <w:vAlign w:val="center"/>
          </w:tcPr>
          <w:p w14:paraId="67C6C1A6"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4EFFF99C"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4D17BC9F"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-10,445.88</w:t>
            </w:r>
          </w:p>
        </w:tc>
        <w:tc>
          <w:tcPr>
            <w:tcW w:w="1135" w:type="dxa"/>
            <w:tcBorders>
              <w:top w:val="single" w:sz="2" w:space="0" w:color="auto"/>
              <w:left w:val="single" w:sz="2" w:space="0" w:color="auto"/>
              <w:bottom w:val="single" w:sz="2" w:space="0" w:color="auto"/>
              <w:right w:val="single" w:sz="2" w:space="0" w:color="auto"/>
            </w:tcBorders>
            <w:vAlign w:val="center"/>
          </w:tcPr>
          <w:p w14:paraId="22AC0FA2"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-79,563,381.37</w:t>
            </w:r>
          </w:p>
        </w:tc>
        <w:tc>
          <w:tcPr>
            <w:tcW w:w="1135" w:type="dxa"/>
            <w:tcBorders>
              <w:top w:val="single" w:sz="2" w:space="0" w:color="auto"/>
              <w:left w:val="single" w:sz="2" w:space="0" w:color="auto"/>
              <w:bottom w:val="single" w:sz="2" w:space="0" w:color="auto"/>
              <w:right w:val="single" w:sz="2" w:space="0" w:color="auto"/>
            </w:tcBorders>
            <w:vAlign w:val="center"/>
          </w:tcPr>
          <w:p w14:paraId="3DE07499"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105,314,229.38</w:t>
            </w:r>
          </w:p>
        </w:tc>
        <w:tc>
          <w:tcPr>
            <w:tcW w:w="1135" w:type="dxa"/>
            <w:tcBorders>
              <w:top w:val="single" w:sz="2" w:space="0" w:color="auto"/>
              <w:left w:val="single" w:sz="2" w:space="0" w:color="auto"/>
              <w:bottom w:val="single" w:sz="2" w:space="0" w:color="auto"/>
              <w:right w:val="single" w:sz="2" w:space="0" w:color="auto"/>
            </w:tcBorders>
            <w:vAlign w:val="center"/>
          </w:tcPr>
          <w:p w14:paraId="66E5D4A4"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1A1B8739"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2D1F61E9"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27FBF712"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084235B3"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F12C46E"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-188,886,125.63</w:t>
            </w:r>
          </w:p>
        </w:tc>
      </w:tr>
      <w:tr w:rsidR="00C57E60" w14:paraId="663F8D31"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1DD578B8"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1．所有者投入的普通股</w:t>
            </w:r>
          </w:p>
        </w:tc>
        <w:tc>
          <w:tcPr>
            <w:tcW w:w="1150" w:type="dxa"/>
            <w:tcBorders>
              <w:top w:val="single" w:sz="2" w:space="0" w:color="auto"/>
              <w:left w:val="single" w:sz="2" w:space="0" w:color="auto"/>
              <w:bottom w:val="single" w:sz="2" w:space="0" w:color="auto"/>
              <w:right w:val="single" w:sz="2" w:space="0" w:color="auto"/>
            </w:tcBorders>
            <w:vAlign w:val="center"/>
          </w:tcPr>
          <w:p w14:paraId="2184F0AE"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041201C8"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41DAFC78"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091464E2"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E6EEB0B"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303C06FF"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105,314,229.38</w:t>
            </w:r>
          </w:p>
        </w:tc>
        <w:tc>
          <w:tcPr>
            <w:tcW w:w="1135" w:type="dxa"/>
            <w:tcBorders>
              <w:top w:val="single" w:sz="2" w:space="0" w:color="auto"/>
              <w:left w:val="single" w:sz="2" w:space="0" w:color="auto"/>
              <w:bottom w:val="single" w:sz="2" w:space="0" w:color="auto"/>
              <w:right w:val="single" w:sz="2" w:space="0" w:color="auto"/>
            </w:tcBorders>
            <w:vAlign w:val="center"/>
          </w:tcPr>
          <w:p w14:paraId="09E5442D"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3B75162A"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15E01C5B"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51AC9364"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649F5657"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4FC040D7"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-105,314,229.38</w:t>
            </w:r>
          </w:p>
        </w:tc>
      </w:tr>
      <w:tr w:rsidR="00C57E60" w14:paraId="57DC7A72"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77AD4991"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2．其他权益工具持有者投入资本</w:t>
            </w:r>
          </w:p>
        </w:tc>
        <w:tc>
          <w:tcPr>
            <w:tcW w:w="1150" w:type="dxa"/>
            <w:tcBorders>
              <w:top w:val="single" w:sz="2" w:space="0" w:color="auto"/>
              <w:left w:val="single" w:sz="2" w:space="0" w:color="auto"/>
              <w:bottom w:val="single" w:sz="2" w:space="0" w:color="auto"/>
              <w:right w:val="single" w:sz="2" w:space="0" w:color="auto"/>
            </w:tcBorders>
            <w:vAlign w:val="center"/>
          </w:tcPr>
          <w:p w14:paraId="4DEC37C9"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1,218.00</w:t>
            </w:r>
          </w:p>
        </w:tc>
        <w:tc>
          <w:tcPr>
            <w:tcW w:w="569" w:type="dxa"/>
            <w:tcBorders>
              <w:top w:val="single" w:sz="2" w:space="0" w:color="auto"/>
              <w:left w:val="single" w:sz="2" w:space="0" w:color="auto"/>
              <w:bottom w:val="single" w:sz="2" w:space="0" w:color="auto"/>
              <w:right w:val="single" w:sz="2" w:space="0" w:color="auto"/>
            </w:tcBorders>
            <w:vAlign w:val="center"/>
          </w:tcPr>
          <w:p w14:paraId="7A24FA73"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77A90536"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2A39D723"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-10,445.88</w:t>
            </w:r>
          </w:p>
        </w:tc>
        <w:tc>
          <w:tcPr>
            <w:tcW w:w="1135" w:type="dxa"/>
            <w:tcBorders>
              <w:top w:val="single" w:sz="2" w:space="0" w:color="auto"/>
              <w:left w:val="single" w:sz="2" w:space="0" w:color="auto"/>
              <w:bottom w:val="single" w:sz="2" w:space="0" w:color="auto"/>
              <w:right w:val="single" w:sz="2" w:space="0" w:color="auto"/>
            </w:tcBorders>
            <w:vAlign w:val="center"/>
          </w:tcPr>
          <w:p w14:paraId="07FF308F"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51,203.48</w:t>
            </w:r>
          </w:p>
        </w:tc>
        <w:tc>
          <w:tcPr>
            <w:tcW w:w="1135" w:type="dxa"/>
            <w:tcBorders>
              <w:top w:val="single" w:sz="2" w:space="0" w:color="auto"/>
              <w:left w:val="single" w:sz="2" w:space="0" w:color="auto"/>
              <w:bottom w:val="single" w:sz="2" w:space="0" w:color="auto"/>
              <w:right w:val="single" w:sz="2" w:space="0" w:color="auto"/>
            </w:tcBorders>
            <w:vAlign w:val="center"/>
          </w:tcPr>
          <w:p w14:paraId="63F6A56E"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83551BE"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008DA544"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5509E0DE"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77048335"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032A7667"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0F0D017F"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41,975.60</w:t>
            </w:r>
          </w:p>
        </w:tc>
      </w:tr>
      <w:tr w:rsidR="00C57E60" w14:paraId="30A674E1"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56C1B7CD"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3．股份支付计入所有者权益的金额</w:t>
            </w:r>
          </w:p>
        </w:tc>
        <w:tc>
          <w:tcPr>
            <w:tcW w:w="1150" w:type="dxa"/>
            <w:tcBorders>
              <w:top w:val="single" w:sz="2" w:space="0" w:color="auto"/>
              <w:left w:val="single" w:sz="2" w:space="0" w:color="auto"/>
              <w:bottom w:val="single" w:sz="2" w:space="0" w:color="auto"/>
              <w:right w:val="single" w:sz="2" w:space="0" w:color="auto"/>
            </w:tcBorders>
            <w:vAlign w:val="center"/>
          </w:tcPr>
          <w:p w14:paraId="60B521FE"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1FE5EF82"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532206B9"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5B68BF65"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5C837DE0"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12,713,159.13</w:t>
            </w:r>
          </w:p>
        </w:tc>
        <w:tc>
          <w:tcPr>
            <w:tcW w:w="1135" w:type="dxa"/>
            <w:tcBorders>
              <w:top w:val="single" w:sz="2" w:space="0" w:color="auto"/>
              <w:left w:val="single" w:sz="2" w:space="0" w:color="auto"/>
              <w:bottom w:val="single" w:sz="2" w:space="0" w:color="auto"/>
              <w:right w:val="single" w:sz="2" w:space="0" w:color="auto"/>
            </w:tcBorders>
            <w:vAlign w:val="center"/>
          </w:tcPr>
          <w:p w14:paraId="3B80E1B4"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5A5F7C5F"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1C333B61"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7479BD2B"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7D5B1F04"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2BC1DB29"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47016D5D"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12,713,159.13</w:t>
            </w:r>
          </w:p>
        </w:tc>
      </w:tr>
      <w:tr w:rsidR="00C57E60" w14:paraId="044AFE93"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1021F0B8"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4．其他</w:t>
            </w:r>
          </w:p>
        </w:tc>
        <w:tc>
          <w:tcPr>
            <w:tcW w:w="1150" w:type="dxa"/>
            <w:tcBorders>
              <w:top w:val="single" w:sz="2" w:space="0" w:color="auto"/>
              <w:left w:val="single" w:sz="2" w:space="0" w:color="auto"/>
              <w:bottom w:val="single" w:sz="2" w:space="0" w:color="auto"/>
              <w:right w:val="single" w:sz="2" w:space="0" w:color="auto"/>
            </w:tcBorders>
            <w:vAlign w:val="center"/>
          </w:tcPr>
          <w:p w14:paraId="011C88AE"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-3,999,287.00</w:t>
            </w:r>
          </w:p>
        </w:tc>
        <w:tc>
          <w:tcPr>
            <w:tcW w:w="569" w:type="dxa"/>
            <w:tcBorders>
              <w:top w:val="single" w:sz="2" w:space="0" w:color="auto"/>
              <w:left w:val="single" w:sz="2" w:space="0" w:color="auto"/>
              <w:bottom w:val="single" w:sz="2" w:space="0" w:color="auto"/>
              <w:right w:val="single" w:sz="2" w:space="0" w:color="auto"/>
            </w:tcBorders>
            <w:vAlign w:val="center"/>
          </w:tcPr>
          <w:p w14:paraId="3EB439C7"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23195479"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1DCA6859"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911CF42"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-92,327,743.98</w:t>
            </w:r>
          </w:p>
        </w:tc>
        <w:tc>
          <w:tcPr>
            <w:tcW w:w="1135" w:type="dxa"/>
            <w:tcBorders>
              <w:top w:val="single" w:sz="2" w:space="0" w:color="auto"/>
              <w:left w:val="single" w:sz="2" w:space="0" w:color="auto"/>
              <w:bottom w:val="single" w:sz="2" w:space="0" w:color="auto"/>
              <w:right w:val="single" w:sz="2" w:space="0" w:color="auto"/>
            </w:tcBorders>
            <w:vAlign w:val="center"/>
          </w:tcPr>
          <w:p w14:paraId="3B490845"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BCF0B1E"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50EA65C0"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4B4E474C"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15121291"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715F03FD"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528ED68"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-96,327,030.98</w:t>
            </w:r>
          </w:p>
        </w:tc>
      </w:tr>
      <w:tr w:rsidR="00C57E60" w14:paraId="5CEC481E"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24250C67"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（三）利润分配</w:t>
            </w:r>
          </w:p>
        </w:tc>
        <w:tc>
          <w:tcPr>
            <w:tcW w:w="1150" w:type="dxa"/>
            <w:tcBorders>
              <w:top w:val="single" w:sz="2" w:space="0" w:color="auto"/>
              <w:left w:val="single" w:sz="2" w:space="0" w:color="auto"/>
              <w:bottom w:val="single" w:sz="2" w:space="0" w:color="auto"/>
              <w:right w:val="single" w:sz="2" w:space="0" w:color="auto"/>
            </w:tcBorders>
            <w:vAlign w:val="center"/>
          </w:tcPr>
          <w:p w14:paraId="3C5983FD"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51296012"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3B57603E"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2213EBDD"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14C3FBE"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53660A6"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2268743"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7B1FEFB3"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133BA87B" w14:textId="4577696F" w:rsidR="00DC359B" w:rsidRPr="00FF7639" w:rsidRDefault="00271504" w:rsidP="00DC359B">
            <w:pPr>
              <w:spacing w:line="360" w:lineRule="auto"/>
              <w:jc w:val="right"/>
              <w:rPr>
                <w:rFonts w:ascii="宋体" w:eastAsia="宋体" w:hAnsi="宋体" w:cs="宋体"/>
                <w:sz w:val="13"/>
                <w:szCs w:val="13"/>
              </w:rPr>
            </w:pPr>
            <w:r w:rsidRPr="00271504">
              <w:rPr>
                <w:rFonts w:ascii="宋体" w:eastAsia="宋体" w:hAnsi="宋体" w:cs="宋体"/>
                <w:sz w:val="13"/>
                <w:szCs w:val="13"/>
              </w:rPr>
              <w:t>50,390,125.19</w:t>
            </w:r>
          </w:p>
        </w:tc>
        <w:tc>
          <w:tcPr>
            <w:tcW w:w="1245" w:type="dxa"/>
            <w:tcBorders>
              <w:top w:val="single" w:sz="2" w:space="0" w:color="auto"/>
              <w:left w:val="single" w:sz="2" w:space="0" w:color="auto"/>
              <w:bottom w:val="single" w:sz="2" w:space="0" w:color="auto"/>
              <w:right w:val="single" w:sz="2" w:space="0" w:color="auto"/>
            </w:tcBorders>
            <w:vAlign w:val="center"/>
          </w:tcPr>
          <w:p w14:paraId="72BB334C" w14:textId="4B890B88"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-172,044,842.55</w:t>
            </w:r>
          </w:p>
        </w:tc>
        <w:tc>
          <w:tcPr>
            <w:tcW w:w="367" w:type="dxa"/>
            <w:tcBorders>
              <w:top w:val="single" w:sz="2" w:space="0" w:color="auto"/>
              <w:left w:val="single" w:sz="2" w:space="0" w:color="auto"/>
              <w:bottom w:val="single" w:sz="2" w:space="0" w:color="auto"/>
              <w:right w:val="single" w:sz="2" w:space="0" w:color="auto"/>
            </w:tcBorders>
            <w:vAlign w:val="center"/>
          </w:tcPr>
          <w:p w14:paraId="12ABE8CB"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80E62B9"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-121,654,717.36</w:t>
            </w:r>
          </w:p>
        </w:tc>
      </w:tr>
      <w:tr w:rsidR="00C57E60" w14:paraId="21B42A06"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735EDC2F"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1．提取盈余公积</w:t>
            </w:r>
          </w:p>
        </w:tc>
        <w:tc>
          <w:tcPr>
            <w:tcW w:w="1150" w:type="dxa"/>
            <w:tcBorders>
              <w:top w:val="single" w:sz="2" w:space="0" w:color="auto"/>
              <w:left w:val="single" w:sz="2" w:space="0" w:color="auto"/>
              <w:bottom w:val="single" w:sz="2" w:space="0" w:color="auto"/>
              <w:right w:val="single" w:sz="2" w:space="0" w:color="auto"/>
            </w:tcBorders>
            <w:vAlign w:val="center"/>
          </w:tcPr>
          <w:p w14:paraId="1931FB8D"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2D8C0918"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7045B263"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3CD9638C"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ACCB4C4"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A3FCB4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C6610E0"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12A2300E"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731A31EB" w14:textId="0BCDD17B"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50,390,125.19</w:t>
            </w:r>
          </w:p>
        </w:tc>
        <w:tc>
          <w:tcPr>
            <w:tcW w:w="1245" w:type="dxa"/>
            <w:tcBorders>
              <w:top w:val="single" w:sz="2" w:space="0" w:color="auto"/>
              <w:left w:val="single" w:sz="2" w:space="0" w:color="auto"/>
              <w:bottom w:val="single" w:sz="2" w:space="0" w:color="auto"/>
              <w:right w:val="single" w:sz="2" w:space="0" w:color="auto"/>
            </w:tcBorders>
            <w:vAlign w:val="center"/>
          </w:tcPr>
          <w:p w14:paraId="4EFA0459" w14:textId="7F970AD5"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-50,390,125.19</w:t>
            </w:r>
          </w:p>
        </w:tc>
        <w:tc>
          <w:tcPr>
            <w:tcW w:w="367" w:type="dxa"/>
            <w:tcBorders>
              <w:top w:val="single" w:sz="2" w:space="0" w:color="auto"/>
              <w:left w:val="single" w:sz="2" w:space="0" w:color="auto"/>
              <w:bottom w:val="single" w:sz="2" w:space="0" w:color="auto"/>
              <w:right w:val="single" w:sz="2" w:space="0" w:color="auto"/>
            </w:tcBorders>
            <w:vAlign w:val="center"/>
          </w:tcPr>
          <w:p w14:paraId="6885AD76"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B5C6D9E" w14:textId="77777777" w:rsidR="00DC359B" w:rsidRPr="00FF7639" w:rsidRDefault="00DC359B" w:rsidP="00DC359B">
            <w:pPr>
              <w:spacing w:line="360" w:lineRule="auto"/>
              <w:jc w:val="right"/>
              <w:rPr>
                <w:rFonts w:ascii="宋体" w:eastAsia="宋体" w:hAnsi="宋体" w:cs="宋体"/>
                <w:sz w:val="13"/>
                <w:szCs w:val="13"/>
              </w:rPr>
            </w:pPr>
          </w:p>
        </w:tc>
      </w:tr>
      <w:tr w:rsidR="00C57E60" w14:paraId="47655E1C"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4246A9AD"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2．对所有者（或股东）的分配</w:t>
            </w:r>
          </w:p>
        </w:tc>
        <w:tc>
          <w:tcPr>
            <w:tcW w:w="1150" w:type="dxa"/>
            <w:tcBorders>
              <w:top w:val="single" w:sz="2" w:space="0" w:color="auto"/>
              <w:left w:val="single" w:sz="2" w:space="0" w:color="auto"/>
              <w:bottom w:val="single" w:sz="2" w:space="0" w:color="auto"/>
              <w:right w:val="single" w:sz="2" w:space="0" w:color="auto"/>
            </w:tcBorders>
            <w:vAlign w:val="center"/>
          </w:tcPr>
          <w:p w14:paraId="2BE83C3F"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075C1408"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727933E5"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2EC8D2DA"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94DB602"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54C4922"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3A9E9876"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714BAB0D"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7EEDF6CC"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0A21F1AA"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-121,654,717.36</w:t>
            </w:r>
          </w:p>
        </w:tc>
        <w:tc>
          <w:tcPr>
            <w:tcW w:w="367" w:type="dxa"/>
            <w:tcBorders>
              <w:top w:val="single" w:sz="2" w:space="0" w:color="auto"/>
              <w:left w:val="single" w:sz="2" w:space="0" w:color="auto"/>
              <w:bottom w:val="single" w:sz="2" w:space="0" w:color="auto"/>
              <w:right w:val="single" w:sz="2" w:space="0" w:color="auto"/>
            </w:tcBorders>
            <w:vAlign w:val="center"/>
          </w:tcPr>
          <w:p w14:paraId="5340BC7B"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758B9D96"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-121,654,717.36</w:t>
            </w:r>
          </w:p>
        </w:tc>
      </w:tr>
      <w:tr w:rsidR="00C57E60" w14:paraId="01A41081"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3A5524EE"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3．其他</w:t>
            </w:r>
          </w:p>
        </w:tc>
        <w:tc>
          <w:tcPr>
            <w:tcW w:w="1150" w:type="dxa"/>
            <w:tcBorders>
              <w:top w:val="single" w:sz="2" w:space="0" w:color="auto"/>
              <w:left w:val="single" w:sz="2" w:space="0" w:color="auto"/>
              <w:bottom w:val="single" w:sz="2" w:space="0" w:color="auto"/>
              <w:right w:val="single" w:sz="2" w:space="0" w:color="auto"/>
            </w:tcBorders>
            <w:vAlign w:val="center"/>
          </w:tcPr>
          <w:p w14:paraId="6F769A9F"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3416AFA3"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655CCD04"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3431F343"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B4E1EE3"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F03EA9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544B9412"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727C620F"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28CACC64"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070FE462"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07B94518"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99C53C0" w14:textId="77777777" w:rsidR="00DC359B" w:rsidRPr="00FF7639" w:rsidRDefault="00DC359B" w:rsidP="00DC359B">
            <w:pPr>
              <w:spacing w:line="360" w:lineRule="auto"/>
              <w:jc w:val="right"/>
              <w:rPr>
                <w:rFonts w:ascii="宋体" w:eastAsia="宋体" w:hAnsi="宋体" w:cs="宋体"/>
                <w:sz w:val="13"/>
                <w:szCs w:val="13"/>
              </w:rPr>
            </w:pPr>
          </w:p>
        </w:tc>
      </w:tr>
      <w:tr w:rsidR="00C57E60" w14:paraId="0FB2DD1C"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6E0D84E8"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（四）所有者权益内部结转</w:t>
            </w:r>
          </w:p>
        </w:tc>
        <w:tc>
          <w:tcPr>
            <w:tcW w:w="1150" w:type="dxa"/>
            <w:tcBorders>
              <w:top w:val="single" w:sz="2" w:space="0" w:color="auto"/>
              <w:left w:val="single" w:sz="2" w:space="0" w:color="auto"/>
              <w:bottom w:val="single" w:sz="2" w:space="0" w:color="auto"/>
              <w:right w:val="single" w:sz="2" w:space="0" w:color="auto"/>
            </w:tcBorders>
            <w:vAlign w:val="center"/>
          </w:tcPr>
          <w:p w14:paraId="17B0A408"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6E91822C"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5F3BC5D2"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1321029A"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46D845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87AF8DD"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0AA087C"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-23,394,166.42</w:t>
            </w:r>
          </w:p>
        </w:tc>
        <w:tc>
          <w:tcPr>
            <w:tcW w:w="409" w:type="dxa"/>
            <w:tcBorders>
              <w:top w:val="single" w:sz="2" w:space="0" w:color="auto"/>
              <w:left w:val="single" w:sz="2" w:space="0" w:color="auto"/>
              <w:bottom w:val="single" w:sz="2" w:space="0" w:color="auto"/>
              <w:right w:val="single" w:sz="2" w:space="0" w:color="auto"/>
            </w:tcBorders>
            <w:vAlign w:val="center"/>
          </w:tcPr>
          <w:p w14:paraId="66143A7C"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3114A527"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0010978C"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23,394,166.42</w:t>
            </w:r>
          </w:p>
        </w:tc>
        <w:tc>
          <w:tcPr>
            <w:tcW w:w="367" w:type="dxa"/>
            <w:tcBorders>
              <w:top w:val="single" w:sz="2" w:space="0" w:color="auto"/>
              <w:left w:val="single" w:sz="2" w:space="0" w:color="auto"/>
              <w:bottom w:val="single" w:sz="2" w:space="0" w:color="auto"/>
              <w:right w:val="single" w:sz="2" w:space="0" w:color="auto"/>
            </w:tcBorders>
            <w:vAlign w:val="center"/>
          </w:tcPr>
          <w:p w14:paraId="17928930"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BA5BA2C" w14:textId="77777777" w:rsidR="00DC359B" w:rsidRPr="00FF7639" w:rsidRDefault="00DC359B" w:rsidP="00DC359B">
            <w:pPr>
              <w:spacing w:line="360" w:lineRule="auto"/>
              <w:jc w:val="right"/>
              <w:rPr>
                <w:rFonts w:ascii="宋体" w:eastAsia="宋体" w:hAnsi="宋体" w:cs="宋体"/>
                <w:sz w:val="13"/>
                <w:szCs w:val="13"/>
              </w:rPr>
            </w:pPr>
          </w:p>
        </w:tc>
      </w:tr>
      <w:tr w:rsidR="00C57E60" w14:paraId="3878DA0A"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7CAA5A6F"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1．资本公积转增资本（或股本）</w:t>
            </w:r>
          </w:p>
        </w:tc>
        <w:tc>
          <w:tcPr>
            <w:tcW w:w="1150" w:type="dxa"/>
            <w:tcBorders>
              <w:top w:val="single" w:sz="2" w:space="0" w:color="auto"/>
              <w:left w:val="single" w:sz="2" w:space="0" w:color="auto"/>
              <w:bottom w:val="single" w:sz="2" w:space="0" w:color="auto"/>
              <w:right w:val="single" w:sz="2" w:space="0" w:color="auto"/>
            </w:tcBorders>
            <w:vAlign w:val="center"/>
          </w:tcPr>
          <w:p w14:paraId="2E5C4385"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24970E13"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5203B0B0"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729E3C35"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3B78A92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EFE063A"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241965F"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79326FEF"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1EFD1139"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6D8A72AC"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735E2ED0"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7F36C4FD" w14:textId="77777777" w:rsidR="00DC359B" w:rsidRPr="00FF7639" w:rsidRDefault="00DC359B" w:rsidP="00DC359B">
            <w:pPr>
              <w:spacing w:line="360" w:lineRule="auto"/>
              <w:jc w:val="right"/>
              <w:rPr>
                <w:rFonts w:ascii="宋体" w:eastAsia="宋体" w:hAnsi="宋体" w:cs="宋体"/>
                <w:sz w:val="13"/>
                <w:szCs w:val="13"/>
              </w:rPr>
            </w:pPr>
          </w:p>
        </w:tc>
      </w:tr>
      <w:tr w:rsidR="00C57E60" w14:paraId="442FEBD9"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18398DB3"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2．盈余公积转增资本（或股本）</w:t>
            </w:r>
          </w:p>
        </w:tc>
        <w:tc>
          <w:tcPr>
            <w:tcW w:w="1150" w:type="dxa"/>
            <w:tcBorders>
              <w:top w:val="single" w:sz="2" w:space="0" w:color="auto"/>
              <w:left w:val="single" w:sz="2" w:space="0" w:color="auto"/>
              <w:bottom w:val="single" w:sz="2" w:space="0" w:color="auto"/>
              <w:right w:val="single" w:sz="2" w:space="0" w:color="auto"/>
            </w:tcBorders>
            <w:vAlign w:val="center"/>
          </w:tcPr>
          <w:p w14:paraId="72FDC066"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0BCB07FD"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6FE1D00"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5DAB434B"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E417A3A"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0FABEB8"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E733C70"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15E252E2"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26925DF0"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582A9A5D"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7570BFA1"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017483EB" w14:textId="77777777" w:rsidR="00DC359B" w:rsidRPr="00FF7639" w:rsidRDefault="00DC359B" w:rsidP="00DC359B">
            <w:pPr>
              <w:spacing w:line="360" w:lineRule="auto"/>
              <w:jc w:val="right"/>
              <w:rPr>
                <w:rFonts w:ascii="宋体" w:eastAsia="宋体" w:hAnsi="宋体" w:cs="宋体"/>
                <w:sz w:val="13"/>
                <w:szCs w:val="13"/>
              </w:rPr>
            </w:pPr>
          </w:p>
        </w:tc>
      </w:tr>
      <w:tr w:rsidR="00C57E60" w14:paraId="7555656C"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00719D44"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3．盈余公积弥补亏损</w:t>
            </w:r>
          </w:p>
        </w:tc>
        <w:tc>
          <w:tcPr>
            <w:tcW w:w="1150" w:type="dxa"/>
            <w:tcBorders>
              <w:top w:val="single" w:sz="2" w:space="0" w:color="auto"/>
              <w:left w:val="single" w:sz="2" w:space="0" w:color="auto"/>
              <w:bottom w:val="single" w:sz="2" w:space="0" w:color="auto"/>
              <w:right w:val="single" w:sz="2" w:space="0" w:color="auto"/>
            </w:tcBorders>
            <w:vAlign w:val="center"/>
          </w:tcPr>
          <w:p w14:paraId="21AAE5FD"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3445DBCD"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770E11FC"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71D4F62E"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1F52E16"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5F5C0B6"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3FEEBADE"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4483ABB1"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0A5E855D"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672EEF04"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0E944911"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69C3D821" w14:textId="77777777" w:rsidR="00DC359B" w:rsidRPr="00FF7639" w:rsidRDefault="00DC359B" w:rsidP="00DC359B">
            <w:pPr>
              <w:spacing w:line="360" w:lineRule="auto"/>
              <w:jc w:val="right"/>
              <w:rPr>
                <w:rFonts w:ascii="宋体" w:eastAsia="宋体" w:hAnsi="宋体" w:cs="宋体"/>
                <w:sz w:val="13"/>
                <w:szCs w:val="13"/>
              </w:rPr>
            </w:pPr>
          </w:p>
        </w:tc>
      </w:tr>
      <w:tr w:rsidR="00C57E60" w14:paraId="4DA2D937"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63D5CA91"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4．设定受益计划变动额结转留存收益</w:t>
            </w:r>
          </w:p>
        </w:tc>
        <w:tc>
          <w:tcPr>
            <w:tcW w:w="1150" w:type="dxa"/>
            <w:tcBorders>
              <w:top w:val="single" w:sz="2" w:space="0" w:color="auto"/>
              <w:left w:val="single" w:sz="2" w:space="0" w:color="auto"/>
              <w:bottom w:val="single" w:sz="2" w:space="0" w:color="auto"/>
              <w:right w:val="single" w:sz="2" w:space="0" w:color="auto"/>
            </w:tcBorders>
            <w:vAlign w:val="center"/>
          </w:tcPr>
          <w:p w14:paraId="1BC8FF95"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0901C7FB"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24619B49"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4F8F14B6"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3F1A781D"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757EBCE2"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A212DD4"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05E7DE15"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2B3F8AB8"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3FB98C6F"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4C4D6520"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502D5E8E" w14:textId="77777777" w:rsidR="00DC359B" w:rsidRPr="00FF7639" w:rsidRDefault="00DC359B" w:rsidP="00DC359B">
            <w:pPr>
              <w:spacing w:line="360" w:lineRule="auto"/>
              <w:jc w:val="right"/>
              <w:rPr>
                <w:rFonts w:ascii="宋体" w:eastAsia="宋体" w:hAnsi="宋体" w:cs="宋体"/>
                <w:sz w:val="13"/>
                <w:szCs w:val="13"/>
              </w:rPr>
            </w:pPr>
          </w:p>
        </w:tc>
      </w:tr>
      <w:tr w:rsidR="00C57E60" w14:paraId="27CCF76C"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1DC0F780"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5．其他综合收益结转留存收益</w:t>
            </w:r>
          </w:p>
        </w:tc>
        <w:tc>
          <w:tcPr>
            <w:tcW w:w="1150" w:type="dxa"/>
            <w:tcBorders>
              <w:top w:val="single" w:sz="2" w:space="0" w:color="auto"/>
              <w:left w:val="single" w:sz="2" w:space="0" w:color="auto"/>
              <w:bottom w:val="single" w:sz="2" w:space="0" w:color="auto"/>
              <w:right w:val="single" w:sz="2" w:space="0" w:color="auto"/>
            </w:tcBorders>
            <w:vAlign w:val="center"/>
          </w:tcPr>
          <w:p w14:paraId="0EE3B9E7"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515F8292"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582108F5"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06618AC1"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714C93B"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378C25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AC43847"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-23,394,166.42</w:t>
            </w:r>
          </w:p>
        </w:tc>
        <w:tc>
          <w:tcPr>
            <w:tcW w:w="409" w:type="dxa"/>
            <w:tcBorders>
              <w:top w:val="single" w:sz="2" w:space="0" w:color="auto"/>
              <w:left w:val="single" w:sz="2" w:space="0" w:color="auto"/>
              <w:bottom w:val="single" w:sz="2" w:space="0" w:color="auto"/>
              <w:right w:val="single" w:sz="2" w:space="0" w:color="auto"/>
            </w:tcBorders>
            <w:vAlign w:val="center"/>
          </w:tcPr>
          <w:p w14:paraId="04AFF03C"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6C9FEB9C"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4E1EBA41"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23,394,166.42</w:t>
            </w:r>
          </w:p>
        </w:tc>
        <w:tc>
          <w:tcPr>
            <w:tcW w:w="367" w:type="dxa"/>
            <w:tcBorders>
              <w:top w:val="single" w:sz="2" w:space="0" w:color="auto"/>
              <w:left w:val="single" w:sz="2" w:space="0" w:color="auto"/>
              <w:bottom w:val="single" w:sz="2" w:space="0" w:color="auto"/>
              <w:right w:val="single" w:sz="2" w:space="0" w:color="auto"/>
            </w:tcBorders>
            <w:vAlign w:val="center"/>
          </w:tcPr>
          <w:p w14:paraId="0BDC2FC0"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19208DF4" w14:textId="77777777" w:rsidR="00DC359B" w:rsidRPr="00FF7639" w:rsidRDefault="00DC359B" w:rsidP="00DC359B">
            <w:pPr>
              <w:spacing w:line="360" w:lineRule="auto"/>
              <w:jc w:val="right"/>
              <w:rPr>
                <w:rFonts w:ascii="宋体" w:eastAsia="宋体" w:hAnsi="宋体" w:cs="宋体"/>
                <w:sz w:val="13"/>
                <w:szCs w:val="13"/>
              </w:rPr>
            </w:pPr>
          </w:p>
        </w:tc>
      </w:tr>
      <w:tr w:rsidR="00C57E60" w14:paraId="1C4F8034"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4182FBE6"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6．其他</w:t>
            </w:r>
          </w:p>
        </w:tc>
        <w:tc>
          <w:tcPr>
            <w:tcW w:w="1150" w:type="dxa"/>
            <w:tcBorders>
              <w:top w:val="single" w:sz="2" w:space="0" w:color="auto"/>
              <w:left w:val="single" w:sz="2" w:space="0" w:color="auto"/>
              <w:bottom w:val="single" w:sz="2" w:space="0" w:color="auto"/>
              <w:right w:val="single" w:sz="2" w:space="0" w:color="auto"/>
            </w:tcBorders>
            <w:vAlign w:val="center"/>
          </w:tcPr>
          <w:p w14:paraId="59067D65"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69057989"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1214618D"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32EF1D7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A4A1D66"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8568A41"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1B029BEF"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4E24DBC4"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770FD407"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35460AFA"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5B1FEB2A"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728D9BFF" w14:textId="77777777" w:rsidR="00DC359B" w:rsidRPr="00FF7639" w:rsidRDefault="00DC359B" w:rsidP="00DC359B">
            <w:pPr>
              <w:spacing w:line="360" w:lineRule="auto"/>
              <w:jc w:val="right"/>
              <w:rPr>
                <w:rFonts w:ascii="宋体" w:eastAsia="宋体" w:hAnsi="宋体" w:cs="宋体"/>
                <w:sz w:val="13"/>
                <w:szCs w:val="13"/>
              </w:rPr>
            </w:pPr>
          </w:p>
        </w:tc>
      </w:tr>
      <w:tr w:rsidR="00C57E60" w14:paraId="67B932FE"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36DCACB3"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（五）专项储备</w:t>
            </w:r>
          </w:p>
        </w:tc>
        <w:tc>
          <w:tcPr>
            <w:tcW w:w="1150" w:type="dxa"/>
            <w:tcBorders>
              <w:top w:val="single" w:sz="2" w:space="0" w:color="auto"/>
              <w:left w:val="single" w:sz="2" w:space="0" w:color="auto"/>
              <w:bottom w:val="single" w:sz="2" w:space="0" w:color="auto"/>
              <w:right w:val="single" w:sz="2" w:space="0" w:color="auto"/>
            </w:tcBorders>
            <w:vAlign w:val="center"/>
          </w:tcPr>
          <w:p w14:paraId="4ADA28A4"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2E55FEB6"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34194B82"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49728754"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49BE77D5"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B0809CF"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6E6D2576"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6C4302D8"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61D116B9"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2D619398"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136806A3"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18D35B95" w14:textId="77777777" w:rsidR="00DC359B" w:rsidRPr="00FF7639" w:rsidRDefault="00DC359B" w:rsidP="00DC359B">
            <w:pPr>
              <w:spacing w:line="360" w:lineRule="auto"/>
              <w:jc w:val="right"/>
              <w:rPr>
                <w:rFonts w:ascii="宋体" w:eastAsia="宋体" w:hAnsi="宋体" w:cs="宋体"/>
                <w:sz w:val="13"/>
                <w:szCs w:val="13"/>
              </w:rPr>
            </w:pPr>
          </w:p>
        </w:tc>
      </w:tr>
      <w:tr w:rsidR="00C57E60" w14:paraId="05421B54"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1734280B"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1．本期提取</w:t>
            </w:r>
          </w:p>
        </w:tc>
        <w:tc>
          <w:tcPr>
            <w:tcW w:w="1150" w:type="dxa"/>
            <w:tcBorders>
              <w:top w:val="single" w:sz="2" w:space="0" w:color="auto"/>
              <w:left w:val="single" w:sz="2" w:space="0" w:color="auto"/>
              <w:bottom w:val="single" w:sz="2" w:space="0" w:color="auto"/>
              <w:right w:val="single" w:sz="2" w:space="0" w:color="auto"/>
            </w:tcBorders>
            <w:vAlign w:val="center"/>
          </w:tcPr>
          <w:p w14:paraId="46F0F002"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2434578B"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70F28AC"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6B97F24C"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3F374712"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46AE41F3"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624DAE6"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6EEE784D"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4D8A1E81"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46C11082"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77A3164D"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469B8853" w14:textId="77777777" w:rsidR="00DC359B" w:rsidRPr="00FF7639" w:rsidRDefault="00DC359B" w:rsidP="00DC359B">
            <w:pPr>
              <w:spacing w:line="360" w:lineRule="auto"/>
              <w:jc w:val="right"/>
              <w:rPr>
                <w:rFonts w:ascii="宋体" w:eastAsia="宋体" w:hAnsi="宋体" w:cs="宋体"/>
                <w:sz w:val="13"/>
                <w:szCs w:val="13"/>
              </w:rPr>
            </w:pPr>
          </w:p>
        </w:tc>
      </w:tr>
      <w:tr w:rsidR="00C57E60" w14:paraId="49CF05C5"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709E64DB"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2．本期使用</w:t>
            </w:r>
          </w:p>
        </w:tc>
        <w:tc>
          <w:tcPr>
            <w:tcW w:w="1150" w:type="dxa"/>
            <w:tcBorders>
              <w:top w:val="single" w:sz="2" w:space="0" w:color="auto"/>
              <w:left w:val="single" w:sz="2" w:space="0" w:color="auto"/>
              <w:bottom w:val="single" w:sz="2" w:space="0" w:color="auto"/>
              <w:right w:val="single" w:sz="2" w:space="0" w:color="auto"/>
            </w:tcBorders>
            <w:vAlign w:val="center"/>
          </w:tcPr>
          <w:p w14:paraId="079016C7"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3DC69574"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06604FB9"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37DF11BF"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03B8A64E"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5DD0B09D"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2A144C4E"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67C01AEF"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4FD6316B"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6732B39B"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1F212411"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55716316" w14:textId="77777777" w:rsidR="00DC359B" w:rsidRPr="00FF7639" w:rsidRDefault="00DC359B" w:rsidP="00DC359B">
            <w:pPr>
              <w:spacing w:line="360" w:lineRule="auto"/>
              <w:jc w:val="right"/>
              <w:rPr>
                <w:rFonts w:ascii="宋体" w:eastAsia="宋体" w:hAnsi="宋体" w:cs="宋体"/>
                <w:sz w:val="13"/>
                <w:szCs w:val="13"/>
              </w:rPr>
            </w:pPr>
          </w:p>
        </w:tc>
      </w:tr>
      <w:tr w:rsidR="00C57E60" w14:paraId="4A2A0831"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7FD3BB78"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（六）其他</w:t>
            </w:r>
          </w:p>
        </w:tc>
        <w:tc>
          <w:tcPr>
            <w:tcW w:w="1150" w:type="dxa"/>
            <w:tcBorders>
              <w:top w:val="single" w:sz="2" w:space="0" w:color="auto"/>
              <w:left w:val="single" w:sz="2" w:space="0" w:color="auto"/>
              <w:bottom w:val="single" w:sz="2" w:space="0" w:color="auto"/>
              <w:right w:val="single" w:sz="2" w:space="0" w:color="auto"/>
            </w:tcBorders>
            <w:vAlign w:val="center"/>
          </w:tcPr>
          <w:p w14:paraId="78CBDFB4" w14:textId="77777777" w:rsidR="00DC359B" w:rsidRPr="00FF7639" w:rsidRDefault="00DC359B" w:rsidP="00DC359B">
            <w:pPr>
              <w:spacing w:line="360" w:lineRule="auto"/>
              <w:jc w:val="right"/>
              <w:rPr>
                <w:rFonts w:ascii="宋体" w:eastAsia="宋体" w:hAnsi="宋体" w:cs="宋体"/>
                <w:sz w:val="13"/>
                <w:szCs w:val="13"/>
              </w:rPr>
            </w:pPr>
          </w:p>
        </w:tc>
        <w:tc>
          <w:tcPr>
            <w:tcW w:w="569" w:type="dxa"/>
            <w:tcBorders>
              <w:top w:val="single" w:sz="2" w:space="0" w:color="auto"/>
              <w:left w:val="single" w:sz="2" w:space="0" w:color="auto"/>
              <w:bottom w:val="single" w:sz="2" w:space="0" w:color="auto"/>
              <w:right w:val="single" w:sz="2" w:space="0" w:color="auto"/>
            </w:tcBorders>
            <w:vAlign w:val="center"/>
          </w:tcPr>
          <w:p w14:paraId="4051F8FF"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23CA2B2D"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1DE71D57"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465D4ABA"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8,453.61</w:t>
            </w:r>
          </w:p>
        </w:tc>
        <w:tc>
          <w:tcPr>
            <w:tcW w:w="1135" w:type="dxa"/>
            <w:tcBorders>
              <w:top w:val="single" w:sz="2" w:space="0" w:color="auto"/>
              <w:left w:val="single" w:sz="2" w:space="0" w:color="auto"/>
              <w:bottom w:val="single" w:sz="2" w:space="0" w:color="auto"/>
              <w:right w:val="single" w:sz="2" w:space="0" w:color="auto"/>
            </w:tcBorders>
            <w:vAlign w:val="center"/>
          </w:tcPr>
          <w:p w14:paraId="04089D49" w14:textId="77777777" w:rsidR="00DC359B" w:rsidRPr="00FF7639" w:rsidRDefault="00DC359B" w:rsidP="00DC359B">
            <w:pPr>
              <w:spacing w:line="360" w:lineRule="auto"/>
              <w:jc w:val="right"/>
              <w:rPr>
                <w:rFonts w:ascii="宋体" w:eastAsia="宋体" w:hAnsi="宋体" w:cs="宋体"/>
                <w:sz w:val="13"/>
                <w:szCs w:val="13"/>
              </w:rPr>
            </w:pPr>
          </w:p>
        </w:tc>
        <w:tc>
          <w:tcPr>
            <w:tcW w:w="1135" w:type="dxa"/>
            <w:tcBorders>
              <w:top w:val="single" w:sz="2" w:space="0" w:color="auto"/>
              <w:left w:val="single" w:sz="2" w:space="0" w:color="auto"/>
              <w:bottom w:val="single" w:sz="2" w:space="0" w:color="auto"/>
              <w:right w:val="single" w:sz="2" w:space="0" w:color="auto"/>
            </w:tcBorders>
            <w:vAlign w:val="center"/>
          </w:tcPr>
          <w:p w14:paraId="5986B995" w14:textId="77777777" w:rsidR="00DC359B" w:rsidRPr="00FF7639" w:rsidRDefault="00DC359B" w:rsidP="00DC359B">
            <w:pPr>
              <w:spacing w:line="360" w:lineRule="auto"/>
              <w:jc w:val="right"/>
              <w:rPr>
                <w:rFonts w:ascii="宋体" w:eastAsia="宋体" w:hAnsi="宋体" w:cs="宋体"/>
                <w:sz w:val="13"/>
                <w:szCs w:val="13"/>
              </w:rPr>
            </w:pPr>
          </w:p>
        </w:tc>
        <w:tc>
          <w:tcPr>
            <w:tcW w:w="409" w:type="dxa"/>
            <w:tcBorders>
              <w:top w:val="single" w:sz="2" w:space="0" w:color="auto"/>
              <w:left w:val="single" w:sz="2" w:space="0" w:color="auto"/>
              <w:bottom w:val="single" w:sz="2" w:space="0" w:color="auto"/>
              <w:right w:val="single" w:sz="2" w:space="0" w:color="auto"/>
            </w:tcBorders>
            <w:vAlign w:val="center"/>
          </w:tcPr>
          <w:p w14:paraId="208A6E96"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79C121B8" w14:textId="77777777" w:rsidR="00DC359B" w:rsidRPr="00FF7639" w:rsidRDefault="00DC359B" w:rsidP="00DC359B">
            <w:pPr>
              <w:spacing w:line="360" w:lineRule="auto"/>
              <w:jc w:val="right"/>
              <w:rPr>
                <w:rFonts w:ascii="宋体" w:eastAsia="宋体" w:hAnsi="宋体" w:cs="宋体"/>
                <w:sz w:val="13"/>
                <w:szCs w:val="13"/>
              </w:rPr>
            </w:pPr>
          </w:p>
        </w:tc>
        <w:tc>
          <w:tcPr>
            <w:tcW w:w="1245" w:type="dxa"/>
            <w:tcBorders>
              <w:top w:val="single" w:sz="2" w:space="0" w:color="auto"/>
              <w:left w:val="single" w:sz="2" w:space="0" w:color="auto"/>
              <w:bottom w:val="single" w:sz="2" w:space="0" w:color="auto"/>
              <w:right w:val="single" w:sz="2" w:space="0" w:color="auto"/>
            </w:tcBorders>
            <w:vAlign w:val="center"/>
          </w:tcPr>
          <w:p w14:paraId="013776A6" w14:textId="77777777" w:rsidR="00DC359B" w:rsidRPr="00FF7639" w:rsidRDefault="00DC359B" w:rsidP="00DC359B">
            <w:pPr>
              <w:spacing w:line="360" w:lineRule="auto"/>
              <w:jc w:val="right"/>
              <w:rPr>
                <w:rFonts w:ascii="宋体" w:eastAsia="宋体" w:hAnsi="宋体" w:cs="宋体"/>
                <w:sz w:val="13"/>
                <w:szCs w:val="13"/>
              </w:rPr>
            </w:pPr>
          </w:p>
        </w:tc>
        <w:tc>
          <w:tcPr>
            <w:tcW w:w="367" w:type="dxa"/>
            <w:tcBorders>
              <w:top w:val="single" w:sz="2" w:space="0" w:color="auto"/>
              <w:left w:val="single" w:sz="2" w:space="0" w:color="auto"/>
              <w:bottom w:val="single" w:sz="2" w:space="0" w:color="auto"/>
              <w:right w:val="single" w:sz="2" w:space="0" w:color="auto"/>
            </w:tcBorders>
            <w:vAlign w:val="center"/>
          </w:tcPr>
          <w:p w14:paraId="47CF79DF"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7D83495C"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8,453.61</w:t>
            </w:r>
          </w:p>
        </w:tc>
      </w:tr>
      <w:tr w:rsidR="00C57E60" w14:paraId="2D75658F" w14:textId="77777777" w:rsidTr="00BC601B">
        <w:trPr>
          <w:trHeight w:val="240"/>
        </w:trPr>
        <w:tc>
          <w:tcPr>
            <w:tcW w:w="2849" w:type="dxa"/>
            <w:tcBorders>
              <w:top w:val="single" w:sz="2" w:space="0" w:color="auto"/>
              <w:left w:val="single" w:sz="2" w:space="0" w:color="auto"/>
              <w:bottom w:val="single" w:sz="2" w:space="0" w:color="auto"/>
              <w:right w:val="single" w:sz="2" w:space="0" w:color="auto"/>
            </w:tcBorders>
            <w:shd w:val="clear" w:color="auto" w:fill="D3D3D3"/>
            <w:vAlign w:val="center"/>
          </w:tcPr>
          <w:p w14:paraId="5BE056C4" w14:textId="77777777" w:rsidR="00DC359B" w:rsidRPr="00FF7639" w:rsidRDefault="00DC359B" w:rsidP="00DC359B">
            <w:pPr>
              <w:spacing w:before="40" w:after="40" w:line="360" w:lineRule="auto"/>
              <w:rPr>
                <w:rFonts w:ascii="宋体" w:eastAsia="宋体" w:hAnsi="宋体" w:cs="宋体"/>
                <w:sz w:val="13"/>
                <w:szCs w:val="13"/>
              </w:rPr>
            </w:pPr>
            <w:r w:rsidRPr="00FF7639">
              <w:rPr>
                <w:rFonts w:ascii="宋体" w:eastAsia="宋体" w:hAnsi="宋体" w:cs="宋体"/>
                <w:sz w:val="13"/>
                <w:szCs w:val="13"/>
              </w:rPr>
              <w:t>四、本期期末余额</w:t>
            </w:r>
          </w:p>
        </w:tc>
        <w:tc>
          <w:tcPr>
            <w:tcW w:w="1150" w:type="dxa"/>
            <w:tcBorders>
              <w:top w:val="single" w:sz="2" w:space="0" w:color="auto"/>
              <w:left w:val="single" w:sz="2" w:space="0" w:color="auto"/>
              <w:bottom w:val="single" w:sz="2" w:space="0" w:color="auto"/>
              <w:right w:val="single" w:sz="2" w:space="0" w:color="auto"/>
            </w:tcBorders>
            <w:vAlign w:val="center"/>
          </w:tcPr>
          <w:p w14:paraId="486D8FD8"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560,267,306.00</w:t>
            </w:r>
          </w:p>
        </w:tc>
        <w:tc>
          <w:tcPr>
            <w:tcW w:w="569" w:type="dxa"/>
            <w:tcBorders>
              <w:top w:val="single" w:sz="2" w:space="0" w:color="auto"/>
              <w:left w:val="single" w:sz="2" w:space="0" w:color="auto"/>
              <w:bottom w:val="single" w:sz="2" w:space="0" w:color="auto"/>
              <w:right w:val="single" w:sz="2" w:space="0" w:color="auto"/>
            </w:tcBorders>
            <w:vAlign w:val="center"/>
          </w:tcPr>
          <w:p w14:paraId="2E3427DD" w14:textId="77777777" w:rsidR="00DC359B" w:rsidRPr="00FF7639" w:rsidRDefault="00DC359B" w:rsidP="00DC359B">
            <w:pPr>
              <w:spacing w:line="360" w:lineRule="auto"/>
              <w:jc w:val="right"/>
              <w:rPr>
                <w:rFonts w:ascii="宋体" w:eastAsia="宋体" w:hAnsi="宋体" w:cs="宋体"/>
                <w:sz w:val="13"/>
                <w:szCs w:val="13"/>
              </w:rPr>
            </w:pPr>
          </w:p>
        </w:tc>
        <w:tc>
          <w:tcPr>
            <w:tcW w:w="549" w:type="dxa"/>
            <w:tcBorders>
              <w:top w:val="single" w:sz="2" w:space="0" w:color="auto"/>
              <w:left w:val="single" w:sz="2" w:space="0" w:color="auto"/>
              <w:bottom w:val="single" w:sz="2" w:space="0" w:color="auto"/>
              <w:right w:val="single" w:sz="2" w:space="0" w:color="auto"/>
            </w:tcBorders>
            <w:vAlign w:val="center"/>
          </w:tcPr>
          <w:p w14:paraId="21EA0D52" w14:textId="77777777" w:rsidR="00DC359B" w:rsidRPr="00FF7639" w:rsidRDefault="00DC359B" w:rsidP="00DC359B">
            <w:pPr>
              <w:spacing w:line="360" w:lineRule="auto"/>
              <w:jc w:val="right"/>
              <w:rPr>
                <w:rFonts w:ascii="宋体" w:eastAsia="宋体" w:hAnsi="宋体" w:cs="宋体"/>
                <w:sz w:val="13"/>
                <w:szCs w:val="13"/>
              </w:rPr>
            </w:pPr>
          </w:p>
        </w:tc>
        <w:tc>
          <w:tcPr>
            <w:tcW w:w="1149" w:type="dxa"/>
            <w:tcBorders>
              <w:top w:val="single" w:sz="2" w:space="0" w:color="auto"/>
              <w:left w:val="single" w:sz="2" w:space="0" w:color="auto"/>
              <w:bottom w:val="single" w:sz="2" w:space="0" w:color="auto"/>
              <w:right w:val="single" w:sz="2" w:space="0" w:color="auto"/>
            </w:tcBorders>
            <w:vAlign w:val="center"/>
          </w:tcPr>
          <w:p w14:paraId="2B0DD9EF"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123,942,959.86</w:t>
            </w:r>
          </w:p>
        </w:tc>
        <w:tc>
          <w:tcPr>
            <w:tcW w:w="1135" w:type="dxa"/>
            <w:tcBorders>
              <w:top w:val="single" w:sz="2" w:space="0" w:color="auto"/>
              <w:left w:val="single" w:sz="2" w:space="0" w:color="auto"/>
              <w:bottom w:val="single" w:sz="2" w:space="0" w:color="auto"/>
              <w:right w:val="single" w:sz="2" w:space="0" w:color="auto"/>
            </w:tcBorders>
            <w:vAlign w:val="center"/>
          </w:tcPr>
          <w:p w14:paraId="4D6E62D1"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975,712,300.25</w:t>
            </w:r>
          </w:p>
        </w:tc>
        <w:tc>
          <w:tcPr>
            <w:tcW w:w="1135" w:type="dxa"/>
            <w:tcBorders>
              <w:top w:val="single" w:sz="2" w:space="0" w:color="auto"/>
              <w:left w:val="single" w:sz="2" w:space="0" w:color="auto"/>
              <w:bottom w:val="single" w:sz="2" w:space="0" w:color="auto"/>
              <w:right w:val="single" w:sz="2" w:space="0" w:color="auto"/>
            </w:tcBorders>
            <w:vAlign w:val="center"/>
          </w:tcPr>
          <w:p w14:paraId="1ED1C039"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286,616,623.68</w:t>
            </w:r>
          </w:p>
        </w:tc>
        <w:tc>
          <w:tcPr>
            <w:tcW w:w="1135" w:type="dxa"/>
            <w:tcBorders>
              <w:top w:val="single" w:sz="2" w:space="0" w:color="auto"/>
              <w:left w:val="single" w:sz="2" w:space="0" w:color="auto"/>
              <w:bottom w:val="single" w:sz="2" w:space="0" w:color="auto"/>
              <w:right w:val="single" w:sz="2" w:space="0" w:color="auto"/>
            </w:tcBorders>
            <w:vAlign w:val="center"/>
          </w:tcPr>
          <w:p w14:paraId="6FC80B71" w14:textId="77777777" w:rsidR="00DC359B" w:rsidRPr="00FF7639" w:rsidRDefault="00DC359B" w:rsidP="00DC359B">
            <w:pPr>
              <w:spacing w:line="360" w:lineRule="auto"/>
              <w:jc w:val="right"/>
              <w:rPr>
                <w:rFonts w:ascii="宋体" w:eastAsia="宋体" w:hAnsi="宋体" w:cs="宋体"/>
                <w:sz w:val="13"/>
                <w:szCs w:val="13"/>
              </w:rPr>
            </w:pPr>
            <w:r w:rsidRPr="00FF7639">
              <w:rPr>
                <w:rFonts w:ascii="宋体" w:eastAsia="宋体" w:hAnsi="宋体" w:cs="宋体"/>
                <w:sz w:val="13"/>
                <w:szCs w:val="13"/>
              </w:rPr>
              <w:t>-9,031,334.29</w:t>
            </w:r>
          </w:p>
        </w:tc>
        <w:tc>
          <w:tcPr>
            <w:tcW w:w="409" w:type="dxa"/>
            <w:tcBorders>
              <w:top w:val="single" w:sz="2" w:space="0" w:color="auto"/>
              <w:left w:val="single" w:sz="2" w:space="0" w:color="auto"/>
              <w:bottom w:val="single" w:sz="2" w:space="0" w:color="auto"/>
              <w:right w:val="single" w:sz="2" w:space="0" w:color="auto"/>
            </w:tcBorders>
            <w:vAlign w:val="center"/>
          </w:tcPr>
          <w:p w14:paraId="686BEBDA" w14:textId="77777777" w:rsidR="00DC359B" w:rsidRPr="00FF7639" w:rsidRDefault="00DC359B" w:rsidP="00DC359B">
            <w:pPr>
              <w:spacing w:line="360" w:lineRule="auto"/>
              <w:jc w:val="right"/>
              <w:rPr>
                <w:rFonts w:ascii="宋体" w:eastAsia="宋体" w:hAnsi="宋体" w:cs="宋体"/>
                <w:sz w:val="13"/>
                <w:szCs w:val="13"/>
              </w:rPr>
            </w:pPr>
          </w:p>
        </w:tc>
        <w:tc>
          <w:tcPr>
            <w:tcW w:w="1096" w:type="dxa"/>
            <w:tcBorders>
              <w:top w:val="single" w:sz="2" w:space="0" w:color="auto"/>
              <w:left w:val="single" w:sz="2" w:space="0" w:color="auto"/>
              <w:bottom w:val="single" w:sz="2" w:space="0" w:color="auto"/>
              <w:right w:val="single" w:sz="2" w:space="0" w:color="auto"/>
            </w:tcBorders>
            <w:vAlign w:val="center"/>
          </w:tcPr>
          <w:p w14:paraId="0F440980" w14:textId="4C969118"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532,880,185.50</w:t>
            </w:r>
          </w:p>
        </w:tc>
        <w:tc>
          <w:tcPr>
            <w:tcW w:w="1245" w:type="dxa"/>
            <w:tcBorders>
              <w:top w:val="single" w:sz="2" w:space="0" w:color="auto"/>
              <w:left w:val="single" w:sz="2" w:space="0" w:color="auto"/>
              <w:bottom w:val="single" w:sz="2" w:space="0" w:color="auto"/>
              <w:right w:val="single" w:sz="2" w:space="0" w:color="auto"/>
            </w:tcBorders>
            <w:vAlign w:val="center"/>
          </w:tcPr>
          <w:p w14:paraId="402D3E47" w14:textId="62D963AB"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1,509,576,233.69</w:t>
            </w:r>
          </w:p>
        </w:tc>
        <w:tc>
          <w:tcPr>
            <w:tcW w:w="367" w:type="dxa"/>
            <w:tcBorders>
              <w:top w:val="single" w:sz="2" w:space="0" w:color="auto"/>
              <w:left w:val="single" w:sz="2" w:space="0" w:color="auto"/>
              <w:bottom w:val="single" w:sz="2" w:space="0" w:color="auto"/>
              <w:right w:val="single" w:sz="2" w:space="0" w:color="auto"/>
            </w:tcBorders>
            <w:vAlign w:val="center"/>
          </w:tcPr>
          <w:p w14:paraId="22BB0E46" w14:textId="77777777" w:rsidR="00DC359B" w:rsidRPr="00FF7639" w:rsidRDefault="00DC359B" w:rsidP="00DC359B">
            <w:pPr>
              <w:spacing w:line="360" w:lineRule="auto"/>
              <w:jc w:val="right"/>
              <w:rPr>
                <w:rFonts w:ascii="宋体" w:eastAsia="宋体" w:hAnsi="宋体" w:cs="宋体"/>
                <w:sz w:val="13"/>
                <w:szCs w:val="13"/>
              </w:rPr>
            </w:pPr>
          </w:p>
        </w:tc>
        <w:tc>
          <w:tcPr>
            <w:tcW w:w="1228" w:type="dxa"/>
            <w:tcBorders>
              <w:top w:val="single" w:sz="2" w:space="0" w:color="auto"/>
              <w:left w:val="single" w:sz="2" w:space="0" w:color="auto"/>
              <w:bottom w:val="single" w:sz="2" w:space="0" w:color="auto"/>
              <w:right w:val="single" w:sz="2" w:space="0" w:color="auto"/>
            </w:tcBorders>
            <w:vAlign w:val="center"/>
          </w:tcPr>
          <w:p w14:paraId="7D1F5D28" w14:textId="1866D7F4" w:rsidR="00DC359B" w:rsidRPr="00FF7639" w:rsidRDefault="00BC601B" w:rsidP="00DC359B">
            <w:pPr>
              <w:spacing w:line="360" w:lineRule="auto"/>
              <w:jc w:val="right"/>
              <w:rPr>
                <w:rFonts w:ascii="宋体" w:eastAsia="宋体" w:hAnsi="宋体" w:cs="宋体"/>
                <w:sz w:val="13"/>
                <w:szCs w:val="13"/>
              </w:rPr>
            </w:pPr>
            <w:r w:rsidRPr="00BC601B">
              <w:rPr>
                <w:rFonts w:ascii="宋体" w:eastAsia="宋体" w:hAnsi="宋体" w:cs="宋体"/>
                <w:sz w:val="13"/>
                <w:szCs w:val="13"/>
              </w:rPr>
              <w:t>3,406,731,027.33</w:t>
            </w:r>
          </w:p>
        </w:tc>
      </w:tr>
    </w:tbl>
    <w:p w14:paraId="09855AA3" w14:textId="77777777" w:rsidR="00DC359B" w:rsidRDefault="00DC359B" w:rsidP="00DC359B">
      <w:pPr>
        <w:spacing w:before="40" w:after="40" w:line="240" w:lineRule="exact"/>
        <w:rPr>
          <w:rFonts w:ascii="宋体" w:eastAsia="宋体" w:hAnsi="宋体" w:cs="宋体"/>
          <w:sz w:val="18"/>
          <w:szCs w:val="18"/>
        </w:rPr>
        <w:sectPr w:rsidR="00DC359B" w:rsidSect="00DC359B">
          <w:pgSz w:w="16840" w:h="11905" w:orient="landscape"/>
          <w:pgMar w:top="1134" w:right="1440" w:bottom="1134" w:left="1440" w:header="850" w:footer="992" w:gutter="0"/>
          <w:cols w:space="720"/>
          <w:docGrid w:type="linesAndChars" w:linePitch="312"/>
        </w:sectPr>
      </w:pPr>
    </w:p>
    <w:p w14:paraId="5BF2CA39" w14:textId="77777777" w:rsidR="00DC359B" w:rsidRDefault="00DC359B" w:rsidP="00DC359B">
      <w:pPr>
        <w:spacing w:before="40" w:after="40" w:line="240" w:lineRule="exact"/>
        <w:rPr>
          <w:rFonts w:ascii="宋体" w:eastAsia="宋体" w:hAnsi="宋体" w:cs="宋体"/>
          <w:sz w:val="18"/>
          <w:szCs w:val="18"/>
        </w:rPr>
      </w:pPr>
      <w:r>
        <w:rPr>
          <w:rFonts w:ascii="宋体" w:eastAsia="宋体" w:hAnsi="宋体" w:cs="宋体"/>
          <w:sz w:val="18"/>
          <w:szCs w:val="18"/>
        </w:rPr>
        <w:t>上期金额</w:t>
      </w:r>
    </w:p>
    <w:p w14:paraId="0C44D097" w14:textId="77777777" w:rsidR="00DC359B" w:rsidRDefault="00DC359B" w:rsidP="00DC359B">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000" w:firstRow="0" w:lastRow="0" w:firstColumn="0" w:lastColumn="0" w:noHBand="0" w:noVBand="0"/>
      </w:tblPr>
      <w:tblGrid>
        <w:gridCol w:w="2863"/>
        <w:gridCol w:w="1136"/>
        <w:gridCol w:w="570"/>
        <w:gridCol w:w="569"/>
        <w:gridCol w:w="1135"/>
        <w:gridCol w:w="1135"/>
        <w:gridCol w:w="1135"/>
        <w:gridCol w:w="1135"/>
        <w:gridCol w:w="426"/>
        <w:gridCol w:w="1135"/>
        <w:gridCol w:w="1132"/>
        <w:gridCol w:w="426"/>
        <w:gridCol w:w="1219"/>
      </w:tblGrid>
      <w:tr w:rsidR="00C57E60" w14:paraId="43C0FC3F" w14:textId="77777777" w:rsidTr="00DC359B">
        <w:trPr>
          <w:trHeight w:val="240"/>
        </w:trPr>
        <w:tc>
          <w:tcPr>
            <w:tcW w:w="1021"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702E934"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项目</w:t>
            </w:r>
          </w:p>
        </w:tc>
        <w:tc>
          <w:tcPr>
            <w:tcW w:w="3979" w:type="pct"/>
            <w:gridSpan w:val="12"/>
            <w:tcBorders>
              <w:top w:val="single" w:sz="2" w:space="0" w:color="auto"/>
              <w:left w:val="single" w:sz="2" w:space="0" w:color="auto"/>
              <w:bottom w:val="single" w:sz="2" w:space="0" w:color="auto"/>
              <w:right w:val="single" w:sz="2" w:space="0" w:color="auto"/>
            </w:tcBorders>
            <w:shd w:val="clear" w:color="auto" w:fill="D3D3D3"/>
            <w:vAlign w:val="center"/>
          </w:tcPr>
          <w:p w14:paraId="55B93A25"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2024</w:t>
            </w:r>
            <w:r w:rsidRPr="00FF7639">
              <w:rPr>
                <w:rFonts w:ascii="Times New Roman" w:eastAsia="宋体" w:hAnsi="Times New Roman" w:cs="Times New Roman"/>
                <w:sz w:val="13"/>
                <w:szCs w:val="13"/>
              </w:rPr>
              <w:t>年度</w:t>
            </w:r>
          </w:p>
        </w:tc>
      </w:tr>
      <w:tr w:rsidR="00C57E60" w14:paraId="717EF2DC" w14:textId="77777777" w:rsidTr="00DC359B">
        <w:trPr>
          <w:trHeight w:val="240"/>
        </w:trPr>
        <w:tc>
          <w:tcPr>
            <w:tcW w:w="102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00D7672" w14:textId="77777777" w:rsidR="00DC359B" w:rsidRPr="00FF7639" w:rsidRDefault="00DC359B" w:rsidP="00DC359B">
            <w:pPr>
              <w:spacing w:line="360" w:lineRule="auto"/>
              <w:rPr>
                <w:rFonts w:ascii="Times New Roman" w:hAnsi="Times New Roman" w:cs="Times New Roman"/>
                <w:sz w:val="13"/>
                <w:szCs w:val="13"/>
              </w:rPr>
            </w:pPr>
          </w:p>
        </w:tc>
        <w:tc>
          <w:tcPr>
            <w:tcW w:w="40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F859A14"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股本</w:t>
            </w:r>
          </w:p>
        </w:tc>
        <w:tc>
          <w:tcPr>
            <w:tcW w:w="811" w:type="pct"/>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374C09D"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其他权益工具</w:t>
            </w:r>
          </w:p>
        </w:tc>
        <w:tc>
          <w:tcPr>
            <w:tcW w:w="40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10E3C3A"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资本公积</w:t>
            </w:r>
          </w:p>
        </w:tc>
        <w:tc>
          <w:tcPr>
            <w:tcW w:w="40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A2933D7"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减：库存股</w:t>
            </w:r>
          </w:p>
        </w:tc>
        <w:tc>
          <w:tcPr>
            <w:tcW w:w="40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B6B6D7"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其他综合收益</w:t>
            </w:r>
          </w:p>
        </w:tc>
        <w:tc>
          <w:tcPr>
            <w:tcW w:w="152"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9139FD"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专项储备</w:t>
            </w:r>
          </w:p>
        </w:tc>
        <w:tc>
          <w:tcPr>
            <w:tcW w:w="40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B6A5742"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盈余公积</w:t>
            </w:r>
          </w:p>
        </w:tc>
        <w:tc>
          <w:tcPr>
            <w:tcW w:w="404"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9A2493A"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未分配利润</w:t>
            </w:r>
          </w:p>
        </w:tc>
        <w:tc>
          <w:tcPr>
            <w:tcW w:w="152"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1E041F6"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其他</w:t>
            </w:r>
          </w:p>
        </w:tc>
        <w:tc>
          <w:tcPr>
            <w:tcW w:w="435"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34F5900"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所有者权益合计</w:t>
            </w:r>
          </w:p>
        </w:tc>
      </w:tr>
      <w:tr w:rsidR="00C57E60" w14:paraId="30E4F7A2" w14:textId="77777777" w:rsidTr="00DC359B">
        <w:trPr>
          <w:trHeight w:val="240"/>
        </w:trPr>
        <w:tc>
          <w:tcPr>
            <w:tcW w:w="102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E6E44A3" w14:textId="77777777" w:rsidR="00DC359B" w:rsidRPr="00FF7639" w:rsidRDefault="00DC359B" w:rsidP="00DC359B">
            <w:pPr>
              <w:spacing w:line="360" w:lineRule="auto"/>
              <w:rPr>
                <w:rFonts w:ascii="Times New Roman" w:hAnsi="Times New Roman" w:cs="Times New Roman"/>
                <w:sz w:val="13"/>
                <w:szCs w:val="13"/>
              </w:rPr>
            </w:pPr>
          </w:p>
        </w:tc>
        <w:tc>
          <w:tcPr>
            <w:tcW w:w="40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474C155B" w14:textId="77777777" w:rsidR="00DC359B" w:rsidRPr="00FF7639" w:rsidRDefault="00DC359B" w:rsidP="00DC359B">
            <w:pPr>
              <w:spacing w:line="360" w:lineRule="auto"/>
              <w:rPr>
                <w:rFonts w:ascii="Times New Roman"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shd w:val="clear" w:color="auto" w:fill="D3D3D3"/>
            <w:vAlign w:val="center"/>
          </w:tcPr>
          <w:p w14:paraId="4CDC0C5D"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优先股</w:t>
            </w:r>
          </w:p>
        </w:tc>
        <w:tc>
          <w:tcPr>
            <w:tcW w:w="203" w:type="pct"/>
            <w:tcBorders>
              <w:top w:val="single" w:sz="2" w:space="0" w:color="auto"/>
              <w:left w:val="single" w:sz="2" w:space="0" w:color="auto"/>
              <w:bottom w:val="single" w:sz="2" w:space="0" w:color="auto"/>
              <w:right w:val="single" w:sz="2" w:space="0" w:color="auto"/>
            </w:tcBorders>
            <w:shd w:val="clear" w:color="auto" w:fill="D3D3D3"/>
            <w:vAlign w:val="center"/>
          </w:tcPr>
          <w:p w14:paraId="30D3307D"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永续债</w:t>
            </w:r>
          </w:p>
        </w:tc>
        <w:tc>
          <w:tcPr>
            <w:tcW w:w="405" w:type="pct"/>
            <w:tcBorders>
              <w:top w:val="single" w:sz="2" w:space="0" w:color="auto"/>
              <w:left w:val="single" w:sz="2" w:space="0" w:color="auto"/>
              <w:bottom w:val="single" w:sz="2" w:space="0" w:color="auto"/>
              <w:right w:val="single" w:sz="2" w:space="0" w:color="auto"/>
            </w:tcBorders>
            <w:shd w:val="clear" w:color="auto" w:fill="D3D3D3"/>
            <w:vAlign w:val="center"/>
          </w:tcPr>
          <w:p w14:paraId="30F80A0C" w14:textId="77777777" w:rsidR="00DC359B" w:rsidRPr="00FF7639" w:rsidRDefault="00DC359B" w:rsidP="00DC359B">
            <w:pPr>
              <w:spacing w:before="40" w:after="40" w:line="360" w:lineRule="auto"/>
              <w:jc w:val="center"/>
              <w:rPr>
                <w:rFonts w:ascii="Times New Roman" w:eastAsia="宋体" w:hAnsi="Times New Roman" w:cs="Times New Roman"/>
                <w:sz w:val="13"/>
                <w:szCs w:val="13"/>
              </w:rPr>
            </w:pPr>
            <w:r w:rsidRPr="00FF7639">
              <w:rPr>
                <w:rFonts w:ascii="Times New Roman" w:eastAsia="宋体" w:hAnsi="Times New Roman" w:cs="Times New Roman"/>
                <w:sz w:val="13"/>
                <w:szCs w:val="13"/>
              </w:rPr>
              <w:t>其他</w:t>
            </w:r>
          </w:p>
        </w:tc>
        <w:tc>
          <w:tcPr>
            <w:tcW w:w="40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6A631A5" w14:textId="77777777" w:rsidR="00DC359B" w:rsidRPr="00FF7639" w:rsidRDefault="00DC359B" w:rsidP="00DC359B">
            <w:pPr>
              <w:spacing w:line="360" w:lineRule="auto"/>
              <w:rPr>
                <w:rFonts w:ascii="Times New Roman" w:hAnsi="Times New Roman" w:cs="Times New Roman"/>
                <w:sz w:val="13"/>
                <w:szCs w:val="13"/>
              </w:rPr>
            </w:pPr>
          </w:p>
        </w:tc>
        <w:tc>
          <w:tcPr>
            <w:tcW w:w="40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0CB6521" w14:textId="77777777" w:rsidR="00DC359B" w:rsidRPr="00FF7639" w:rsidRDefault="00DC359B" w:rsidP="00DC359B">
            <w:pPr>
              <w:spacing w:line="360" w:lineRule="auto"/>
              <w:rPr>
                <w:rFonts w:ascii="Times New Roman" w:hAnsi="Times New Roman" w:cs="Times New Roman"/>
                <w:sz w:val="13"/>
                <w:szCs w:val="13"/>
              </w:rPr>
            </w:pPr>
          </w:p>
        </w:tc>
        <w:tc>
          <w:tcPr>
            <w:tcW w:w="40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5F362D4" w14:textId="77777777" w:rsidR="00DC359B" w:rsidRPr="00FF7639" w:rsidRDefault="00DC359B" w:rsidP="00DC359B">
            <w:pPr>
              <w:spacing w:line="360" w:lineRule="auto"/>
              <w:rPr>
                <w:rFonts w:ascii="Times New Roman" w:hAnsi="Times New Roman" w:cs="Times New Roman"/>
                <w:sz w:val="13"/>
                <w:szCs w:val="13"/>
              </w:rPr>
            </w:pPr>
          </w:p>
        </w:tc>
        <w:tc>
          <w:tcPr>
            <w:tcW w:w="152" w:type="pct"/>
            <w:vMerge/>
            <w:tcBorders>
              <w:top w:val="single" w:sz="2" w:space="0" w:color="auto"/>
              <w:left w:val="single" w:sz="2" w:space="0" w:color="auto"/>
              <w:bottom w:val="single" w:sz="2" w:space="0" w:color="auto"/>
              <w:right w:val="single" w:sz="2" w:space="0" w:color="auto"/>
            </w:tcBorders>
            <w:vAlign w:val="center"/>
          </w:tcPr>
          <w:p w14:paraId="55232F90" w14:textId="77777777" w:rsidR="00DC359B" w:rsidRPr="00FF7639" w:rsidRDefault="00DC359B" w:rsidP="00DC359B">
            <w:pPr>
              <w:spacing w:line="360" w:lineRule="auto"/>
              <w:rPr>
                <w:rFonts w:ascii="Times New Roman" w:hAnsi="Times New Roman" w:cs="Times New Roman"/>
                <w:sz w:val="13"/>
                <w:szCs w:val="13"/>
              </w:rPr>
            </w:pPr>
          </w:p>
        </w:tc>
        <w:tc>
          <w:tcPr>
            <w:tcW w:w="40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41E48B44" w14:textId="77777777" w:rsidR="00DC359B" w:rsidRPr="00FF7639" w:rsidRDefault="00DC359B" w:rsidP="00DC359B">
            <w:pPr>
              <w:spacing w:line="360" w:lineRule="auto"/>
              <w:rPr>
                <w:rFonts w:ascii="Times New Roman" w:hAnsi="Times New Roman" w:cs="Times New Roman"/>
                <w:sz w:val="13"/>
                <w:szCs w:val="13"/>
              </w:rPr>
            </w:pPr>
          </w:p>
        </w:tc>
        <w:tc>
          <w:tcPr>
            <w:tcW w:w="404"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77BF9561" w14:textId="77777777" w:rsidR="00DC359B" w:rsidRPr="00FF7639" w:rsidRDefault="00DC359B" w:rsidP="00DC359B">
            <w:pPr>
              <w:spacing w:line="360" w:lineRule="auto"/>
              <w:rPr>
                <w:rFonts w:ascii="Times New Roman" w:hAnsi="Times New Roman" w:cs="Times New Roman"/>
                <w:sz w:val="13"/>
                <w:szCs w:val="13"/>
              </w:rPr>
            </w:pPr>
          </w:p>
        </w:tc>
        <w:tc>
          <w:tcPr>
            <w:tcW w:w="152" w:type="pct"/>
            <w:vMerge/>
            <w:tcBorders>
              <w:top w:val="single" w:sz="2" w:space="0" w:color="auto"/>
              <w:left w:val="single" w:sz="2" w:space="0" w:color="auto"/>
              <w:bottom w:val="single" w:sz="2" w:space="0" w:color="auto"/>
              <w:right w:val="single" w:sz="2" w:space="0" w:color="auto"/>
            </w:tcBorders>
            <w:vAlign w:val="center"/>
          </w:tcPr>
          <w:p w14:paraId="0BD296BD" w14:textId="77777777" w:rsidR="00DC359B" w:rsidRPr="00FF7639" w:rsidRDefault="00DC359B" w:rsidP="00DC359B">
            <w:pPr>
              <w:spacing w:line="360" w:lineRule="auto"/>
              <w:rPr>
                <w:rFonts w:ascii="Times New Roman" w:hAnsi="Times New Roman" w:cs="Times New Roman"/>
                <w:sz w:val="13"/>
                <w:szCs w:val="13"/>
              </w:rPr>
            </w:pPr>
          </w:p>
        </w:tc>
        <w:tc>
          <w:tcPr>
            <w:tcW w:w="435"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8ED84BD" w14:textId="77777777" w:rsidR="00DC359B" w:rsidRPr="00FF7639" w:rsidRDefault="00DC359B" w:rsidP="00DC359B">
            <w:pPr>
              <w:spacing w:line="360" w:lineRule="auto"/>
              <w:rPr>
                <w:rFonts w:ascii="Times New Roman" w:hAnsi="Times New Roman" w:cs="Times New Roman"/>
                <w:sz w:val="13"/>
                <w:szCs w:val="13"/>
              </w:rPr>
            </w:pPr>
          </w:p>
        </w:tc>
      </w:tr>
      <w:tr w:rsidR="00C57E60" w14:paraId="2DFB6FB6"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0A2F727C"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一、上年期末余额</w:t>
            </w:r>
          </w:p>
        </w:tc>
        <w:tc>
          <w:tcPr>
            <w:tcW w:w="405" w:type="pct"/>
            <w:tcBorders>
              <w:top w:val="single" w:sz="2" w:space="0" w:color="auto"/>
              <w:left w:val="single" w:sz="2" w:space="0" w:color="auto"/>
              <w:bottom w:val="single" w:sz="2" w:space="0" w:color="auto"/>
              <w:right w:val="single" w:sz="2" w:space="0" w:color="auto"/>
            </w:tcBorders>
            <w:vAlign w:val="center"/>
          </w:tcPr>
          <w:p w14:paraId="5947A9E8"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564,265,373.00</w:t>
            </w:r>
          </w:p>
        </w:tc>
        <w:tc>
          <w:tcPr>
            <w:tcW w:w="203" w:type="pct"/>
            <w:tcBorders>
              <w:top w:val="single" w:sz="2" w:space="0" w:color="auto"/>
              <w:left w:val="single" w:sz="2" w:space="0" w:color="auto"/>
              <w:bottom w:val="single" w:sz="2" w:space="0" w:color="auto"/>
              <w:right w:val="single" w:sz="2" w:space="0" w:color="auto"/>
            </w:tcBorders>
            <w:vAlign w:val="center"/>
          </w:tcPr>
          <w:p w14:paraId="2D4DFF3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44514A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93660E7"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123,953,430.61</w:t>
            </w:r>
          </w:p>
        </w:tc>
        <w:tc>
          <w:tcPr>
            <w:tcW w:w="405" w:type="pct"/>
            <w:tcBorders>
              <w:top w:val="single" w:sz="2" w:space="0" w:color="auto"/>
              <w:left w:val="single" w:sz="2" w:space="0" w:color="auto"/>
              <w:bottom w:val="single" w:sz="2" w:space="0" w:color="auto"/>
              <w:right w:val="single" w:sz="2" w:space="0" w:color="auto"/>
            </w:tcBorders>
            <w:vAlign w:val="center"/>
          </w:tcPr>
          <w:p w14:paraId="063038AA"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1,038,367,561.32</w:t>
            </w:r>
          </w:p>
        </w:tc>
        <w:tc>
          <w:tcPr>
            <w:tcW w:w="405" w:type="pct"/>
            <w:tcBorders>
              <w:top w:val="single" w:sz="2" w:space="0" w:color="auto"/>
              <w:left w:val="single" w:sz="2" w:space="0" w:color="auto"/>
              <w:bottom w:val="single" w:sz="2" w:space="0" w:color="auto"/>
              <w:right w:val="single" w:sz="2" w:space="0" w:color="auto"/>
            </w:tcBorders>
            <w:vAlign w:val="center"/>
          </w:tcPr>
          <w:p w14:paraId="02FA94D3"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202,777,079.40</w:t>
            </w:r>
          </w:p>
        </w:tc>
        <w:tc>
          <w:tcPr>
            <w:tcW w:w="405" w:type="pct"/>
            <w:tcBorders>
              <w:top w:val="single" w:sz="2" w:space="0" w:color="auto"/>
              <w:left w:val="single" w:sz="2" w:space="0" w:color="auto"/>
              <w:bottom w:val="single" w:sz="2" w:space="0" w:color="auto"/>
              <w:right w:val="single" w:sz="2" w:space="0" w:color="auto"/>
            </w:tcBorders>
            <w:vAlign w:val="center"/>
          </w:tcPr>
          <w:p w14:paraId="622C0591"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47,037,016.19</w:t>
            </w:r>
          </w:p>
        </w:tc>
        <w:tc>
          <w:tcPr>
            <w:tcW w:w="152" w:type="pct"/>
            <w:tcBorders>
              <w:top w:val="single" w:sz="2" w:space="0" w:color="auto"/>
              <w:left w:val="single" w:sz="2" w:space="0" w:color="auto"/>
              <w:bottom w:val="single" w:sz="2" w:space="0" w:color="auto"/>
              <w:right w:val="single" w:sz="2" w:space="0" w:color="auto"/>
            </w:tcBorders>
            <w:vAlign w:val="center"/>
          </w:tcPr>
          <w:p w14:paraId="4DDE7E3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B9DF6F3"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430,853,505.74</w:t>
            </w:r>
          </w:p>
        </w:tc>
        <w:tc>
          <w:tcPr>
            <w:tcW w:w="404" w:type="pct"/>
            <w:tcBorders>
              <w:top w:val="single" w:sz="2" w:space="0" w:color="auto"/>
              <w:left w:val="single" w:sz="2" w:space="0" w:color="auto"/>
              <w:bottom w:val="single" w:sz="2" w:space="0" w:color="auto"/>
              <w:right w:val="single" w:sz="2" w:space="0" w:color="auto"/>
            </w:tcBorders>
            <w:vAlign w:val="center"/>
          </w:tcPr>
          <w:p w14:paraId="2617ADBB"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1,163,848,683.36</w:t>
            </w:r>
          </w:p>
        </w:tc>
        <w:tc>
          <w:tcPr>
            <w:tcW w:w="152" w:type="pct"/>
            <w:tcBorders>
              <w:top w:val="single" w:sz="2" w:space="0" w:color="auto"/>
              <w:left w:val="single" w:sz="2" w:space="0" w:color="auto"/>
              <w:bottom w:val="single" w:sz="2" w:space="0" w:color="auto"/>
              <w:right w:val="single" w:sz="2" w:space="0" w:color="auto"/>
            </w:tcBorders>
            <w:vAlign w:val="center"/>
          </w:tcPr>
          <w:p w14:paraId="7570B6A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001CD93A"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3,165,548,490.82</w:t>
            </w:r>
          </w:p>
        </w:tc>
      </w:tr>
      <w:tr w:rsidR="00C57E60" w14:paraId="78BC1E2F"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689A8188" w14:textId="77777777" w:rsidR="00DC359B" w:rsidRPr="00FF7639" w:rsidRDefault="00DC359B" w:rsidP="00DC359B">
            <w:pPr>
              <w:spacing w:before="40" w:after="40" w:line="360" w:lineRule="auto"/>
              <w:ind w:firstLineChars="200" w:firstLine="260"/>
              <w:rPr>
                <w:rFonts w:ascii="Times New Roman" w:eastAsia="宋体" w:hAnsi="Times New Roman" w:cs="Times New Roman"/>
                <w:sz w:val="13"/>
                <w:szCs w:val="13"/>
              </w:rPr>
            </w:pPr>
            <w:r w:rsidRPr="00FF7639">
              <w:rPr>
                <w:rFonts w:ascii="Times New Roman" w:eastAsia="宋体" w:hAnsi="Times New Roman" w:cs="Times New Roman"/>
                <w:sz w:val="13"/>
                <w:szCs w:val="13"/>
              </w:rPr>
              <w:t>加：会计政策变更</w:t>
            </w:r>
          </w:p>
        </w:tc>
        <w:tc>
          <w:tcPr>
            <w:tcW w:w="405" w:type="pct"/>
            <w:tcBorders>
              <w:top w:val="single" w:sz="2" w:space="0" w:color="auto"/>
              <w:left w:val="single" w:sz="2" w:space="0" w:color="auto"/>
              <w:bottom w:val="single" w:sz="2" w:space="0" w:color="auto"/>
              <w:right w:val="single" w:sz="2" w:space="0" w:color="auto"/>
            </w:tcBorders>
            <w:vAlign w:val="center"/>
          </w:tcPr>
          <w:p w14:paraId="0A68262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88DA28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4CA0090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286328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14DEDC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5A747E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D7F332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13D93F4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05D229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6004E39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69C889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2E3146E0"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78430056"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3C20FC73" w14:textId="77777777" w:rsidR="00DC359B" w:rsidRPr="00FF7639" w:rsidRDefault="00DC359B" w:rsidP="00DC359B">
            <w:pPr>
              <w:spacing w:before="40" w:after="40" w:line="360" w:lineRule="auto"/>
              <w:ind w:firstLineChars="400" w:firstLine="520"/>
              <w:rPr>
                <w:rFonts w:ascii="Times New Roman" w:eastAsia="宋体" w:hAnsi="Times New Roman" w:cs="Times New Roman"/>
                <w:sz w:val="13"/>
                <w:szCs w:val="13"/>
              </w:rPr>
            </w:pPr>
            <w:r w:rsidRPr="00FF7639">
              <w:rPr>
                <w:rFonts w:ascii="Times New Roman" w:eastAsia="宋体" w:hAnsi="Times New Roman" w:cs="Times New Roman"/>
                <w:sz w:val="13"/>
                <w:szCs w:val="13"/>
              </w:rPr>
              <w:t>前期差错更正</w:t>
            </w:r>
          </w:p>
        </w:tc>
        <w:tc>
          <w:tcPr>
            <w:tcW w:w="405" w:type="pct"/>
            <w:tcBorders>
              <w:top w:val="single" w:sz="2" w:space="0" w:color="auto"/>
              <w:left w:val="single" w:sz="2" w:space="0" w:color="auto"/>
              <w:bottom w:val="single" w:sz="2" w:space="0" w:color="auto"/>
              <w:right w:val="single" w:sz="2" w:space="0" w:color="auto"/>
            </w:tcBorders>
            <w:vAlign w:val="center"/>
          </w:tcPr>
          <w:p w14:paraId="5881982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EB7CC5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6C27F9B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4A35A3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9C8B22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366F7D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03E574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2A83CA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B2AB88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50F66DF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18E62CF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515715EE"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2DB00B4D"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053329FD" w14:textId="77777777" w:rsidR="00DC359B" w:rsidRPr="00FF7639" w:rsidRDefault="00DC359B" w:rsidP="00DC359B">
            <w:pPr>
              <w:spacing w:before="40" w:after="40" w:line="360" w:lineRule="auto"/>
              <w:ind w:firstLineChars="400" w:firstLine="520"/>
              <w:rPr>
                <w:rFonts w:ascii="Times New Roman" w:eastAsia="宋体" w:hAnsi="Times New Roman" w:cs="Times New Roman"/>
                <w:sz w:val="13"/>
                <w:szCs w:val="13"/>
              </w:rPr>
            </w:pPr>
            <w:r w:rsidRPr="00FF7639">
              <w:rPr>
                <w:rFonts w:ascii="Times New Roman" w:eastAsia="宋体" w:hAnsi="Times New Roman" w:cs="Times New Roman"/>
                <w:sz w:val="13"/>
                <w:szCs w:val="13"/>
              </w:rPr>
              <w:t>其他</w:t>
            </w:r>
          </w:p>
        </w:tc>
        <w:tc>
          <w:tcPr>
            <w:tcW w:w="405" w:type="pct"/>
            <w:tcBorders>
              <w:top w:val="single" w:sz="2" w:space="0" w:color="auto"/>
              <w:left w:val="single" w:sz="2" w:space="0" w:color="auto"/>
              <w:bottom w:val="single" w:sz="2" w:space="0" w:color="auto"/>
              <w:right w:val="single" w:sz="2" w:space="0" w:color="auto"/>
            </w:tcBorders>
            <w:vAlign w:val="center"/>
          </w:tcPr>
          <w:p w14:paraId="16DE8A0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262147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37B7347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A64144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C6B460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A6A710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07E13D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FCD2A0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CD31EF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2A57FFA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CF7E1F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1CA5A0D2"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1979EC22"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30CD6CD4"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二、本年期初余额</w:t>
            </w:r>
          </w:p>
        </w:tc>
        <w:tc>
          <w:tcPr>
            <w:tcW w:w="405" w:type="pct"/>
            <w:tcBorders>
              <w:top w:val="single" w:sz="2" w:space="0" w:color="auto"/>
              <w:left w:val="single" w:sz="2" w:space="0" w:color="auto"/>
              <w:bottom w:val="single" w:sz="2" w:space="0" w:color="auto"/>
              <w:right w:val="single" w:sz="2" w:space="0" w:color="auto"/>
            </w:tcBorders>
            <w:vAlign w:val="center"/>
          </w:tcPr>
          <w:p w14:paraId="53D4D622"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564,265,373.00</w:t>
            </w:r>
          </w:p>
        </w:tc>
        <w:tc>
          <w:tcPr>
            <w:tcW w:w="203" w:type="pct"/>
            <w:tcBorders>
              <w:top w:val="single" w:sz="2" w:space="0" w:color="auto"/>
              <w:left w:val="single" w:sz="2" w:space="0" w:color="auto"/>
              <w:bottom w:val="single" w:sz="2" w:space="0" w:color="auto"/>
              <w:right w:val="single" w:sz="2" w:space="0" w:color="auto"/>
            </w:tcBorders>
            <w:vAlign w:val="center"/>
          </w:tcPr>
          <w:p w14:paraId="2727BD6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3A9902B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B09DD1B"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123,953,430.61</w:t>
            </w:r>
          </w:p>
        </w:tc>
        <w:tc>
          <w:tcPr>
            <w:tcW w:w="405" w:type="pct"/>
            <w:tcBorders>
              <w:top w:val="single" w:sz="2" w:space="0" w:color="auto"/>
              <w:left w:val="single" w:sz="2" w:space="0" w:color="auto"/>
              <w:bottom w:val="single" w:sz="2" w:space="0" w:color="auto"/>
              <w:right w:val="single" w:sz="2" w:space="0" w:color="auto"/>
            </w:tcBorders>
            <w:vAlign w:val="center"/>
          </w:tcPr>
          <w:p w14:paraId="6474183E"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1,038,367,561.32</w:t>
            </w:r>
          </w:p>
        </w:tc>
        <w:tc>
          <w:tcPr>
            <w:tcW w:w="405" w:type="pct"/>
            <w:tcBorders>
              <w:top w:val="single" w:sz="2" w:space="0" w:color="auto"/>
              <w:left w:val="single" w:sz="2" w:space="0" w:color="auto"/>
              <w:bottom w:val="single" w:sz="2" w:space="0" w:color="auto"/>
              <w:right w:val="single" w:sz="2" w:space="0" w:color="auto"/>
            </w:tcBorders>
            <w:vAlign w:val="center"/>
          </w:tcPr>
          <w:p w14:paraId="54D2EEA5"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202,777,079.40</w:t>
            </w:r>
          </w:p>
        </w:tc>
        <w:tc>
          <w:tcPr>
            <w:tcW w:w="405" w:type="pct"/>
            <w:tcBorders>
              <w:top w:val="single" w:sz="2" w:space="0" w:color="auto"/>
              <w:left w:val="single" w:sz="2" w:space="0" w:color="auto"/>
              <w:bottom w:val="single" w:sz="2" w:space="0" w:color="auto"/>
              <w:right w:val="single" w:sz="2" w:space="0" w:color="auto"/>
            </w:tcBorders>
            <w:vAlign w:val="center"/>
          </w:tcPr>
          <w:p w14:paraId="3B1A0DE7"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47,037,016.19</w:t>
            </w:r>
          </w:p>
        </w:tc>
        <w:tc>
          <w:tcPr>
            <w:tcW w:w="152" w:type="pct"/>
            <w:tcBorders>
              <w:top w:val="single" w:sz="2" w:space="0" w:color="auto"/>
              <w:left w:val="single" w:sz="2" w:space="0" w:color="auto"/>
              <w:bottom w:val="single" w:sz="2" w:space="0" w:color="auto"/>
              <w:right w:val="single" w:sz="2" w:space="0" w:color="auto"/>
            </w:tcBorders>
            <w:vAlign w:val="center"/>
          </w:tcPr>
          <w:p w14:paraId="7194283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BD7A2E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430,853,505.74</w:t>
            </w:r>
          </w:p>
        </w:tc>
        <w:tc>
          <w:tcPr>
            <w:tcW w:w="404" w:type="pct"/>
            <w:tcBorders>
              <w:top w:val="single" w:sz="2" w:space="0" w:color="auto"/>
              <w:left w:val="single" w:sz="2" w:space="0" w:color="auto"/>
              <w:bottom w:val="single" w:sz="2" w:space="0" w:color="auto"/>
              <w:right w:val="single" w:sz="2" w:space="0" w:color="auto"/>
            </w:tcBorders>
            <w:vAlign w:val="center"/>
          </w:tcPr>
          <w:p w14:paraId="7A90E7A8"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1,163,848,683.36</w:t>
            </w:r>
          </w:p>
        </w:tc>
        <w:tc>
          <w:tcPr>
            <w:tcW w:w="152" w:type="pct"/>
            <w:tcBorders>
              <w:top w:val="single" w:sz="2" w:space="0" w:color="auto"/>
              <w:left w:val="single" w:sz="2" w:space="0" w:color="auto"/>
              <w:bottom w:val="single" w:sz="2" w:space="0" w:color="auto"/>
              <w:right w:val="single" w:sz="2" w:space="0" w:color="auto"/>
            </w:tcBorders>
            <w:vAlign w:val="center"/>
          </w:tcPr>
          <w:p w14:paraId="2414084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2F8E432B"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3,165,548,490.82</w:t>
            </w:r>
          </w:p>
        </w:tc>
      </w:tr>
      <w:tr w:rsidR="00C57E60" w14:paraId="2C4B86BC"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2502AD5E"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三、本期增减变动金额（减少以</w:t>
            </w:r>
            <w:r w:rsidRPr="00FF7639">
              <w:rPr>
                <w:rFonts w:ascii="Times New Roman" w:eastAsia="宋体" w:hAnsi="Times New Roman" w:cs="Times New Roman"/>
                <w:sz w:val="13"/>
                <w:szCs w:val="13"/>
              </w:rPr>
              <w:t>“</w:t>
            </w:r>
            <w:r w:rsidRPr="00FF7639">
              <w:rPr>
                <w:rFonts w:ascii="Times New Roman" w:eastAsia="宋体" w:hAnsi="Times New Roman" w:cs="Times New Roman"/>
                <w:sz w:val="13"/>
                <w:szCs w:val="13"/>
              </w:rPr>
              <w:t>－</w:t>
            </w:r>
            <w:r w:rsidRPr="00FF7639">
              <w:rPr>
                <w:rFonts w:ascii="Times New Roman" w:eastAsia="宋体" w:hAnsi="Times New Roman" w:cs="Times New Roman"/>
                <w:sz w:val="13"/>
                <w:szCs w:val="13"/>
              </w:rPr>
              <w:t>”</w:t>
            </w:r>
            <w:r w:rsidRPr="00FF7639">
              <w:rPr>
                <w:rFonts w:ascii="Times New Roman" w:eastAsia="宋体" w:hAnsi="Times New Roman" w:cs="Times New Roman"/>
                <w:sz w:val="13"/>
                <w:szCs w:val="13"/>
              </w:rPr>
              <w:t>号填列）</w:t>
            </w:r>
          </w:p>
        </w:tc>
        <w:tc>
          <w:tcPr>
            <w:tcW w:w="405" w:type="pct"/>
            <w:tcBorders>
              <w:top w:val="single" w:sz="2" w:space="0" w:color="auto"/>
              <w:left w:val="single" w:sz="2" w:space="0" w:color="auto"/>
              <w:bottom w:val="single" w:sz="2" w:space="0" w:color="auto"/>
              <w:right w:val="single" w:sz="2" w:space="0" w:color="auto"/>
            </w:tcBorders>
            <w:vAlign w:val="center"/>
          </w:tcPr>
          <w:p w14:paraId="72C1AA9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2.00</w:t>
            </w:r>
          </w:p>
        </w:tc>
        <w:tc>
          <w:tcPr>
            <w:tcW w:w="203" w:type="pct"/>
            <w:tcBorders>
              <w:top w:val="single" w:sz="2" w:space="0" w:color="auto"/>
              <w:left w:val="single" w:sz="2" w:space="0" w:color="auto"/>
              <w:bottom w:val="single" w:sz="2" w:space="0" w:color="auto"/>
              <w:right w:val="single" w:sz="2" w:space="0" w:color="auto"/>
            </w:tcBorders>
            <w:vAlign w:val="center"/>
          </w:tcPr>
          <w:p w14:paraId="0AB9581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037534E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27B9E38"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-24.87</w:t>
            </w:r>
          </w:p>
        </w:tc>
        <w:tc>
          <w:tcPr>
            <w:tcW w:w="405" w:type="pct"/>
            <w:tcBorders>
              <w:top w:val="single" w:sz="2" w:space="0" w:color="auto"/>
              <w:left w:val="single" w:sz="2" w:space="0" w:color="auto"/>
              <w:bottom w:val="single" w:sz="2" w:space="0" w:color="auto"/>
              <w:right w:val="single" w:sz="2" w:space="0" w:color="auto"/>
            </w:tcBorders>
            <w:vAlign w:val="center"/>
          </w:tcPr>
          <w:p w14:paraId="1B71A07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16,899,666.69</w:t>
            </w:r>
          </w:p>
        </w:tc>
        <w:tc>
          <w:tcPr>
            <w:tcW w:w="405" w:type="pct"/>
            <w:tcBorders>
              <w:top w:val="single" w:sz="2" w:space="0" w:color="auto"/>
              <w:left w:val="single" w:sz="2" w:space="0" w:color="auto"/>
              <w:bottom w:val="single" w:sz="2" w:space="0" w:color="auto"/>
              <w:right w:val="single" w:sz="2" w:space="0" w:color="auto"/>
            </w:tcBorders>
            <w:vAlign w:val="center"/>
          </w:tcPr>
          <w:p w14:paraId="7124B736"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-21,474,685.10</w:t>
            </w:r>
          </w:p>
        </w:tc>
        <w:tc>
          <w:tcPr>
            <w:tcW w:w="405" w:type="pct"/>
            <w:tcBorders>
              <w:top w:val="single" w:sz="2" w:space="0" w:color="auto"/>
              <w:left w:val="single" w:sz="2" w:space="0" w:color="auto"/>
              <w:bottom w:val="single" w:sz="2" w:space="0" w:color="auto"/>
              <w:right w:val="single" w:sz="2" w:space="0" w:color="auto"/>
            </w:tcBorders>
            <w:vAlign w:val="center"/>
          </w:tcPr>
          <w:p w14:paraId="28957A3F"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-28,111,567.38</w:t>
            </w:r>
          </w:p>
        </w:tc>
        <w:tc>
          <w:tcPr>
            <w:tcW w:w="152" w:type="pct"/>
            <w:tcBorders>
              <w:top w:val="single" w:sz="2" w:space="0" w:color="auto"/>
              <w:left w:val="single" w:sz="2" w:space="0" w:color="auto"/>
              <w:bottom w:val="single" w:sz="2" w:space="0" w:color="auto"/>
              <w:right w:val="single" w:sz="2" w:space="0" w:color="auto"/>
            </w:tcBorders>
            <w:vAlign w:val="center"/>
          </w:tcPr>
          <w:p w14:paraId="097F7E7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B23117D"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51,636,554.57</w:t>
            </w:r>
          </w:p>
        </w:tc>
        <w:tc>
          <w:tcPr>
            <w:tcW w:w="404" w:type="pct"/>
            <w:tcBorders>
              <w:top w:val="single" w:sz="2" w:space="0" w:color="auto"/>
              <w:left w:val="single" w:sz="2" w:space="0" w:color="auto"/>
              <w:bottom w:val="single" w:sz="2" w:space="0" w:color="auto"/>
              <w:right w:val="single" w:sz="2" w:space="0" w:color="auto"/>
            </w:tcBorders>
            <w:vAlign w:val="center"/>
          </w:tcPr>
          <w:p w14:paraId="0B62D117"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181,838,224.97</w:t>
            </w:r>
          </w:p>
        </w:tc>
        <w:tc>
          <w:tcPr>
            <w:tcW w:w="152" w:type="pct"/>
            <w:tcBorders>
              <w:top w:val="single" w:sz="2" w:space="0" w:color="auto"/>
              <w:left w:val="single" w:sz="2" w:space="0" w:color="auto"/>
              <w:bottom w:val="single" w:sz="2" w:space="0" w:color="auto"/>
              <w:right w:val="single" w:sz="2" w:space="0" w:color="auto"/>
            </w:tcBorders>
            <w:vAlign w:val="center"/>
          </w:tcPr>
          <w:p w14:paraId="68FC096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28011759"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243,737,541.08</w:t>
            </w:r>
          </w:p>
        </w:tc>
      </w:tr>
      <w:tr w:rsidR="00C57E60" w14:paraId="0E602AB5"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33CF8836"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（一）综合收益总额</w:t>
            </w:r>
          </w:p>
        </w:tc>
        <w:tc>
          <w:tcPr>
            <w:tcW w:w="405" w:type="pct"/>
            <w:tcBorders>
              <w:top w:val="single" w:sz="2" w:space="0" w:color="auto"/>
              <w:left w:val="single" w:sz="2" w:space="0" w:color="auto"/>
              <w:bottom w:val="single" w:sz="2" w:space="0" w:color="auto"/>
              <w:right w:val="single" w:sz="2" w:space="0" w:color="auto"/>
            </w:tcBorders>
            <w:vAlign w:val="center"/>
          </w:tcPr>
          <w:p w14:paraId="3BA9611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6BFEE1F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C305B9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63657A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DCD19B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060C4A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B65B4B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14,901,649.91</w:t>
            </w:r>
          </w:p>
        </w:tc>
        <w:tc>
          <w:tcPr>
            <w:tcW w:w="152" w:type="pct"/>
            <w:tcBorders>
              <w:top w:val="single" w:sz="2" w:space="0" w:color="auto"/>
              <w:left w:val="single" w:sz="2" w:space="0" w:color="auto"/>
              <w:bottom w:val="single" w:sz="2" w:space="0" w:color="auto"/>
              <w:right w:val="single" w:sz="2" w:space="0" w:color="auto"/>
            </w:tcBorders>
            <w:vAlign w:val="center"/>
          </w:tcPr>
          <w:p w14:paraId="67D23C6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763FB3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21A803A8"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301,230,479.85</w:t>
            </w:r>
          </w:p>
        </w:tc>
        <w:tc>
          <w:tcPr>
            <w:tcW w:w="152" w:type="pct"/>
            <w:tcBorders>
              <w:top w:val="single" w:sz="2" w:space="0" w:color="auto"/>
              <w:left w:val="single" w:sz="2" w:space="0" w:color="auto"/>
              <w:bottom w:val="single" w:sz="2" w:space="0" w:color="auto"/>
              <w:right w:val="single" w:sz="2" w:space="0" w:color="auto"/>
            </w:tcBorders>
            <w:vAlign w:val="center"/>
          </w:tcPr>
          <w:p w14:paraId="45A105B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4D662F53"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316,132,129.76</w:t>
            </w:r>
          </w:p>
        </w:tc>
      </w:tr>
      <w:tr w:rsidR="00C57E60" w14:paraId="00FD8320"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7E7927A9"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（二）所有者投入和减少资本</w:t>
            </w:r>
          </w:p>
        </w:tc>
        <w:tc>
          <w:tcPr>
            <w:tcW w:w="405" w:type="pct"/>
            <w:tcBorders>
              <w:top w:val="single" w:sz="2" w:space="0" w:color="auto"/>
              <w:left w:val="single" w:sz="2" w:space="0" w:color="auto"/>
              <w:bottom w:val="single" w:sz="2" w:space="0" w:color="auto"/>
              <w:right w:val="single" w:sz="2" w:space="0" w:color="auto"/>
            </w:tcBorders>
            <w:vAlign w:val="center"/>
          </w:tcPr>
          <w:p w14:paraId="08F385F2"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2.00</w:t>
            </w:r>
          </w:p>
        </w:tc>
        <w:tc>
          <w:tcPr>
            <w:tcW w:w="203" w:type="pct"/>
            <w:tcBorders>
              <w:top w:val="single" w:sz="2" w:space="0" w:color="auto"/>
              <w:left w:val="single" w:sz="2" w:space="0" w:color="auto"/>
              <w:bottom w:val="single" w:sz="2" w:space="0" w:color="auto"/>
              <w:right w:val="single" w:sz="2" w:space="0" w:color="auto"/>
            </w:tcBorders>
            <w:vAlign w:val="center"/>
          </w:tcPr>
          <w:p w14:paraId="016638A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4998512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36E5A59"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-24.87</w:t>
            </w:r>
          </w:p>
        </w:tc>
        <w:tc>
          <w:tcPr>
            <w:tcW w:w="405" w:type="pct"/>
            <w:tcBorders>
              <w:top w:val="single" w:sz="2" w:space="0" w:color="auto"/>
              <w:left w:val="single" w:sz="2" w:space="0" w:color="auto"/>
              <w:bottom w:val="single" w:sz="2" w:space="0" w:color="auto"/>
              <w:right w:val="single" w:sz="2" w:space="0" w:color="auto"/>
            </w:tcBorders>
            <w:vAlign w:val="center"/>
          </w:tcPr>
          <w:p w14:paraId="6B8D066F"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16,404,570.11</w:t>
            </w:r>
          </w:p>
        </w:tc>
        <w:tc>
          <w:tcPr>
            <w:tcW w:w="405" w:type="pct"/>
            <w:tcBorders>
              <w:top w:val="single" w:sz="2" w:space="0" w:color="auto"/>
              <w:left w:val="single" w:sz="2" w:space="0" w:color="auto"/>
              <w:bottom w:val="single" w:sz="2" w:space="0" w:color="auto"/>
              <w:right w:val="single" w:sz="2" w:space="0" w:color="auto"/>
            </w:tcBorders>
            <w:vAlign w:val="center"/>
          </w:tcPr>
          <w:p w14:paraId="1C3CC52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-21,474,685.10</w:t>
            </w:r>
          </w:p>
        </w:tc>
        <w:tc>
          <w:tcPr>
            <w:tcW w:w="405" w:type="pct"/>
            <w:tcBorders>
              <w:top w:val="single" w:sz="2" w:space="0" w:color="auto"/>
              <w:left w:val="single" w:sz="2" w:space="0" w:color="auto"/>
              <w:bottom w:val="single" w:sz="2" w:space="0" w:color="auto"/>
              <w:right w:val="single" w:sz="2" w:space="0" w:color="auto"/>
            </w:tcBorders>
            <w:vAlign w:val="center"/>
          </w:tcPr>
          <w:p w14:paraId="6263B07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2574F25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282914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360D4E0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777439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756840DB"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37,879,232.34</w:t>
            </w:r>
          </w:p>
        </w:tc>
      </w:tr>
      <w:tr w:rsidR="00C57E60" w14:paraId="381CA8B4"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2C120D0E"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1</w:t>
            </w:r>
            <w:r w:rsidRPr="00FF7639">
              <w:rPr>
                <w:rFonts w:ascii="Times New Roman" w:eastAsia="宋体" w:hAnsi="Times New Roman" w:cs="Times New Roman"/>
                <w:sz w:val="13"/>
                <w:szCs w:val="13"/>
              </w:rPr>
              <w:t>．所有者投入的普通股</w:t>
            </w:r>
          </w:p>
        </w:tc>
        <w:tc>
          <w:tcPr>
            <w:tcW w:w="405" w:type="pct"/>
            <w:tcBorders>
              <w:top w:val="single" w:sz="2" w:space="0" w:color="auto"/>
              <w:left w:val="single" w:sz="2" w:space="0" w:color="auto"/>
              <w:bottom w:val="single" w:sz="2" w:space="0" w:color="auto"/>
              <w:right w:val="single" w:sz="2" w:space="0" w:color="auto"/>
            </w:tcBorders>
            <w:vAlign w:val="center"/>
          </w:tcPr>
          <w:p w14:paraId="4B8BAC0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485254A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1985ECD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1DC0F6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248DD8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0686E53"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-21,474,685.10</w:t>
            </w:r>
          </w:p>
        </w:tc>
        <w:tc>
          <w:tcPr>
            <w:tcW w:w="405" w:type="pct"/>
            <w:tcBorders>
              <w:top w:val="single" w:sz="2" w:space="0" w:color="auto"/>
              <w:left w:val="single" w:sz="2" w:space="0" w:color="auto"/>
              <w:bottom w:val="single" w:sz="2" w:space="0" w:color="auto"/>
              <w:right w:val="single" w:sz="2" w:space="0" w:color="auto"/>
            </w:tcBorders>
            <w:vAlign w:val="center"/>
          </w:tcPr>
          <w:p w14:paraId="315D228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D0317C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AB3C24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3D30CBE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140A1F0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635604EC"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21,474,685.10</w:t>
            </w:r>
          </w:p>
        </w:tc>
      </w:tr>
      <w:tr w:rsidR="00C57E60" w14:paraId="704349C2"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1F455877"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2</w:t>
            </w:r>
            <w:r w:rsidRPr="00FF7639">
              <w:rPr>
                <w:rFonts w:ascii="Times New Roman" w:eastAsia="宋体" w:hAnsi="Times New Roman" w:cs="Times New Roman"/>
                <w:sz w:val="13"/>
                <w:szCs w:val="13"/>
              </w:rPr>
              <w:t>．其他权益工具持有者投入资本</w:t>
            </w:r>
          </w:p>
        </w:tc>
        <w:tc>
          <w:tcPr>
            <w:tcW w:w="405" w:type="pct"/>
            <w:tcBorders>
              <w:top w:val="single" w:sz="2" w:space="0" w:color="auto"/>
              <w:left w:val="single" w:sz="2" w:space="0" w:color="auto"/>
              <w:bottom w:val="single" w:sz="2" w:space="0" w:color="auto"/>
              <w:right w:val="single" w:sz="2" w:space="0" w:color="auto"/>
            </w:tcBorders>
            <w:vAlign w:val="center"/>
          </w:tcPr>
          <w:p w14:paraId="425F8CB2"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2.00</w:t>
            </w:r>
          </w:p>
        </w:tc>
        <w:tc>
          <w:tcPr>
            <w:tcW w:w="203" w:type="pct"/>
            <w:tcBorders>
              <w:top w:val="single" w:sz="2" w:space="0" w:color="auto"/>
              <w:left w:val="single" w:sz="2" w:space="0" w:color="auto"/>
              <w:bottom w:val="single" w:sz="2" w:space="0" w:color="auto"/>
              <w:right w:val="single" w:sz="2" w:space="0" w:color="auto"/>
            </w:tcBorders>
            <w:vAlign w:val="center"/>
          </w:tcPr>
          <w:p w14:paraId="66A55CB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0E36A7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F79479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-24.87</w:t>
            </w:r>
          </w:p>
        </w:tc>
        <w:tc>
          <w:tcPr>
            <w:tcW w:w="405" w:type="pct"/>
            <w:tcBorders>
              <w:top w:val="single" w:sz="2" w:space="0" w:color="auto"/>
              <w:left w:val="single" w:sz="2" w:space="0" w:color="auto"/>
              <w:bottom w:val="single" w:sz="2" w:space="0" w:color="auto"/>
              <w:right w:val="single" w:sz="2" w:space="0" w:color="auto"/>
            </w:tcBorders>
            <w:vAlign w:val="center"/>
          </w:tcPr>
          <w:p w14:paraId="4ABBD082"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80.64</w:t>
            </w:r>
          </w:p>
        </w:tc>
        <w:tc>
          <w:tcPr>
            <w:tcW w:w="405" w:type="pct"/>
            <w:tcBorders>
              <w:top w:val="single" w:sz="2" w:space="0" w:color="auto"/>
              <w:left w:val="single" w:sz="2" w:space="0" w:color="auto"/>
              <w:bottom w:val="single" w:sz="2" w:space="0" w:color="auto"/>
              <w:right w:val="single" w:sz="2" w:space="0" w:color="auto"/>
            </w:tcBorders>
            <w:vAlign w:val="center"/>
          </w:tcPr>
          <w:p w14:paraId="223AD99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6BAC2A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5C9AAF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24B00DE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1112712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B8A851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5C1F5F46"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57.77</w:t>
            </w:r>
          </w:p>
        </w:tc>
      </w:tr>
      <w:tr w:rsidR="00C57E60" w14:paraId="7D81E63C"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48BED50C"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3</w:t>
            </w:r>
            <w:r w:rsidRPr="00FF7639">
              <w:rPr>
                <w:rFonts w:ascii="Times New Roman" w:eastAsia="宋体" w:hAnsi="Times New Roman" w:cs="Times New Roman"/>
                <w:sz w:val="13"/>
                <w:szCs w:val="13"/>
              </w:rPr>
              <w:t>．股份支付计入所有者权益的金额</w:t>
            </w:r>
          </w:p>
        </w:tc>
        <w:tc>
          <w:tcPr>
            <w:tcW w:w="405" w:type="pct"/>
            <w:tcBorders>
              <w:top w:val="single" w:sz="2" w:space="0" w:color="auto"/>
              <w:left w:val="single" w:sz="2" w:space="0" w:color="auto"/>
              <w:bottom w:val="single" w:sz="2" w:space="0" w:color="auto"/>
              <w:right w:val="single" w:sz="2" w:space="0" w:color="auto"/>
            </w:tcBorders>
            <w:vAlign w:val="center"/>
          </w:tcPr>
          <w:p w14:paraId="5C00113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09A22FE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E13484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4C832C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F506FC7"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16,404,489.47</w:t>
            </w:r>
          </w:p>
        </w:tc>
        <w:tc>
          <w:tcPr>
            <w:tcW w:w="405" w:type="pct"/>
            <w:tcBorders>
              <w:top w:val="single" w:sz="2" w:space="0" w:color="auto"/>
              <w:left w:val="single" w:sz="2" w:space="0" w:color="auto"/>
              <w:bottom w:val="single" w:sz="2" w:space="0" w:color="auto"/>
              <w:right w:val="single" w:sz="2" w:space="0" w:color="auto"/>
            </w:tcBorders>
            <w:vAlign w:val="center"/>
          </w:tcPr>
          <w:p w14:paraId="4BDD18A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C08C0E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76DE054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E7D9C8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73EBE81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C33F23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2FE091AF"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16,404,489.47</w:t>
            </w:r>
          </w:p>
        </w:tc>
      </w:tr>
      <w:tr w:rsidR="00C57E60" w14:paraId="4158D005"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53D632D4"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4</w:t>
            </w:r>
            <w:r w:rsidRPr="00FF7639">
              <w:rPr>
                <w:rFonts w:ascii="Times New Roman" w:eastAsia="宋体" w:hAnsi="Times New Roman" w:cs="Times New Roman"/>
                <w:sz w:val="13"/>
                <w:szCs w:val="13"/>
              </w:rPr>
              <w:t>．其他</w:t>
            </w:r>
          </w:p>
        </w:tc>
        <w:tc>
          <w:tcPr>
            <w:tcW w:w="405" w:type="pct"/>
            <w:tcBorders>
              <w:top w:val="single" w:sz="2" w:space="0" w:color="auto"/>
              <w:left w:val="single" w:sz="2" w:space="0" w:color="auto"/>
              <w:bottom w:val="single" w:sz="2" w:space="0" w:color="auto"/>
              <w:right w:val="single" w:sz="2" w:space="0" w:color="auto"/>
            </w:tcBorders>
            <w:vAlign w:val="center"/>
          </w:tcPr>
          <w:p w14:paraId="5B68DA0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60808D9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3EC5A8C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FE8FE5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8710DF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432955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397790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509EBC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8A66DD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23D1587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13C2C2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6C764987"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052057CF"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541FF724"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（三）利润分配</w:t>
            </w:r>
          </w:p>
        </w:tc>
        <w:tc>
          <w:tcPr>
            <w:tcW w:w="405" w:type="pct"/>
            <w:tcBorders>
              <w:top w:val="single" w:sz="2" w:space="0" w:color="auto"/>
              <w:left w:val="single" w:sz="2" w:space="0" w:color="auto"/>
              <w:bottom w:val="single" w:sz="2" w:space="0" w:color="auto"/>
              <w:right w:val="single" w:sz="2" w:space="0" w:color="auto"/>
            </w:tcBorders>
            <w:vAlign w:val="center"/>
          </w:tcPr>
          <w:p w14:paraId="6958F19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14396C6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A005B8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AC3EEA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9A882A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0A9C4E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BF358C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71A2F24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336BD4F"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51,636,554.57</w:t>
            </w:r>
          </w:p>
        </w:tc>
        <w:tc>
          <w:tcPr>
            <w:tcW w:w="404" w:type="pct"/>
            <w:tcBorders>
              <w:top w:val="single" w:sz="2" w:space="0" w:color="auto"/>
              <w:left w:val="single" w:sz="2" w:space="0" w:color="auto"/>
              <w:bottom w:val="single" w:sz="2" w:space="0" w:color="auto"/>
              <w:right w:val="single" w:sz="2" w:space="0" w:color="auto"/>
            </w:tcBorders>
            <w:vAlign w:val="center"/>
          </w:tcPr>
          <w:p w14:paraId="360935E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-162,405,472.17</w:t>
            </w:r>
          </w:p>
        </w:tc>
        <w:tc>
          <w:tcPr>
            <w:tcW w:w="152" w:type="pct"/>
            <w:tcBorders>
              <w:top w:val="single" w:sz="2" w:space="0" w:color="auto"/>
              <w:left w:val="single" w:sz="2" w:space="0" w:color="auto"/>
              <w:bottom w:val="single" w:sz="2" w:space="0" w:color="auto"/>
              <w:right w:val="single" w:sz="2" w:space="0" w:color="auto"/>
            </w:tcBorders>
            <w:vAlign w:val="center"/>
          </w:tcPr>
          <w:p w14:paraId="1A64925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1F4FD846"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-110,768,917.60</w:t>
            </w:r>
          </w:p>
        </w:tc>
      </w:tr>
      <w:tr w:rsidR="00C57E60" w14:paraId="47931E89"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142C7AB9"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1</w:t>
            </w:r>
            <w:r w:rsidRPr="00FF7639">
              <w:rPr>
                <w:rFonts w:ascii="Times New Roman" w:eastAsia="宋体" w:hAnsi="Times New Roman" w:cs="Times New Roman"/>
                <w:sz w:val="13"/>
                <w:szCs w:val="13"/>
              </w:rPr>
              <w:t>．提取盈余公积</w:t>
            </w:r>
          </w:p>
        </w:tc>
        <w:tc>
          <w:tcPr>
            <w:tcW w:w="405" w:type="pct"/>
            <w:tcBorders>
              <w:top w:val="single" w:sz="2" w:space="0" w:color="auto"/>
              <w:left w:val="single" w:sz="2" w:space="0" w:color="auto"/>
              <w:bottom w:val="single" w:sz="2" w:space="0" w:color="auto"/>
              <w:right w:val="single" w:sz="2" w:space="0" w:color="auto"/>
            </w:tcBorders>
            <w:vAlign w:val="center"/>
          </w:tcPr>
          <w:p w14:paraId="096CCA4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D999D3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930945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7B73C7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2B96CAD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2F0636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B21992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2FDD60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F09528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51,636,554.57</w:t>
            </w:r>
          </w:p>
        </w:tc>
        <w:tc>
          <w:tcPr>
            <w:tcW w:w="404" w:type="pct"/>
            <w:tcBorders>
              <w:top w:val="single" w:sz="2" w:space="0" w:color="auto"/>
              <w:left w:val="single" w:sz="2" w:space="0" w:color="auto"/>
              <w:bottom w:val="single" w:sz="2" w:space="0" w:color="auto"/>
              <w:right w:val="single" w:sz="2" w:space="0" w:color="auto"/>
            </w:tcBorders>
            <w:vAlign w:val="center"/>
          </w:tcPr>
          <w:p w14:paraId="03AF68BA"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-51,636,554.57</w:t>
            </w:r>
          </w:p>
        </w:tc>
        <w:tc>
          <w:tcPr>
            <w:tcW w:w="152" w:type="pct"/>
            <w:tcBorders>
              <w:top w:val="single" w:sz="2" w:space="0" w:color="auto"/>
              <w:left w:val="single" w:sz="2" w:space="0" w:color="auto"/>
              <w:bottom w:val="single" w:sz="2" w:space="0" w:color="auto"/>
              <w:right w:val="single" w:sz="2" w:space="0" w:color="auto"/>
            </w:tcBorders>
            <w:vAlign w:val="center"/>
          </w:tcPr>
          <w:p w14:paraId="7B5158B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7AC59109"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1D66F0EE"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028E8C80"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2</w:t>
            </w:r>
            <w:r w:rsidRPr="00FF7639">
              <w:rPr>
                <w:rFonts w:ascii="Times New Roman" w:eastAsia="宋体" w:hAnsi="Times New Roman" w:cs="Times New Roman"/>
                <w:sz w:val="13"/>
                <w:szCs w:val="13"/>
              </w:rPr>
              <w:t>．对所有者（或股东）的分配</w:t>
            </w:r>
          </w:p>
        </w:tc>
        <w:tc>
          <w:tcPr>
            <w:tcW w:w="405" w:type="pct"/>
            <w:tcBorders>
              <w:top w:val="single" w:sz="2" w:space="0" w:color="auto"/>
              <w:left w:val="single" w:sz="2" w:space="0" w:color="auto"/>
              <w:bottom w:val="single" w:sz="2" w:space="0" w:color="auto"/>
              <w:right w:val="single" w:sz="2" w:space="0" w:color="auto"/>
            </w:tcBorders>
            <w:vAlign w:val="center"/>
          </w:tcPr>
          <w:p w14:paraId="31B0ACD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61E2AF1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064A63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048FB5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ADF52B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475C21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4A5189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2CAC75E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F32EE3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0FEA682A"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-110,768,917.60</w:t>
            </w:r>
          </w:p>
        </w:tc>
        <w:tc>
          <w:tcPr>
            <w:tcW w:w="152" w:type="pct"/>
            <w:tcBorders>
              <w:top w:val="single" w:sz="2" w:space="0" w:color="auto"/>
              <w:left w:val="single" w:sz="2" w:space="0" w:color="auto"/>
              <w:bottom w:val="single" w:sz="2" w:space="0" w:color="auto"/>
              <w:right w:val="single" w:sz="2" w:space="0" w:color="auto"/>
            </w:tcBorders>
            <w:vAlign w:val="center"/>
          </w:tcPr>
          <w:p w14:paraId="2EAACA2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691B260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-110,768,917.60</w:t>
            </w:r>
          </w:p>
        </w:tc>
      </w:tr>
      <w:tr w:rsidR="00C57E60" w14:paraId="527B54DA"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5F706699"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3</w:t>
            </w:r>
            <w:r w:rsidRPr="00FF7639">
              <w:rPr>
                <w:rFonts w:ascii="Times New Roman" w:eastAsia="宋体" w:hAnsi="Times New Roman" w:cs="Times New Roman"/>
                <w:sz w:val="13"/>
                <w:szCs w:val="13"/>
              </w:rPr>
              <w:t>．其他</w:t>
            </w:r>
          </w:p>
        </w:tc>
        <w:tc>
          <w:tcPr>
            <w:tcW w:w="405" w:type="pct"/>
            <w:tcBorders>
              <w:top w:val="single" w:sz="2" w:space="0" w:color="auto"/>
              <w:left w:val="single" w:sz="2" w:space="0" w:color="auto"/>
              <w:bottom w:val="single" w:sz="2" w:space="0" w:color="auto"/>
              <w:right w:val="single" w:sz="2" w:space="0" w:color="auto"/>
            </w:tcBorders>
            <w:vAlign w:val="center"/>
          </w:tcPr>
          <w:p w14:paraId="761CE52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4D9006B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95FB7B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817914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B2DAB5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213BC5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A2D403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505DD1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D009EE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2BDC663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414B5B6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02FF2497"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3BA987DA"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4A008E89"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（四）所有者权益内部结转</w:t>
            </w:r>
          </w:p>
        </w:tc>
        <w:tc>
          <w:tcPr>
            <w:tcW w:w="405" w:type="pct"/>
            <w:tcBorders>
              <w:top w:val="single" w:sz="2" w:space="0" w:color="auto"/>
              <w:left w:val="single" w:sz="2" w:space="0" w:color="auto"/>
              <w:bottom w:val="single" w:sz="2" w:space="0" w:color="auto"/>
              <w:right w:val="single" w:sz="2" w:space="0" w:color="auto"/>
            </w:tcBorders>
            <w:vAlign w:val="center"/>
          </w:tcPr>
          <w:p w14:paraId="1268F4D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F85922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243D46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F385A2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FE7186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FA014E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B4E30C3"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-43,013,217.29</w:t>
            </w:r>
          </w:p>
        </w:tc>
        <w:tc>
          <w:tcPr>
            <w:tcW w:w="152" w:type="pct"/>
            <w:tcBorders>
              <w:top w:val="single" w:sz="2" w:space="0" w:color="auto"/>
              <w:left w:val="single" w:sz="2" w:space="0" w:color="auto"/>
              <w:bottom w:val="single" w:sz="2" w:space="0" w:color="auto"/>
              <w:right w:val="single" w:sz="2" w:space="0" w:color="auto"/>
            </w:tcBorders>
            <w:vAlign w:val="center"/>
          </w:tcPr>
          <w:p w14:paraId="31B1A30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6C8E71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64562E2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43,013,217.29</w:t>
            </w:r>
          </w:p>
        </w:tc>
        <w:tc>
          <w:tcPr>
            <w:tcW w:w="152" w:type="pct"/>
            <w:tcBorders>
              <w:top w:val="single" w:sz="2" w:space="0" w:color="auto"/>
              <w:left w:val="single" w:sz="2" w:space="0" w:color="auto"/>
              <w:bottom w:val="single" w:sz="2" w:space="0" w:color="auto"/>
              <w:right w:val="single" w:sz="2" w:space="0" w:color="auto"/>
            </w:tcBorders>
            <w:vAlign w:val="center"/>
          </w:tcPr>
          <w:p w14:paraId="59347A7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4D4BC05C"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744F8FA1"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4826B0DF"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1</w:t>
            </w:r>
            <w:r w:rsidRPr="00FF7639">
              <w:rPr>
                <w:rFonts w:ascii="Times New Roman" w:eastAsia="宋体" w:hAnsi="Times New Roman" w:cs="Times New Roman"/>
                <w:sz w:val="13"/>
                <w:szCs w:val="13"/>
              </w:rPr>
              <w:t>．资本公积转增资本（或股本）</w:t>
            </w:r>
          </w:p>
        </w:tc>
        <w:tc>
          <w:tcPr>
            <w:tcW w:w="405" w:type="pct"/>
            <w:tcBorders>
              <w:top w:val="single" w:sz="2" w:space="0" w:color="auto"/>
              <w:left w:val="single" w:sz="2" w:space="0" w:color="auto"/>
              <w:bottom w:val="single" w:sz="2" w:space="0" w:color="auto"/>
              <w:right w:val="single" w:sz="2" w:space="0" w:color="auto"/>
            </w:tcBorders>
            <w:vAlign w:val="center"/>
          </w:tcPr>
          <w:p w14:paraId="0F5C26C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D47F92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D2F3A9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7E7ADB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E01014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79BD86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0CA347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484CCBB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5312F8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0AF969B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1D5A891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354A4D37"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3B76B326"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344D498E"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2</w:t>
            </w:r>
            <w:r w:rsidRPr="00FF7639">
              <w:rPr>
                <w:rFonts w:ascii="Times New Roman" w:eastAsia="宋体" w:hAnsi="Times New Roman" w:cs="Times New Roman"/>
                <w:sz w:val="13"/>
                <w:szCs w:val="13"/>
              </w:rPr>
              <w:t>．盈余公积转增资本（或股本）</w:t>
            </w:r>
          </w:p>
        </w:tc>
        <w:tc>
          <w:tcPr>
            <w:tcW w:w="405" w:type="pct"/>
            <w:tcBorders>
              <w:top w:val="single" w:sz="2" w:space="0" w:color="auto"/>
              <w:left w:val="single" w:sz="2" w:space="0" w:color="auto"/>
              <w:bottom w:val="single" w:sz="2" w:space="0" w:color="auto"/>
              <w:right w:val="single" w:sz="2" w:space="0" w:color="auto"/>
            </w:tcBorders>
            <w:vAlign w:val="center"/>
          </w:tcPr>
          <w:p w14:paraId="140B942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1B3F14D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E0EC42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787324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89FC2A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3FB4ED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B0B931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2616100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770B08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7930434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4B9171F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25CD66FF"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1284229B"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7C9F2B80"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3</w:t>
            </w:r>
            <w:r w:rsidRPr="00FF7639">
              <w:rPr>
                <w:rFonts w:ascii="Times New Roman" w:eastAsia="宋体" w:hAnsi="Times New Roman" w:cs="Times New Roman"/>
                <w:sz w:val="13"/>
                <w:szCs w:val="13"/>
              </w:rPr>
              <w:t>．盈余公积弥补亏损</w:t>
            </w:r>
          </w:p>
        </w:tc>
        <w:tc>
          <w:tcPr>
            <w:tcW w:w="405" w:type="pct"/>
            <w:tcBorders>
              <w:top w:val="single" w:sz="2" w:space="0" w:color="auto"/>
              <w:left w:val="single" w:sz="2" w:space="0" w:color="auto"/>
              <w:bottom w:val="single" w:sz="2" w:space="0" w:color="auto"/>
              <w:right w:val="single" w:sz="2" w:space="0" w:color="auto"/>
            </w:tcBorders>
            <w:vAlign w:val="center"/>
          </w:tcPr>
          <w:p w14:paraId="0154BC6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2ACC41F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90A667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F098CC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C6A90A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2F3D034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2B3B11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29E2B6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8F3088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3E9ABFD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1BD852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6EAAD76D"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42610EA1"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3BCE0B8D"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4</w:t>
            </w:r>
            <w:r w:rsidRPr="00FF7639">
              <w:rPr>
                <w:rFonts w:ascii="Times New Roman" w:eastAsia="宋体" w:hAnsi="Times New Roman" w:cs="Times New Roman"/>
                <w:sz w:val="13"/>
                <w:szCs w:val="13"/>
              </w:rPr>
              <w:t>．设定受益计划变动额结转留存收益</w:t>
            </w:r>
          </w:p>
        </w:tc>
        <w:tc>
          <w:tcPr>
            <w:tcW w:w="405" w:type="pct"/>
            <w:tcBorders>
              <w:top w:val="single" w:sz="2" w:space="0" w:color="auto"/>
              <w:left w:val="single" w:sz="2" w:space="0" w:color="auto"/>
              <w:bottom w:val="single" w:sz="2" w:space="0" w:color="auto"/>
              <w:right w:val="single" w:sz="2" w:space="0" w:color="auto"/>
            </w:tcBorders>
            <w:vAlign w:val="center"/>
          </w:tcPr>
          <w:p w14:paraId="6A9DE95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470E065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001575D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255C0B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ECE4A7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B0BFB5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5B539D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747846F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547607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5E4CEDC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484AD3B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79AA01CD"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2CFD2EE1"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3FCCBCCE"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5</w:t>
            </w:r>
            <w:r w:rsidRPr="00FF7639">
              <w:rPr>
                <w:rFonts w:ascii="Times New Roman" w:eastAsia="宋体" w:hAnsi="Times New Roman" w:cs="Times New Roman"/>
                <w:sz w:val="13"/>
                <w:szCs w:val="13"/>
              </w:rPr>
              <w:t>．其他综合收益结转留存收益</w:t>
            </w:r>
          </w:p>
        </w:tc>
        <w:tc>
          <w:tcPr>
            <w:tcW w:w="405" w:type="pct"/>
            <w:tcBorders>
              <w:top w:val="single" w:sz="2" w:space="0" w:color="auto"/>
              <w:left w:val="single" w:sz="2" w:space="0" w:color="auto"/>
              <w:bottom w:val="single" w:sz="2" w:space="0" w:color="auto"/>
              <w:right w:val="single" w:sz="2" w:space="0" w:color="auto"/>
            </w:tcBorders>
            <w:vAlign w:val="center"/>
          </w:tcPr>
          <w:p w14:paraId="2C73FA6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85A643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3EC446A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AD88F3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0FA796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40F86F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2BA37FB"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-43,013,217.29</w:t>
            </w:r>
          </w:p>
        </w:tc>
        <w:tc>
          <w:tcPr>
            <w:tcW w:w="152" w:type="pct"/>
            <w:tcBorders>
              <w:top w:val="single" w:sz="2" w:space="0" w:color="auto"/>
              <w:left w:val="single" w:sz="2" w:space="0" w:color="auto"/>
              <w:bottom w:val="single" w:sz="2" w:space="0" w:color="auto"/>
              <w:right w:val="single" w:sz="2" w:space="0" w:color="auto"/>
            </w:tcBorders>
            <w:vAlign w:val="center"/>
          </w:tcPr>
          <w:p w14:paraId="2D02682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061B2E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4F19E80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43,013,217.29</w:t>
            </w:r>
          </w:p>
        </w:tc>
        <w:tc>
          <w:tcPr>
            <w:tcW w:w="152" w:type="pct"/>
            <w:tcBorders>
              <w:top w:val="single" w:sz="2" w:space="0" w:color="auto"/>
              <w:left w:val="single" w:sz="2" w:space="0" w:color="auto"/>
              <w:bottom w:val="single" w:sz="2" w:space="0" w:color="auto"/>
              <w:right w:val="single" w:sz="2" w:space="0" w:color="auto"/>
            </w:tcBorders>
            <w:vAlign w:val="center"/>
          </w:tcPr>
          <w:p w14:paraId="2FE6CAF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4404C2E4"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7008BBD6"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1C1FF672"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6</w:t>
            </w:r>
            <w:r w:rsidRPr="00FF7639">
              <w:rPr>
                <w:rFonts w:ascii="Times New Roman" w:eastAsia="宋体" w:hAnsi="Times New Roman" w:cs="Times New Roman"/>
                <w:sz w:val="13"/>
                <w:szCs w:val="13"/>
              </w:rPr>
              <w:t>．其他</w:t>
            </w:r>
          </w:p>
        </w:tc>
        <w:tc>
          <w:tcPr>
            <w:tcW w:w="405" w:type="pct"/>
            <w:tcBorders>
              <w:top w:val="single" w:sz="2" w:space="0" w:color="auto"/>
              <w:left w:val="single" w:sz="2" w:space="0" w:color="auto"/>
              <w:bottom w:val="single" w:sz="2" w:space="0" w:color="auto"/>
              <w:right w:val="single" w:sz="2" w:space="0" w:color="auto"/>
            </w:tcBorders>
            <w:vAlign w:val="center"/>
          </w:tcPr>
          <w:p w14:paraId="113E380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1AF90CE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F7022D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BF5DC7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218725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EE73FA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881F7E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D0F698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234F298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2EF89AE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125A48C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2CA61BF6"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1922941D"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2EB77E52"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（五）专项储备</w:t>
            </w:r>
          </w:p>
        </w:tc>
        <w:tc>
          <w:tcPr>
            <w:tcW w:w="405" w:type="pct"/>
            <w:tcBorders>
              <w:top w:val="single" w:sz="2" w:space="0" w:color="auto"/>
              <w:left w:val="single" w:sz="2" w:space="0" w:color="auto"/>
              <w:bottom w:val="single" w:sz="2" w:space="0" w:color="auto"/>
              <w:right w:val="single" w:sz="2" w:space="0" w:color="auto"/>
            </w:tcBorders>
            <w:vAlign w:val="center"/>
          </w:tcPr>
          <w:p w14:paraId="5075DDF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4D02B5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11B525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2032B41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4349493"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034B5A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12990E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2A7A69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4AF909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3E4ACED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56ECF939"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5C21DC9E"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26C17CA7"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5EBFAD50"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1</w:t>
            </w:r>
            <w:r w:rsidRPr="00FF7639">
              <w:rPr>
                <w:rFonts w:ascii="Times New Roman" w:eastAsia="宋体" w:hAnsi="Times New Roman" w:cs="Times New Roman"/>
                <w:sz w:val="13"/>
                <w:szCs w:val="13"/>
              </w:rPr>
              <w:t>．本期提取</w:t>
            </w:r>
          </w:p>
        </w:tc>
        <w:tc>
          <w:tcPr>
            <w:tcW w:w="405" w:type="pct"/>
            <w:tcBorders>
              <w:top w:val="single" w:sz="2" w:space="0" w:color="auto"/>
              <w:left w:val="single" w:sz="2" w:space="0" w:color="auto"/>
              <w:bottom w:val="single" w:sz="2" w:space="0" w:color="auto"/>
              <w:right w:val="single" w:sz="2" w:space="0" w:color="auto"/>
            </w:tcBorders>
            <w:vAlign w:val="center"/>
          </w:tcPr>
          <w:p w14:paraId="7A68B3A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1DC0BC2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05FDE2C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77F1CD3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25BEBBE"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B6F834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00B4D6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CA5146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240C7EC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0E69279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73215AC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61A516C1"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5EF5874A"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247DA209"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2</w:t>
            </w:r>
            <w:r w:rsidRPr="00FF7639">
              <w:rPr>
                <w:rFonts w:ascii="Times New Roman" w:eastAsia="宋体" w:hAnsi="Times New Roman" w:cs="Times New Roman"/>
                <w:sz w:val="13"/>
                <w:szCs w:val="13"/>
              </w:rPr>
              <w:t>．本期使用</w:t>
            </w:r>
          </w:p>
        </w:tc>
        <w:tc>
          <w:tcPr>
            <w:tcW w:w="405" w:type="pct"/>
            <w:tcBorders>
              <w:top w:val="single" w:sz="2" w:space="0" w:color="auto"/>
              <w:left w:val="single" w:sz="2" w:space="0" w:color="auto"/>
              <w:bottom w:val="single" w:sz="2" w:space="0" w:color="auto"/>
              <w:right w:val="single" w:sz="2" w:space="0" w:color="auto"/>
            </w:tcBorders>
            <w:vAlign w:val="center"/>
          </w:tcPr>
          <w:p w14:paraId="02BDFFC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4E0A13D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73A8E35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125B00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DDFFF4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654FFEE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8F20CA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08DB3EE1"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E07EEA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715BE10C"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6CD57BC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54FA42DB" w14:textId="77777777" w:rsidR="00DC359B" w:rsidRPr="00FF7639" w:rsidRDefault="00DC359B" w:rsidP="00DC359B">
            <w:pPr>
              <w:spacing w:line="360" w:lineRule="auto"/>
              <w:jc w:val="right"/>
              <w:rPr>
                <w:rFonts w:ascii="Times New Roman" w:eastAsia="宋体" w:hAnsi="Times New Roman" w:cs="Times New Roman"/>
                <w:sz w:val="13"/>
                <w:szCs w:val="13"/>
              </w:rPr>
            </w:pPr>
          </w:p>
        </w:tc>
      </w:tr>
      <w:tr w:rsidR="00C57E60" w14:paraId="0E42CA7E"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7AF10FDD"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（六）其他</w:t>
            </w:r>
          </w:p>
        </w:tc>
        <w:tc>
          <w:tcPr>
            <w:tcW w:w="405" w:type="pct"/>
            <w:tcBorders>
              <w:top w:val="single" w:sz="2" w:space="0" w:color="auto"/>
              <w:left w:val="single" w:sz="2" w:space="0" w:color="auto"/>
              <w:bottom w:val="single" w:sz="2" w:space="0" w:color="auto"/>
              <w:right w:val="single" w:sz="2" w:space="0" w:color="auto"/>
            </w:tcBorders>
            <w:vAlign w:val="center"/>
          </w:tcPr>
          <w:p w14:paraId="0CFA7B76"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005F202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5C625508"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43650952"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162368DB"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495,096.58</w:t>
            </w:r>
          </w:p>
        </w:tc>
        <w:tc>
          <w:tcPr>
            <w:tcW w:w="405" w:type="pct"/>
            <w:tcBorders>
              <w:top w:val="single" w:sz="2" w:space="0" w:color="auto"/>
              <w:left w:val="single" w:sz="2" w:space="0" w:color="auto"/>
              <w:bottom w:val="single" w:sz="2" w:space="0" w:color="auto"/>
              <w:right w:val="single" w:sz="2" w:space="0" w:color="auto"/>
            </w:tcBorders>
            <w:vAlign w:val="center"/>
          </w:tcPr>
          <w:p w14:paraId="677A59C5"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BD2CDF4"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4133FF5A"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02D80740"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4" w:type="pct"/>
            <w:tcBorders>
              <w:top w:val="single" w:sz="2" w:space="0" w:color="auto"/>
              <w:left w:val="single" w:sz="2" w:space="0" w:color="auto"/>
              <w:bottom w:val="single" w:sz="2" w:space="0" w:color="auto"/>
              <w:right w:val="single" w:sz="2" w:space="0" w:color="auto"/>
            </w:tcBorders>
            <w:vAlign w:val="center"/>
          </w:tcPr>
          <w:p w14:paraId="349AD6C7"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152" w:type="pct"/>
            <w:tcBorders>
              <w:top w:val="single" w:sz="2" w:space="0" w:color="auto"/>
              <w:left w:val="single" w:sz="2" w:space="0" w:color="auto"/>
              <w:bottom w:val="single" w:sz="2" w:space="0" w:color="auto"/>
              <w:right w:val="single" w:sz="2" w:space="0" w:color="auto"/>
            </w:tcBorders>
            <w:vAlign w:val="center"/>
          </w:tcPr>
          <w:p w14:paraId="332E506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12D08F63"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495,096.58</w:t>
            </w:r>
          </w:p>
        </w:tc>
      </w:tr>
      <w:tr w:rsidR="00C57E60" w14:paraId="5E6DF657" w14:textId="77777777" w:rsidTr="00DC359B">
        <w:trPr>
          <w:trHeight w:val="240"/>
        </w:trPr>
        <w:tc>
          <w:tcPr>
            <w:tcW w:w="1021" w:type="pct"/>
            <w:tcBorders>
              <w:top w:val="single" w:sz="2" w:space="0" w:color="auto"/>
              <w:left w:val="single" w:sz="2" w:space="0" w:color="auto"/>
              <w:bottom w:val="single" w:sz="2" w:space="0" w:color="auto"/>
              <w:right w:val="single" w:sz="2" w:space="0" w:color="auto"/>
            </w:tcBorders>
            <w:shd w:val="clear" w:color="auto" w:fill="D3D3D3"/>
            <w:vAlign w:val="center"/>
          </w:tcPr>
          <w:p w14:paraId="7E376525" w14:textId="77777777" w:rsidR="00DC359B" w:rsidRPr="00FF7639" w:rsidRDefault="00DC359B" w:rsidP="00DC359B">
            <w:pPr>
              <w:spacing w:before="40" w:after="40" w:line="360" w:lineRule="auto"/>
              <w:rPr>
                <w:rFonts w:ascii="Times New Roman" w:eastAsia="宋体" w:hAnsi="Times New Roman" w:cs="Times New Roman"/>
                <w:sz w:val="13"/>
                <w:szCs w:val="13"/>
              </w:rPr>
            </w:pPr>
            <w:r w:rsidRPr="00FF7639">
              <w:rPr>
                <w:rFonts w:ascii="Times New Roman" w:eastAsia="宋体" w:hAnsi="Times New Roman" w:cs="Times New Roman"/>
                <w:sz w:val="13"/>
                <w:szCs w:val="13"/>
              </w:rPr>
              <w:t>四、本期期末余额</w:t>
            </w:r>
          </w:p>
        </w:tc>
        <w:tc>
          <w:tcPr>
            <w:tcW w:w="405" w:type="pct"/>
            <w:tcBorders>
              <w:top w:val="single" w:sz="2" w:space="0" w:color="auto"/>
              <w:left w:val="single" w:sz="2" w:space="0" w:color="auto"/>
              <w:bottom w:val="single" w:sz="2" w:space="0" w:color="auto"/>
              <w:right w:val="single" w:sz="2" w:space="0" w:color="auto"/>
            </w:tcBorders>
            <w:vAlign w:val="center"/>
          </w:tcPr>
          <w:p w14:paraId="2E30412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564,265,375.00</w:t>
            </w:r>
          </w:p>
        </w:tc>
        <w:tc>
          <w:tcPr>
            <w:tcW w:w="203" w:type="pct"/>
            <w:tcBorders>
              <w:top w:val="single" w:sz="2" w:space="0" w:color="auto"/>
              <w:left w:val="single" w:sz="2" w:space="0" w:color="auto"/>
              <w:bottom w:val="single" w:sz="2" w:space="0" w:color="auto"/>
              <w:right w:val="single" w:sz="2" w:space="0" w:color="auto"/>
            </w:tcBorders>
            <w:vAlign w:val="center"/>
          </w:tcPr>
          <w:p w14:paraId="0C3FCFE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203" w:type="pct"/>
            <w:tcBorders>
              <w:top w:val="single" w:sz="2" w:space="0" w:color="auto"/>
              <w:left w:val="single" w:sz="2" w:space="0" w:color="auto"/>
              <w:bottom w:val="single" w:sz="2" w:space="0" w:color="auto"/>
              <w:right w:val="single" w:sz="2" w:space="0" w:color="auto"/>
            </w:tcBorders>
            <w:vAlign w:val="center"/>
          </w:tcPr>
          <w:p w14:paraId="0718ACBD"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58A788E1"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123,953,405.74</w:t>
            </w:r>
          </w:p>
        </w:tc>
        <w:tc>
          <w:tcPr>
            <w:tcW w:w="405" w:type="pct"/>
            <w:tcBorders>
              <w:top w:val="single" w:sz="2" w:space="0" w:color="auto"/>
              <w:left w:val="single" w:sz="2" w:space="0" w:color="auto"/>
              <w:bottom w:val="single" w:sz="2" w:space="0" w:color="auto"/>
              <w:right w:val="single" w:sz="2" w:space="0" w:color="auto"/>
            </w:tcBorders>
            <w:vAlign w:val="center"/>
          </w:tcPr>
          <w:p w14:paraId="2E3AFEC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1,055,267,228.01</w:t>
            </w:r>
          </w:p>
        </w:tc>
        <w:tc>
          <w:tcPr>
            <w:tcW w:w="405" w:type="pct"/>
            <w:tcBorders>
              <w:top w:val="single" w:sz="2" w:space="0" w:color="auto"/>
              <w:left w:val="single" w:sz="2" w:space="0" w:color="auto"/>
              <w:bottom w:val="single" w:sz="2" w:space="0" w:color="auto"/>
              <w:right w:val="single" w:sz="2" w:space="0" w:color="auto"/>
            </w:tcBorders>
            <w:vAlign w:val="center"/>
          </w:tcPr>
          <w:p w14:paraId="284BCB84"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181,302,394.30</w:t>
            </w:r>
          </w:p>
        </w:tc>
        <w:tc>
          <w:tcPr>
            <w:tcW w:w="405" w:type="pct"/>
            <w:tcBorders>
              <w:top w:val="single" w:sz="2" w:space="0" w:color="auto"/>
              <w:left w:val="single" w:sz="2" w:space="0" w:color="auto"/>
              <w:bottom w:val="single" w:sz="2" w:space="0" w:color="auto"/>
              <w:right w:val="single" w:sz="2" w:space="0" w:color="auto"/>
            </w:tcBorders>
            <w:vAlign w:val="center"/>
          </w:tcPr>
          <w:p w14:paraId="7ECB5087"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18,925,448.81</w:t>
            </w:r>
          </w:p>
        </w:tc>
        <w:tc>
          <w:tcPr>
            <w:tcW w:w="152" w:type="pct"/>
            <w:tcBorders>
              <w:top w:val="single" w:sz="2" w:space="0" w:color="auto"/>
              <w:left w:val="single" w:sz="2" w:space="0" w:color="auto"/>
              <w:bottom w:val="single" w:sz="2" w:space="0" w:color="auto"/>
              <w:right w:val="single" w:sz="2" w:space="0" w:color="auto"/>
            </w:tcBorders>
            <w:vAlign w:val="center"/>
          </w:tcPr>
          <w:p w14:paraId="58DD597B"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05" w:type="pct"/>
            <w:tcBorders>
              <w:top w:val="single" w:sz="2" w:space="0" w:color="auto"/>
              <w:left w:val="single" w:sz="2" w:space="0" w:color="auto"/>
              <w:bottom w:val="single" w:sz="2" w:space="0" w:color="auto"/>
              <w:right w:val="single" w:sz="2" w:space="0" w:color="auto"/>
            </w:tcBorders>
            <w:vAlign w:val="center"/>
          </w:tcPr>
          <w:p w14:paraId="3EBEA91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482,490,060.31</w:t>
            </w:r>
          </w:p>
        </w:tc>
        <w:tc>
          <w:tcPr>
            <w:tcW w:w="404" w:type="pct"/>
            <w:tcBorders>
              <w:top w:val="single" w:sz="2" w:space="0" w:color="auto"/>
              <w:left w:val="single" w:sz="2" w:space="0" w:color="auto"/>
              <w:bottom w:val="single" w:sz="2" w:space="0" w:color="auto"/>
              <w:right w:val="single" w:sz="2" w:space="0" w:color="auto"/>
            </w:tcBorders>
            <w:vAlign w:val="center"/>
          </w:tcPr>
          <w:p w14:paraId="33689B70"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1,345,686,908.33</w:t>
            </w:r>
          </w:p>
        </w:tc>
        <w:tc>
          <w:tcPr>
            <w:tcW w:w="152" w:type="pct"/>
            <w:tcBorders>
              <w:top w:val="single" w:sz="2" w:space="0" w:color="auto"/>
              <w:left w:val="single" w:sz="2" w:space="0" w:color="auto"/>
              <w:bottom w:val="single" w:sz="2" w:space="0" w:color="auto"/>
              <w:right w:val="single" w:sz="2" w:space="0" w:color="auto"/>
            </w:tcBorders>
            <w:vAlign w:val="center"/>
          </w:tcPr>
          <w:p w14:paraId="4F1FDC3F" w14:textId="77777777" w:rsidR="00DC359B" w:rsidRPr="00FF7639" w:rsidRDefault="00DC359B" w:rsidP="00DC359B">
            <w:pPr>
              <w:spacing w:line="360" w:lineRule="auto"/>
              <w:jc w:val="right"/>
              <w:rPr>
                <w:rFonts w:ascii="Times New Roman" w:eastAsia="宋体" w:hAnsi="Times New Roman" w:cs="Times New Roman"/>
                <w:sz w:val="13"/>
                <w:szCs w:val="13"/>
              </w:rPr>
            </w:pPr>
          </w:p>
        </w:tc>
        <w:tc>
          <w:tcPr>
            <w:tcW w:w="435" w:type="pct"/>
            <w:tcBorders>
              <w:top w:val="single" w:sz="2" w:space="0" w:color="auto"/>
              <w:left w:val="single" w:sz="2" w:space="0" w:color="auto"/>
              <w:bottom w:val="single" w:sz="2" w:space="0" w:color="auto"/>
              <w:right w:val="single" w:sz="2" w:space="0" w:color="auto"/>
            </w:tcBorders>
            <w:vAlign w:val="center"/>
          </w:tcPr>
          <w:p w14:paraId="14513E72" w14:textId="77777777" w:rsidR="00DC359B" w:rsidRPr="00FF7639" w:rsidRDefault="00DC359B" w:rsidP="00DC359B">
            <w:pPr>
              <w:spacing w:line="360" w:lineRule="auto"/>
              <w:jc w:val="right"/>
              <w:rPr>
                <w:rFonts w:ascii="Times New Roman" w:eastAsia="宋体" w:hAnsi="Times New Roman" w:cs="Times New Roman"/>
                <w:sz w:val="13"/>
                <w:szCs w:val="13"/>
              </w:rPr>
            </w:pPr>
            <w:r w:rsidRPr="00FF7639">
              <w:rPr>
                <w:rFonts w:ascii="Times New Roman" w:eastAsia="宋体" w:hAnsi="Times New Roman" w:cs="Times New Roman"/>
                <w:sz w:val="13"/>
                <w:szCs w:val="13"/>
              </w:rPr>
              <w:t>3,409,286,031.90</w:t>
            </w:r>
          </w:p>
        </w:tc>
      </w:tr>
    </w:tbl>
    <w:p w14:paraId="141A71A7" w14:textId="77777777" w:rsidR="00DC359B" w:rsidRDefault="00DC359B" w:rsidP="00DC359B">
      <w:pPr>
        <w:pStyle w:val="2"/>
        <w:spacing w:before="300" w:after="300" w:line="320" w:lineRule="exact"/>
        <w:rPr>
          <w:rFonts w:ascii="宋体" w:eastAsia="宋体" w:hAnsi="宋体" w:cs="宋体"/>
          <w:b/>
          <w:bCs/>
          <w:sz w:val="24"/>
          <w:szCs w:val="24"/>
        </w:rPr>
        <w:sectPr w:rsidR="00DC359B" w:rsidSect="00DC359B">
          <w:pgSz w:w="16840" w:h="11905" w:orient="landscape"/>
          <w:pgMar w:top="1134" w:right="1440" w:bottom="1134" w:left="1440" w:header="850" w:footer="992" w:gutter="0"/>
          <w:cols w:space="720"/>
          <w:docGrid w:type="linesAndChars" w:linePitch="312"/>
        </w:sectPr>
      </w:pPr>
    </w:p>
    <w:p w14:paraId="1B63D496" w14:textId="77777777" w:rsidR="00113A51" w:rsidRDefault="00766EC7">
      <w:pPr>
        <w:pStyle w:val="2"/>
        <w:spacing w:before="300" w:after="300" w:line="320" w:lineRule="exact"/>
        <w:rPr>
          <w:rFonts w:ascii="宋体" w:eastAsia="宋体" w:hAnsi="宋体" w:cs="宋体"/>
          <w:b/>
          <w:bCs/>
          <w:sz w:val="24"/>
          <w:szCs w:val="24"/>
        </w:rPr>
      </w:pPr>
      <w:bookmarkStart w:id="116" w:name="_Toc989058"/>
      <w:r>
        <w:rPr>
          <w:rFonts w:ascii="宋体" w:eastAsia="宋体" w:hAnsi="宋体" w:cs="宋体"/>
          <w:b/>
          <w:bCs/>
          <w:sz w:val="24"/>
          <w:szCs w:val="24"/>
        </w:rPr>
        <w:t>三、公司基本情况</w:t>
      </w:r>
      <w:bookmarkEnd w:id="116"/>
    </w:p>
    <w:p w14:paraId="04BAD6FC" w14:textId="30BFA3E5" w:rsidR="00477B43" w:rsidRPr="00EE5498" w:rsidRDefault="00477B43" w:rsidP="00EE549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EE5498">
        <w:rPr>
          <w:rFonts w:ascii="Times New Roman" w:hAnsi="Times New Roman" w:cs="Times New Roman"/>
          <w:sz w:val="21"/>
          <w:szCs w:val="21"/>
        </w:rPr>
        <w:t>三诺生物传感股份有限公司（以下简称</w:t>
      </w:r>
      <w:r w:rsidR="00EE5498">
        <w:rPr>
          <w:rFonts w:ascii="Times New Roman" w:hAnsi="Times New Roman" w:cs="Times New Roman" w:hint="eastAsia"/>
          <w:sz w:val="21"/>
          <w:szCs w:val="21"/>
        </w:rPr>
        <w:t>“</w:t>
      </w:r>
      <w:r w:rsidRPr="00EE5498">
        <w:rPr>
          <w:rFonts w:ascii="Times New Roman" w:hAnsi="Times New Roman" w:cs="Times New Roman"/>
          <w:sz w:val="21"/>
          <w:szCs w:val="21"/>
        </w:rPr>
        <w:t>本公司</w:t>
      </w:r>
      <w:r w:rsidR="00EE5498">
        <w:rPr>
          <w:rFonts w:ascii="Times New Roman" w:hAnsi="Times New Roman" w:cs="Times New Roman" w:hint="eastAsia"/>
          <w:sz w:val="21"/>
          <w:szCs w:val="21"/>
        </w:rPr>
        <w:t>”</w:t>
      </w:r>
      <w:r w:rsidRPr="00EE5498">
        <w:rPr>
          <w:rFonts w:ascii="Times New Roman" w:hAnsi="Times New Roman" w:cs="Times New Roman"/>
          <w:sz w:val="21"/>
          <w:szCs w:val="21"/>
        </w:rPr>
        <w:t>或</w:t>
      </w:r>
      <w:r w:rsidR="00EE5498">
        <w:rPr>
          <w:rFonts w:ascii="Times New Roman" w:hAnsi="Times New Roman" w:cs="Times New Roman" w:hint="eastAsia"/>
          <w:sz w:val="21"/>
          <w:szCs w:val="21"/>
        </w:rPr>
        <w:t>“</w:t>
      </w:r>
      <w:r w:rsidRPr="00EE5498">
        <w:rPr>
          <w:rFonts w:ascii="Times New Roman" w:hAnsi="Times New Roman" w:cs="Times New Roman"/>
          <w:sz w:val="21"/>
          <w:szCs w:val="21"/>
        </w:rPr>
        <w:t>三诺生物</w:t>
      </w:r>
      <w:r w:rsidR="00EE5498">
        <w:rPr>
          <w:rFonts w:ascii="Times New Roman" w:hAnsi="Times New Roman" w:cs="Times New Roman" w:hint="eastAsia"/>
          <w:sz w:val="21"/>
          <w:szCs w:val="21"/>
        </w:rPr>
        <w:t>”，</w:t>
      </w:r>
      <w:r w:rsidRPr="00EE5498">
        <w:rPr>
          <w:rFonts w:ascii="Times New Roman" w:hAnsi="Times New Roman" w:cs="Times New Roman"/>
          <w:sz w:val="21"/>
          <w:szCs w:val="21"/>
        </w:rPr>
        <w:t>在包含子公司时统称</w:t>
      </w:r>
      <w:r w:rsidR="00D76770">
        <w:rPr>
          <w:rFonts w:ascii="Times New Roman" w:hAnsi="Times New Roman" w:cs="Times New Roman" w:hint="eastAsia"/>
          <w:sz w:val="21"/>
          <w:szCs w:val="21"/>
        </w:rPr>
        <w:t>“</w:t>
      </w:r>
      <w:r w:rsidRPr="00EE5498">
        <w:rPr>
          <w:rFonts w:ascii="Times New Roman" w:hAnsi="Times New Roman" w:cs="Times New Roman"/>
          <w:sz w:val="21"/>
          <w:szCs w:val="21"/>
        </w:rPr>
        <w:t>本集团</w:t>
      </w:r>
      <w:r w:rsidR="00D76770">
        <w:rPr>
          <w:rFonts w:ascii="Times New Roman" w:hAnsi="Times New Roman" w:cs="Times New Roman" w:hint="eastAsia"/>
          <w:sz w:val="21"/>
          <w:szCs w:val="21"/>
        </w:rPr>
        <w:t>”</w:t>
      </w:r>
      <w:r w:rsidRPr="00EE5498">
        <w:rPr>
          <w:rFonts w:ascii="Times New Roman" w:hAnsi="Times New Roman" w:cs="Times New Roman"/>
          <w:sz w:val="21"/>
          <w:szCs w:val="21"/>
        </w:rPr>
        <w:t>）成立于</w:t>
      </w:r>
      <w:r w:rsidRPr="00EE5498">
        <w:rPr>
          <w:rFonts w:ascii="Times New Roman" w:hAnsi="Times New Roman" w:cs="Times New Roman"/>
          <w:sz w:val="21"/>
          <w:szCs w:val="21"/>
        </w:rPr>
        <w:t>2010</w:t>
      </w:r>
      <w:r w:rsidRPr="00EE5498">
        <w:rPr>
          <w:rFonts w:ascii="Times New Roman" w:hAnsi="Times New Roman" w:cs="Times New Roman"/>
          <w:sz w:val="21"/>
          <w:szCs w:val="21"/>
        </w:rPr>
        <w:t>年</w:t>
      </w:r>
      <w:r w:rsidRPr="00EE5498">
        <w:rPr>
          <w:rFonts w:ascii="Times New Roman" w:hAnsi="Times New Roman" w:cs="Times New Roman"/>
          <w:sz w:val="21"/>
          <w:szCs w:val="21"/>
        </w:rPr>
        <w:t>12</w:t>
      </w:r>
      <w:r w:rsidRPr="00EE5498">
        <w:rPr>
          <w:rFonts w:ascii="Times New Roman" w:hAnsi="Times New Roman" w:cs="Times New Roman"/>
          <w:sz w:val="21"/>
          <w:szCs w:val="21"/>
        </w:rPr>
        <w:t>月</w:t>
      </w:r>
      <w:r w:rsidRPr="00EE5498">
        <w:rPr>
          <w:rFonts w:ascii="Times New Roman" w:hAnsi="Times New Roman" w:cs="Times New Roman"/>
          <w:sz w:val="21"/>
          <w:szCs w:val="21"/>
        </w:rPr>
        <w:t>8</w:t>
      </w:r>
      <w:r w:rsidRPr="00EE5498">
        <w:rPr>
          <w:rFonts w:ascii="Times New Roman" w:hAnsi="Times New Roman" w:cs="Times New Roman"/>
          <w:sz w:val="21"/>
          <w:szCs w:val="21"/>
        </w:rPr>
        <w:t>日，系由长沙三诺生物传感技术有限公司整体变更设立，法定代表人：李少波；注册地及经营住所为：长沙高新技术产业开发区谷苑路</w:t>
      </w:r>
      <w:r w:rsidRPr="00EE5498">
        <w:rPr>
          <w:rFonts w:ascii="Times New Roman" w:hAnsi="Times New Roman" w:cs="Times New Roman"/>
          <w:sz w:val="21"/>
          <w:szCs w:val="21"/>
        </w:rPr>
        <w:t>265</w:t>
      </w:r>
      <w:r w:rsidRPr="00EE5498">
        <w:rPr>
          <w:rFonts w:ascii="Times New Roman" w:hAnsi="Times New Roman" w:cs="Times New Roman"/>
          <w:sz w:val="21"/>
          <w:szCs w:val="21"/>
        </w:rPr>
        <w:t>号；截至</w:t>
      </w:r>
      <w:r w:rsidRPr="00EE5498">
        <w:rPr>
          <w:rFonts w:ascii="Times New Roman" w:hAnsi="Times New Roman" w:cs="Times New Roman"/>
          <w:sz w:val="21"/>
          <w:szCs w:val="21"/>
        </w:rPr>
        <w:t>2025</w:t>
      </w:r>
      <w:r w:rsidRPr="00EE5498">
        <w:rPr>
          <w:rFonts w:ascii="Times New Roman" w:hAnsi="Times New Roman" w:cs="Times New Roman"/>
          <w:sz w:val="21"/>
          <w:szCs w:val="21"/>
        </w:rPr>
        <w:t>年</w:t>
      </w:r>
      <w:r w:rsidRPr="00EE5498">
        <w:rPr>
          <w:rFonts w:ascii="Times New Roman" w:hAnsi="Times New Roman" w:cs="Times New Roman"/>
          <w:sz w:val="21"/>
          <w:szCs w:val="21"/>
        </w:rPr>
        <w:t>12</w:t>
      </w:r>
      <w:r w:rsidRPr="00EE5498">
        <w:rPr>
          <w:rFonts w:ascii="Times New Roman" w:hAnsi="Times New Roman" w:cs="Times New Roman"/>
          <w:sz w:val="21"/>
          <w:szCs w:val="21"/>
        </w:rPr>
        <w:t>月</w:t>
      </w:r>
      <w:r w:rsidRPr="00EE5498">
        <w:rPr>
          <w:rFonts w:ascii="Times New Roman" w:hAnsi="Times New Roman" w:cs="Times New Roman"/>
          <w:sz w:val="21"/>
          <w:szCs w:val="21"/>
        </w:rPr>
        <w:t>31</w:t>
      </w:r>
      <w:r w:rsidRPr="00EE5498">
        <w:rPr>
          <w:rFonts w:ascii="Times New Roman" w:hAnsi="Times New Roman" w:cs="Times New Roman"/>
          <w:sz w:val="21"/>
          <w:szCs w:val="21"/>
        </w:rPr>
        <w:t>日，注册资本</w:t>
      </w:r>
      <w:r w:rsidRPr="00EE5498">
        <w:rPr>
          <w:rFonts w:ascii="Times New Roman" w:hAnsi="Times New Roman" w:cs="Times New Roman"/>
          <w:sz w:val="21"/>
          <w:szCs w:val="21"/>
        </w:rPr>
        <w:t>560,</w:t>
      </w:r>
      <w:r w:rsidR="00D76770" w:rsidRPr="00D76770">
        <w:rPr>
          <w:rFonts w:ascii="Times New Roman" w:hAnsi="Times New Roman" w:cs="Times New Roman"/>
          <w:sz w:val="21"/>
          <w:szCs w:val="21"/>
        </w:rPr>
        <w:t>266,088</w:t>
      </w:r>
      <w:r w:rsidR="00D76770">
        <w:rPr>
          <w:rFonts w:ascii="Times New Roman" w:hAnsi="Times New Roman" w:cs="Times New Roman"/>
          <w:sz w:val="21"/>
          <w:szCs w:val="21"/>
        </w:rPr>
        <w:t>.00</w:t>
      </w:r>
      <w:r w:rsidRPr="00EE5498">
        <w:rPr>
          <w:rFonts w:ascii="Times New Roman" w:hAnsi="Times New Roman" w:cs="Times New Roman"/>
          <w:sz w:val="21"/>
          <w:szCs w:val="21"/>
        </w:rPr>
        <w:t>元。本公司所发行人民币普通股</w:t>
      </w:r>
      <w:r w:rsidRPr="00EE5498">
        <w:rPr>
          <w:rFonts w:ascii="Times New Roman" w:hAnsi="Times New Roman" w:cs="Times New Roman"/>
          <w:sz w:val="21"/>
          <w:szCs w:val="21"/>
        </w:rPr>
        <w:t>A</w:t>
      </w:r>
      <w:r w:rsidRPr="00EE5498">
        <w:rPr>
          <w:rFonts w:ascii="Times New Roman" w:hAnsi="Times New Roman" w:cs="Times New Roman"/>
          <w:sz w:val="21"/>
          <w:szCs w:val="21"/>
        </w:rPr>
        <w:t>股股票，已在深圳证券交易所上市。</w:t>
      </w:r>
    </w:p>
    <w:p w14:paraId="0ED6456F" w14:textId="77777777" w:rsidR="00477B43" w:rsidRPr="00EE5498" w:rsidRDefault="00477B43" w:rsidP="00EE549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EE5498">
        <w:rPr>
          <w:rFonts w:ascii="Times New Roman" w:hAnsi="Times New Roman" w:cs="Times New Roman"/>
          <w:sz w:val="21"/>
          <w:szCs w:val="21"/>
        </w:rPr>
        <w:t>本公司属医疗器械业，主要从事血糖监测系统、糖化血红蛋白检测系统、血脂检测系统、血压计等生产和销售。</w:t>
      </w:r>
    </w:p>
    <w:p w14:paraId="4D327C87" w14:textId="77777777" w:rsidR="00477B43" w:rsidRPr="00EE5498" w:rsidRDefault="00477B43" w:rsidP="00EE549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EE5498">
        <w:rPr>
          <w:rFonts w:ascii="Times New Roman" w:hAnsi="Times New Roman" w:cs="Times New Roman"/>
          <w:sz w:val="21"/>
          <w:szCs w:val="21"/>
        </w:rPr>
        <w:t>本财务报表于</w:t>
      </w:r>
      <w:r w:rsidRPr="00EE5498">
        <w:rPr>
          <w:rFonts w:ascii="Times New Roman" w:hAnsi="Times New Roman" w:cs="Times New Roman"/>
          <w:sz w:val="21"/>
          <w:szCs w:val="21"/>
        </w:rPr>
        <w:t>2026</w:t>
      </w:r>
      <w:r w:rsidRPr="00EE5498">
        <w:rPr>
          <w:rFonts w:ascii="Times New Roman" w:hAnsi="Times New Roman" w:cs="Times New Roman"/>
          <w:sz w:val="21"/>
          <w:szCs w:val="21"/>
        </w:rPr>
        <w:t>年</w:t>
      </w:r>
      <w:r w:rsidRPr="00EE5498">
        <w:rPr>
          <w:rFonts w:ascii="Times New Roman" w:hAnsi="Times New Roman" w:cs="Times New Roman"/>
          <w:sz w:val="21"/>
          <w:szCs w:val="21"/>
        </w:rPr>
        <w:t>4</w:t>
      </w:r>
      <w:r w:rsidRPr="00EE5498">
        <w:rPr>
          <w:rFonts w:ascii="Times New Roman" w:hAnsi="Times New Roman" w:cs="Times New Roman"/>
          <w:sz w:val="21"/>
          <w:szCs w:val="21"/>
        </w:rPr>
        <w:t>月</w:t>
      </w:r>
      <w:r w:rsidRPr="00EE5498">
        <w:rPr>
          <w:rFonts w:ascii="Times New Roman" w:hAnsi="Times New Roman" w:cs="Times New Roman"/>
          <w:sz w:val="21"/>
          <w:szCs w:val="21"/>
        </w:rPr>
        <w:t>27</w:t>
      </w:r>
      <w:r w:rsidRPr="00EE5498">
        <w:rPr>
          <w:rFonts w:ascii="Times New Roman" w:hAnsi="Times New Roman" w:cs="Times New Roman"/>
          <w:sz w:val="21"/>
          <w:szCs w:val="21"/>
        </w:rPr>
        <w:t>日由本公司董事会批准报出。</w:t>
      </w:r>
    </w:p>
    <w:p w14:paraId="24E032A4" w14:textId="77777777" w:rsidR="00477B43" w:rsidRPr="00477B43" w:rsidRDefault="00477B43" w:rsidP="00477B43">
      <w:pPr>
        <w:keepNext/>
        <w:keepLines/>
        <w:spacing w:before="300" w:after="300" w:line="320" w:lineRule="exact"/>
        <w:outlineLvl w:val="1"/>
        <w:rPr>
          <w:rFonts w:ascii="宋体" w:eastAsia="宋体" w:hAnsi="宋体" w:cs="宋体"/>
          <w:b/>
          <w:bCs/>
          <w:sz w:val="24"/>
          <w:szCs w:val="24"/>
        </w:rPr>
      </w:pPr>
      <w:bookmarkStart w:id="117" w:name="_Toc989059"/>
      <w:r w:rsidRPr="00477B43">
        <w:rPr>
          <w:rFonts w:ascii="宋体" w:eastAsia="宋体" w:hAnsi="宋体" w:cs="宋体"/>
          <w:b/>
          <w:bCs/>
          <w:sz w:val="24"/>
          <w:szCs w:val="24"/>
        </w:rPr>
        <w:t>四、财务报表的编制基础</w:t>
      </w:r>
      <w:bookmarkEnd w:id="117"/>
    </w:p>
    <w:p w14:paraId="4803911F"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18" w:name="_Toc989060"/>
      <w:r w:rsidRPr="00477B43">
        <w:rPr>
          <w:rFonts w:ascii="宋体" w:eastAsia="宋体" w:hAnsi="宋体" w:cs="宋体"/>
          <w:b/>
          <w:bCs/>
          <w:szCs w:val="21"/>
        </w:rPr>
        <w:t>1、编制基础</w:t>
      </w:r>
      <w:bookmarkEnd w:id="118"/>
    </w:p>
    <w:p w14:paraId="4BE34068" w14:textId="664B5ADF"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本集团财务报表根据实际发生的交易和事项，按照财政部颁布的《企业会计准则》及其应用指南、解释及其他相关规定</w:t>
      </w:r>
      <w:r w:rsidR="005425E1">
        <w:rPr>
          <w:rFonts w:ascii="Times New Roman" w:hAnsi="Times New Roman" w:cs="Times New Roman" w:hint="eastAsia"/>
          <w:sz w:val="21"/>
          <w:szCs w:val="21"/>
        </w:rPr>
        <w:t>（</w:t>
      </w:r>
      <w:r w:rsidRPr="005425E1">
        <w:rPr>
          <w:rFonts w:ascii="Times New Roman" w:hAnsi="Times New Roman" w:cs="Times New Roman" w:hint="eastAsia"/>
          <w:sz w:val="21"/>
          <w:szCs w:val="21"/>
        </w:rPr>
        <w:t>以下合称“企业会计准则”</w:t>
      </w:r>
      <w:r w:rsidR="005425E1">
        <w:rPr>
          <w:rFonts w:ascii="Times New Roman" w:hAnsi="Times New Roman" w:cs="Times New Roman" w:hint="eastAsia"/>
          <w:sz w:val="21"/>
          <w:szCs w:val="21"/>
        </w:rPr>
        <w:t>）</w:t>
      </w:r>
      <w:r w:rsidRPr="005425E1">
        <w:rPr>
          <w:rFonts w:ascii="Times New Roman" w:hAnsi="Times New Roman" w:cs="Times New Roman" w:hint="eastAsia"/>
          <w:sz w:val="21"/>
          <w:szCs w:val="21"/>
        </w:rPr>
        <w:t>，以及中国证券监督管理委员会</w:t>
      </w:r>
      <w:r w:rsidR="005425E1">
        <w:rPr>
          <w:rFonts w:ascii="Times New Roman" w:hAnsi="Times New Roman" w:cs="Times New Roman" w:hint="eastAsia"/>
          <w:sz w:val="21"/>
          <w:szCs w:val="21"/>
        </w:rPr>
        <w:t>（</w:t>
      </w:r>
      <w:r w:rsidRPr="005425E1">
        <w:rPr>
          <w:rFonts w:ascii="Times New Roman" w:hAnsi="Times New Roman" w:cs="Times New Roman" w:hint="eastAsia"/>
          <w:sz w:val="21"/>
          <w:szCs w:val="21"/>
        </w:rPr>
        <w:t>以下简称“证监会”</w:t>
      </w:r>
      <w:r w:rsidR="005425E1">
        <w:rPr>
          <w:rFonts w:ascii="Times New Roman" w:hAnsi="Times New Roman" w:cs="Times New Roman" w:hint="eastAsia"/>
          <w:sz w:val="21"/>
          <w:szCs w:val="21"/>
        </w:rPr>
        <w:t>）</w:t>
      </w:r>
      <w:r w:rsidRPr="005425E1">
        <w:rPr>
          <w:rFonts w:ascii="Times New Roman" w:hAnsi="Times New Roman" w:cs="Times New Roman" w:hint="eastAsia"/>
          <w:sz w:val="21"/>
          <w:szCs w:val="21"/>
        </w:rPr>
        <w:t>《公开发行证券的公司信息披露编报规则第</w:t>
      </w:r>
      <w:r w:rsidRPr="005425E1">
        <w:rPr>
          <w:rFonts w:ascii="Times New Roman" w:hAnsi="Times New Roman" w:cs="Times New Roman"/>
          <w:sz w:val="21"/>
          <w:szCs w:val="21"/>
        </w:rPr>
        <w:t>15</w:t>
      </w:r>
      <w:r w:rsidRPr="005425E1">
        <w:rPr>
          <w:rFonts w:ascii="Times New Roman" w:hAnsi="Times New Roman" w:cs="Times New Roman" w:hint="eastAsia"/>
          <w:sz w:val="21"/>
          <w:szCs w:val="21"/>
        </w:rPr>
        <w:t>号</w:t>
      </w:r>
      <w:r w:rsidRPr="005425E1">
        <w:rPr>
          <w:rFonts w:ascii="Times New Roman" w:hAnsi="Times New Roman" w:cs="Times New Roman"/>
          <w:sz w:val="21"/>
          <w:szCs w:val="21"/>
        </w:rPr>
        <w:t>—</w:t>
      </w:r>
      <w:r w:rsidRPr="005425E1">
        <w:rPr>
          <w:rFonts w:ascii="Times New Roman" w:hAnsi="Times New Roman" w:cs="Times New Roman" w:hint="eastAsia"/>
          <w:sz w:val="21"/>
          <w:szCs w:val="21"/>
        </w:rPr>
        <w:t>财务报告的一般规定》</w:t>
      </w:r>
      <w:r w:rsidR="005425E1">
        <w:rPr>
          <w:rFonts w:ascii="Times New Roman" w:hAnsi="Times New Roman" w:cs="Times New Roman" w:hint="eastAsia"/>
          <w:sz w:val="21"/>
          <w:szCs w:val="21"/>
        </w:rPr>
        <w:t>（</w:t>
      </w:r>
      <w:r w:rsidRPr="005425E1">
        <w:rPr>
          <w:rFonts w:ascii="Times New Roman" w:hAnsi="Times New Roman" w:cs="Times New Roman"/>
          <w:sz w:val="21"/>
          <w:szCs w:val="21"/>
        </w:rPr>
        <w:t>2023</w:t>
      </w:r>
      <w:r w:rsidRPr="005425E1">
        <w:rPr>
          <w:rFonts w:ascii="Times New Roman" w:hAnsi="Times New Roman" w:cs="Times New Roman" w:hint="eastAsia"/>
          <w:sz w:val="21"/>
          <w:szCs w:val="21"/>
        </w:rPr>
        <w:t>年修订</w:t>
      </w:r>
      <w:r w:rsidR="005425E1">
        <w:rPr>
          <w:rFonts w:ascii="Times New Roman" w:hAnsi="Times New Roman" w:cs="Times New Roman" w:hint="eastAsia"/>
          <w:sz w:val="21"/>
          <w:szCs w:val="21"/>
        </w:rPr>
        <w:t>）</w:t>
      </w:r>
      <w:r w:rsidRPr="005425E1">
        <w:rPr>
          <w:rFonts w:ascii="Times New Roman" w:hAnsi="Times New Roman" w:cs="Times New Roman" w:hint="eastAsia"/>
          <w:sz w:val="21"/>
          <w:szCs w:val="21"/>
        </w:rPr>
        <w:t>的披露相关规定编制。</w:t>
      </w:r>
    </w:p>
    <w:p w14:paraId="682AB011"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19" w:name="_Toc989061"/>
      <w:r w:rsidRPr="00477B43">
        <w:rPr>
          <w:rFonts w:ascii="宋体" w:eastAsia="宋体" w:hAnsi="宋体" w:cs="宋体"/>
          <w:b/>
          <w:bCs/>
          <w:szCs w:val="21"/>
        </w:rPr>
        <w:t>2、持续经营</w:t>
      </w:r>
      <w:bookmarkEnd w:id="119"/>
    </w:p>
    <w:p w14:paraId="48B177A8" w14:textId="77777777"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本集团对自</w:t>
      </w:r>
      <w:r w:rsidRPr="005425E1">
        <w:rPr>
          <w:rFonts w:ascii="Times New Roman" w:hAnsi="Times New Roman" w:cs="Times New Roman"/>
          <w:sz w:val="21"/>
          <w:szCs w:val="21"/>
        </w:rPr>
        <w:t>2025</w:t>
      </w:r>
      <w:r w:rsidRPr="005425E1">
        <w:rPr>
          <w:rFonts w:ascii="Times New Roman" w:hAnsi="Times New Roman" w:cs="Times New Roman" w:hint="eastAsia"/>
          <w:sz w:val="21"/>
          <w:szCs w:val="21"/>
        </w:rPr>
        <w:t>年</w:t>
      </w:r>
      <w:r w:rsidRPr="005425E1">
        <w:rPr>
          <w:rFonts w:ascii="Times New Roman" w:hAnsi="Times New Roman" w:cs="Times New Roman"/>
          <w:sz w:val="21"/>
          <w:szCs w:val="21"/>
        </w:rPr>
        <w:t>12</w:t>
      </w:r>
      <w:r w:rsidRPr="005425E1">
        <w:rPr>
          <w:rFonts w:ascii="Times New Roman" w:hAnsi="Times New Roman" w:cs="Times New Roman" w:hint="eastAsia"/>
          <w:sz w:val="21"/>
          <w:szCs w:val="21"/>
        </w:rPr>
        <w:t>月</w:t>
      </w:r>
      <w:r w:rsidRPr="005425E1">
        <w:rPr>
          <w:rFonts w:ascii="Times New Roman" w:hAnsi="Times New Roman" w:cs="Times New Roman"/>
          <w:sz w:val="21"/>
          <w:szCs w:val="21"/>
        </w:rPr>
        <w:t>31</w:t>
      </w:r>
      <w:r w:rsidRPr="005425E1">
        <w:rPr>
          <w:rFonts w:ascii="Times New Roman" w:hAnsi="Times New Roman" w:cs="Times New Roman" w:hint="eastAsia"/>
          <w:sz w:val="21"/>
          <w:szCs w:val="21"/>
        </w:rPr>
        <w:t>日起</w:t>
      </w:r>
      <w:r w:rsidRPr="005425E1">
        <w:rPr>
          <w:rFonts w:ascii="Times New Roman" w:hAnsi="Times New Roman" w:cs="Times New Roman"/>
          <w:sz w:val="21"/>
          <w:szCs w:val="21"/>
        </w:rPr>
        <w:t>12</w:t>
      </w:r>
      <w:r w:rsidRPr="005425E1">
        <w:rPr>
          <w:rFonts w:ascii="Times New Roman" w:hAnsi="Times New Roman" w:cs="Times New Roman" w:hint="eastAsia"/>
          <w:sz w:val="21"/>
          <w:szCs w:val="21"/>
        </w:rPr>
        <w:t>个月的持续经营能力进行了评价，本集团有近期获利经营的历史且有财务资源支持，认为以持续经营为基础编制财务报表是合理的。未发现对持续经营能力产生重大怀疑的事项和情况。本财务报表以持续经营为基础列报。</w:t>
      </w:r>
    </w:p>
    <w:p w14:paraId="5B484F0E" w14:textId="77777777" w:rsidR="00477B43" w:rsidRPr="00477B43" w:rsidRDefault="00477B43" w:rsidP="00477B43">
      <w:pPr>
        <w:keepNext/>
        <w:keepLines/>
        <w:spacing w:before="300" w:after="300" w:line="560" w:lineRule="exact"/>
        <w:outlineLvl w:val="1"/>
        <w:rPr>
          <w:rFonts w:ascii="宋体" w:eastAsia="宋体" w:hAnsi="宋体" w:cs="宋体"/>
          <w:b/>
          <w:bCs/>
          <w:sz w:val="24"/>
          <w:szCs w:val="24"/>
        </w:rPr>
      </w:pPr>
      <w:bookmarkStart w:id="120" w:name="_Toc989062"/>
      <w:r w:rsidRPr="00477B43">
        <w:rPr>
          <w:rFonts w:ascii="宋体" w:eastAsia="宋体" w:hAnsi="宋体" w:cs="宋体"/>
          <w:b/>
          <w:bCs/>
          <w:sz w:val="24"/>
          <w:szCs w:val="24"/>
        </w:rPr>
        <w:t>五、重要会计政策及会计估计</w:t>
      </w:r>
      <w:bookmarkEnd w:id="120"/>
    </w:p>
    <w:p w14:paraId="000DC2ED" w14:textId="77777777" w:rsidR="00477B43" w:rsidRPr="00477B43" w:rsidRDefault="00477B43" w:rsidP="00477B43">
      <w:pPr>
        <w:spacing w:before="100" w:after="100" w:line="240" w:lineRule="exact"/>
        <w:rPr>
          <w:rFonts w:ascii="宋体" w:eastAsia="宋体" w:hAnsi="宋体" w:cs="宋体"/>
          <w:sz w:val="18"/>
          <w:szCs w:val="18"/>
        </w:rPr>
      </w:pPr>
      <w:r w:rsidRPr="00477B43">
        <w:rPr>
          <w:rFonts w:ascii="宋体" w:eastAsia="宋体" w:hAnsi="宋体" w:cs="宋体"/>
          <w:sz w:val="18"/>
          <w:szCs w:val="18"/>
        </w:rPr>
        <w:t>具体会计政策和会计估计提示：</w:t>
      </w:r>
    </w:p>
    <w:p w14:paraId="2AFBB4B9" w14:textId="77777777"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本集团根据实际生产经营特点制定的具体会计政策和会计估计，包括营业周期、应收款项坏账准备的确认和计量、发出存货计量、固定资产分类及折旧方法、无形资产摊销、收入确认和计量等。</w:t>
      </w:r>
    </w:p>
    <w:p w14:paraId="1550E0A6"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1" w:name="_Toc989063"/>
      <w:r w:rsidRPr="00477B43">
        <w:rPr>
          <w:rFonts w:ascii="宋体" w:eastAsia="宋体" w:hAnsi="宋体" w:cs="宋体"/>
          <w:b/>
          <w:bCs/>
          <w:szCs w:val="21"/>
        </w:rPr>
        <w:t>1、遵循企业会计准则的声明</w:t>
      </w:r>
      <w:bookmarkEnd w:id="121"/>
    </w:p>
    <w:p w14:paraId="5AC6ED56" w14:textId="77777777"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本财务报表符合企业会计准则的要求，真实、完整地反映了本公司及本集团于</w:t>
      </w:r>
      <w:r w:rsidRPr="005425E1">
        <w:rPr>
          <w:rFonts w:ascii="Times New Roman" w:hAnsi="Times New Roman" w:cs="Times New Roman"/>
          <w:sz w:val="21"/>
          <w:szCs w:val="21"/>
        </w:rPr>
        <w:t>2025</w:t>
      </w:r>
      <w:r w:rsidRPr="005425E1">
        <w:rPr>
          <w:rFonts w:ascii="Times New Roman" w:hAnsi="Times New Roman" w:cs="Times New Roman" w:hint="eastAsia"/>
          <w:sz w:val="21"/>
          <w:szCs w:val="21"/>
        </w:rPr>
        <w:t>年</w:t>
      </w:r>
      <w:r w:rsidRPr="005425E1">
        <w:rPr>
          <w:rFonts w:ascii="Times New Roman" w:hAnsi="Times New Roman" w:cs="Times New Roman"/>
          <w:sz w:val="21"/>
          <w:szCs w:val="21"/>
        </w:rPr>
        <w:t>12</w:t>
      </w:r>
      <w:r w:rsidRPr="005425E1">
        <w:rPr>
          <w:rFonts w:ascii="Times New Roman" w:hAnsi="Times New Roman" w:cs="Times New Roman" w:hint="eastAsia"/>
          <w:sz w:val="21"/>
          <w:szCs w:val="21"/>
        </w:rPr>
        <w:t>月</w:t>
      </w:r>
      <w:r w:rsidRPr="005425E1">
        <w:rPr>
          <w:rFonts w:ascii="Times New Roman" w:hAnsi="Times New Roman" w:cs="Times New Roman"/>
          <w:sz w:val="21"/>
          <w:szCs w:val="21"/>
        </w:rPr>
        <w:t>31</w:t>
      </w:r>
      <w:r w:rsidRPr="005425E1">
        <w:rPr>
          <w:rFonts w:ascii="Times New Roman" w:hAnsi="Times New Roman" w:cs="Times New Roman" w:hint="eastAsia"/>
          <w:sz w:val="21"/>
          <w:szCs w:val="21"/>
        </w:rPr>
        <w:t>日的财务状况以及</w:t>
      </w:r>
      <w:r w:rsidRPr="005425E1">
        <w:rPr>
          <w:rFonts w:ascii="Times New Roman" w:hAnsi="Times New Roman" w:cs="Times New Roman"/>
          <w:sz w:val="21"/>
          <w:szCs w:val="21"/>
        </w:rPr>
        <w:t>2025</w:t>
      </w:r>
      <w:r w:rsidRPr="005425E1">
        <w:rPr>
          <w:rFonts w:ascii="Times New Roman" w:hAnsi="Times New Roman" w:cs="Times New Roman" w:hint="eastAsia"/>
          <w:sz w:val="21"/>
          <w:szCs w:val="21"/>
        </w:rPr>
        <w:t>年度经营成果和现金流量等有关信息。</w:t>
      </w:r>
    </w:p>
    <w:p w14:paraId="1C8BDC74"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2" w:name="_Toc989064"/>
      <w:r w:rsidRPr="00477B43">
        <w:rPr>
          <w:rFonts w:ascii="宋体" w:eastAsia="宋体" w:hAnsi="宋体" w:cs="宋体"/>
          <w:b/>
          <w:bCs/>
          <w:szCs w:val="21"/>
        </w:rPr>
        <w:t>2、会计期间</w:t>
      </w:r>
      <w:bookmarkEnd w:id="122"/>
    </w:p>
    <w:p w14:paraId="3C950A4F" w14:textId="77777777"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本集团的会计期间为公历</w:t>
      </w:r>
      <w:r w:rsidRPr="005425E1">
        <w:rPr>
          <w:rFonts w:ascii="Times New Roman" w:hAnsi="Times New Roman" w:cs="Times New Roman"/>
          <w:sz w:val="21"/>
          <w:szCs w:val="21"/>
        </w:rPr>
        <w:t>1</w:t>
      </w:r>
      <w:r w:rsidRPr="005425E1">
        <w:rPr>
          <w:rFonts w:ascii="Times New Roman" w:hAnsi="Times New Roman" w:cs="Times New Roman" w:hint="eastAsia"/>
          <w:sz w:val="21"/>
          <w:szCs w:val="21"/>
        </w:rPr>
        <w:t>月</w:t>
      </w:r>
      <w:r w:rsidRPr="005425E1">
        <w:rPr>
          <w:rFonts w:ascii="Times New Roman" w:hAnsi="Times New Roman" w:cs="Times New Roman"/>
          <w:sz w:val="21"/>
          <w:szCs w:val="21"/>
        </w:rPr>
        <w:t>1</w:t>
      </w:r>
      <w:r w:rsidRPr="005425E1">
        <w:rPr>
          <w:rFonts w:ascii="Times New Roman" w:hAnsi="Times New Roman" w:cs="Times New Roman" w:hint="eastAsia"/>
          <w:sz w:val="21"/>
          <w:szCs w:val="21"/>
        </w:rPr>
        <w:t>日至</w:t>
      </w:r>
      <w:r w:rsidRPr="005425E1">
        <w:rPr>
          <w:rFonts w:ascii="Times New Roman" w:hAnsi="Times New Roman" w:cs="Times New Roman"/>
          <w:sz w:val="21"/>
          <w:szCs w:val="21"/>
        </w:rPr>
        <w:t>12</w:t>
      </w:r>
      <w:r w:rsidRPr="005425E1">
        <w:rPr>
          <w:rFonts w:ascii="Times New Roman" w:hAnsi="Times New Roman" w:cs="Times New Roman" w:hint="eastAsia"/>
          <w:sz w:val="21"/>
          <w:szCs w:val="21"/>
        </w:rPr>
        <w:t>月</w:t>
      </w:r>
      <w:r w:rsidRPr="005425E1">
        <w:rPr>
          <w:rFonts w:ascii="Times New Roman" w:hAnsi="Times New Roman" w:cs="Times New Roman"/>
          <w:sz w:val="21"/>
          <w:szCs w:val="21"/>
        </w:rPr>
        <w:t>31</w:t>
      </w:r>
      <w:r w:rsidRPr="005425E1">
        <w:rPr>
          <w:rFonts w:ascii="Times New Roman" w:hAnsi="Times New Roman" w:cs="Times New Roman" w:hint="eastAsia"/>
          <w:sz w:val="21"/>
          <w:szCs w:val="21"/>
        </w:rPr>
        <w:t>日。</w:t>
      </w:r>
    </w:p>
    <w:p w14:paraId="3CB94D12"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3" w:name="_Toc989065"/>
      <w:r w:rsidRPr="00477B43">
        <w:rPr>
          <w:rFonts w:ascii="宋体" w:eastAsia="宋体" w:hAnsi="宋体" w:cs="宋体"/>
          <w:b/>
          <w:bCs/>
          <w:szCs w:val="21"/>
        </w:rPr>
        <w:t>3、营业周期</w:t>
      </w:r>
      <w:bookmarkEnd w:id="123"/>
    </w:p>
    <w:p w14:paraId="2BCE733F" w14:textId="77777777"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本集团营业周期为</w:t>
      </w:r>
      <w:r w:rsidRPr="005425E1">
        <w:rPr>
          <w:rFonts w:ascii="Times New Roman" w:hAnsi="Times New Roman" w:cs="Times New Roman"/>
          <w:sz w:val="21"/>
          <w:szCs w:val="21"/>
        </w:rPr>
        <w:t>12</w:t>
      </w:r>
      <w:r w:rsidRPr="005425E1">
        <w:rPr>
          <w:rFonts w:ascii="Times New Roman" w:hAnsi="Times New Roman" w:cs="Times New Roman" w:hint="eastAsia"/>
          <w:sz w:val="21"/>
          <w:szCs w:val="21"/>
        </w:rPr>
        <w:t>个月。</w:t>
      </w:r>
    </w:p>
    <w:p w14:paraId="2A280B35"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4" w:name="_Toc989066"/>
      <w:r w:rsidRPr="00477B43">
        <w:rPr>
          <w:rFonts w:ascii="宋体" w:eastAsia="宋体" w:hAnsi="宋体" w:cs="宋体"/>
          <w:b/>
          <w:bCs/>
          <w:szCs w:val="21"/>
        </w:rPr>
        <w:t>4、记账本位币</w:t>
      </w:r>
      <w:bookmarkEnd w:id="124"/>
    </w:p>
    <w:p w14:paraId="5D42C97E" w14:textId="77777777" w:rsidR="00477B43" w:rsidRPr="005425E1" w:rsidRDefault="00477B43" w:rsidP="005425E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25E1">
        <w:rPr>
          <w:rFonts w:ascii="Times New Roman" w:hAnsi="Times New Roman" w:cs="Times New Roman" w:hint="eastAsia"/>
          <w:sz w:val="21"/>
          <w:szCs w:val="21"/>
        </w:rPr>
        <w:t>本公司及境内子公司以人民币为记账本位币。本公司下属境外公司根据其经营所处的主要经济环境确定其记账本位币，具体如下：</w:t>
      </w:r>
    </w:p>
    <w:tbl>
      <w:tblPr>
        <w:tblW w:w="5000" w:type="pct"/>
        <w:jc w:val="center"/>
        <w:tblCellMar>
          <w:left w:w="0" w:type="dxa"/>
          <w:right w:w="0" w:type="dxa"/>
        </w:tblCellMar>
        <w:tblLook w:val="04A0" w:firstRow="1" w:lastRow="0" w:firstColumn="1" w:lastColumn="0" w:noHBand="0" w:noVBand="1"/>
      </w:tblPr>
      <w:tblGrid>
        <w:gridCol w:w="5321"/>
        <w:gridCol w:w="4532"/>
      </w:tblGrid>
      <w:tr w:rsidR="00477B43" w:rsidRPr="00477B43" w14:paraId="6DC36C72" w14:textId="77777777" w:rsidTr="00DA3FB8">
        <w:trPr>
          <w:trHeight w:val="340"/>
          <w:tblHeader/>
          <w:jc w:val="center"/>
        </w:trPr>
        <w:tc>
          <w:tcPr>
            <w:tcW w:w="27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38CD6C" w14:textId="77777777" w:rsidR="00477B43" w:rsidRPr="000C7644" w:rsidRDefault="00477B43" w:rsidP="00DA3FB8">
            <w:pPr>
              <w:widowControl/>
              <w:spacing w:line="360" w:lineRule="auto"/>
              <w:jc w:val="center"/>
              <w:rPr>
                <w:rFonts w:ascii="Times New Roman" w:eastAsia="宋体" w:hAnsi="Times New Roman" w:cs="Times New Roman"/>
                <w:kern w:val="0"/>
                <w:sz w:val="18"/>
                <w:szCs w:val="18"/>
              </w:rPr>
            </w:pPr>
            <w:r w:rsidRPr="000C7644">
              <w:rPr>
                <w:rFonts w:ascii="Times New Roman" w:eastAsia="宋体" w:hAnsi="Times New Roman" w:cs="Times New Roman"/>
                <w:b/>
                <w:bCs/>
                <w:color w:val="000000"/>
                <w:kern w:val="0"/>
                <w:sz w:val="18"/>
                <w:szCs w:val="18"/>
              </w:rPr>
              <w:t>子公司名称</w:t>
            </w:r>
          </w:p>
        </w:tc>
        <w:tc>
          <w:tcPr>
            <w:tcW w:w="23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2DA298"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b/>
                <w:bCs/>
                <w:kern w:val="0"/>
                <w:sz w:val="18"/>
                <w:szCs w:val="18"/>
              </w:rPr>
              <w:t>记账本位币</w:t>
            </w:r>
          </w:p>
        </w:tc>
      </w:tr>
      <w:tr w:rsidR="00477B43" w:rsidRPr="00477B43" w14:paraId="5161234C"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243956"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三诺生物（香港）有限公司</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B8960B"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港币</w:t>
            </w:r>
          </w:p>
        </w:tc>
      </w:tr>
      <w:tr w:rsidR="00477B43" w:rsidRPr="00477B43" w14:paraId="5216700E"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940BD4" w14:textId="38C1FAB6" w:rsidR="00477B43" w:rsidRPr="000C7644" w:rsidRDefault="000C7644"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Sinocare</w:t>
            </w:r>
            <w:r w:rsidR="00477B43" w:rsidRPr="000C7644">
              <w:rPr>
                <w:rFonts w:ascii="Times New Roman" w:eastAsia="宋体" w:hAnsi="Times New Roman" w:cs="Times New Roman"/>
                <w:kern w:val="0"/>
                <w:sz w:val="18"/>
                <w:szCs w:val="18"/>
              </w:rPr>
              <w:t xml:space="preserve"> Meditech, Inc.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68919"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01A54248"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D5991C" w14:textId="2A6B2729" w:rsidR="00477B43" w:rsidRPr="000C7644" w:rsidRDefault="000C7644"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color w:val="000000"/>
                <w:spacing w:val="-6"/>
                <w:kern w:val="0"/>
                <w:sz w:val="18"/>
                <w:szCs w:val="18"/>
              </w:rPr>
              <w:t xml:space="preserve">Polymer Technology </w:t>
            </w:r>
            <w:r w:rsidR="00477B43" w:rsidRPr="000C7644">
              <w:rPr>
                <w:rFonts w:ascii="Times New Roman" w:eastAsia="宋体" w:hAnsi="Times New Roman" w:cs="Times New Roman"/>
                <w:color w:val="000000"/>
                <w:spacing w:val="-6"/>
                <w:kern w:val="0"/>
                <w:sz w:val="18"/>
                <w:szCs w:val="18"/>
              </w:rPr>
              <w:t>Systems,Inc.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5FA0B6"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118BA523"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EC87AB"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PTS Diagnostics India Private Limited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D77D8"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印度卢比</w:t>
            </w:r>
          </w:p>
        </w:tc>
      </w:tr>
      <w:tr w:rsidR="00477B43" w:rsidRPr="00477B43" w14:paraId="6F558AFB"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4AF95F" w14:textId="0D88BE2B" w:rsidR="00477B43" w:rsidRPr="000C7644" w:rsidRDefault="000C7644"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color w:val="000000"/>
                <w:spacing w:val="-6"/>
                <w:kern w:val="0"/>
                <w:sz w:val="18"/>
                <w:szCs w:val="18"/>
              </w:rPr>
              <w:t>PTS</w:t>
            </w:r>
            <w:r w:rsidR="00477B43" w:rsidRPr="000C7644">
              <w:rPr>
                <w:rFonts w:ascii="Times New Roman" w:eastAsia="宋体" w:hAnsi="Times New Roman" w:cs="Times New Roman"/>
                <w:color w:val="000000"/>
                <w:spacing w:val="-6"/>
                <w:kern w:val="0"/>
                <w:sz w:val="18"/>
                <w:szCs w:val="18"/>
              </w:rPr>
              <w:t xml:space="preserve"> Diagnostics California,Inc.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D7A32"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4513A1AD"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1AF94" w14:textId="676B6A45" w:rsidR="00477B43" w:rsidRPr="000C7644" w:rsidRDefault="000C7644"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color w:val="000000"/>
                <w:spacing w:val="-6"/>
                <w:kern w:val="0"/>
                <w:sz w:val="18"/>
                <w:szCs w:val="18"/>
              </w:rPr>
              <w:t>PT Sinocare Healthcare</w:t>
            </w:r>
            <w:r w:rsidR="00477B43" w:rsidRPr="000C7644">
              <w:rPr>
                <w:rFonts w:ascii="Times New Roman" w:eastAsia="宋体" w:hAnsi="Times New Roman" w:cs="Times New Roman"/>
                <w:color w:val="000000"/>
                <w:spacing w:val="-6"/>
                <w:kern w:val="0"/>
                <w:sz w:val="18"/>
                <w:szCs w:val="18"/>
              </w:rPr>
              <w:t xml:space="preserve"> Indonesia</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7985EE"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印度尼西亚卢比</w:t>
            </w:r>
          </w:p>
        </w:tc>
      </w:tr>
      <w:tr w:rsidR="00477B43" w:rsidRPr="00477B43" w14:paraId="3847B266"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E35C1" w14:textId="2458E700" w:rsidR="00477B43" w:rsidRPr="000C7644" w:rsidRDefault="000C7644"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Sinocare Healthcare</w:t>
            </w:r>
            <w:r w:rsidR="00477B43" w:rsidRPr="000C7644">
              <w:rPr>
                <w:rFonts w:ascii="Times New Roman" w:eastAsia="宋体" w:hAnsi="Times New Roman" w:cs="Times New Roman"/>
                <w:kern w:val="0"/>
                <w:sz w:val="18"/>
                <w:szCs w:val="18"/>
              </w:rPr>
              <w:t xml:space="preserve"> Philippines,Inc.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0E0AB"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菲律宾比索</w:t>
            </w:r>
          </w:p>
        </w:tc>
      </w:tr>
      <w:tr w:rsidR="00477B43" w:rsidRPr="00477B43" w14:paraId="72394257"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93C853" w14:textId="221DF63D" w:rsidR="00477B43" w:rsidRPr="000C7644" w:rsidRDefault="000C7644"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 xml:space="preserve">Sinocare Bangladesh </w:t>
            </w:r>
            <w:r w:rsidR="00477B43" w:rsidRPr="000C7644">
              <w:rPr>
                <w:rFonts w:ascii="Times New Roman" w:eastAsia="宋体" w:hAnsi="Times New Roman" w:cs="Times New Roman"/>
                <w:kern w:val="0"/>
                <w:sz w:val="18"/>
                <w:szCs w:val="18"/>
              </w:rPr>
              <w:t>Limited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8E6C1"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孟加拉塔卡</w:t>
            </w:r>
          </w:p>
        </w:tc>
      </w:tr>
      <w:tr w:rsidR="00477B43" w:rsidRPr="00477B43" w14:paraId="75F3BF95"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B307B5"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Sinocare (Thailand) Company Limited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B673A"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泰铢</w:t>
            </w:r>
          </w:p>
        </w:tc>
      </w:tr>
      <w:tr w:rsidR="00477B43" w:rsidRPr="00477B43" w14:paraId="7FFDCE03"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09BB14" w14:textId="77777777" w:rsidR="00477B43" w:rsidRPr="000C7644" w:rsidRDefault="00477B43" w:rsidP="00DA3FB8">
            <w:pPr>
              <w:widowControl/>
              <w:spacing w:line="360" w:lineRule="auto"/>
              <w:jc w:val="both"/>
              <w:textAlignment w:val="center"/>
              <w:rPr>
                <w:rFonts w:ascii="Times New Roman" w:eastAsia="宋体" w:hAnsi="Times New Roman" w:cs="Times New Roman"/>
                <w:kern w:val="0"/>
                <w:sz w:val="18"/>
                <w:szCs w:val="18"/>
              </w:rPr>
            </w:pPr>
            <w:r w:rsidRPr="000C7644">
              <w:rPr>
                <w:rFonts w:ascii="Times New Roman" w:eastAsia="宋体" w:hAnsi="Times New Roman" w:cs="Times New Roman"/>
                <w:color w:val="000000"/>
                <w:kern w:val="0"/>
                <w:sz w:val="18"/>
                <w:szCs w:val="18"/>
              </w:rPr>
              <w:t>Sinocare Meditech Netherlands B.V.</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5AC329"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欧元</w:t>
            </w:r>
          </w:p>
        </w:tc>
      </w:tr>
      <w:tr w:rsidR="00477B43" w:rsidRPr="00477B43" w14:paraId="4B5FE342"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54C4A" w14:textId="77777777" w:rsidR="00477B43" w:rsidRPr="000C7644" w:rsidRDefault="00477B43" w:rsidP="00DA3FB8">
            <w:pPr>
              <w:widowControl/>
              <w:spacing w:line="360" w:lineRule="auto"/>
              <w:jc w:val="both"/>
              <w:textAlignment w:val="center"/>
              <w:rPr>
                <w:rFonts w:ascii="Times New Roman" w:eastAsia="宋体" w:hAnsi="Times New Roman" w:cs="Times New Roman"/>
                <w:kern w:val="0"/>
                <w:sz w:val="18"/>
                <w:szCs w:val="18"/>
              </w:rPr>
            </w:pPr>
            <w:r w:rsidRPr="000C7644">
              <w:rPr>
                <w:rFonts w:ascii="Times New Roman" w:eastAsia="宋体" w:hAnsi="Times New Roman" w:cs="Times New Roman"/>
                <w:color w:val="000000"/>
                <w:kern w:val="0"/>
                <w:sz w:val="18"/>
                <w:szCs w:val="18"/>
              </w:rPr>
              <w:t>SINOCARE MALAYSIA SDN. BHD.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DC8ED1"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马来西亚林吉特</w:t>
            </w:r>
          </w:p>
        </w:tc>
      </w:tr>
      <w:tr w:rsidR="00477B43" w:rsidRPr="00477B43" w14:paraId="21C602D9"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9E3438" w14:textId="77777777" w:rsidR="00477B43" w:rsidRPr="000C7644" w:rsidRDefault="00477B43" w:rsidP="00DA3FB8">
            <w:pPr>
              <w:widowControl/>
              <w:spacing w:line="360" w:lineRule="auto"/>
              <w:jc w:val="both"/>
              <w:textAlignment w:val="center"/>
              <w:rPr>
                <w:rFonts w:ascii="Times New Roman" w:eastAsia="宋体" w:hAnsi="Times New Roman" w:cs="Times New Roman"/>
                <w:kern w:val="0"/>
                <w:sz w:val="18"/>
                <w:szCs w:val="18"/>
              </w:rPr>
            </w:pPr>
            <w:r w:rsidRPr="000C7644">
              <w:rPr>
                <w:rFonts w:ascii="Times New Roman" w:eastAsia="宋体" w:hAnsi="Times New Roman" w:cs="Times New Roman"/>
                <w:color w:val="000000"/>
                <w:kern w:val="0"/>
                <w:sz w:val="18"/>
                <w:szCs w:val="18"/>
              </w:rPr>
              <w:t>SINOCARE MEDITECH SINGAPORE PTE. LTD.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4608A2"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新加坡元</w:t>
            </w:r>
          </w:p>
        </w:tc>
      </w:tr>
      <w:tr w:rsidR="00477B43" w:rsidRPr="00477B43" w14:paraId="21621DC3"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96D2ED"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Sinocare Vietnam L</w:t>
            </w:r>
            <w:r w:rsidRPr="000C7644">
              <w:rPr>
                <w:rFonts w:ascii="Times New Roman" w:eastAsia="宋体" w:hAnsi="Times New Roman" w:cs="Times New Roman"/>
                <w:kern w:val="0"/>
                <w:sz w:val="18"/>
                <w:szCs w:val="18"/>
              </w:rPr>
              <w:t>＆</w:t>
            </w:r>
            <w:r w:rsidRPr="000C7644">
              <w:rPr>
                <w:rFonts w:ascii="Times New Roman" w:eastAsia="宋体" w:hAnsi="Times New Roman" w:cs="Times New Roman"/>
                <w:kern w:val="0"/>
                <w:sz w:val="18"/>
                <w:szCs w:val="18"/>
              </w:rPr>
              <w:t>M Company Limited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268FA9"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越南盾</w:t>
            </w:r>
          </w:p>
        </w:tc>
      </w:tr>
      <w:tr w:rsidR="00477B43" w:rsidRPr="00477B43" w14:paraId="1AE46615"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C93BC"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Health,Inc.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C8196"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485E92E6"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2D0095"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Manufacturing Solutions, Inc.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C1C83"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52D09944"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65C11"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Meditech, LLC.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6E234"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105767DF"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949E45"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Healthcare Systems, LLC.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88B5F"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13CD4B48"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389DDF"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台湾三伟达医疗器材股份有限公司</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0D2EE9"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新台币</w:t>
            </w:r>
          </w:p>
        </w:tc>
      </w:tr>
      <w:tr w:rsidR="00477B43" w:rsidRPr="00477B43" w14:paraId="67482047"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CDCA32"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Health,Canada, Ltd.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D2AD1F"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加拿大元</w:t>
            </w:r>
          </w:p>
        </w:tc>
      </w:tr>
      <w:tr w:rsidR="00477B43" w:rsidRPr="00477B43" w14:paraId="4A79D5FF"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74EC76"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Health Mexico,S De R.L. De CV</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A01606"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墨西哥比索</w:t>
            </w:r>
          </w:p>
        </w:tc>
      </w:tr>
      <w:tr w:rsidR="00477B43" w:rsidRPr="00477B43" w14:paraId="1EF61705"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13851B"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Trividia Health UK Ltd</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E6451B"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英镑</w:t>
            </w:r>
          </w:p>
        </w:tc>
      </w:tr>
      <w:tr w:rsidR="00477B43" w:rsidRPr="00477B43" w14:paraId="2B8C7E54"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DDD82E"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NTH Brands, LLC.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B53DA"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r w:rsidR="00477B43" w:rsidRPr="00477B43" w14:paraId="71E78416" w14:textId="77777777" w:rsidTr="00DA3FB8">
        <w:trPr>
          <w:trHeight w:val="340"/>
          <w:jc w:val="center"/>
        </w:trPr>
        <w:tc>
          <w:tcPr>
            <w:tcW w:w="270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D735D4" w14:textId="77777777" w:rsidR="00477B43" w:rsidRPr="000C7644" w:rsidRDefault="00477B43" w:rsidP="00DA3FB8">
            <w:pPr>
              <w:widowControl/>
              <w:spacing w:line="360" w:lineRule="auto"/>
              <w:jc w:val="both"/>
              <w:rPr>
                <w:rFonts w:ascii="Times New Roman" w:eastAsia="宋体" w:hAnsi="Times New Roman" w:cs="Times New Roman"/>
                <w:kern w:val="0"/>
                <w:sz w:val="18"/>
                <w:szCs w:val="18"/>
              </w:rPr>
            </w:pPr>
            <w:r w:rsidRPr="000C7644">
              <w:rPr>
                <w:rFonts w:ascii="Times New Roman" w:eastAsia="宋体" w:hAnsi="Times New Roman" w:cs="Times New Roman"/>
                <w:kern w:val="0"/>
                <w:sz w:val="18"/>
                <w:szCs w:val="18"/>
              </w:rPr>
              <w:t>TD Health, LLC.</w:t>
            </w:r>
          </w:p>
        </w:tc>
        <w:tc>
          <w:tcPr>
            <w:tcW w:w="23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38F3A3" w14:textId="77777777" w:rsidR="00477B43" w:rsidRPr="00DA3FB8" w:rsidRDefault="00477B43" w:rsidP="00DA3FB8">
            <w:pPr>
              <w:widowControl/>
              <w:spacing w:line="360" w:lineRule="auto"/>
              <w:jc w:val="center"/>
              <w:rPr>
                <w:rFonts w:ascii="Times New Roman" w:eastAsia="宋体" w:hAnsi="Times New Roman" w:cs="Times New Roman"/>
                <w:kern w:val="0"/>
                <w:sz w:val="18"/>
                <w:szCs w:val="18"/>
              </w:rPr>
            </w:pPr>
            <w:r w:rsidRPr="00DA3FB8">
              <w:rPr>
                <w:rFonts w:ascii="宋体" w:eastAsia="宋体" w:hAnsi="宋体" w:cs="Times New Roman" w:hint="eastAsia"/>
                <w:kern w:val="0"/>
                <w:sz w:val="18"/>
                <w:szCs w:val="18"/>
              </w:rPr>
              <w:t>美元</w:t>
            </w:r>
          </w:p>
        </w:tc>
      </w:tr>
    </w:tbl>
    <w:p w14:paraId="3060687C"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5" w:name="_Toc989067"/>
      <w:r w:rsidRPr="00477B43">
        <w:rPr>
          <w:rFonts w:ascii="宋体" w:eastAsia="宋体" w:hAnsi="宋体" w:cs="宋体"/>
          <w:b/>
          <w:bCs/>
          <w:szCs w:val="21"/>
        </w:rPr>
        <w:t>5、重要性标准确定方法和选择依据</w:t>
      </w:r>
      <w:bookmarkEnd w:id="125"/>
    </w:p>
    <w:p w14:paraId="7D9526C6" w14:textId="77777777" w:rsidR="00477B43" w:rsidRPr="00477B43" w:rsidRDefault="00477B43" w:rsidP="00477B43">
      <w:pPr>
        <w:spacing w:before="100" w:after="100" w:line="240" w:lineRule="exact"/>
        <w:rPr>
          <w:rFonts w:ascii="宋体" w:eastAsia="宋体" w:hAnsi="宋体" w:cs="宋体"/>
          <w:sz w:val="18"/>
          <w:szCs w:val="18"/>
        </w:rPr>
      </w:pPr>
      <w:r w:rsidRPr="00477B43">
        <w:rPr>
          <w:rFonts w:ascii="宋体" w:eastAsia="宋体" w:hAnsi="宋体" w:cs="宋体"/>
          <w:sz w:val="18"/>
          <w:szCs w:val="18"/>
        </w:rPr>
        <w:sym w:font="Wingdings 2" w:char="F052"/>
      </w:r>
      <w:r w:rsidRPr="00477B43">
        <w:rPr>
          <w:rFonts w:ascii="宋体" w:eastAsia="宋体" w:hAnsi="宋体" w:cs="宋体"/>
          <w:sz w:val="18"/>
          <w:szCs w:val="18"/>
        </w:rPr>
        <w:t>适用 □不适用</w:t>
      </w:r>
    </w:p>
    <w:tbl>
      <w:tblPr>
        <w:tblW w:w="9639" w:type="dxa"/>
        <w:tblInd w:w="108" w:type="dxa"/>
        <w:tblLayout w:type="fixed"/>
        <w:tblLook w:val="04A0" w:firstRow="1" w:lastRow="0" w:firstColumn="1" w:lastColumn="0" w:noHBand="0" w:noVBand="1"/>
      </w:tblPr>
      <w:tblGrid>
        <w:gridCol w:w="4678"/>
        <w:gridCol w:w="4961"/>
      </w:tblGrid>
      <w:tr w:rsidR="00C57E60" w14:paraId="2C3EF524"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shd w:val="clear" w:color="auto" w:fill="D3D3D3"/>
            <w:vAlign w:val="center"/>
          </w:tcPr>
          <w:p w14:paraId="5DFD6FF1" w14:textId="77777777" w:rsidR="00477B43" w:rsidRPr="000C7644" w:rsidRDefault="00477B43" w:rsidP="000C7644">
            <w:pPr>
              <w:spacing w:before="40" w:after="40" w:line="360" w:lineRule="auto"/>
              <w:jc w:val="center"/>
              <w:rPr>
                <w:rFonts w:ascii="Times New Roman" w:eastAsia="宋体" w:hAnsi="Times New Roman" w:cs="Times New Roman"/>
                <w:sz w:val="18"/>
                <w:szCs w:val="18"/>
              </w:rPr>
            </w:pPr>
            <w:r w:rsidRPr="000C7644">
              <w:rPr>
                <w:rFonts w:ascii="Times New Roman" w:eastAsia="宋体" w:hAnsi="Times New Roman" w:cs="Times New Roman"/>
                <w:sz w:val="18"/>
                <w:szCs w:val="18"/>
              </w:rPr>
              <w:t>项目</w:t>
            </w:r>
          </w:p>
        </w:tc>
        <w:tc>
          <w:tcPr>
            <w:tcW w:w="4961" w:type="dxa"/>
            <w:tcBorders>
              <w:top w:val="single" w:sz="2" w:space="0" w:color="auto"/>
              <w:left w:val="single" w:sz="2" w:space="0" w:color="auto"/>
              <w:bottom w:val="single" w:sz="2" w:space="0" w:color="auto"/>
              <w:right w:val="single" w:sz="2" w:space="0" w:color="auto"/>
            </w:tcBorders>
            <w:shd w:val="clear" w:color="auto" w:fill="D3D3D3"/>
            <w:vAlign w:val="center"/>
          </w:tcPr>
          <w:p w14:paraId="5EBC4DAF" w14:textId="77777777" w:rsidR="00477B43" w:rsidRPr="000C7644" w:rsidRDefault="00477B43" w:rsidP="000C7644">
            <w:pPr>
              <w:spacing w:before="40" w:after="40" w:line="360" w:lineRule="auto"/>
              <w:jc w:val="center"/>
              <w:rPr>
                <w:rFonts w:ascii="Times New Roman" w:eastAsia="宋体" w:hAnsi="Times New Roman" w:cs="Times New Roman"/>
                <w:sz w:val="18"/>
                <w:szCs w:val="18"/>
              </w:rPr>
            </w:pPr>
            <w:r w:rsidRPr="000C7644">
              <w:rPr>
                <w:rFonts w:ascii="Times New Roman" w:eastAsia="宋体" w:hAnsi="Times New Roman" w:cs="Times New Roman"/>
                <w:sz w:val="18"/>
                <w:szCs w:val="18"/>
              </w:rPr>
              <w:t>重要性标准</w:t>
            </w:r>
          </w:p>
        </w:tc>
      </w:tr>
      <w:tr w:rsidR="00C57E60" w14:paraId="294B4C6F"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234CFC95"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应收款项本期坏账准备收回或转回金额重要的</w:t>
            </w:r>
          </w:p>
        </w:tc>
        <w:tc>
          <w:tcPr>
            <w:tcW w:w="4961" w:type="dxa"/>
            <w:tcBorders>
              <w:top w:val="single" w:sz="2" w:space="0" w:color="auto"/>
              <w:left w:val="single" w:sz="2" w:space="0" w:color="auto"/>
              <w:bottom w:val="single" w:sz="2" w:space="0" w:color="auto"/>
              <w:right w:val="single" w:sz="2" w:space="0" w:color="auto"/>
            </w:tcBorders>
            <w:vAlign w:val="center"/>
          </w:tcPr>
          <w:p w14:paraId="5B82988C"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单项金额</w:t>
            </w:r>
            <w:r w:rsidRPr="000C7644">
              <w:rPr>
                <w:rFonts w:ascii="Times New Roman" w:eastAsia="宋体" w:hAnsi="Times New Roman" w:cs="Times New Roman"/>
                <w:sz w:val="18"/>
                <w:szCs w:val="18"/>
              </w:rPr>
              <w:t>≥500</w:t>
            </w:r>
            <w:r w:rsidRPr="000C7644">
              <w:rPr>
                <w:rFonts w:ascii="Times New Roman" w:eastAsia="宋体" w:hAnsi="Times New Roman" w:cs="Times New Roman"/>
                <w:sz w:val="18"/>
                <w:szCs w:val="18"/>
              </w:rPr>
              <w:t>万人民币</w:t>
            </w:r>
          </w:p>
        </w:tc>
      </w:tr>
      <w:tr w:rsidR="00C57E60" w14:paraId="08752296"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2C202D5C"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本期重要的应收款项核销</w:t>
            </w:r>
          </w:p>
        </w:tc>
        <w:tc>
          <w:tcPr>
            <w:tcW w:w="4961" w:type="dxa"/>
            <w:tcBorders>
              <w:top w:val="single" w:sz="2" w:space="0" w:color="auto"/>
              <w:left w:val="single" w:sz="2" w:space="0" w:color="auto"/>
              <w:bottom w:val="single" w:sz="2" w:space="0" w:color="auto"/>
              <w:right w:val="single" w:sz="2" w:space="0" w:color="auto"/>
            </w:tcBorders>
            <w:vAlign w:val="center"/>
          </w:tcPr>
          <w:p w14:paraId="6978E302"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单项金额</w:t>
            </w:r>
            <w:r w:rsidRPr="000C7644">
              <w:rPr>
                <w:rFonts w:ascii="Times New Roman" w:eastAsia="宋体" w:hAnsi="Times New Roman" w:cs="Times New Roman"/>
                <w:sz w:val="18"/>
                <w:szCs w:val="18"/>
              </w:rPr>
              <w:t>≥500</w:t>
            </w:r>
            <w:r w:rsidRPr="000C7644">
              <w:rPr>
                <w:rFonts w:ascii="Times New Roman" w:eastAsia="宋体" w:hAnsi="Times New Roman" w:cs="Times New Roman"/>
                <w:sz w:val="18"/>
                <w:szCs w:val="18"/>
              </w:rPr>
              <w:t>万人民币</w:t>
            </w:r>
          </w:p>
        </w:tc>
      </w:tr>
      <w:tr w:rsidR="00C57E60" w14:paraId="2B31ECD8"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525BAF53"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重要的在建工程</w:t>
            </w:r>
          </w:p>
        </w:tc>
        <w:tc>
          <w:tcPr>
            <w:tcW w:w="4961" w:type="dxa"/>
            <w:tcBorders>
              <w:top w:val="single" w:sz="2" w:space="0" w:color="auto"/>
              <w:left w:val="single" w:sz="2" w:space="0" w:color="auto"/>
              <w:bottom w:val="single" w:sz="2" w:space="0" w:color="auto"/>
              <w:right w:val="single" w:sz="2" w:space="0" w:color="auto"/>
            </w:tcBorders>
            <w:vAlign w:val="center"/>
          </w:tcPr>
          <w:p w14:paraId="2261EC94"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单个项目的预算占净资产</w:t>
            </w:r>
            <w:r w:rsidRPr="000C7644">
              <w:rPr>
                <w:rFonts w:ascii="Times New Roman" w:eastAsia="宋体" w:hAnsi="Times New Roman" w:cs="Times New Roman"/>
                <w:sz w:val="18"/>
                <w:szCs w:val="18"/>
              </w:rPr>
              <w:t>2%</w:t>
            </w:r>
            <w:r w:rsidRPr="000C7644">
              <w:rPr>
                <w:rFonts w:ascii="Times New Roman" w:eastAsia="宋体" w:hAnsi="Times New Roman" w:cs="Times New Roman"/>
                <w:sz w:val="18"/>
                <w:szCs w:val="18"/>
              </w:rPr>
              <w:t>以上，且金额</w:t>
            </w:r>
            <w:r w:rsidRPr="000C7644">
              <w:rPr>
                <w:rFonts w:ascii="Times New Roman" w:eastAsia="宋体" w:hAnsi="Times New Roman" w:cs="Times New Roman"/>
                <w:sz w:val="18"/>
                <w:szCs w:val="18"/>
              </w:rPr>
              <w:t>≥5,000</w:t>
            </w:r>
            <w:r w:rsidRPr="000C7644">
              <w:rPr>
                <w:rFonts w:ascii="Times New Roman" w:eastAsia="宋体" w:hAnsi="Times New Roman" w:cs="Times New Roman"/>
                <w:sz w:val="18"/>
                <w:szCs w:val="18"/>
              </w:rPr>
              <w:t>万人民币</w:t>
            </w:r>
          </w:p>
        </w:tc>
      </w:tr>
      <w:tr w:rsidR="00C57E60" w14:paraId="0A7AE9EB"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058A9F91"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重要的投资活动</w:t>
            </w:r>
          </w:p>
        </w:tc>
        <w:tc>
          <w:tcPr>
            <w:tcW w:w="4961" w:type="dxa"/>
            <w:tcBorders>
              <w:top w:val="single" w:sz="2" w:space="0" w:color="auto"/>
              <w:left w:val="single" w:sz="2" w:space="0" w:color="auto"/>
              <w:bottom w:val="single" w:sz="2" w:space="0" w:color="auto"/>
              <w:right w:val="single" w:sz="2" w:space="0" w:color="auto"/>
            </w:tcBorders>
            <w:vAlign w:val="center"/>
          </w:tcPr>
          <w:p w14:paraId="321826BD"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单项投资活动占收到或支付投资活动相关的现金流入或流出总额的</w:t>
            </w:r>
            <w:r w:rsidRPr="000C7644">
              <w:rPr>
                <w:rFonts w:ascii="Times New Roman" w:eastAsia="宋体" w:hAnsi="Times New Roman" w:cs="Times New Roman"/>
                <w:sz w:val="18"/>
                <w:szCs w:val="18"/>
              </w:rPr>
              <w:t>10%</w:t>
            </w:r>
            <w:r w:rsidRPr="000C7644">
              <w:rPr>
                <w:rFonts w:ascii="Times New Roman" w:eastAsia="宋体" w:hAnsi="Times New Roman" w:cs="Times New Roman"/>
                <w:sz w:val="18"/>
                <w:szCs w:val="18"/>
              </w:rPr>
              <w:t>以上且金额</w:t>
            </w:r>
            <w:r w:rsidRPr="000C7644">
              <w:rPr>
                <w:rFonts w:ascii="Times New Roman" w:eastAsia="宋体" w:hAnsi="Times New Roman" w:cs="Times New Roman"/>
                <w:sz w:val="18"/>
                <w:szCs w:val="18"/>
              </w:rPr>
              <w:t>≥5,000</w:t>
            </w:r>
            <w:r w:rsidRPr="000C7644">
              <w:rPr>
                <w:rFonts w:ascii="Times New Roman" w:eastAsia="宋体" w:hAnsi="Times New Roman" w:cs="Times New Roman"/>
                <w:sz w:val="18"/>
                <w:szCs w:val="18"/>
              </w:rPr>
              <w:t>万人民币</w:t>
            </w:r>
          </w:p>
        </w:tc>
      </w:tr>
      <w:tr w:rsidR="00C57E60" w14:paraId="6789ACFE"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15FA70B2"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重要的非全资子公司</w:t>
            </w:r>
            <w:r w:rsidRPr="000C7644">
              <w:rPr>
                <w:rFonts w:ascii="Times New Roman" w:eastAsia="宋体" w:hAnsi="Times New Roman" w:cs="Times New Roman"/>
                <w:sz w:val="18"/>
                <w:szCs w:val="18"/>
              </w:rPr>
              <w:t>/</w:t>
            </w:r>
            <w:r w:rsidRPr="000C7644">
              <w:rPr>
                <w:rFonts w:ascii="Times New Roman" w:eastAsia="宋体" w:hAnsi="Times New Roman" w:cs="Times New Roman"/>
                <w:sz w:val="18"/>
                <w:szCs w:val="18"/>
              </w:rPr>
              <w:t>纳入合并范围的重要境外经营实体</w:t>
            </w:r>
          </w:p>
        </w:tc>
        <w:tc>
          <w:tcPr>
            <w:tcW w:w="4961" w:type="dxa"/>
            <w:tcBorders>
              <w:top w:val="single" w:sz="2" w:space="0" w:color="auto"/>
              <w:left w:val="single" w:sz="2" w:space="0" w:color="auto"/>
              <w:bottom w:val="single" w:sz="2" w:space="0" w:color="auto"/>
              <w:right w:val="single" w:sz="2" w:space="0" w:color="auto"/>
            </w:tcBorders>
            <w:vAlign w:val="center"/>
          </w:tcPr>
          <w:p w14:paraId="43C21D2D"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将利润总额绝对值超过集团利润总额的</w:t>
            </w:r>
            <w:r w:rsidRPr="000C7644">
              <w:rPr>
                <w:rFonts w:ascii="Times New Roman" w:eastAsia="宋体" w:hAnsi="Times New Roman" w:cs="Times New Roman"/>
                <w:sz w:val="18"/>
                <w:szCs w:val="18"/>
              </w:rPr>
              <w:t xml:space="preserve"> 15%</w:t>
            </w:r>
            <w:r w:rsidRPr="000C7644">
              <w:rPr>
                <w:rFonts w:ascii="Times New Roman" w:eastAsia="宋体" w:hAnsi="Times New Roman" w:cs="Times New Roman"/>
                <w:sz w:val="18"/>
                <w:szCs w:val="18"/>
              </w:rPr>
              <w:t>的或收入总额超过集团收入总额的</w:t>
            </w:r>
            <w:r w:rsidRPr="000C7644">
              <w:rPr>
                <w:rFonts w:ascii="Times New Roman" w:eastAsia="宋体" w:hAnsi="Times New Roman" w:cs="Times New Roman"/>
                <w:sz w:val="18"/>
                <w:szCs w:val="18"/>
              </w:rPr>
              <w:t>15%</w:t>
            </w:r>
            <w:r w:rsidRPr="000C7644">
              <w:rPr>
                <w:rFonts w:ascii="Times New Roman" w:eastAsia="宋体" w:hAnsi="Times New Roman" w:cs="Times New Roman"/>
                <w:sz w:val="18"/>
                <w:szCs w:val="18"/>
              </w:rPr>
              <w:t>的子公司确定为重要非全资子公司</w:t>
            </w:r>
            <w:r w:rsidRPr="000C7644">
              <w:rPr>
                <w:rFonts w:ascii="Times New Roman" w:eastAsia="宋体" w:hAnsi="Times New Roman" w:cs="Times New Roman"/>
                <w:sz w:val="18"/>
                <w:szCs w:val="18"/>
              </w:rPr>
              <w:t>/</w:t>
            </w:r>
            <w:r w:rsidRPr="000C7644">
              <w:rPr>
                <w:rFonts w:ascii="Times New Roman" w:eastAsia="宋体" w:hAnsi="Times New Roman" w:cs="Times New Roman"/>
                <w:sz w:val="18"/>
                <w:szCs w:val="18"/>
              </w:rPr>
              <w:t>重要境外经营实体</w:t>
            </w:r>
          </w:p>
        </w:tc>
      </w:tr>
      <w:tr w:rsidR="00C57E60" w14:paraId="537C1D5D"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01D5C61E"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重要的联营企业</w:t>
            </w:r>
          </w:p>
        </w:tc>
        <w:tc>
          <w:tcPr>
            <w:tcW w:w="4961" w:type="dxa"/>
            <w:tcBorders>
              <w:top w:val="single" w:sz="2" w:space="0" w:color="auto"/>
              <w:left w:val="single" w:sz="2" w:space="0" w:color="auto"/>
              <w:bottom w:val="single" w:sz="2" w:space="0" w:color="auto"/>
              <w:right w:val="single" w:sz="2" w:space="0" w:color="auto"/>
            </w:tcBorders>
            <w:vAlign w:val="center"/>
          </w:tcPr>
          <w:p w14:paraId="011E2F97"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对单个联营企业的长期股权投资账面价值占净资产</w:t>
            </w:r>
            <w:r w:rsidRPr="000C7644">
              <w:rPr>
                <w:rFonts w:ascii="Times New Roman" w:eastAsia="宋体" w:hAnsi="Times New Roman" w:cs="Times New Roman"/>
                <w:sz w:val="18"/>
                <w:szCs w:val="18"/>
              </w:rPr>
              <w:t>2%</w:t>
            </w:r>
            <w:r w:rsidRPr="000C7644">
              <w:rPr>
                <w:rFonts w:ascii="Times New Roman" w:eastAsia="宋体" w:hAnsi="Times New Roman" w:cs="Times New Roman"/>
                <w:sz w:val="18"/>
                <w:szCs w:val="18"/>
              </w:rPr>
              <w:t>以上，且金额</w:t>
            </w:r>
            <w:r w:rsidRPr="000C7644">
              <w:rPr>
                <w:rFonts w:ascii="Times New Roman" w:eastAsia="宋体" w:hAnsi="Times New Roman" w:cs="Times New Roman"/>
                <w:sz w:val="18"/>
                <w:szCs w:val="18"/>
              </w:rPr>
              <w:t>≥5,000</w:t>
            </w:r>
            <w:r w:rsidRPr="000C7644">
              <w:rPr>
                <w:rFonts w:ascii="Times New Roman" w:eastAsia="宋体" w:hAnsi="Times New Roman" w:cs="Times New Roman"/>
                <w:sz w:val="18"/>
                <w:szCs w:val="18"/>
              </w:rPr>
              <w:t>万人民币</w:t>
            </w:r>
          </w:p>
        </w:tc>
      </w:tr>
      <w:tr w:rsidR="00C57E60" w14:paraId="3F356E6D" w14:textId="77777777" w:rsidTr="000C7644">
        <w:trPr>
          <w:trHeight w:val="240"/>
        </w:trPr>
        <w:tc>
          <w:tcPr>
            <w:tcW w:w="4678" w:type="dxa"/>
            <w:tcBorders>
              <w:top w:val="single" w:sz="2" w:space="0" w:color="auto"/>
              <w:left w:val="single" w:sz="2" w:space="0" w:color="auto"/>
              <w:bottom w:val="single" w:sz="2" w:space="0" w:color="auto"/>
              <w:right w:val="single" w:sz="2" w:space="0" w:color="auto"/>
            </w:tcBorders>
            <w:vAlign w:val="center"/>
          </w:tcPr>
          <w:p w14:paraId="6DD8E70C"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重要的或有事项</w:t>
            </w:r>
          </w:p>
        </w:tc>
        <w:tc>
          <w:tcPr>
            <w:tcW w:w="4961" w:type="dxa"/>
            <w:tcBorders>
              <w:top w:val="single" w:sz="2" w:space="0" w:color="auto"/>
              <w:left w:val="single" w:sz="2" w:space="0" w:color="auto"/>
              <w:bottom w:val="single" w:sz="2" w:space="0" w:color="auto"/>
              <w:right w:val="single" w:sz="2" w:space="0" w:color="auto"/>
            </w:tcBorders>
            <w:vAlign w:val="center"/>
          </w:tcPr>
          <w:p w14:paraId="3524B577" w14:textId="77777777" w:rsidR="00477B43" w:rsidRPr="000C7644" w:rsidRDefault="00477B43" w:rsidP="000C7644">
            <w:pPr>
              <w:spacing w:line="360" w:lineRule="auto"/>
              <w:rPr>
                <w:rFonts w:ascii="Times New Roman" w:eastAsia="宋体" w:hAnsi="Times New Roman" w:cs="Times New Roman"/>
                <w:sz w:val="18"/>
                <w:szCs w:val="18"/>
              </w:rPr>
            </w:pPr>
            <w:r w:rsidRPr="000C7644">
              <w:rPr>
                <w:rFonts w:ascii="Times New Roman" w:eastAsia="宋体" w:hAnsi="Times New Roman" w:cs="Times New Roman"/>
                <w:sz w:val="18"/>
                <w:szCs w:val="18"/>
              </w:rPr>
              <w:t>本公司发生的重大诉讼、仲裁事项涉及金额占公司净资产绝对值</w:t>
            </w:r>
            <w:r w:rsidRPr="000C7644">
              <w:rPr>
                <w:rFonts w:ascii="Times New Roman" w:eastAsia="宋体" w:hAnsi="Times New Roman" w:cs="Times New Roman"/>
                <w:sz w:val="18"/>
                <w:szCs w:val="18"/>
              </w:rPr>
              <w:t>1%</w:t>
            </w:r>
            <w:r w:rsidRPr="000C7644">
              <w:rPr>
                <w:rFonts w:ascii="Times New Roman" w:eastAsia="宋体" w:hAnsi="Times New Roman" w:cs="Times New Roman"/>
                <w:sz w:val="18"/>
                <w:szCs w:val="18"/>
              </w:rPr>
              <w:t>以上，且绝对金额超过</w:t>
            </w:r>
            <w:r w:rsidRPr="000C7644">
              <w:rPr>
                <w:rFonts w:ascii="Times New Roman" w:eastAsia="宋体" w:hAnsi="Times New Roman" w:cs="Times New Roman"/>
                <w:sz w:val="18"/>
                <w:szCs w:val="18"/>
              </w:rPr>
              <w:t>1,000</w:t>
            </w:r>
            <w:r w:rsidRPr="000C7644">
              <w:rPr>
                <w:rFonts w:ascii="Times New Roman" w:eastAsia="宋体" w:hAnsi="Times New Roman" w:cs="Times New Roman"/>
                <w:sz w:val="18"/>
                <w:szCs w:val="18"/>
              </w:rPr>
              <w:t>万元的。</w:t>
            </w:r>
          </w:p>
        </w:tc>
      </w:tr>
    </w:tbl>
    <w:p w14:paraId="76792B4E"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6" w:name="_Toc989068"/>
      <w:r w:rsidRPr="00477B43">
        <w:rPr>
          <w:rFonts w:ascii="宋体" w:eastAsia="宋体" w:hAnsi="宋体" w:cs="宋体"/>
          <w:b/>
          <w:bCs/>
          <w:szCs w:val="21"/>
        </w:rPr>
        <w:t>6、同一控制下和非同一控制下企业合并的会计处理方法</w:t>
      </w:r>
      <w:bookmarkEnd w:id="126"/>
    </w:p>
    <w:p w14:paraId="217F33E4" w14:textId="77777777" w:rsidR="00477B43" w:rsidRPr="004B3EA9" w:rsidRDefault="00477B43"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sidRPr="004B3EA9">
        <w:rPr>
          <w:rFonts w:ascii="Times New Roman" w:hAnsi="Times New Roman" w:cs="Times New Roman" w:hint="eastAsia"/>
          <w:b/>
          <w:sz w:val="21"/>
          <w:szCs w:val="21"/>
        </w:rPr>
        <w:t>（</w:t>
      </w:r>
      <w:r w:rsidRPr="004B3EA9">
        <w:rPr>
          <w:rFonts w:ascii="Times New Roman" w:hAnsi="Times New Roman" w:cs="Times New Roman"/>
          <w:b/>
          <w:sz w:val="21"/>
          <w:szCs w:val="21"/>
        </w:rPr>
        <w:t>1</w:t>
      </w:r>
      <w:r w:rsidRPr="004B3EA9">
        <w:rPr>
          <w:rFonts w:ascii="Times New Roman" w:hAnsi="Times New Roman" w:cs="Times New Roman" w:hint="eastAsia"/>
          <w:b/>
          <w:sz w:val="21"/>
          <w:szCs w:val="21"/>
        </w:rPr>
        <w:t>）同一控制下的企业合并</w:t>
      </w:r>
    </w:p>
    <w:p w14:paraId="27F682AD" w14:textId="77777777" w:rsidR="00477B43" w:rsidRPr="000C7644" w:rsidRDefault="00477B43" w:rsidP="000C7644">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0C7644">
        <w:rPr>
          <w:rFonts w:ascii="Times New Roman" w:hAnsi="Times New Roman" w:cs="Times New Roman" w:hint="eastAsia"/>
          <w:sz w:val="21"/>
          <w:szCs w:val="21"/>
        </w:rPr>
        <w:t>参与合并的企业在合并前后均受同一方或相同的多方最终控制且该控制并非暂时性的，为同一控制下的企业合并。</w:t>
      </w:r>
    </w:p>
    <w:p w14:paraId="37000050" w14:textId="77777777" w:rsidR="00477B43" w:rsidRPr="000C7644" w:rsidRDefault="00477B43" w:rsidP="000C7644">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0C7644">
        <w:rPr>
          <w:rFonts w:ascii="Times New Roman" w:hAnsi="Times New Roman" w:cs="Times New Roman" w:hint="eastAsia"/>
          <w:sz w:val="21"/>
          <w:szCs w:val="21"/>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1618D242" w14:textId="77777777" w:rsidR="00477B43" w:rsidRPr="000C7644" w:rsidRDefault="00477B43" w:rsidP="000C7644">
      <w:pPr>
        <w:pStyle w:val="a9"/>
        <w:spacing w:before="0" w:beforeAutospacing="0" w:after="0" w:afterAutospacing="0" w:line="360" w:lineRule="auto"/>
        <w:ind w:firstLineChars="200" w:firstLine="420"/>
        <w:jc w:val="both"/>
        <w:rPr>
          <w:rFonts w:ascii="Times New Roman" w:hAnsi="Times New Roman" w:cs="Times New Roman"/>
          <w:sz w:val="21"/>
          <w:szCs w:val="21"/>
        </w:rPr>
      </w:pPr>
      <w:bookmarkStart w:id="127" w:name="_Hlk157093970"/>
      <w:bookmarkEnd w:id="127"/>
      <w:r w:rsidRPr="000C7644">
        <w:rPr>
          <w:rFonts w:ascii="Times New Roman" w:hAnsi="Times New Roman" w:cs="Times New Roman" w:hint="eastAsia"/>
          <w:sz w:val="21"/>
          <w:szCs w:val="21"/>
        </w:rPr>
        <w:t>通过多次交易分步实现同一控制下企业合并的，以不早于本集团和被合并方同处于最终控制方的控制之下的时点为限，将被合并方的有关资产、负债并入本集团合并财务报表的比较报表中，并将合并而增加的净资产在比较报表中调整所有者权益项下的相关项目。</w:t>
      </w:r>
    </w:p>
    <w:p w14:paraId="5146F59B" w14:textId="77777777" w:rsidR="00477B43" w:rsidRPr="004B3EA9" w:rsidRDefault="00477B43"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sidRPr="004B3EA9">
        <w:rPr>
          <w:rFonts w:ascii="Times New Roman" w:hAnsi="Times New Roman" w:cs="Times New Roman" w:hint="eastAsia"/>
          <w:b/>
          <w:sz w:val="21"/>
          <w:szCs w:val="21"/>
        </w:rPr>
        <w:t>（</w:t>
      </w:r>
      <w:r w:rsidRPr="004B3EA9">
        <w:rPr>
          <w:rFonts w:ascii="Times New Roman" w:hAnsi="Times New Roman" w:cs="Times New Roman"/>
          <w:b/>
          <w:sz w:val="21"/>
          <w:szCs w:val="21"/>
        </w:rPr>
        <w:t>2</w:t>
      </w:r>
      <w:r w:rsidRPr="004B3EA9">
        <w:rPr>
          <w:rFonts w:ascii="Times New Roman" w:hAnsi="Times New Roman" w:cs="Times New Roman" w:hint="eastAsia"/>
          <w:b/>
          <w:sz w:val="21"/>
          <w:szCs w:val="21"/>
        </w:rPr>
        <w:t>）非同一控制下的企业合并</w:t>
      </w:r>
    </w:p>
    <w:p w14:paraId="2A492E07"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参与合并的各方在合并前后不受同一方或相同的多方最终控制的，为非同一控制下的企业合并。</w:t>
      </w:r>
    </w:p>
    <w:p w14:paraId="5477798A"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作为购买方，在非同一控制下企业合并中取得的被购买方可辨认资产、负债及或有负债在收购日以公允价值计量。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成本进行复核，经复核后，合并成本仍小于合并中取得的被购买方可辨认净资产公允价值份额的，将其差额计入合并当期营业外收入。</w:t>
      </w:r>
    </w:p>
    <w:p w14:paraId="067E896A"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8" w:name="_Toc989069"/>
      <w:r w:rsidRPr="00477B43">
        <w:rPr>
          <w:rFonts w:ascii="宋体" w:eastAsia="宋体" w:hAnsi="宋体" w:cs="宋体"/>
          <w:b/>
          <w:bCs/>
          <w:szCs w:val="21"/>
        </w:rPr>
        <w:t>7、控制的判断标准和合并财务报表的编制方法</w:t>
      </w:r>
      <w:bookmarkEnd w:id="128"/>
    </w:p>
    <w:p w14:paraId="3F6A58A9"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合并财务报表的合并范围以控制为基础予以确定，包括本公司及本公司控制的所有子公司（含企业、被投资单位中可分割的部分，以及企业所控制的结构化主体等）。本集团判断控制的标准为，本集团拥有对被投资方的权力，通过参与被投资方的相关活动而享有可变回报，并且有能力运用对被投资方的权力影响其回报金额。</w:t>
      </w:r>
    </w:p>
    <w:p w14:paraId="6DD82B3A"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在编制合并财务报表时，子公司与本公司采用的会计政策或会计期间不一致的，按照本公司的会计政策或会计期间对子公司财务报表进行必要的调整。</w:t>
      </w:r>
    </w:p>
    <w:p w14:paraId="18FF3620"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公司与子公司及子公司相互之间发生的内部交易对合并财务报表的影响于合并时抵消。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11CC2C64"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60CFA5BC"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1915F9FC"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29" w:name="_Toc989070"/>
      <w:r w:rsidRPr="00477B43">
        <w:rPr>
          <w:rFonts w:ascii="宋体" w:eastAsia="宋体" w:hAnsi="宋体" w:cs="宋体"/>
          <w:b/>
          <w:bCs/>
          <w:szCs w:val="21"/>
        </w:rPr>
        <w:t>8、现金及现金等价物的确定标准</w:t>
      </w:r>
      <w:bookmarkEnd w:id="129"/>
    </w:p>
    <w:p w14:paraId="7B240678"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本公司现金流量表之现金指库存现金以及可以随时用于支付的存款。现金流量表之现金等价物指持有期限不超过</w:t>
      </w:r>
      <w:r w:rsidRPr="004B3EA9">
        <w:rPr>
          <w:rFonts w:ascii="Times New Roman" w:hAnsi="Times New Roman" w:cs="Times New Roman"/>
          <w:sz w:val="21"/>
          <w:szCs w:val="21"/>
        </w:rPr>
        <w:t>3</w:t>
      </w:r>
      <w:r w:rsidRPr="004B3EA9">
        <w:rPr>
          <w:rFonts w:ascii="Times New Roman" w:hAnsi="Times New Roman" w:cs="Times New Roman" w:hint="eastAsia"/>
          <w:sz w:val="21"/>
          <w:szCs w:val="21"/>
        </w:rPr>
        <w:t>个月、流动性强、易于转换为已知金额现金且价值变动风险很小的投资。</w:t>
      </w:r>
    </w:p>
    <w:p w14:paraId="30192633"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0" w:name="_Toc989071"/>
      <w:r w:rsidRPr="00477B43">
        <w:rPr>
          <w:rFonts w:ascii="宋体" w:eastAsia="宋体" w:hAnsi="宋体" w:cs="宋体"/>
          <w:b/>
          <w:bCs/>
          <w:szCs w:val="21"/>
        </w:rPr>
        <w:t>9、外币业务和外币报表折算</w:t>
      </w:r>
      <w:bookmarkEnd w:id="130"/>
    </w:p>
    <w:p w14:paraId="4FDB4F10" w14:textId="77777777" w:rsidR="00477B43" w:rsidRPr="004B3EA9" w:rsidRDefault="00477B43"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sidRPr="004B3EA9">
        <w:rPr>
          <w:rFonts w:ascii="Times New Roman" w:hAnsi="Times New Roman" w:cs="Times New Roman"/>
          <w:b/>
          <w:sz w:val="21"/>
          <w:szCs w:val="21"/>
        </w:rPr>
        <w:t>（</w:t>
      </w:r>
      <w:r w:rsidRPr="004B3EA9">
        <w:rPr>
          <w:rFonts w:ascii="Times New Roman" w:hAnsi="Times New Roman" w:cs="Times New Roman"/>
          <w:b/>
          <w:sz w:val="21"/>
          <w:szCs w:val="21"/>
        </w:rPr>
        <w:t>1</w:t>
      </w:r>
      <w:r w:rsidRPr="004B3EA9">
        <w:rPr>
          <w:rFonts w:ascii="Times New Roman" w:hAnsi="Times New Roman" w:cs="Times New Roman"/>
          <w:b/>
          <w:sz w:val="21"/>
          <w:szCs w:val="21"/>
        </w:rPr>
        <w:t>）</w:t>
      </w:r>
      <w:r w:rsidRPr="004B3EA9">
        <w:rPr>
          <w:rFonts w:ascii="Times New Roman" w:hAnsi="Times New Roman" w:cs="Times New Roman" w:hint="eastAsia"/>
          <w:b/>
          <w:sz w:val="21"/>
          <w:szCs w:val="21"/>
        </w:rPr>
        <w:t>外币交易</w:t>
      </w:r>
    </w:p>
    <w:p w14:paraId="2B74FF2B"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外币交易在初始确认时，采用交易发生日的即期汇率将外币金额折算为记账本位币金额。于资产负债表日，外币货币性项目采用资产负债表日的即期汇率折算为记账本位币，所产生的折算差额除了为购建或生产符合资本化条件的资产而借入的外币专门借款产生的汇兑差额按资本化的原则处理外，直接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收到投资者以外币投入的资本，采用交易发生日即期汇率折算，外币投入资本与相应的货币性项目的记账本位币金额之间不产生外币资本折算差额。</w:t>
      </w:r>
    </w:p>
    <w:p w14:paraId="426DCCBE" w14:textId="77777777" w:rsidR="00477B43" w:rsidRPr="004B3EA9" w:rsidRDefault="00477B43"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sidRPr="004B3EA9">
        <w:rPr>
          <w:rFonts w:ascii="Times New Roman" w:hAnsi="Times New Roman" w:cs="Times New Roman"/>
          <w:b/>
          <w:sz w:val="21"/>
          <w:szCs w:val="21"/>
        </w:rPr>
        <w:t>（</w:t>
      </w:r>
      <w:r w:rsidRPr="004B3EA9">
        <w:rPr>
          <w:rFonts w:ascii="Times New Roman" w:hAnsi="Times New Roman" w:cs="Times New Roman"/>
          <w:b/>
          <w:sz w:val="21"/>
          <w:szCs w:val="21"/>
        </w:rPr>
        <w:t>2</w:t>
      </w:r>
      <w:r w:rsidRPr="004B3EA9">
        <w:rPr>
          <w:rFonts w:ascii="Times New Roman" w:hAnsi="Times New Roman" w:cs="Times New Roman"/>
          <w:b/>
          <w:sz w:val="21"/>
          <w:szCs w:val="21"/>
        </w:rPr>
        <w:t>）</w:t>
      </w:r>
      <w:r w:rsidRPr="004B3EA9">
        <w:rPr>
          <w:rFonts w:ascii="Times New Roman" w:hAnsi="Times New Roman" w:cs="Times New Roman" w:hint="eastAsia"/>
          <w:b/>
          <w:sz w:val="21"/>
          <w:szCs w:val="21"/>
        </w:rPr>
        <w:t>外币财务报表的折算</w:t>
      </w:r>
    </w:p>
    <w:p w14:paraId="095470BD"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在编制合并财务报表时将境外经营的财务报表折算为人民币，其中：外币资产负债表中资产、负债类项目采用资产负债表日的即期汇率折算；所有者权益类项目除“未分配利润”外，均按业务发生时的即期汇率折算；利润表中的收入与费用项目，采用交易当期平均汇率折算。上述折算产生的外币报表折算差额，在其他综合收益项目中列示。外币现金流量采用交易当期平均汇率折算。汇率变动对现金的影响额，在现金流量表中单独列示。</w:t>
      </w:r>
    </w:p>
    <w:p w14:paraId="0775C2BA"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1" w:name="_Toc989072"/>
      <w:r w:rsidRPr="00477B43">
        <w:rPr>
          <w:rFonts w:ascii="宋体" w:eastAsia="宋体" w:hAnsi="宋体" w:cs="宋体"/>
          <w:b/>
          <w:bCs/>
          <w:szCs w:val="21"/>
        </w:rPr>
        <w:t>10、金融工具</w:t>
      </w:r>
      <w:bookmarkEnd w:id="131"/>
    </w:p>
    <w:p w14:paraId="4BBC18A9" w14:textId="75530E50" w:rsidR="00477B43" w:rsidRPr="004B3EA9" w:rsidRDefault="004B3EA9"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1</w:t>
      </w:r>
      <w:r>
        <w:rPr>
          <w:rFonts w:ascii="Times New Roman" w:hAnsi="Times New Roman" w:cs="Times New Roman" w:hint="eastAsia"/>
          <w:b/>
          <w:sz w:val="21"/>
          <w:szCs w:val="21"/>
        </w:rPr>
        <w:t>）</w:t>
      </w:r>
      <w:r w:rsidR="00477B43" w:rsidRPr="004B3EA9">
        <w:rPr>
          <w:rFonts w:ascii="Times New Roman" w:hAnsi="Times New Roman" w:cs="Times New Roman" w:hint="eastAsia"/>
          <w:b/>
          <w:sz w:val="21"/>
          <w:szCs w:val="21"/>
        </w:rPr>
        <w:t>金融工具的确认和终止确认</w:t>
      </w:r>
    </w:p>
    <w:p w14:paraId="0A0AE2FD"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本集团成为金融工具合同的一方时确认一项金融资产或金融负债。</w:t>
      </w:r>
    </w:p>
    <w:p w14:paraId="5EB2C459"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满足下列条件的，终止确认金融资产（或金融资产的一部分，或一组类似金融资产的一部分），即将之前确认的金融资产从资产负债表中予以转出：</w:t>
      </w:r>
      <w:r w:rsidRPr="004B3EA9">
        <w:rPr>
          <w:rFonts w:ascii="Times New Roman" w:hAnsi="Times New Roman" w:cs="Times New Roman"/>
          <w:sz w:val="21"/>
          <w:szCs w:val="21"/>
        </w:rPr>
        <w:t>1</w:t>
      </w:r>
      <w:r w:rsidRPr="004B3EA9">
        <w:rPr>
          <w:rFonts w:ascii="Times New Roman" w:hAnsi="Times New Roman" w:cs="Times New Roman" w:hint="eastAsia"/>
          <w:sz w:val="21"/>
          <w:szCs w:val="21"/>
        </w:rPr>
        <w:t>）收取金融资产现金流量的权利届满；</w:t>
      </w:r>
      <w:r w:rsidRPr="004B3EA9">
        <w:rPr>
          <w:rFonts w:ascii="Times New Roman" w:hAnsi="Times New Roman" w:cs="Times New Roman"/>
          <w:sz w:val="21"/>
          <w:szCs w:val="21"/>
        </w:rPr>
        <w:t>2</w:t>
      </w:r>
      <w:r w:rsidRPr="004B3EA9">
        <w:rPr>
          <w:rFonts w:ascii="Times New Roman" w:hAnsi="Times New Roman" w:cs="Times New Roman" w:hint="eastAsia"/>
          <w:sz w:val="21"/>
          <w:szCs w:val="21"/>
        </w:rPr>
        <w:t>）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14:paraId="0B236C44"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14:paraId="68FD2FB0"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以常规方式买卖金融资产，按交易日会计进行确认和终止确认。交易日，是指本集团承诺买入或卖出金融资产的日期。</w:t>
      </w:r>
    </w:p>
    <w:p w14:paraId="541B5B9D" w14:textId="23217515" w:rsidR="00477B43" w:rsidRPr="004B3EA9" w:rsidRDefault="004B3EA9"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2</w:t>
      </w:r>
      <w:r>
        <w:rPr>
          <w:rFonts w:ascii="Times New Roman" w:hAnsi="Times New Roman" w:cs="Times New Roman" w:hint="eastAsia"/>
          <w:b/>
          <w:sz w:val="21"/>
          <w:szCs w:val="21"/>
        </w:rPr>
        <w:t>）</w:t>
      </w:r>
      <w:r w:rsidR="00477B43" w:rsidRPr="004B3EA9">
        <w:rPr>
          <w:rFonts w:ascii="Times New Roman" w:hAnsi="Times New Roman" w:cs="Times New Roman" w:hint="eastAsia"/>
          <w:b/>
          <w:sz w:val="21"/>
          <w:szCs w:val="21"/>
        </w:rPr>
        <w:t>金融资产分类和计量方法</w:t>
      </w:r>
    </w:p>
    <w:p w14:paraId="3896665C"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的金融资产于初始确认时根据本集团管理金融资产的业务模式和金融资产的合同现金流量特征，将金融资产分类为以摊余成本计量的金融资产、以公允价值计量且其变动计入其他综合收益的金融资产、以公允价值计量且其变动计入当期损益的金融资产。当且仅当本集团改变管理金融资产的业务模式时，才对所有受影响的相关金融资产进行重分类。</w:t>
      </w:r>
    </w:p>
    <w:p w14:paraId="7CE1A678"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在判断业务模式时，本集团考虑包括企业评价和向关键管理人员报告金融资产业绩的方式、影响金融资产业绩的风险及其管理方式以及相关业务管理人员获得报酬的方式等。在评估是否以收取合同现金流量为目标时，本集团对金融资产到期日前的出售原因、时间、频率和价值等进行分析判断。</w:t>
      </w:r>
    </w:p>
    <w:p w14:paraId="77BC3BA2"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在判断合同现金流量特征时，本集团判断合同现金流量是否仅为对本金和以未偿付本金为基础的利息的支付时，包含对（货币时间价值的修正进行评估时，判断与基准现金流量相比是否具有显著差异</w:t>
      </w:r>
      <w:r w:rsidRPr="004B3EA9">
        <w:rPr>
          <w:rFonts w:ascii="Times New Roman" w:hAnsi="Times New Roman" w:cs="Times New Roman" w:hint="eastAsia"/>
          <w:sz w:val="21"/>
          <w:szCs w:val="21"/>
        </w:rPr>
        <w:t>/</w:t>
      </w:r>
      <w:r w:rsidRPr="004B3EA9">
        <w:rPr>
          <w:rFonts w:ascii="Times New Roman" w:hAnsi="Times New Roman" w:cs="Times New Roman" w:hint="eastAsia"/>
          <w:sz w:val="21"/>
          <w:szCs w:val="21"/>
        </w:rPr>
        <w:t>对包含提前还款特征的金融资产，判断提前还款特征的公允价值是否非常小）等。</w:t>
      </w:r>
    </w:p>
    <w:p w14:paraId="0B48A161"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金融资产在初始确认时以公允价值计量，但是因销售商品或提供服务等产生的应收账款或应收票据未包含重大融资成分或不考虑不超过一年的融资成分的，按照交易价格进行初始计量。</w:t>
      </w:r>
    </w:p>
    <w:p w14:paraId="7C63AC86"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对于以公允价值计量且其变动计入当期损益的金融资产，相关交易费用直接计入当期损益，其他类别的金融资产相关交易费用计入其初始确认金额。</w:t>
      </w:r>
    </w:p>
    <w:p w14:paraId="16DE89EB"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金融资产的后续计量取决于其分类：</w:t>
      </w:r>
      <w:r w:rsidRPr="004B3EA9">
        <w:rPr>
          <w:rFonts w:ascii="Times New Roman" w:hAnsi="Times New Roman" w:cs="Times New Roman" w:hint="eastAsia"/>
          <w:sz w:val="21"/>
          <w:szCs w:val="21"/>
        </w:rPr>
        <w:t xml:space="preserve"> </w:t>
      </w:r>
    </w:p>
    <w:p w14:paraId="725DABF3"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1</w:t>
      </w:r>
      <w:r w:rsidRPr="004B3EA9">
        <w:rPr>
          <w:rFonts w:ascii="Times New Roman" w:hAnsi="Times New Roman" w:cs="Times New Roman" w:hint="eastAsia"/>
          <w:sz w:val="21"/>
          <w:szCs w:val="21"/>
        </w:rPr>
        <w:t>）以摊余成本计量的金融资产</w:t>
      </w:r>
    </w:p>
    <w:p w14:paraId="0E9A703B"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资产同时符合下列条件的，分类为以摊余成本计量的金融资产：①管理该金融资产的业务模式是以收取合同现金流量为目标。②该金融资产的合同条款规定，在特定日期产生的现金流量，仅为对本金和以未偿付本金金额为基础的利息的支付。此类金融资产采用实际利率法确认利息收入，其终止确认、修改或减值产生的利得或损失，均计入当期损益。本集团该分类的金融资产主要包括：货币资金、应收账款、应收票据、其他应收款。</w:t>
      </w:r>
    </w:p>
    <w:p w14:paraId="55D05116"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2</w:t>
      </w:r>
      <w:r w:rsidRPr="004B3EA9">
        <w:rPr>
          <w:rFonts w:ascii="Times New Roman" w:hAnsi="Times New Roman" w:cs="Times New Roman" w:hint="eastAsia"/>
          <w:sz w:val="21"/>
          <w:szCs w:val="21"/>
        </w:rPr>
        <w:t>）以公允价值计量且其变动计入其他综合收益的债务工具投资</w:t>
      </w:r>
    </w:p>
    <w:p w14:paraId="33C3A809"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资产同时符合下列条件的，分类为以公允价值计量且其变动计入其他综合收益的金融资产：①本集团管理该金融资产的业务模式既以收取合同现金流量为目标又以出售该金融资产为目标。②该金融资产的合同条款规定，在特定日期产生的现金流量，仅为对本金和以未偿付本金金额为基础的利息的支付。此类金融资产采用实际利率法确认利息收入。除利息收入、减值损失及汇兑差额确认为当期损益外，其余公允价值变动计入其他综合收益。当金融资产终止确认时，之前计入其他综合收益的累计利得或损失从其他综合收益转出，计入当期损益。本集团该分类的金融资产主要包括：应收款项融资。</w:t>
      </w:r>
    </w:p>
    <w:p w14:paraId="74124273"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3</w:t>
      </w:r>
      <w:r w:rsidRPr="004B3EA9">
        <w:rPr>
          <w:rFonts w:ascii="Times New Roman" w:hAnsi="Times New Roman" w:cs="Times New Roman" w:hint="eastAsia"/>
          <w:sz w:val="21"/>
          <w:szCs w:val="21"/>
        </w:rPr>
        <w:t>）以公允价值计量且其变动计入其他综合收益的权益工具投资</w:t>
      </w:r>
    </w:p>
    <w:p w14:paraId="7B8C262B"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不可撤销地选择将部分非交易性权益工具投资指定为以公允价值计量且其变动计入其他综合收益的金融资产，该指定一经作出，不得撤销。本集团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本集团该分类的金融资产为其他权益工具投资。</w:t>
      </w:r>
    </w:p>
    <w:p w14:paraId="4AA12B25"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4</w:t>
      </w:r>
      <w:r w:rsidRPr="004B3EA9">
        <w:rPr>
          <w:rFonts w:ascii="Times New Roman" w:hAnsi="Times New Roman" w:cs="Times New Roman" w:hint="eastAsia"/>
          <w:sz w:val="21"/>
          <w:szCs w:val="21"/>
        </w:rPr>
        <w:t>）以公允价值计量且其变动计入当期损益的金融资产</w:t>
      </w:r>
    </w:p>
    <w:p w14:paraId="2400F718"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除上述分类为以摊余成本计量的金融资产和分类或指定为以公允价值计量且其变动计入其他综合收益的金融资产之外的金融资产，本集团将其分类为以公允价值计量且其变动计入当期损益的金融资产。此类金融资产按照公允价值进行后续计量，除与套期会计有关外，所有公允价值变动计入当期损益。本集团该分类的金融资产主要包括：交易性金融资产。</w:t>
      </w:r>
    </w:p>
    <w:p w14:paraId="54142697"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本集团在非同一控制下的企业合并中确认的或有对价构成金融资产的，该金融资产分类为以公允价值计量且其变动计入当期损益的金融资产。</w:t>
      </w:r>
    </w:p>
    <w:p w14:paraId="241944A7" w14:textId="67B9528F" w:rsidR="00477B43" w:rsidRPr="004B3EA9" w:rsidRDefault="004B3EA9"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3</w:t>
      </w:r>
      <w:r>
        <w:rPr>
          <w:rFonts w:ascii="Times New Roman" w:hAnsi="Times New Roman" w:cs="Times New Roman" w:hint="eastAsia"/>
          <w:b/>
          <w:sz w:val="21"/>
          <w:szCs w:val="21"/>
        </w:rPr>
        <w:t>）</w:t>
      </w:r>
      <w:r w:rsidR="00477B43" w:rsidRPr="004B3EA9">
        <w:rPr>
          <w:rFonts w:ascii="Times New Roman" w:hAnsi="Times New Roman" w:cs="Times New Roman" w:hint="eastAsia"/>
          <w:b/>
          <w:sz w:val="21"/>
          <w:szCs w:val="21"/>
        </w:rPr>
        <w:t>金融负债分类、确认依据和计量方法</w:t>
      </w:r>
    </w:p>
    <w:p w14:paraId="786B6D51"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除了签发的财务担保合同、以低于市场利率贷款的贷款承诺及由于金融资产转移不符合终止确认条件或继续涉入被转移金融资产所形成的金融负债以外，本集团的金融负债于初始确认时分类为：以公允价值计量且其变动计入当期损益的金融负债、以摊余成本计量的金融负债。对于以公允价值计量且其变动计入当期损益的金融负债，相关交易费用直接计入当期损益，以摊余成本计量的金融负债的相关交易费用计入其初始确认金额。</w:t>
      </w:r>
    </w:p>
    <w:p w14:paraId="4C4DB489"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金融负债的后续计量取决于其分类：</w:t>
      </w:r>
    </w:p>
    <w:p w14:paraId="5C13CC33"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1</w:t>
      </w:r>
      <w:r w:rsidRPr="004B3EA9">
        <w:rPr>
          <w:rFonts w:ascii="Times New Roman" w:hAnsi="Times New Roman" w:cs="Times New Roman" w:hint="eastAsia"/>
          <w:sz w:val="21"/>
          <w:szCs w:val="21"/>
        </w:rPr>
        <w:t>）以摊余成本计量的金融负债</w:t>
      </w:r>
    </w:p>
    <w:p w14:paraId="7E8DB7F6"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以摊余成本计量的金融负债，采用实际利率法，按照摊余成本进行后续计量。</w:t>
      </w:r>
    </w:p>
    <w:p w14:paraId="1DD746BD"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2</w:t>
      </w:r>
      <w:r w:rsidRPr="004B3EA9">
        <w:rPr>
          <w:rFonts w:ascii="Times New Roman" w:hAnsi="Times New Roman" w:cs="Times New Roman" w:hint="eastAsia"/>
          <w:sz w:val="21"/>
          <w:szCs w:val="21"/>
        </w:rPr>
        <w:t>）以公允价值计量且其变动计入当期损益的金融负债</w:t>
      </w:r>
    </w:p>
    <w:p w14:paraId="66C18990"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以公允价值计量且其变动计入当期损益的金融负债（含属于金融负债的衍生工具），包括交易性金融负债和初始确认时指定为以公允价值计量且其变动计入当期损益的金融负债。交易性金融负债（含属于金融负债的衍生工具），按照公允价值进行后续计量，除与套期会计有关外，所有公允价值变动均计入当期损益。对于指定为以公允价值计量且其变动计入当期损益的金融负债，按照公允价值进行后续计量，除由本集团自身信用风险变动引起的公允价值变动计入其他综合收益之外，其他公允价值变动计入当期损益；如果由本集团自身信用风险变动引起的公允价值变动计入其他综合收益会造成或扩大损益中的会计错配，本集团将所有公允价值变动（包括自身信用风险变动的影响金额）计入当期损益。</w:t>
      </w:r>
    </w:p>
    <w:p w14:paraId="29C74F67" w14:textId="7EE4A76D" w:rsidR="00477B43" w:rsidRPr="004B3EA9" w:rsidRDefault="004B3EA9"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4</w:t>
      </w:r>
      <w:r>
        <w:rPr>
          <w:rFonts w:ascii="Times New Roman" w:hAnsi="Times New Roman" w:cs="Times New Roman" w:hint="eastAsia"/>
          <w:b/>
          <w:sz w:val="21"/>
          <w:szCs w:val="21"/>
        </w:rPr>
        <w:t>）</w:t>
      </w:r>
      <w:r w:rsidR="00477B43" w:rsidRPr="004B3EA9">
        <w:rPr>
          <w:rFonts w:ascii="Times New Roman" w:hAnsi="Times New Roman" w:cs="Times New Roman" w:hint="eastAsia"/>
          <w:b/>
          <w:sz w:val="21"/>
          <w:szCs w:val="21"/>
        </w:rPr>
        <w:t>金融工具减值</w:t>
      </w:r>
    </w:p>
    <w:p w14:paraId="5E3DE015"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本集团以预期信用损失为基础，对以摊余成本计量的金融资产、以公允价值计量且其变动计入其他综合收益的债权投资、合同资产进行减值处理并确认损失准备。</w:t>
      </w:r>
    </w:p>
    <w:p w14:paraId="06CA7247"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1</w:t>
      </w:r>
      <w:r w:rsidRPr="004B3EA9">
        <w:rPr>
          <w:rFonts w:ascii="Times New Roman" w:hAnsi="Times New Roman" w:cs="Times New Roman" w:hint="eastAsia"/>
          <w:sz w:val="21"/>
          <w:szCs w:val="21"/>
        </w:rPr>
        <w:t>）预期信用损失的计量</w:t>
      </w:r>
    </w:p>
    <w:p w14:paraId="1F8ECFCF"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44C6ECA6"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整个存续期预期信用损失，是指因金融工具整个预计存续期内所有可能发生的违约事件而导致的预期信用损失。未来</w:t>
      </w:r>
      <w:r w:rsidRPr="004B3EA9">
        <w:rPr>
          <w:rFonts w:ascii="Times New Roman" w:hAnsi="Times New Roman" w:cs="Times New Roman"/>
          <w:sz w:val="21"/>
          <w:szCs w:val="21"/>
        </w:rPr>
        <w:t>12</w:t>
      </w:r>
      <w:r w:rsidRPr="004B3EA9">
        <w:rPr>
          <w:rFonts w:ascii="Times New Roman" w:hAnsi="Times New Roman" w:cs="Times New Roman" w:hint="eastAsia"/>
          <w:sz w:val="21"/>
          <w:szCs w:val="21"/>
        </w:rPr>
        <w:t>个月内预期信用损失，是指因资产负债表日后</w:t>
      </w:r>
      <w:r w:rsidRPr="004B3EA9">
        <w:rPr>
          <w:rFonts w:ascii="Times New Roman" w:hAnsi="Times New Roman" w:cs="Times New Roman"/>
          <w:sz w:val="21"/>
          <w:szCs w:val="21"/>
        </w:rPr>
        <w:t>12</w:t>
      </w:r>
      <w:r w:rsidRPr="004B3EA9">
        <w:rPr>
          <w:rFonts w:ascii="Times New Roman" w:hAnsi="Times New Roman" w:cs="Times New Roman" w:hint="eastAsia"/>
          <w:sz w:val="21"/>
          <w:szCs w:val="21"/>
        </w:rPr>
        <w:t>个月内</w:t>
      </w:r>
      <w:r w:rsidRPr="004B3EA9">
        <w:rPr>
          <w:rFonts w:ascii="Times New Roman" w:hAnsi="Times New Roman" w:cs="Times New Roman"/>
          <w:sz w:val="21"/>
          <w:szCs w:val="21"/>
        </w:rPr>
        <w:t>(</w:t>
      </w:r>
      <w:r w:rsidRPr="004B3EA9">
        <w:rPr>
          <w:rFonts w:ascii="Times New Roman" w:hAnsi="Times New Roman" w:cs="Times New Roman" w:hint="eastAsia"/>
          <w:sz w:val="21"/>
          <w:szCs w:val="21"/>
        </w:rPr>
        <w:t>若金融工具的预计存续期少于</w:t>
      </w:r>
      <w:r w:rsidRPr="004B3EA9">
        <w:rPr>
          <w:rFonts w:ascii="Times New Roman" w:hAnsi="Times New Roman" w:cs="Times New Roman"/>
          <w:sz w:val="21"/>
          <w:szCs w:val="21"/>
        </w:rPr>
        <w:t>12</w:t>
      </w:r>
      <w:r w:rsidRPr="004B3EA9">
        <w:rPr>
          <w:rFonts w:ascii="Times New Roman" w:hAnsi="Times New Roman" w:cs="Times New Roman" w:hint="eastAsia"/>
          <w:sz w:val="21"/>
          <w:szCs w:val="21"/>
        </w:rPr>
        <w:t>个月，则为预计存续期</w:t>
      </w:r>
      <w:r w:rsidRPr="004B3EA9">
        <w:rPr>
          <w:rFonts w:ascii="Times New Roman" w:hAnsi="Times New Roman" w:cs="Times New Roman"/>
          <w:sz w:val="21"/>
          <w:szCs w:val="21"/>
        </w:rPr>
        <w:t>)</w:t>
      </w:r>
      <w:r w:rsidRPr="004B3EA9">
        <w:rPr>
          <w:rFonts w:ascii="Times New Roman" w:hAnsi="Times New Roman" w:cs="Times New Roman" w:hint="eastAsia"/>
          <w:sz w:val="21"/>
          <w:szCs w:val="21"/>
        </w:rPr>
        <w:t>可能发生的金融工具违约事件而导致的预期信用损失，是整个存续期预期信用损失的一部分。</w:t>
      </w:r>
    </w:p>
    <w:p w14:paraId="1E717BD7"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sz w:val="21"/>
          <w:szCs w:val="21"/>
        </w:rPr>
        <w:t>2</w:t>
      </w:r>
      <w:r w:rsidRPr="004B3EA9">
        <w:rPr>
          <w:rFonts w:ascii="Times New Roman" w:hAnsi="Times New Roman" w:cs="Times New Roman" w:hint="eastAsia"/>
          <w:sz w:val="21"/>
          <w:szCs w:val="21"/>
        </w:rPr>
        <w:t>）应收款项的减值测试方法</w:t>
      </w:r>
    </w:p>
    <w:p w14:paraId="02A8B14A" w14:textId="08D842C8"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对于因销售商品、提供劳务等日常经营活动形成的不含重大融资成分的应收账款、应收票据、应收款项融资等应收款项，本集团运用简化计量方法，按照相当于整个存续期内的预期信用损失金额计量损失准备。</w:t>
      </w:r>
    </w:p>
    <w:p w14:paraId="1CA6109E"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对信用风险显著不同的金融资产单项评价信用风险，例如客户发生严重财务困难，应收该客户款项的预期信用损失率已显著高于其所处于账龄等。对于存在客观证据表明存在减值，以及其他适用于单项评估的应收票据、应收账款、其他应收款、应收款项融资等，本集团单独进行减值测试，确认预期信用损失，计提单项减值准备。</w:t>
      </w:r>
    </w:p>
    <w:p w14:paraId="29D841BD"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除以上信用风险显著不同并单独进行了减值测试之外的应收票据、应收账款、其他应收款及应收款项融资或当单项金融资产无法以合理成本评估预期信用损失的信息时，本集团依据信用风险特征划分为若干组合，在组合基础上计算预期信用损失：</w:t>
      </w:r>
    </w:p>
    <w:p w14:paraId="685EACF3" w14:textId="3E3136A1" w:rsidR="00477B43" w:rsidRPr="004B3EA9" w:rsidRDefault="00E458B4"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cs="Times New Roman" w:hint="eastAsia"/>
          <w:sz w:val="21"/>
          <w:szCs w:val="21"/>
        </w:rPr>
        <w:t>①</w:t>
      </w:r>
      <w:r w:rsidR="00477B43" w:rsidRPr="004B3EA9">
        <w:rPr>
          <w:rFonts w:ascii="Times New Roman" w:hAnsi="Times New Roman" w:cs="Times New Roman" w:hint="eastAsia"/>
          <w:sz w:val="21"/>
          <w:szCs w:val="21"/>
        </w:rPr>
        <w:t>应收账款、其他收款项的组合类别及确定依据</w:t>
      </w:r>
    </w:p>
    <w:p w14:paraId="131DD673"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本集团根据应收账款、其他收款项的账龄、款项性质、信用风险敞口、历史回款情况等信息为基础，按信用风险特征的相似性和相关性进行分组。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0"/>
        <w:gridCol w:w="8143"/>
      </w:tblGrid>
      <w:tr w:rsidR="00477B43" w:rsidRPr="00E458B4" w14:paraId="195FCDD9" w14:textId="77777777" w:rsidTr="00693EEF">
        <w:tc>
          <w:tcPr>
            <w:tcW w:w="5000" w:type="pct"/>
            <w:gridSpan w:val="2"/>
            <w:tcMar>
              <w:top w:w="0" w:type="dxa"/>
              <w:left w:w="108" w:type="dxa"/>
              <w:bottom w:w="0" w:type="dxa"/>
              <w:right w:w="108" w:type="dxa"/>
            </w:tcMar>
            <w:hideMark/>
          </w:tcPr>
          <w:p w14:paraId="7AB8AA07" w14:textId="77777777"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确认组合的依据</w:t>
            </w:r>
          </w:p>
        </w:tc>
      </w:tr>
      <w:tr w:rsidR="00477B43" w:rsidRPr="00E458B4" w14:paraId="50B124CA" w14:textId="77777777" w:rsidTr="00693EEF">
        <w:tc>
          <w:tcPr>
            <w:tcW w:w="868" w:type="pct"/>
            <w:tcMar>
              <w:top w:w="0" w:type="dxa"/>
              <w:left w:w="108" w:type="dxa"/>
              <w:bottom w:w="0" w:type="dxa"/>
              <w:right w:w="108" w:type="dxa"/>
            </w:tcMar>
            <w:hideMark/>
          </w:tcPr>
          <w:p w14:paraId="0B68C8B0" w14:textId="77777777"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账龄组合</w:t>
            </w:r>
          </w:p>
        </w:tc>
        <w:tc>
          <w:tcPr>
            <w:tcW w:w="4132" w:type="pct"/>
            <w:tcMar>
              <w:top w:w="0" w:type="dxa"/>
              <w:left w:w="108" w:type="dxa"/>
              <w:bottom w:w="0" w:type="dxa"/>
              <w:right w:w="108" w:type="dxa"/>
            </w:tcMar>
            <w:hideMark/>
          </w:tcPr>
          <w:p w14:paraId="4DE7CD05" w14:textId="77777777"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以应收款项的账龄为信用风险特征划分组合</w:t>
            </w:r>
          </w:p>
        </w:tc>
      </w:tr>
      <w:tr w:rsidR="00477B43" w:rsidRPr="00E458B4" w14:paraId="1ED1A9F4" w14:textId="77777777" w:rsidTr="00693EEF">
        <w:tc>
          <w:tcPr>
            <w:tcW w:w="868" w:type="pct"/>
            <w:tcMar>
              <w:top w:w="0" w:type="dxa"/>
              <w:left w:w="108" w:type="dxa"/>
              <w:bottom w:w="0" w:type="dxa"/>
              <w:right w:w="108" w:type="dxa"/>
            </w:tcMar>
            <w:hideMark/>
          </w:tcPr>
          <w:p w14:paraId="36DD2968" w14:textId="77777777"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备用金组合</w:t>
            </w:r>
          </w:p>
        </w:tc>
        <w:tc>
          <w:tcPr>
            <w:tcW w:w="4132" w:type="pct"/>
            <w:tcMar>
              <w:top w:w="0" w:type="dxa"/>
              <w:left w:w="108" w:type="dxa"/>
              <w:bottom w:w="0" w:type="dxa"/>
              <w:right w:w="108" w:type="dxa"/>
            </w:tcMar>
            <w:hideMark/>
          </w:tcPr>
          <w:p w14:paraId="5D8A5452" w14:textId="77777777"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以应收款项的款项性质为备用金划分的组合</w:t>
            </w:r>
          </w:p>
        </w:tc>
      </w:tr>
      <w:tr w:rsidR="00477B43" w:rsidRPr="00E458B4" w14:paraId="572C0008" w14:textId="77777777" w:rsidTr="00693EEF">
        <w:tc>
          <w:tcPr>
            <w:tcW w:w="868" w:type="pct"/>
            <w:tcMar>
              <w:top w:w="0" w:type="dxa"/>
              <w:left w:w="108" w:type="dxa"/>
              <w:bottom w:w="0" w:type="dxa"/>
              <w:right w:w="108" w:type="dxa"/>
            </w:tcMar>
            <w:vAlign w:val="center"/>
            <w:hideMark/>
          </w:tcPr>
          <w:p w14:paraId="6C71B926" w14:textId="77777777" w:rsidR="00477B43" w:rsidRPr="00E458B4" w:rsidRDefault="00477B43" w:rsidP="00E458B4">
            <w:pPr>
              <w:widowControl/>
              <w:spacing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其他组合</w:t>
            </w:r>
            <w:r w:rsidRPr="00E458B4">
              <w:rPr>
                <w:rFonts w:ascii="Times New Roman" w:eastAsia="宋体" w:hAnsi="Times New Roman" w:cs="Times New Roman"/>
                <w:kern w:val="0"/>
                <w:sz w:val="18"/>
                <w:szCs w:val="18"/>
              </w:rPr>
              <w:t>1</w:t>
            </w:r>
          </w:p>
        </w:tc>
        <w:tc>
          <w:tcPr>
            <w:tcW w:w="4132" w:type="pct"/>
            <w:tcMar>
              <w:top w:w="0" w:type="dxa"/>
              <w:left w:w="108" w:type="dxa"/>
              <w:bottom w:w="0" w:type="dxa"/>
              <w:right w:w="108" w:type="dxa"/>
            </w:tcMar>
            <w:hideMark/>
          </w:tcPr>
          <w:p w14:paraId="61D8D9E5" w14:textId="77777777"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本组合包括本公司的海外子公司有确凿证据能够收回应收款项，如信用期以内的应收账款余额、押金。</w:t>
            </w:r>
          </w:p>
        </w:tc>
      </w:tr>
      <w:tr w:rsidR="00477B43" w:rsidRPr="00E458B4" w14:paraId="50A77BC1" w14:textId="77777777" w:rsidTr="00693EEF">
        <w:tc>
          <w:tcPr>
            <w:tcW w:w="868" w:type="pct"/>
            <w:tcMar>
              <w:top w:w="0" w:type="dxa"/>
              <w:left w:w="108" w:type="dxa"/>
              <w:bottom w:w="0" w:type="dxa"/>
              <w:right w:w="108" w:type="dxa"/>
            </w:tcMar>
            <w:vAlign w:val="center"/>
            <w:hideMark/>
          </w:tcPr>
          <w:p w14:paraId="4E0A0494" w14:textId="77777777" w:rsidR="00477B43" w:rsidRPr="00E458B4" w:rsidRDefault="00477B43" w:rsidP="00E458B4">
            <w:pPr>
              <w:widowControl/>
              <w:spacing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其他组合</w:t>
            </w:r>
            <w:r w:rsidRPr="00E458B4">
              <w:rPr>
                <w:rFonts w:ascii="Times New Roman" w:eastAsia="宋体" w:hAnsi="Times New Roman" w:cs="Times New Roman"/>
                <w:kern w:val="0"/>
                <w:sz w:val="18"/>
                <w:szCs w:val="18"/>
              </w:rPr>
              <w:t>2</w:t>
            </w:r>
          </w:p>
        </w:tc>
        <w:tc>
          <w:tcPr>
            <w:tcW w:w="4132" w:type="pct"/>
            <w:tcMar>
              <w:top w:w="0" w:type="dxa"/>
              <w:left w:w="108" w:type="dxa"/>
              <w:bottom w:w="0" w:type="dxa"/>
              <w:right w:w="108" w:type="dxa"/>
            </w:tcMar>
            <w:hideMark/>
          </w:tcPr>
          <w:p w14:paraId="715E7B27" w14:textId="162254D8" w:rsidR="00477B43" w:rsidRPr="00E458B4" w:rsidRDefault="00477B43" w:rsidP="00E458B4">
            <w:pPr>
              <w:widowControl/>
              <w:spacing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本组合为本公司的海外子公司</w:t>
            </w:r>
            <w:r w:rsidRPr="00E458B4">
              <w:rPr>
                <w:rFonts w:ascii="Times New Roman" w:eastAsia="宋体" w:hAnsi="Times New Roman" w:cs="Times New Roman"/>
                <w:kern w:val="0"/>
                <w:sz w:val="18"/>
                <w:szCs w:val="18"/>
              </w:rPr>
              <w:t xml:space="preserve"> Trividia Health,Inc.</w:t>
            </w:r>
            <w:r w:rsidRPr="00E458B4">
              <w:rPr>
                <w:rFonts w:ascii="Times New Roman" w:eastAsia="宋体" w:hAnsi="Times New Roman" w:cs="Times New Roman"/>
                <w:kern w:val="0"/>
                <w:sz w:val="18"/>
                <w:szCs w:val="18"/>
              </w:rPr>
              <w:t>除划入其他组合</w:t>
            </w:r>
            <w:r w:rsidR="00E458B4" w:rsidRPr="00E458B4">
              <w:rPr>
                <w:rFonts w:ascii="Times New Roman" w:eastAsia="宋体" w:hAnsi="Times New Roman" w:cs="Times New Roman"/>
                <w:kern w:val="0"/>
                <w:sz w:val="18"/>
                <w:szCs w:val="18"/>
              </w:rPr>
              <w:t>1</w:t>
            </w:r>
            <w:r w:rsidRPr="00E458B4">
              <w:rPr>
                <w:rFonts w:ascii="Times New Roman" w:eastAsia="宋体" w:hAnsi="Times New Roman" w:cs="Times New Roman"/>
                <w:kern w:val="0"/>
                <w:sz w:val="18"/>
                <w:szCs w:val="18"/>
              </w:rPr>
              <w:t>以外的应收款项。</w:t>
            </w:r>
          </w:p>
        </w:tc>
      </w:tr>
    </w:tbl>
    <w:p w14:paraId="67519519" w14:textId="77777777" w:rsidR="00693EEF" w:rsidRDefault="00693E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2"/>
        <w:gridCol w:w="7061"/>
      </w:tblGrid>
      <w:tr w:rsidR="00477B43" w:rsidRPr="00E458B4" w14:paraId="534D8907" w14:textId="77777777" w:rsidTr="00693EEF">
        <w:tc>
          <w:tcPr>
            <w:tcW w:w="5000" w:type="pct"/>
            <w:gridSpan w:val="2"/>
            <w:tcMar>
              <w:top w:w="0" w:type="dxa"/>
              <w:left w:w="108" w:type="dxa"/>
              <w:bottom w:w="0" w:type="dxa"/>
              <w:right w:w="108" w:type="dxa"/>
            </w:tcMar>
            <w:hideMark/>
          </w:tcPr>
          <w:p w14:paraId="6E8DDC69" w14:textId="77777777" w:rsidR="00477B43" w:rsidRPr="00E458B4" w:rsidRDefault="00477B43" w:rsidP="00E458B4">
            <w:pPr>
              <w:widowControl/>
              <w:spacing w:before="48" w:after="48"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按组合计提坏账准备的计提方法</w:t>
            </w:r>
          </w:p>
        </w:tc>
      </w:tr>
      <w:tr w:rsidR="00477B43" w:rsidRPr="00E458B4" w14:paraId="1B3D827A" w14:textId="77777777" w:rsidTr="00693EEF">
        <w:tc>
          <w:tcPr>
            <w:tcW w:w="1417" w:type="pct"/>
            <w:tcMar>
              <w:top w:w="0" w:type="dxa"/>
              <w:left w:w="108" w:type="dxa"/>
              <w:bottom w:w="0" w:type="dxa"/>
              <w:right w:w="108" w:type="dxa"/>
            </w:tcMar>
            <w:hideMark/>
          </w:tcPr>
          <w:p w14:paraId="608EA623" w14:textId="77777777" w:rsidR="00477B43" w:rsidRPr="00E458B4" w:rsidRDefault="00477B43" w:rsidP="00E458B4">
            <w:pPr>
              <w:widowControl/>
              <w:spacing w:before="48" w:after="48"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类似信用风险特征（账龄）组合</w:t>
            </w:r>
          </w:p>
        </w:tc>
        <w:tc>
          <w:tcPr>
            <w:tcW w:w="3583" w:type="pct"/>
            <w:tcMar>
              <w:top w:w="0" w:type="dxa"/>
              <w:left w:w="108" w:type="dxa"/>
              <w:bottom w:w="0" w:type="dxa"/>
              <w:right w:w="108" w:type="dxa"/>
            </w:tcMar>
            <w:hideMark/>
          </w:tcPr>
          <w:p w14:paraId="5B886953" w14:textId="77777777" w:rsidR="00477B43" w:rsidRPr="00E458B4" w:rsidRDefault="00477B43" w:rsidP="00E458B4">
            <w:pPr>
              <w:widowControl/>
              <w:spacing w:before="48" w:after="48"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按账龄与整个存续期预期信用损失率计提</w:t>
            </w:r>
          </w:p>
        </w:tc>
      </w:tr>
      <w:tr w:rsidR="00477B43" w:rsidRPr="00E458B4" w14:paraId="19F24B48" w14:textId="77777777" w:rsidTr="00693EEF">
        <w:tc>
          <w:tcPr>
            <w:tcW w:w="1417" w:type="pct"/>
            <w:tcMar>
              <w:top w:w="0" w:type="dxa"/>
              <w:left w:w="108" w:type="dxa"/>
              <w:bottom w:w="0" w:type="dxa"/>
              <w:right w:w="108" w:type="dxa"/>
            </w:tcMar>
            <w:hideMark/>
          </w:tcPr>
          <w:p w14:paraId="21C33653" w14:textId="77777777" w:rsidR="00477B43" w:rsidRPr="00E458B4" w:rsidRDefault="00477B43" w:rsidP="00E458B4">
            <w:pPr>
              <w:widowControl/>
              <w:spacing w:before="48" w:after="48"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备用金组合</w:t>
            </w:r>
          </w:p>
        </w:tc>
        <w:tc>
          <w:tcPr>
            <w:tcW w:w="3583" w:type="pct"/>
            <w:tcMar>
              <w:top w:w="0" w:type="dxa"/>
              <w:left w:w="108" w:type="dxa"/>
              <w:bottom w:w="0" w:type="dxa"/>
              <w:right w:w="108" w:type="dxa"/>
            </w:tcMar>
            <w:hideMark/>
          </w:tcPr>
          <w:p w14:paraId="5907C3E0" w14:textId="77777777" w:rsidR="00477B43" w:rsidRPr="00E458B4" w:rsidRDefault="00477B43" w:rsidP="00E458B4">
            <w:pPr>
              <w:widowControl/>
              <w:spacing w:before="48" w:after="48"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该组合预期信用损失率为</w:t>
            </w:r>
            <w:r w:rsidRPr="00E458B4">
              <w:rPr>
                <w:rFonts w:ascii="Times New Roman" w:eastAsia="宋体" w:hAnsi="Times New Roman" w:cs="Times New Roman"/>
                <w:kern w:val="0"/>
                <w:sz w:val="18"/>
                <w:szCs w:val="18"/>
              </w:rPr>
              <w:t>0%</w:t>
            </w:r>
          </w:p>
        </w:tc>
      </w:tr>
      <w:tr w:rsidR="00477B43" w:rsidRPr="00E458B4" w14:paraId="520A675C" w14:textId="77777777" w:rsidTr="00693EEF">
        <w:tc>
          <w:tcPr>
            <w:tcW w:w="1417" w:type="pct"/>
            <w:tcMar>
              <w:top w:w="0" w:type="dxa"/>
              <w:left w:w="108" w:type="dxa"/>
              <w:bottom w:w="0" w:type="dxa"/>
              <w:right w:w="108" w:type="dxa"/>
            </w:tcMar>
            <w:hideMark/>
          </w:tcPr>
          <w:p w14:paraId="7F3EDA00" w14:textId="77777777" w:rsidR="00477B43" w:rsidRPr="00E458B4" w:rsidRDefault="00477B43" w:rsidP="00E458B4">
            <w:pPr>
              <w:widowControl/>
              <w:spacing w:before="48" w:after="48"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其他组合</w:t>
            </w:r>
            <w:r w:rsidRPr="00E458B4">
              <w:rPr>
                <w:rFonts w:ascii="Times New Roman" w:eastAsia="宋体" w:hAnsi="Times New Roman" w:cs="Times New Roman"/>
                <w:kern w:val="0"/>
                <w:sz w:val="18"/>
                <w:szCs w:val="18"/>
              </w:rPr>
              <w:t>1</w:t>
            </w:r>
          </w:p>
        </w:tc>
        <w:tc>
          <w:tcPr>
            <w:tcW w:w="3583" w:type="pct"/>
            <w:tcMar>
              <w:top w:w="0" w:type="dxa"/>
              <w:left w:w="108" w:type="dxa"/>
              <w:bottom w:w="0" w:type="dxa"/>
              <w:right w:w="108" w:type="dxa"/>
            </w:tcMar>
            <w:hideMark/>
          </w:tcPr>
          <w:p w14:paraId="293E31D4" w14:textId="77777777" w:rsidR="00477B43" w:rsidRPr="00E458B4" w:rsidRDefault="00477B43" w:rsidP="00E458B4">
            <w:pPr>
              <w:widowControl/>
              <w:spacing w:before="48" w:after="48"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该组合预期信用损失率为</w:t>
            </w:r>
            <w:r w:rsidRPr="00E458B4">
              <w:rPr>
                <w:rFonts w:ascii="Times New Roman" w:eastAsia="宋体" w:hAnsi="Times New Roman" w:cs="Times New Roman"/>
                <w:kern w:val="0"/>
                <w:sz w:val="18"/>
                <w:szCs w:val="18"/>
              </w:rPr>
              <w:t>0%</w:t>
            </w:r>
          </w:p>
        </w:tc>
      </w:tr>
      <w:tr w:rsidR="00477B43" w:rsidRPr="00E458B4" w14:paraId="7842A2C9" w14:textId="77777777" w:rsidTr="00693EEF">
        <w:tc>
          <w:tcPr>
            <w:tcW w:w="1417" w:type="pct"/>
            <w:tcMar>
              <w:top w:w="0" w:type="dxa"/>
              <w:left w:w="108" w:type="dxa"/>
              <w:bottom w:w="0" w:type="dxa"/>
              <w:right w:w="108" w:type="dxa"/>
            </w:tcMar>
            <w:hideMark/>
          </w:tcPr>
          <w:p w14:paraId="742C09FD" w14:textId="77777777" w:rsidR="00477B43" w:rsidRPr="00E458B4" w:rsidRDefault="00477B43" w:rsidP="00E458B4">
            <w:pPr>
              <w:widowControl/>
              <w:spacing w:before="48" w:after="48" w:line="360" w:lineRule="auto"/>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其他组合</w:t>
            </w:r>
            <w:r w:rsidRPr="00E458B4">
              <w:rPr>
                <w:rFonts w:ascii="Times New Roman" w:eastAsia="宋体" w:hAnsi="Times New Roman" w:cs="Times New Roman"/>
                <w:kern w:val="0"/>
                <w:sz w:val="18"/>
                <w:szCs w:val="18"/>
              </w:rPr>
              <w:t>2</w:t>
            </w:r>
          </w:p>
        </w:tc>
        <w:tc>
          <w:tcPr>
            <w:tcW w:w="3583" w:type="pct"/>
            <w:tcMar>
              <w:top w:w="0" w:type="dxa"/>
              <w:left w:w="108" w:type="dxa"/>
              <w:bottom w:w="0" w:type="dxa"/>
              <w:right w:w="108" w:type="dxa"/>
            </w:tcMar>
            <w:hideMark/>
          </w:tcPr>
          <w:p w14:paraId="58881962" w14:textId="77777777" w:rsidR="00477B43" w:rsidRPr="00E458B4" w:rsidRDefault="00477B43" w:rsidP="00E458B4">
            <w:pPr>
              <w:widowControl/>
              <w:spacing w:before="48" w:after="48" w:line="360" w:lineRule="auto"/>
              <w:jc w:val="both"/>
              <w:rPr>
                <w:rFonts w:ascii="Times New Roman" w:eastAsia="宋体" w:hAnsi="Times New Roman" w:cs="Times New Roman"/>
                <w:kern w:val="0"/>
                <w:sz w:val="18"/>
                <w:szCs w:val="18"/>
              </w:rPr>
            </w:pPr>
            <w:r w:rsidRPr="00E458B4">
              <w:rPr>
                <w:rFonts w:ascii="Times New Roman" w:eastAsia="宋体" w:hAnsi="Times New Roman" w:cs="Times New Roman"/>
                <w:kern w:val="0"/>
                <w:sz w:val="18"/>
                <w:szCs w:val="18"/>
              </w:rPr>
              <w:t>按款项性质、账龄、客户信誉、历史坏账记录等综合确定预期信用损失率</w:t>
            </w:r>
          </w:p>
        </w:tc>
      </w:tr>
    </w:tbl>
    <w:p w14:paraId="2F6BDF39"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应收款项采用按账龄与整个存续期预期信用损失率对照表如下：</w:t>
      </w:r>
    </w:p>
    <w:tbl>
      <w:tblPr>
        <w:tblW w:w="5000" w:type="pct"/>
        <w:tblCellMar>
          <w:left w:w="0" w:type="dxa"/>
          <w:right w:w="0" w:type="dxa"/>
        </w:tblCellMar>
        <w:tblLook w:val="04A0" w:firstRow="1" w:lastRow="0" w:firstColumn="1" w:lastColumn="0" w:noHBand="0" w:noVBand="1"/>
      </w:tblPr>
      <w:tblGrid>
        <w:gridCol w:w="2802"/>
        <w:gridCol w:w="7051"/>
      </w:tblGrid>
      <w:tr w:rsidR="00477B43" w:rsidRPr="00477B43" w14:paraId="3B87EB5B" w14:textId="77777777" w:rsidTr="004C4D15">
        <w:trPr>
          <w:trHeight w:val="340"/>
          <w:tblHeader/>
        </w:trPr>
        <w:tc>
          <w:tcPr>
            <w:tcW w:w="142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5F5E41" w14:textId="77777777" w:rsidR="00477B43" w:rsidRPr="00693EEF" w:rsidRDefault="00477B43" w:rsidP="00477B43">
            <w:pPr>
              <w:widowControl/>
              <w:jc w:val="both"/>
              <w:rPr>
                <w:rFonts w:ascii="Times New Roman" w:eastAsia="宋体" w:hAnsi="Times New Roman" w:cs="Times New Roman"/>
                <w:kern w:val="0"/>
                <w:sz w:val="18"/>
                <w:szCs w:val="18"/>
              </w:rPr>
            </w:pPr>
            <w:r w:rsidRPr="00693EEF">
              <w:rPr>
                <w:rFonts w:ascii="Times New Roman" w:eastAsia="宋体" w:hAnsi="Times New Roman" w:cs="Times New Roman"/>
                <w:b/>
                <w:bCs/>
                <w:kern w:val="0"/>
                <w:sz w:val="18"/>
                <w:szCs w:val="18"/>
              </w:rPr>
              <w:t>账龄</w:t>
            </w:r>
          </w:p>
        </w:tc>
        <w:tc>
          <w:tcPr>
            <w:tcW w:w="357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AFC791" w14:textId="77777777" w:rsidR="00477B43" w:rsidRPr="00693EEF" w:rsidRDefault="00477B43" w:rsidP="00477B43">
            <w:pPr>
              <w:widowControl/>
              <w:jc w:val="center"/>
              <w:rPr>
                <w:rFonts w:ascii="Times New Roman" w:eastAsia="宋体" w:hAnsi="Times New Roman" w:cs="Times New Roman"/>
                <w:kern w:val="0"/>
                <w:sz w:val="18"/>
                <w:szCs w:val="18"/>
              </w:rPr>
            </w:pPr>
            <w:r w:rsidRPr="00693EEF">
              <w:rPr>
                <w:rFonts w:ascii="Times New Roman" w:eastAsia="宋体" w:hAnsi="Times New Roman" w:cs="Times New Roman"/>
                <w:b/>
                <w:bCs/>
                <w:kern w:val="0"/>
                <w:sz w:val="18"/>
                <w:szCs w:val="18"/>
              </w:rPr>
              <w:t>应收款项计提比例（</w:t>
            </w:r>
            <w:r w:rsidRPr="00693EEF">
              <w:rPr>
                <w:rFonts w:ascii="Times New Roman" w:eastAsia="宋体" w:hAnsi="Times New Roman" w:cs="Times New Roman"/>
                <w:b/>
                <w:bCs/>
                <w:kern w:val="0"/>
                <w:sz w:val="18"/>
                <w:szCs w:val="18"/>
              </w:rPr>
              <w:t>%</w:t>
            </w:r>
            <w:r w:rsidRPr="00693EEF">
              <w:rPr>
                <w:rFonts w:ascii="Times New Roman" w:eastAsia="宋体" w:hAnsi="Times New Roman" w:cs="Times New Roman"/>
                <w:b/>
                <w:bCs/>
                <w:kern w:val="0"/>
                <w:sz w:val="18"/>
                <w:szCs w:val="18"/>
              </w:rPr>
              <w:t>）</w:t>
            </w:r>
          </w:p>
        </w:tc>
      </w:tr>
      <w:tr w:rsidR="00477B43" w:rsidRPr="00477B43" w14:paraId="19593938" w14:textId="77777777" w:rsidTr="004C4D15">
        <w:trPr>
          <w:trHeight w:val="340"/>
        </w:trPr>
        <w:tc>
          <w:tcPr>
            <w:tcW w:w="14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5CC830" w14:textId="77777777" w:rsidR="00477B43" w:rsidRPr="00693EEF" w:rsidRDefault="00477B43" w:rsidP="00477B43">
            <w:pPr>
              <w:widowControl/>
              <w:jc w:val="both"/>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1</w:t>
            </w:r>
            <w:r w:rsidRPr="00693EEF">
              <w:rPr>
                <w:rFonts w:ascii="Times New Roman" w:eastAsia="宋体" w:hAnsi="Times New Roman" w:cs="Times New Roman"/>
                <w:kern w:val="0"/>
                <w:sz w:val="18"/>
                <w:szCs w:val="18"/>
              </w:rPr>
              <w:t>年以内</w:t>
            </w:r>
          </w:p>
        </w:tc>
        <w:tc>
          <w:tcPr>
            <w:tcW w:w="3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78DA3D" w14:textId="77777777" w:rsidR="00477B43" w:rsidRPr="00693EEF" w:rsidRDefault="00477B43" w:rsidP="00477B43">
            <w:pPr>
              <w:widowControl/>
              <w:jc w:val="center"/>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5.00</w:t>
            </w:r>
          </w:p>
        </w:tc>
      </w:tr>
      <w:tr w:rsidR="00477B43" w:rsidRPr="00477B43" w14:paraId="2815B48B" w14:textId="77777777" w:rsidTr="004C4D15">
        <w:trPr>
          <w:trHeight w:val="340"/>
        </w:trPr>
        <w:tc>
          <w:tcPr>
            <w:tcW w:w="14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F4D1C5" w14:textId="77777777" w:rsidR="00477B43" w:rsidRPr="00693EEF" w:rsidRDefault="00477B43" w:rsidP="00477B43">
            <w:pPr>
              <w:widowControl/>
              <w:jc w:val="both"/>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1-2</w:t>
            </w:r>
            <w:r w:rsidRPr="00693EEF">
              <w:rPr>
                <w:rFonts w:ascii="Times New Roman" w:eastAsia="宋体" w:hAnsi="Times New Roman" w:cs="Times New Roman"/>
                <w:kern w:val="0"/>
                <w:sz w:val="18"/>
                <w:szCs w:val="18"/>
              </w:rPr>
              <w:t>年</w:t>
            </w:r>
          </w:p>
        </w:tc>
        <w:tc>
          <w:tcPr>
            <w:tcW w:w="3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01D6C" w14:textId="77777777" w:rsidR="00477B43" w:rsidRPr="00693EEF" w:rsidRDefault="00477B43" w:rsidP="00477B43">
            <w:pPr>
              <w:widowControl/>
              <w:jc w:val="center"/>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20.00</w:t>
            </w:r>
          </w:p>
        </w:tc>
      </w:tr>
      <w:tr w:rsidR="00477B43" w:rsidRPr="00477B43" w14:paraId="2F810B3F" w14:textId="77777777" w:rsidTr="004C4D15">
        <w:trPr>
          <w:trHeight w:val="340"/>
        </w:trPr>
        <w:tc>
          <w:tcPr>
            <w:tcW w:w="14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BF915" w14:textId="77777777" w:rsidR="00477B43" w:rsidRPr="00693EEF" w:rsidRDefault="00477B43" w:rsidP="00477B43">
            <w:pPr>
              <w:widowControl/>
              <w:jc w:val="both"/>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2-3</w:t>
            </w:r>
            <w:r w:rsidRPr="00693EEF">
              <w:rPr>
                <w:rFonts w:ascii="Times New Roman" w:eastAsia="宋体" w:hAnsi="Times New Roman" w:cs="Times New Roman"/>
                <w:kern w:val="0"/>
                <w:sz w:val="18"/>
                <w:szCs w:val="18"/>
              </w:rPr>
              <w:t>年</w:t>
            </w:r>
          </w:p>
        </w:tc>
        <w:tc>
          <w:tcPr>
            <w:tcW w:w="3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4F8A7F" w14:textId="77777777" w:rsidR="00477B43" w:rsidRPr="00693EEF" w:rsidRDefault="00477B43" w:rsidP="00477B43">
            <w:pPr>
              <w:widowControl/>
              <w:jc w:val="center"/>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50.00</w:t>
            </w:r>
          </w:p>
        </w:tc>
      </w:tr>
      <w:tr w:rsidR="00477B43" w:rsidRPr="00477B43" w14:paraId="4DC60327" w14:textId="77777777" w:rsidTr="004C4D15">
        <w:trPr>
          <w:trHeight w:val="340"/>
        </w:trPr>
        <w:tc>
          <w:tcPr>
            <w:tcW w:w="142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932F4" w14:textId="77777777" w:rsidR="00477B43" w:rsidRPr="00693EEF" w:rsidRDefault="00477B43" w:rsidP="00477B43">
            <w:pPr>
              <w:widowControl/>
              <w:jc w:val="both"/>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3</w:t>
            </w:r>
            <w:r w:rsidRPr="00693EEF">
              <w:rPr>
                <w:rFonts w:ascii="Times New Roman" w:eastAsia="宋体" w:hAnsi="Times New Roman" w:cs="Times New Roman"/>
                <w:kern w:val="0"/>
                <w:sz w:val="18"/>
                <w:szCs w:val="18"/>
              </w:rPr>
              <w:t>年以上</w:t>
            </w:r>
          </w:p>
        </w:tc>
        <w:tc>
          <w:tcPr>
            <w:tcW w:w="35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445D90" w14:textId="77777777" w:rsidR="00477B43" w:rsidRPr="00693EEF" w:rsidRDefault="00477B43" w:rsidP="00477B43">
            <w:pPr>
              <w:widowControl/>
              <w:jc w:val="center"/>
              <w:rPr>
                <w:rFonts w:ascii="Times New Roman" w:eastAsia="宋体" w:hAnsi="Times New Roman" w:cs="Times New Roman"/>
                <w:kern w:val="0"/>
                <w:sz w:val="18"/>
                <w:szCs w:val="18"/>
              </w:rPr>
            </w:pPr>
            <w:r w:rsidRPr="00693EEF">
              <w:rPr>
                <w:rFonts w:ascii="Times New Roman" w:eastAsia="宋体" w:hAnsi="Times New Roman" w:cs="Times New Roman"/>
                <w:kern w:val="0"/>
                <w:sz w:val="18"/>
                <w:szCs w:val="18"/>
              </w:rPr>
              <w:t>100.00</w:t>
            </w:r>
          </w:p>
        </w:tc>
      </w:tr>
    </w:tbl>
    <w:p w14:paraId="4073BE98" w14:textId="0ED720C0"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其他组合</w:t>
      </w:r>
      <w:r w:rsidR="004C4D15">
        <w:rPr>
          <w:rFonts w:ascii="Times New Roman" w:hAnsi="Times New Roman" w:cs="Times New Roman"/>
          <w:sz w:val="21"/>
          <w:szCs w:val="21"/>
        </w:rPr>
        <w:t>2</w:t>
      </w:r>
      <w:r w:rsidRPr="004B3EA9">
        <w:rPr>
          <w:rFonts w:ascii="Times New Roman" w:hAnsi="Times New Roman" w:cs="Times New Roman" w:hint="eastAsia"/>
          <w:sz w:val="21"/>
          <w:szCs w:val="21"/>
        </w:rPr>
        <w:t>计提方法如下：</w:t>
      </w:r>
      <w:r w:rsidRPr="004B3EA9">
        <w:rPr>
          <w:rFonts w:ascii="Times New Roman" w:hAnsi="Times New Roman" w:cs="Times New Roman"/>
          <w:sz w:val="21"/>
          <w:szCs w:val="21"/>
        </w:rPr>
        <w:t xml:space="preserve"> </w:t>
      </w:r>
      <w:r w:rsidRPr="004B3EA9">
        <w:rPr>
          <w:rFonts w:ascii="Times New Roman" w:hAnsi="Times New Roman" w:cs="Times New Roman" w:hint="eastAsia"/>
          <w:sz w:val="21"/>
          <w:szCs w:val="21"/>
        </w:rPr>
        <w:t>该组合为</w:t>
      </w:r>
      <w:r w:rsidRPr="004B3EA9">
        <w:rPr>
          <w:rFonts w:ascii="Times New Roman" w:hAnsi="Times New Roman" w:cs="Times New Roman"/>
          <w:sz w:val="21"/>
          <w:szCs w:val="21"/>
        </w:rPr>
        <w:t xml:space="preserve"> Trividia Health, Inc.</w:t>
      </w:r>
      <w:r w:rsidRPr="004B3EA9">
        <w:rPr>
          <w:rFonts w:ascii="Times New Roman" w:hAnsi="Times New Roman" w:cs="Times New Roman" w:hint="eastAsia"/>
          <w:sz w:val="21"/>
          <w:szCs w:val="21"/>
        </w:rPr>
        <w:t>账龄在</w:t>
      </w:r>
      <w:r w:rsidR="004C4D15">
        <w:rPr>
          <w:rFonts w:ascii="Times New Roman" w:hAnsi="Times New Roman" w:cs="Times New Roman"/>
          <w:sz w:val="21"/>
          <w:szCs w:val="21"/>
        </w:rPr>
        <w:t>150</w:t>
      </w:r>
      <w:r w:rsidRPr="004B3EA9">
        <w:rPr>
          <w:rFonts w:ascii="Times New Roman" w:hAnsi="Times New Roman" w:cs="Times New Roman" w:hint="eastAsia"/>
          <w:sz w:val="21"/>
          <w:szCs w:val="21"/>
        </w:rPr>
        <w:t>天以上的应收账款，计提的坏账准备由两个部分构成：第一部分，按款项性质及相应计提比例计提；第二部分，按账龄及相应计提比例计提金额与本年及上年实际核销金额两者合计的算术平均数计提。</w:t>
      </w:r>
    </w:p>
    <w:p w14:paraId="33639560" w14:textId="07CEC03C" w:rsidR="00477B43" w:rsidRPr="004B3EA9" w:rsidRDefault="004C4D15"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cs="Times New Roman" w:hint="eastAsia"/>
          <w:sz w:val="21"/>
          <w:szCs w:val="21"/>
        </w:rPr>
        <w:t>②</w:t>
      </w:r>
      <w:r w:rsidR="00477B43" w:rsidRPr="004B3EA9">
        <w:rPr>
          <w:rFonts w:ascii="Times New Roman" w:hAnsi="Times New Roman" w:cs="Times New Roman" w:hint="eastAsia"/>
          <w:sz w:val="21"/>
          <w:szCs w:val="21"/>
        </w:rPr>
        <w:t>应收票据、应收款项融资的组合类别及确定依据</w:t>
      </w:r>
    </w:p>
    <w:p w14:paraId="0E665AA5"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本集团基于应收票据的承兑人信用风险作为共同风险特征，将其划分为不同组合，并确定预期信用损失会计估计政策：</w:t>
      </w:r>
      <w:r w:rsidRPr="004B3EA9">
        <w:rPr>
          <w:rFonts w:ascii="Times New Roman" w:hAnsi="Times New Roman" w:cs="Times New Roman"/>
          <w:sz w:val="21"/>
          <w:szCs w:val="21"/>
        </w:rPr>
        <w:t>a.</w:t>
      </w:r>
      <w:r w:rsidRPr="004B3EA9">
        <w:rPr>
          <w:rFonts w:ascii="Times New Roman" w:hAnsi="Times New Roman" w:cs="Times New Roman" w:hint="eastAsia"/>
          <w:sz w:val="21"/>
          <w:szCs w:val="21"/>
        </w:rPr>
        <w:t>银行承兑汇票，本集团评价该类款项具有较低的信用风险，不确认预期信用损失；</w:t>
      </w:r>
      <w:r w:rsidRPr="004B3EA9">
        <w:rPr>
          <w:rFonts w:ascii="Times New Roman" w:hAnsi="Times New Roman" w:cs="Times New Roman"/>
          <w:sz w:val="21"/>
          <w:szCs w:val="21"/>
        </w:rPr>
        <w:t>b.</w:t>
      </w:r>
      <w:r w:rsidRPr="004B3EA9">
        <w:rPr>
          <w:rFonts w:ascii="Times New Roman" w:hAnsi="Times New Roman" w:cs="Times New Roman" w:hint="eastAsia"/>
          <w:sz w:val="21"/>
          <w:szCs w:val="21"/>
        </w:rPr>
        <w:t>商业承兑汇票，参照本集团应收账款政策确认预期损失率计提损失准备，与应收账款的组合划分相同。</w:t>
      </w:r>
    </w:p>
    <w:p w14:paraId="07B02C75" w14:textId="79AAEF7A" w:rsidR="00477B43" w:rsidRPr="004C4D15" w:rsidRDefault="004C4D15" w:rsidP="004B3EA9">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5</w:t>
      </w:r>
      <w:r>
        <w:rPr>
          <w:rFonts w:ascii="Times New Roman" w:hAnsi="Times New Roman" w:cs="Times New Roman" w:hint="eastAsia"/>
          <w:b/>
          <w:sz w:val="21"/>
          <w:szCs w:val="21"/>
        </w:rPr>
        <w:t>）</w:t>
      </w:r>
      <w:r w:rsidR="00477B43" w:rsidRPr="004C4D15">
        <w:rPr>
          <w:rFonts w:ascii="Times New Roman" w:hAnsi="Times New Roman" w:cs="Times New Roman" w:hint="eastAsia"/>
          <w:b/>
          <w:sz w:val="21"/>
          <w:szCs w:val="21"/>
        </w:rPr>
        <w:t>金融资产转移的确认依据和计量方法</w:t>
      </w:r>
    </w:p>
    <w:p w14:paraId="0CA6470B"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对于金融资产转移交易，本集团已将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放弃了对该金融资产控制的，终止确认该金融资产并确认产生的资产和负债，未放弃对该金融资产控制的，按照其继续涉入所转移金融资产的程度确认有关金融资产，并相应确认有关负债。</w:t>
      </w:r>
    </w:p>
    <w:p w14:paraId="62002FDC"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的差额计入当期损益。</w:t>
      </w:r>
    </w:p>
    <w:p w14:paraId="3C38F3F9"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与分摊的前述金融资产整体账面价值的差额计入当期损益。</w:t>
      </w:r>
    </w:p>
    <w:p w14:paraId="6FF46442"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通过对所转移金融资产提供财务担保方式继续涉入的，按照金融资产的账面价值和财务担保金额两者之中的较低者，确认继续涉入形成的资产。财务担保金额，是指所收到的对价中，将被要求偿还的最高金额。</w:t>
      </w:r>
    </w:p>
    <w:p w14:paraId="0DB718CA" w14:textId="32A038F1" w:rsidR="00477B43" w:rsidRPr="004C4D15" w:rsidRDefault="004C4D15" w:rsidP="004C4D15">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6</w:t>
      </w:r>
      <w:r>
        <w:rPr>
          <w:rFonts w:ascii="Times New Roman" w:hAnsi="Times New Roman" w:cs="Times New Roman" w:hint="eastAsia"/>
          <w:b/>
          <w:sz w:val="21"/>
          <w:szCs w:val="21"/>
        </w:rPr>
        <w:t>）</w:t>
      </w:r>
      <w:r w:rsidR="00477B43" w:rsidRPr="004C4D15">
        <w:rPr>
          <w:rFonts w:ascii="Times New Roman" w:hAnsi="Times New Roman" w:cs="Times New Roman" w:hint="eastAsia"/>
          <w:b/>
          <w:sz w:val="21"/>
          <w:szCs w:val="21"/>
        </w:rPr>
        <w:t>金融负债与权益工具的区分及相关处理方法</w:t>
      </w:r>
    </w:p>
    <w:p w14:paraId="443EA492"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按照以下原则区分金融负债与权益工具：①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②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323C4ECE"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4EA7FF8A"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金融工具或其组成部分属于金融负债的，相关利息、股利（或股息）、利得或损失，以及赎回或再融资产生的利得或损失等，本集团计入当期损益。</w:t>
      </w:r>
    </w:p>
    <w:p w14:paraId="1E032EA5"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金融工具或其组成部分属于权益工具的，其发行（含再融资）、回购、出售或注销时，本集团作为权益的变动处理，不确认权益工具的公允价值变动。</w:t>
      </w:r>
    </w:p>
    <w:p w14:paraId="7B213DCA" w14:textId="0CC77B1F" w:rsidR="00477B43" w:rsidRPr="007D504B" w:rsidRDefault="007D504B" w:rsidP="007D504B">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7</w:t>
      </w:r>
      <w:r>
        <w:rPr>
          <w:rFonts w:ascii="Times New Roman" w:hAnsi="Times New Roman" w:cs="Times New Roman" w:hint="eastAsia"/>
          <w:b/>
          <w:sz w:val="21"/>
          <w:szCs w:val="21"/>
        </w:rPr>
        <w:t>）</w:t>
      </w:r>
      <w:r w:rsidR="00477B43" w:rsidRPr="007D504B">
        <w:rPr>
          <w:rFonts w:ascii="Times New Roman" w:hAnsi="Times New Roman" w:cs="Times New Roman" w:hint="eastAsia"/>
          <w:b/>
          <w:sz w:val="21"/>
          <w:szCs w:val="21"/>
        </w:rPr>
        <w:t>可转换债券</w:t>
      </w:r>
    </w:p>
    <w:p w14:paraId="454C6405" w14:textId="6B86A322"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本集团发行可转换债券时依据条款确定其是否同时包含负债和权益成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w:t>
      </w:r>
    </w:p>
    <w:p w14:paraId="1EA5F48D" w14:textId="6C3F0A1B"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发行的可转换债券既包含负债也包含权益</w:t>
      </w:r>
      <w:r w:rsidR="005F6B7D" w:rsidRPr="004B3EA9">
        <w:rPr>
          <w:rFonts w:ascii="Times New Roman" w:hAnsi="Times New Roman" w:cs="Times New Roman" w:hint="eastAsia"/>
          <w:sz w:val="21"/>
          <w:szCs w:val="21"/>
        </w:rPr>
        <w:t>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的，在初始确认时将负债和权益</w:t>
      </w:r>
      <w:r w:rsidR="005F6B7D" w:rsidRPr="004B3EA9">
        <w:rPr>
          <w:rFonts w:ascii="Times New Roman" w:hAnsi="Times New Roman" w:cs="Times New Roman" w:hint="eastAsia"/>
          <w:sz w:val="21"/>
          <w:szCs w:val="21"/>
        </w:rPr>
        <w:t>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进行分拆，并分别进行处理。在进行分拆时，先确定负债</w:t>
      </w:r>
      <w:r w:rsidR="005F6B7D" w:rsidRPr="004B3EA9">
        <w:rPr>
          <w:rFonts w:ascii="Times New Roman" w:hAnsi="Times New Roman" w:cs="Times New Roman" w:hint="eastAsia"/>
          <w:sz w:val="21"/>
          <w:szCs w:val="21"/>
        </w:rPr>
        <w:t>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的公允价值并以此作为其初始确认金额，再按照可转换债券整体的发行价格扣除负债</w:t>
      </w:r>
      <w:r w:rsidR="006F26AE" w:rsidRPr="004B3EA9">
        <w:rPr>
          <w:rFonts w:ascii="Times New Roman" w:hAnsi="Times New Roman" w:cs="Times New Roman" w:hint="eastAsia"/>
          <w:sz w:val="21"/>
          <w:szCs w:val="21"/>
        </w:rPr>
        <w:t>成</w:t>
      </w:r>
      <w:r w:rsidR="006F26AE">
        <w:rPr>
          <w:rFonts w:ascii="Times New Roman" w:hAnsi="Times New Roman" w:cs="Times New Roman" w:hint="eastAsia"/>
          <w:sz w:val="21"/>
          <w:szCs w:val="21"/>
        </w:rPr>
        <w:t>分</w:t>
      </w:r>
      <w:r w:rsidRPr="004B3EA9">
        <w:rPr>
          <w:rFonts w:ascii="Times New Roman" w:hAnsi="Times New Roman" w:cs="Times New Roman" w:hint="eastAsia"/>
          <w:sz w:val="21"/>
          <w:szCs w:val="21"/>
        </w:rPr>
        <w:t>初始确认金额后的金额确定权益</w:t>
      </w:r>
      <w:r w:rsidR="00DF522E" w:rsidRPr="004B3EA9">
        <w:rPr>
          <w:rFonts w:ascii="Times New Roman" w:hAnsi="Times New Roman" w:cs="Times New Roman" w:hint="eastAsia"/>
          <w:sz w:val="21"/>
          <w:szCs w:val="21"/>
        </w:rPr>
        <w:t>成</w:t>
      </w:r>
      <w:r w:rsidR="00DF522E">
        <w:rPr>
          <w:rFonts w:ascii="Times New Roman" w:hAnsi="Times New Roman" w:cs="Times New Roman" w:hint="eastAsia"/>
          <w:sz w:val="21"/>
          <w:szCs w:val="21"/>
        </w:rPr>
        <w:t>分</w:t>
      </w:r>
      <w:r w:rsidRPr="004B3EA9">
        <w:rPr>
          <w:rFonts w:ascii="Times New Roman" w:hAnsi="Times New Roman" w:cs="Times New Roman" w:hint="eastAsia"/>
          <w:sz w:val="21"/>
          <w:szCs w:val="21"/>
        </w:rPr>
        <w:t>的初始确认金额。交易费用在负债</w:t>
      </w:r>
      <w:r w:rsidR="006F26AE" w:rsidRPr="004B3EA9">
        <w:rPr>
          <w:rFonts w:ascii="Times New Roman" w:hAnsi="Times New Roman" w:cs="Times New Roman" w:hint="eastAsia"/>
          <w:sz w:val="21"/>
          <w:szCs w:val="21"/>
        </w:rPr>
        <w:t>成</w:t>
      </w:r>
      <w:r w:rsidR="006F26AE">
        <w:rPr>
          <w:rFonts w:ascii="Times New Roman" w:hAnsi="Times New Roman" w:cs="Times New Roman" w:hint="eastAsia"/>
          <w:sz w:val="21"/>
          <w:szCs w:val="21"/>
        </w:rPr>
        <w:t>分</w:t>
      </w:r>
      <w:r w:rsidRPr="004B3EA9">
        <w:rPr>
          <w:rFonts w:ascii="Times New Roman" w:hAnsi="Times New Roman" w:cs="Times New Roman" w:hint="eastAsia"/>
          <w:sz w:val="21"/>
          <w:szCs w:val="21"/>
        </w:rPr>
        <w:t>和权益</w:t>
      </w:r>
      <w:r w:rsidR="005F6B7D" w:rsidRPr="004B3EA9">
        <w:rPr>
          <w:rFonts w:ascii="Times New Roman" w:hAnsi="Times New Roman" w:cs="Times New Roman" w:hint="eastAsia"/>
          <w:sz w:val="21"/>
          <w:szCs w:val="21"/>
        </w:rPr>
        <w:t>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之间按照各自的相对公允价值进行分摊。负债</w:t>
      </w:r>
      <w:r w:rsidR="005F6B7D" w:rsidRPr="004B3EA9">
        <w:rPr>
          <w:rFonts w:ascii="Times New Roman" w:hAnsi="Times New Roman" w:cs="Times New Roman" w:hint="eastAsia"/>
          <w:sz w:val="21"/>
          <w:szCs w:val="21"/>
        </w:rPr>
        <w:t>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作为负债列示，以摊余成本进行后续计量，直至被撤销、转换或赎回。权益</w:t>
      </w:r>
      <w:r w:rsidR="005F6B7D" w:rsidRPr="004B3EA9">
        <w:rPr>
          <w:rFonts w:ascii="Times New Roman" w:hAnsi="Times New Roman" w:cs="Times New Roman" w:hint="eastAsia"/>
          <w:sz w:val="21"/>
          <w:szCs w:val="21"/>
        </w:rPr>
        <w:t>成</w:t>
      </w:r>
      <w:r w:rsidR="005F6B7D">
        <w:rPr>
          <w:rFonts w:ascii="Times New Roman" w:hAnsi="Times New Roman" w:cs="Times New Roman" w:hint="eastAsia"/>
          <w:sz w:val="21"/>
          <w:szCs w:val="21"/>
        </w:rPr>
        <w:t>分</w:t>
      </w:r>
      <w:r w:rsidRPr="004B3EA9">
        <w:rPr>
          <w:rFonts w:ascii="Times New Roman" w:hAnsi="Times New Roman" w:cs="Times New Roman" w:hint="eastAsia"/>
          <w:sz w:val="21"/>
          <w:szCs w:val="21"/>
        </w:rPr>
        <w:t>作为权益列示，不进行后续计量。</w:t>
      </w:r>
    </w:p>
    <w:p w14:paraId="5FA38BCE" w14:textId="49739822"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发行的可转换债券仅包含负债</w:t>
      </w:r>
      <w:r w:rsidR="006F26AE" w:rsidRPr="004B3EA9">
        <w:rPr>
          <w:rFonts w:ascii="Times New Roman" w:hAnsi="Times New Roman" w:cs="Times New Roman" w:hint="eastAsia"/>
          <w:sz w:val="21"/>
          <w:szCs w:val="21"/>
        </w:rPr>
        <w:t>成</w:t>
      </w:r>
      <w:r w:rsidR="006F26AE">
        <w:rPr>
          <w:rFonts w:ascii="Times New Roman" w:hAnsi="Times New Roman" w:cs="Times New Roman" w:hint="eastAsia"/>
          <w:sz w:val="21"/>
          <w:szCs w:val="21"/>
        </w:rPr>
        <w:t>分</w:t>
      </w:r>
      <w:r w:rsidRPr="004B3EA9">
        <w:rPr>
          <w:rFonts w:ascii="Times New Roman" w:hAnsi="Times New Roman" w:cs="Times New Roman" w:hint="eastAsia"/>
          <w:sz w:val="21"/>
          <w:szCs w:val="21"/>
        </w:rPr>
        <w:t>和嵌入衍生工具，即股份转换权具备嵌入衍生工具特征的，则将其从可转换债券整体中分拆，作为衍生金融工具单独处理，按其公允价值进行初始确认。发行价格超过初始确认为衍生金融工具的部分被确认为债务工具。交易费用根据初始确认时债务工具和衍生金融工具分配的发行价格为基础按比例分摊。与债务工具有关的交易费用确认为负债，与衍生金融工具有关的交易费用确认为当期损益。</w:t>
      </w:r>
    </w:p>
    <w:p w14:paraId="20373BB9" w14:textId="6DFC6E2A" w:rsidR="00477B43" w:rsidRPr="007D504B" w:rsidRDefault="007D504B" w:rsidP="007D504B">
      <w:pPr>
        <w:pStyle w:val="a9"/>
        <w:spacing w:before="0" w:beforeAutospacing="0" w:after="0" w:afterAutospacing="0" w:line="360" w:lineRule="auto"/>
        <w:ind w:firstLineChars="200" w:firstLine="422"/>
        <w:jc w:val="both"/>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8</w:t>
      </w:r>
      <w:r>
        <w:rPr>
          <w:rFonts w:ascii="Times New Roman" w:hAnsi="Times New Roman" w:cs="Times New Roman" w:hint="eastAsia"/>
          <w:b/>
          <w:sz w:val="21"/>
          <w:szCs w:val="21"/>
        </w:rPr>
        <w:t>）</w:t>
      </w:r>
      <w:r w:rsidR="00477B43" w:rsidRPr="007D504B">
        <w:rPr>
          <w:rFonts w:ascii="Times New Roman" w:hAnsi="Times New Roman" w:cs="Times New Roman" w:hint="eastAsia"/>
          <w:b/>
          <w:sz w:val="21"/>
          <w:szCs w:val="21"/>
        </w:rPr>
        <w:t>金融资产和金融负债的抵销</w:t>
      </w:r>
    </w:p>
    <w:p w14:paraId="01FAF28A" w14:textId="77777777" w:rsidR="00477B43" w:rsidRPr="004B3EA9" w:rsidRDefault="00477B43" w:rsidP="004B3EA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B3EA9">
        <w:rPr>
          <w:rFonts w:ascii="Times New Roman" w:hAnsi="Times New Roman" w:cs="Times New Roman" w:hint="eastAsia"/>
          <w:sz w:val="21"/>
          <w:szCs w:val="21"/>
        </w:rPr>
        <w:t>本集团的金融资产和金融负债在资产负债表内分别列示，不相互抵销。但同时满足下列条件时，以相互抵销后的净额在资产负债表内列示：①本集团具有抵销已确认金额的法定权利，且该种法定权利是当前可执行的；②本集团计划以净额结算，或同时变现该金融资产和清偿该金融负债。</w:t>
      </w:r>
    </w:p>
    <w:p w14:paraId="133752CE"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2" w:name="_Toc989073"/>
      <w:r w:rsidRPr="00477B43">
        <w:rPr>
          <w:rFonts w:ascii="宋体" w:eastAsia="宋体" w:hAnsi="宋体" w:cs="宋体"/>
          <w:b/>
          <w:bCs/>
          <w:szCs w:val="21"/>
        </w:rPr>
        <w:t>11、应收票据</w:t>
      </w:r>
      <w:bookmarkEnd w:id="132"/>
    </w:p>
    <w:p w14:paraId="4C7064EE" w14:textId="77777777" w:rsidR="00477B43" w:rsidRPr="007D504B" w:rsidRDefault="00477B43" w:rsidP="007D504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504B">
        <w:rPr>
          <w:rFonts w:ascii="Times New Roman" w:hAnsi="Times New Roman" w:cs="Times New Roman" w:hint="eastAsia"/>
          <w:sz w:val="21"/>
          <w:szCs w:val="21"/>
        </w:rPr>
        <w:t>详见本附注“五、</w:t>
      </w:r>
      <w:r w:rsidRPr="007D504B">
        <w:rPr>
          <w:rFonts w:ascii="Times New Roman" w:hAnsi="Times New Roman" w:cs="Times New Roman" w:hint="eastAsia"/>
          <w:sz w:val="21"/>
          <w:szCs w:val="21"/>
        </w:rPr>
        <w:t xml:space="preserve">10 </w:t>
      </w:r>
      <w:r w:rsidRPr="007D504B">
        <w:rPr>
          <w:rFonts w:ascii="Times New Roman" w:hAnsi="Times New Roman" w:cs="Times New Roman" w:hint="eastAsia"/>
          <w:sz w:val="21"/>
          <w:szCs w:val="21"/>
        </w:rPr>
        <w:t>金融工具”相关内容。</w:t>
      </w:r>
    </w:p>
    <w:p w14:paraId="0EDCE2DE"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3" w:name="_Toc989074"/>
      <w:r w:rsidRPr="00477B43">
        <w:rPr>
          <w:rFonts w:ascii="宋体" w:eastAsia="宋体" w:hAnsi="宋体" w:cs="宋体"/>
          <w:b/>
          <w:bCs/>
          <w:szCs w:val="21"/>
        </w:rPr>
        <w:t>12、应收账款</w:t>
      </w:r>
      <w:bookmarkEnd w:id="133"/>
    </w:p>
    <w:p w14:paraId="4AF82169" w14:textId="77777777" w:rsidR="00477B43" w:rsidRPr="007D504B" w:rsidRDefault="00477B43" w:rsidP="007D504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504B">
        <w:rPr>
          <w:rFonts w:ascii="Times New Roman" w:hAnsi="Times New Roman" w:cs="Times New Roman" w:hint="eastAsia"/>
          <w:sz w:val="21"/>
          <w:szCs w:val="21"/>
        </w:rPr>
        <w:t>详见本附注“五、</w:t>
      </w:r>
      <w:r w:rsidRPr="007D504B">
        <w:rPr>
          <w:rFonts w:ascii="Times New Roman" w:hAnsi="Times New Roman" w:cs="Times New Roman" w:hint="eastAsia"/>
          <w:sz w:val="21"/>
          <w:szCs w:val="21"/>
        </w:rPr>
        <w:t xml:space="preserve">10 </w:t>
      </w:r>
      <w:r w:rsidRPr="007D504B">
        <w:rPr>
          <w:rFonts w:ascii="Times New Roman" w:hAnsi="Times New Roman" w:cs="Times New Roman" w:hint="eastAsia"/>
          <w:sz w:val="21"/>
          <w:szCs w:val="21"/>
        </w:rPr>
        <w:t>金融工具”相关内容。</w:t>
      </w:r>
    </w:p>
    <w:p w14:paraId="2C268CEA"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4" w:name="_Toc989075"/>
      <w:r w:rsidRPr="00477B43">
        <w:rPr>
          <w:rFonts w:ascii="宋体" w:eastAsia="宋体" w:hAnsi="宋体" w:cs="宋体"/>
          <w:b/>
          <w:bCs/>
          <w:szCs w:val="21"/>
        </w:rPr>
        <w:t>13、应收款项融资</w:t>
      </w:r>
      <w:bookmarkEnd w:id="134"/>
    </w:p>
    <w:p w14:paraId="5DF8C9B1" w14:textId="77777777" w:rsidR="00477B43" w:rsidRPr="007D504B" w:rsidRDefault="00477B43" w:rsidP="007D504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504B">
        <w:rPr>
          <w:rFonts w:ascii="Times New Roman" w:hAnsi="Times New Roman" w:cs="Times New Roman" w:hint="eastAsia"/>
          <w:sz w:val="21"/>
          <w:szCs w:val="21"/>
        </w:rPr>
        <w:t>详见本附注“五、</w:t>
      </w:r>
      <w:r w:rsidRPr="007D504B">
        <w:rPr>
          <w:rFonts w:ascii="Times New Roman" w:hAnsi="Times New Roman" w:cs="Times New Roman" w:hint="eastAsia"/>
          <w:sz w:val="21"/>
          <w:szCs w:val="21"/>
        </w:rPr>
        <w:t xml:space="preserve">10 </w:t>
      </w:r>
      <w:r w:rsidRPr="007D504B">
        <w:rPr>
          <w:rFonts w:ascii="Times New Roman" w:hAnsi="Times New Roman" w:cs="Times New Roman" w:hint="eastAsia"/>
          <w:sz w:val="21"/>
          <w:szCs w:val="21"/>
        </w:rPr>
        <w:t>金融工具”相关内容。</w:t>
      </w:r>
    </w:p>
    <w:p w14:paraId="2C5E7F97"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5" w:name="_Toc989076"/>
      <w:r w:rsidRPr="00477B43">
        <w:rPr>
          <w:rFonts w:ascii="宋体" w:eastAsia="宋体" w:hAnsi="宋体" w:cs="宋体"/>
          <w:b/>
          <w:bCs/>
          <w:szCs w:val="21"/>
        </w:rPr>
        <w:t>14、其他应收款</w:t>
      </w:r>
      <w:bookmarkEnd w:id="135"/>
    </w:p>
    <w:p w14:paraId="40519A19" w14:textId="77777777" w:rsidR="00477B43" w:rsidRPr="007D504B" w:rsidRDefault="00477B43" w:rsidP="007D504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504B">
        <w:rPr>
          <w:rFonts w:ascii="Times New Roman" w:hAnsi="Times New Roman" w:cs="Times New Roman" w:hint="eastAsia"/>
          <w:sz w:val="21"/>
          <w:szCs w:val="21"/>
        </w:rPr>
        <w:t>详见本附注“五、</w:t>
      </w:r>
      <w:r w:rsidRPr="007D504B">
        <w:rPr>
          <w:rFonts w:ascii="Times New Roman" w:hAnsi="Times New Roman" w:cs="Times New Roman" w:hint="eastAsia"/>
          <w:sz w:val="21"/>
          <w:szCs w:val="21"/>
        </w:rPr>
        <w:t xml:space="preserve">10 </w:t>
      </w:r>
      <w:r w:rsidRPr="007D504B">
        <w:rPr>
          <w:rFonts w:ascii="Times New Roman" w:hAnsi="Times New Roman" w:cs="Times New Roman" w:hint="eastAsia"/>
          <w:sz w:val="21"/>
          <w:szCs w:val="21"/>
        </w:rPr>
        <w:t>金融工具”相关内容。</w:t>
      </w:r>
    </w:p>
    <w:p w14:paraId="15918D8C"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6" w:name="_Toc989077"/>
      <w:r w:rsidRPr="00477B43">
        <w:rPr>
          <w:rFonts w:ascii="宋体" w:eastAsia="宋体" w:hAnsi="宋体" w:cs="宋体"/>
          <w:b/>
          <w:bCs/>
          <w:szCs w:val="21"/>
        </w:rPr>
        <w:t>15、合同资产</w:t>
      </w:r>
      <w:bookmarkEnd w:id="136"/>
    </w:p>
    <w:p w14:paraId="0BEFECE2" w14:textId="77777777" w:rsidR="00477B43" w:rsidRPr="007D504B" w:rsidRDefault="00477B43" w:rsidP="007D504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504B">
        <w:rPr>
          <w:rFonts w:ascii="Times New Roman" w:hAnsi="Times New Roman" w:cs="Times New Roman" w:hint="eastAsia"/>
          <w:sz w:val="21"/>
          <w:szCs w:val="21"/>
        </w:rPr>
        <w:t>合同资产，是指本集团已向客户转让商品而有权收取对价的权利，且该权利取决于时间流逝之外的其他因素。</w:t>
      </w:r>
    </w:p>
    <w:p w14:paraId="0E5F5659" w14:textId="77777777" w:rsidR="00477B43" w:rsidRPr="007D504B" w:rsidRDefault="00477B43" w:rsidP="007D504B">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504B">
        <w:rPr>
          <w:rFonts w:ascii="Times New Roman" w:hAnsi="Times New Roman" w:cs="Times New Roman" w:hint="eastAsia"/>
          <w:sz w:val="21"/>
          <w:szCs w:val="21"/>
        </w:rPr>
        <w:t>合同资产的预期信用损失的确定方法和会计处理方法，详见本附注“五、</w:t>
      </w:r>
      <w:r w:rsidRPr="007D504B">
        <w:rPr>
          <w:rFonts w:ascii="Times New Roman" w:hAnsi="Times New Roman" w:cs="Times New Roman"/>
          <w:sz w:val="21"/>
          <w:szCs w:val="21"/>
        </w:rPr>
        <w:t>10</w:t>
      </w:r>
      <w:r w:rsidRPr="007D504B">
        <w:rPr>
          <w:rFonts w:ascii="Times New Roman" w:hAnsi="Times New Roman" w:cs="Times New Roman" w:hint="eastAsia"/>
          <w:sz w:val="21"/>
          <w:szCs w:val="21"/>
        </w:rPr>
        <w:t>金融工具”相关内容。</w:t>
      </w:r>
    </w:p>
    <w:p w14:paraId="7A80494E" w14:textId="77777777" w:rsidR="00477B43" w:rsidRPr="00477B43" w:rsidRDefault="00477B43" w:rsidP="00477B43">
      <w:pPr>
        <w:keepNext/>
        <w:keepLines/>
        <w:spacing w:before="300" w:after="300" w:line="280" w:lineRule="exact"/>
        <w:outlineLvl w:val="2"/>
        <w:rPr>
          <w:rFonts w:ascii="宋体" w:eastAsia="宋体" w:hAnsi="宋体" w:cs="宋体"/>
          <w:b/>
          <w:bCs/>
          <w:szCs w:val="21"/>
        </w:rPr>
      </w:pPr>
      <w:bookmarkStart w:id="137" w:name="_Toc989078"/>
      <w:r w:rsidRPr="00477B43">
        <w:rPr>
          <w:rFonts w:ascii="宋体" w:eastAsia="宋体" w:hAnsi="宋体" w:cs="宋体"/>
          <w:b/>
          <w:bCs/>
          <w:szCs w:val="21"/>
        </w:rPr>
        <w:t>16、存货</w:t>
      </w:r>
      <w:bookmarkEnd w:id="137"/>
    </w:p>
    <w:p w14:paraId="02051663"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bookmarkStart w:id="138" w:name="_Toc989079"/>
      <w:r w:rsidRPr="00A46BF1">
        <w:rPr>
          <w:rFonts w:ascii="Times New Roman" w:hAnsi="Times New Roman" w:cs="Times New Roman" w:hint="eastAsia"/>
          <w:sz w:val="21"/>
          <w:szCs w:val="21"/>
        </w:rPr>
        <w:t>本集团存货主要包括原材料、包装物、低值易耗品、在产品、库存商品、发出商品等。</w:t>
      </w:r>
    </w:p>
    <w:p w14:paraId="18387B74"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存货按照成本进行初始计量。存货成本包括采购成本、加工成本和其他成本。存货实行永续盘存制，存货在取得时按标准成本计价，领用或发出存货，采用标准成本确定其成本。每月末对存货进行价值评估确认分摊比率，将其调整为实际成本。低值易耗品和包装物采用一次转销法进行摊销。</w:t>
      </w:r>
    </w:p>
    <w:p w14:paraId="49E4E06B"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资产负债表日，存货按照成本与可变现净值孰低原则计价，存货成本高于其可变现净值的，计提存货跌价准备，计入当期损益。可变现净值，是指在日常活动中，存货的估计售价减去至完工时估计将要发生的成本、估计的销售费用以及相关税费后的金额。库存商品及大宗原材料的存货跌价准备按单个存货项目的成本高于其可变现净值的差额提取，其可变现净值按该存货的估计售价减去估计的销售费用和相关税费后的金额确定；其他数量繁多、单价较低的原辅材料按类别提取存货跌价准备，其可变现净值按所生产的产成品的估计售价减去至完工时估计将要发生的成本、估计的销售费用和相关税费后的金额确定。</w:t>
      </w:r>
    </w:p>
    <w:p w14:paraId="6C823A17" w14:textId="77777777" w:rsidR="00A46BF1" w:rsidRDefault="00A46BF1" w:rsidP="00A46BF1">
      <w:pPr>
        <w:pStyle w:val="3"/>
        <w:spacing w:line="280" w:lineRule="exact"/>
        <w:jc w:val="left"/>
        <w:rPr>
          <w:rFonts w:ascii="宋体" w:hAnsi="宋体" w:cs="宋体"/>
          <w:b/>
          <w:bCs/>
        </w:rPr>
      </w:pPr>
      <w:r>
        <w:rPr>
          <w:rFonts w:ascii="宋体" w:hAnsi="宋体" w:cs="宋体"/>
          <w:b/>
          <w:bCs/>
        </w:rPr>
        <w:t>17、长期股权投资</w:t>
      </w:r>
    </w:p>
    <w:p w14:paraId="5AFB80A9"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本集团长期股权投资主要是对子公司的投资、对联营企业的投资和对合营企业的权益性投资。</w:t>
      </w:r>
    </w:p>
    <w:p w14:paraId="7D83BA6B" w14:textId="77777777" w:rsidR="00A46BF1" w:rsidRPr="00A46BF1" w:rsidRDefault="00A46BF1" w:rsidP="00A46BF1">
      <w:pPr>
        <w:pStyle w:val="a9"/>
        <w:spacing w:before="0" w:beforeAutospacing="0" w:after="0" w:afterAutospacing="0" w:line="360" w:lineRule="auto"/>
        <w:ind w:firstLineChars="200" w:firstLine="422"/>
        <w:jc w:val="both"/>
        <w:rPr>
          <w:rFonts w:ascii="Times New Roman" w:hAnsi="Times New Roman" w:cs="Times New Roman"/>
          <w:sz w:val="21"/>
          <w:szCs w:val="21"/>
        </w:rPr>
      </w:pPr>
      <w:r w:rsidRPr="00A46BF1">
        <w:rPr>
          <w:rFonts w:ascii="Times New Roman" w:hAnsi="Times New Roman" w:hint="eastAsia"/>
          <w:b/>
          <w:bCs/>
          <w:sz w:val="21"/>
          <w:szCs w:val="21"/>
        </w:rPr>
        <w:t>（</w:t>
      </w:r>
      <w:r w:rsidRPr="00A46BF1">
        <w:rPr>
          <w:rFonts w:ascii="Times New Roman" w:hAnsi="Times New Roman"/>
          <w:b/>
          <w:bCs/>
          <w:sz w:val="21"/>
          <w:szCs w:val="21"/>
        </w:rPr>
        <w:t>1</w:t>
      </w:r>
      <w:r w:rsidRPr="00A46BF1">
        <w:rPr>
          <w:rFonts w:ascii="Times New Roman" w:hAnsi="Times New Roman" w:hint="eastAsia"/>
          <w:b/>
          <w:bCs/>
          <w:sz w:val="21"/>
          <w:szCs w:val="21"/>
        </w:rPr>
        <w:t>）重大影响、共同控制的判断</w:t>
      </w:r>
    </w:p>
    <w:p w14:paraId="419391B5"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对被投资单位具有重大影响的权益性投资，即对联营企业投资。重大影响，是指本集团对被投资方的财务和经营政策有参与决策的权力，但并不能够控制或者与其他方一起共同控制这些政策的制定。本公司直接或通过子公司间接拥有被投资单位</w:t>
      </w:r>
      <w:r w:rsidRPr="00A46BF1">
        <w:rPr>
          <w:rFonts w:ascii="Times New Roman" w:hAnsi="Times New Roman" w:cs="Times New Roman"/>
          <w:sz w:val="21"/>
          <w:szCs w:val="21"/>
        </w:rPr>
        <w:t>20</w:t>
      </w:r>
      <w:r w:rsidRPr="00A46BF1">
        <w:rPr>
          <w:rFonts w:ascii="Times New Roman" w:hAnsi="Times New Roman" w:cs="Times New Roman" w:hint="eastAsia"/>
          <w:sz w:val="21"/>
          <w:szCs w:val="21"/>
        </w:rPr>
        <w:t>％以上但低于</w:t>
      </w:r>
      <w:r w:rsidRPr="00A46BF1">
        <w:rPr>
          <w:rFonts w:ascii="Times New Roman" w:hAnsi="Times New Roman" w:cs="Times New Roman"/>
          <w:sz w:val="21"/>
          <w:szCs w:val="21"/>
        </w:rPr>
        <w:t>50</w:t>
      </w:r>
      <w:r w:rsidRPr="00A46BF1">
        <w:rPr>
          <w:rFonts w:ascii="Times New Roman" w:hAnsi="Times New Roman" w:cs="Times New Roman" w:hint="eastAsia"/>
          <w:sz w:val="21"/>
          <w:szCs w:val="21"/>
        </w:rPr>
        <w:t>％的表决权时，通常认为对被投资单位具有重大影响，除非有明确的证据表明本集团不能参与被投资单位的生产经营决策或形成对被投资单位的控制。</w:t>
      </w:r>
    </w:p>
    <w:p w14:paraId="5549A9E4" w14:textId="77777777" w:rsidR="00A46BF1" w:rsidRPr="00A46BF1" w:rsidRDefault="00A46BF1" w:rsidP="00A46BF1">
      <w:pPr>
        <w:pStyle w:val="a9"/>
        <w:spacing w:before="0" w:beforeAutospacing="0" w:after="0" w:afterAutospacing="0" w:line="360" w:lineRule="auto"/>
        <w:ind w:firstLineChars="200" w:firstLine="422"/>
        <w:jc w:val="both"/>
        <w:rPr>
          <w:rFonts w:ascii="Times New Roman" w:hAnsi="Times New Roman" w:cs="Times New Roman"/>
          <w:sz w:val="21"/>
          <w:szCs w:val="21"/>
        </w:rPr>
      </w:pPr>
      <w:r w:rsidRPr="00A46BF1">
        <w:rPr>
          <w:rFonts w:ascii="Times New Roman" w:hAnsi="Times New Roman" w:hint="eastAsia"/>
          <w:b/>
          <w:bCs/>
          <w:sz w:val="21"/>
          <w:szCs w:val="21"/>
        </w:rPr>
        <w:t>（</w:t>
      </w:r>
      <w:r w:rsidRPr="00A46BF1">
        <w:rPr>
          <w:rFonts w:ascii="Times New Roman" w:hAnsi="Times New Roman"/>
          <w:b/>
          <w:bCs/>
          <w:sz w:val="21"/>
          <w:szCs w:val="21"/>
        </w:rPr>
        <w:t>2</w:t>
      </w:r>
      <w:r w:rsidRPr="00A46BF1">
        <w:rPr>
          <w:rFonts w:ascii="Times New Roman" w:hAnsi="Times New Roman" w:hint="eastAsia"/>
          <w:b/>
          <w:bCs/>
          <w:sz w:val="21"/>
          <w:szCs w:val="21"/>
        </w:rPr>
        <w:t>）会计处理方法</w:t>
      </w:r>
    </w:p>
    <w:p w14:paraId="06076134"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本集团按照初始投资成本对取得的长期股权投资进行初始计量。</w:t>
      </w:r>
    </w:p>
    <w:p w14:paraId="6428C568"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通过同一控制下的企业合并取得的长期股权投资，以合并日取得被合并方在最终控制方合并报表中净资产的账面价值的份额作为初始投资成本；被合并方在合并日的净资产账面价值为负数的，初始投资成本按零确定。</w:t>
      </w:r>
    </w:p>
    <w:p w14:paraId="0B2A057F"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通过非同一控制下的企业合并取得的长期股权投资，以合并成本作为初始投资成本；</w:t>
      </w:r>
      <w:r w:rsidRPr="00A46BF1">
        <w:rPr>
          <w:rFonts w:ascii="Times New Roman" w:hAnsi="Times New Roman" w:cs="Times New Roman" w:hint="eastAsia"/>
          <w:sz w:val="21"/>
          <w:szCs w:val="21"/>
        </w:rPr>
        <w:t xml:space="preserve"> </w:t>
      </w:r>
    </w:p>
    <w:p w14:paraId="66217D06"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除企业合并形成的长期股权投资外，以支付现金取得的长期股权投资，按照实际支付的购买价款及与取得长期股权投资直接相关的费用、税金及其他必要支出作为初始投资成本；以发行权益性证券取得的长期股权投资，按照发行权益性证券的公允价值作为投资成本；</w:t>
      </w:r>
    </w:p>
    <w:p w14:paraId="2DC64F9C"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公司对子公司投资在个别财务报表中采用成本法核算。采用成本法时，长期股权投资按初始投资成本计价。在追加投资时，按照追加投资支付的成本的公允价值及发生的相关交易费用增加长期股权投资成本的账面价值。被投资单位宣告分派的现金股利或利润，按照应享有的金额确认为当期投资收益。</w:t>
      </w:r>
    </w:p>
    <w:p w14:paraId="2BE8D3E3"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对合营企业及联营企业的投资采用权益法核算。采用权益法时，长期股权投资初始投资成本大于投资时应享有被投资单位可辨认净资产公允价值的份额的，不调整长期股权投资账面价值；长期股权投资初始投资成本小于投资时应享有被投资单位可辨认净资产公允价值的份额的，差额调增长期股权投资的账面价值，同时计入取得投资当期损益。</w:t>
      </w:r>
    </w:p>
    <w:p w14:paraId="1E15787E"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后续计量采用权益法核算的长期股权投资，在持有投资期间，随着被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不构成业务的交易产生的未实现内部交易损益按照应享有比例计算归属于本集团的部分（内部交易损失属于资产减值损失的，全额确认），对被投资单位的净利润进行调整后确认。本集团确认被投资单位发生的净亏损，以长期股权投资的账面价值以及其他实质上构成对被投资单位净投资的长期权益减记至零为限，本集团负有承担额外损失义务的除外。</w:t>
      </w:r>
    </w:p>
    <w:p w14:paraId="38BC4920" w14:textId="77777777" w:rsidR="00A46BF1" w:rsidRDefault="00A46BF1" w:rsidP="00A46BF1">
      <w:pPr>
        <w:pStyle w:val="3"/>
        <w:spacing w:line="280" w:lineRule="exact"/>
        <w:jc w:val="left"/>
        <w:rPr>
          <w:rFonts w:ascii="宋体" w:hAnsi="宋体" w:cs="宋体"/>
          <w:b/>
          <w:bCs/>
        </w:rPr>
      </w:pPr>
      <w:r>
        <w:rPr>
          <w:rFonts w:ascii="宋体" w:hAnsi="宋体" w:cs="宋体"/>
          <w:b/>
          <w:bCs/>
        </w:rPr>
        <w:t>18、固定资产</w:t>
      </w:r>
    </w:p>
    <w:p w14:paraId="2A4E11D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确认条件</w:t>
      </w:r>
    </w:p>
    <w:p w14:paraId="100E3374"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本集团固定资产是指为生产商品、提供劳务、出租或经营管理而持有的，使用年限超过一年的有形资产。</w:t>
      </w:r>
    </w:p>
    <w:p w14:paraId="0BD8A948"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固定资产在与其有关的经济利益很可能流入本集团、且其成本能够可靠计量时予以确认。本集团固定资产包括房屋及建筑物、机器设备、电子设备、运输设备、办公设备等。</w:t>
      </w:r>
    </w:p>
    <w:p w14:paraId="11E2F538"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折旧方法</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3123932B" w14:textId="77777777" w:rsidTr="00A46BF1">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775EACF3" w14:textId="77777777" w:rsidR="00A46BF1" w:rsidRPr="00A46BF1" w:rsidRDefault="00A46BF1" w:rsidP="00A46BF1">
            <w:pPr>
              <w:spacing w:before="40" w:after="40" w:line="360" w:lineRule="auto"/>
              <w:jc w:val="center"/>
              <w:rPr>
                <w:rFonts w:ascii="Times New Roman" w:eastAsia="宋体" w:hAnsi="Times New Roman" w:cs="Times New Roman"/>
                <w:sz w:val="18"/>
                <w:szCs w:val="18"/>
              </w:rPr>
            </w:pPr>
            <w:r w:rsidRPr="00A46BF1">
              <w:rPr>
                <w:rFonts w:ascii="Times New Roman" w:eastAsia="宋体" w:hAnsi="Times New Roman" w:cs="Times New Roman"/>
                <w:sz w:val="18"/>
                <w:szCs w:val="18"/>
              </w:rPr>
              <w:t>类别</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1DEB0E" w14:textId="77777777" w:rsidR="00A46BF1" w:rsidRPr="00A46BF1" w:rsidRDefault="00A46BF1" w:rsidP="00A46BF1">
            <w:pPr>
              <w:spacing w:before="40" w:after="40" w:line="360" w:lineRule="auto"/>
              <w:jc w:val="center"/>
              <w:rPr>
                <w:rFonts w:ascii="Times New Roman" w:eastAsia="宋体" w:hAnsi="Times New Roman" w:cs="Times New Roman"/>
                <w:sz w:val="18"/>
                <w:szCs w:val="18"/>
              </w:rPr>
            </w:pPr>
            <w:r w:rsidRPr="00A46BF1">
              <w:rPr>
                <w:rFonts w:ascii="Times New Roman" w:eastAsia="宋体" w:hAnsi="Times New Roman" w:cs="Times New Roman"/>
                <w:sz w:val="18"/>
                <w:szCs w:val="18"/>
              </w:rPr>
              <w:t>折旧方法</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4CF2677" w14:textId="77777777" w:rsidR="00A46BF1" w:rsidRPr="00A46BF1" w:rsidRDefault="00A46BF1" w:rsidP="00A46BF1">
            <w:pPr>
              <w:spacing w:before="40" w:after="40" w:line="360" w:lineRule="auto"/>
              <w:jc w:val="center"/>
              <w:rPr>
                <w:rFonts w:ascii="Times New Roman" w:eastAsia="宋体" w:hAnsi="Times New Roman" w:cs="Times New Roman"/>
                <w:sz w:val="18"/>
                <w:szCs w:val="18"/>
              </w:rPr>
            </w:pPr>
            <w:r w:rsidRPr="00A46BF1">
              <w:rPr>
                <w:rFonts w:ascii="Times New Roman" w:eastAsia="宋体" w:hAnsi="Times New Roman" w:cs="Times New Roman"/>
                <w:sz w:val="18"/>
                <w:szCs w:val="18"/>
              </w:rPr>
              <w:t>折旧年限</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A038DC7" w14:textId="77777777" w:rsidR="00A46BF1" w:rsidRPr="00A46BF1" w:rsidRDefault="00A46BF1" w:rsidP="00A46BF1">
            <w:pPr>
              <w:spacing w:before="40" w:after="40" w:line="360" w:lineRule="auto"/>
              <w:jc w:val="center"/>
              <w:rPr>
                <w:rFonts w:ascii="Times New Roman" w:eastAsia="宋体" w:hAnsi="Times New Roman" w:cs="Times New Roman"/>
                <w:sz w:val="18"/>
                <w:szCs w:val="18"/>
              </w:rPr>
            </w:pPr>
            <w:r w:rsidRPr="00A46BF1">
              <w:rPr>
                <w:rFonts w:ascii="Times New Roman" w:eastAsia="宋体" w:hAnsi="Times New Roman" w:cs="Times New Roman"/>
                <w:sz w:val="18"/>
                <w:szCs w:val="18"/>
              </w:rPr>
              <w:t>残值率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562F05F" w14:textId="77777777" w:rsidR="00A46BF1" w:rsidRPr="00A46BF1" w:rsidRDefault="00A46BF1" w:rsidP="00A46BF1">
            <w:pPr>
              <w:spacing w:before="40" w:after="40" w:line="360" w:lineRule="auto"/>
              <w:jc w:val="center"/>
              <w:rPr>
                <w:rFonts w:ascii="Times New Roman" w:eastAsia="宋体" w:hAnsi="Times New Roman" w:cs="Times New Roman"/>
                <w:sz w:val="18"/>
                <w:szCs w:val="18"/>
              </w:rPr>
            </w:pPr>
            <w:r w:rsidRPr="00A46BF1">
              <w:rPr>
                <w:rFonts w:ascii="Times New Roman" w:eastAsia="宋体" w:hAnsi="Times New Roman" w:cs="Times New Roman"/>
                <w:sz w:val="18"/>
                <w:szCs w:val="18"/>
              </w:rPr>
              <w:t>年折旧率</w:t>
            </w:r>
          </w:p>
        </w:tc>
      </w:tr>
      <w:tr w:rsidR="00095F6F" w14:paraId="50820F87" w14:textId="77777777" w:rsidTr="00A46BF1">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F449A2C"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房屋建筑物</w:t>
            </w:r>
          </w:p>
        </w:tc>
        <w:tc>
          <w:tcPr>
            <w:tcW w:w="1928" w:type="dxa"/>
            <w:tcBorders>
              <w:top w:val="single" w:sz="2" w:space="0" w:color="auto"/>
              <w:left w:val="single" w:sz="2" w:space="0" w:color="auto"/>
              <w:bottom w:val="single" w:sz="2" w:space="0" w:color="auto"/>
              <w:right w:val="single" w:sz="2" w:space="0" w:color="auto"/>
            </w:tcBorders>
            <w:vAlign w:val="center"/>
          </w:tcPr>
          <w:p w14:paraId="25DB43AE"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67C03ECE"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20-40</w:t>
            </w:r>
          </w:p>
        </w:tc>
        <w:tc>
          <w:tcPr>
            <w:tcW w:w="1928" w:type="dxa"/>
            <w:tcBorders>
              <w:top w:val="single" w:sz="2" w:space="0" w:color="auto"/>
              <w:left w:val="single" w:sz="2" w:space="0" w:color="auto"/>
              <w:bottom w:val="single" w:sz="2" w:space="0" w:color="auto"/>
              <w:right w:val="single" w:sz="2" w:space="0" w:color="auto"/>
            </w:tcBorders>
            <w:vAlign w:val="center"/>
          </w:tcPr>
          <w:p w14:paraId="55364172"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0-5</w:t>
            </w:r>
          </w:p>
        </w:tc>
        <w:tc>
          <w:tcPr>
            <w:tcW w:w="1928" w:type="dxa"/>
            <w:tcBorders>
              <w:top w:val="single" w:sz="2" w:space="0" w:color="auto"/>
              <w:left w:val="single" w:sz="2" w:space="0" w:color="auto"/>
              <w:bottom w:val="single" w:sz="2" w:space="0" w:color="auto"/>
              <w:right w:val="single" w:sz="2" w:space="0" w:color="auto"/>
            </w:tcBorders>
            <w:vAlign w:val="center"/>
          </w:tcPr>
          <w:p w14:paraId="1D799FBD"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5.00-2.38</w:t>
            </w:r>
          </w:p>
        </w:tc>
      </w:tr>
      <w:tr w:rsidR="00095F6F" w14:paraId="49B24DEA" w14:textId="77777777" w:rsidTr="00A46BF1">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1FD2347C"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机器设备</w:t>
            </w:r>
          </w:p>
        </w:tc>
        <w:tc>
          <w:tcPr>
            <w:tcW w:w="1928" w:type="dxa"/>
            <w:tcBorders>
              <w:top w:val="single" w:sz="2" w:space="0" w:color="auto"/>
              <w:left w:val="single" w:sz="2" w:space="0" w:color="auto"/>
              <w:bottom w:val="single" w:sz="2" w:space="0" w:color="auto"/>
              <w:right w:val="single" w:sz="2" w:space="0" w:color="auto"/>
            </w:tcBorders>
            <w:vAlign w:val="center"/>
          </w:tcPr>
          <w:p w14:paraId="5E343596"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13F8B2B5"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3-15</w:t>
            </w:r>
          </w:p>
        </w:tc>
        <w:tc>
          <w:tcPr>
            <w:tcW w:w="1928" w:type="dxa"/>
            <w:tcBorders>
              <w:top w:val="single" w:sz="2" w:space="0" w:color="auto"/>
              <w:left w:val="single" w:sz="2" w:space="0" w:color="auto"/>
              <w:bottom w:val="single" w:sz="2" w:space="0" w:color="auto"/>
              <w:right w:val="single" w:sz="2" w:space="0" w:color="auto"/>
            </w:tcBorders>
            <w:vAlign w:val="center"/>
          </w:tcPr>
          <w:p w14:paraId="46EC7CDB"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0-5</w:t>
            </w:r>
          </w:p>
        </w:tc>
        <w:tc>
          <w:tcPr>
            <w:tcW w:w="1928" w:type="dxa"/>
            <w:tcBorders>
              <w:top w:val="single" w:sz="2" w:space="0" w:color="auto"/>
              <w:left w:val="single" w:sz="2" w:space="0" w:color="auto"/>
              <w:bottom w:val="single" w:sz="2" w:space="0" w:color="auto"/>
              <w:right w:val="single" w:sz="2" w:space="0" w:color="auto"/>
            </w:tcBorders>
            <w:vAlign w:val="center"/>
          </w:tcPr>
          <w:p w14:paraId="797EB2C0"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33.33-6.33</w:t>
            </w:r>
          </w:p>
        </w:tc>
      </w:tr>
      <w:tr w:rsidR="00095F6F" w14:paraId="0A821502" w14:textId="77777777" w:rsidTr="00A46BF1">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65C534BD"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电子设备</w:t>
            </w:r>
          </w:p>
        </w:tc>
        <w:tc>
          <w:tcPr>
            <w:tcW w:w="1928" w:type="dxa"/>
            <w:tcBorders>
              <w:top w:val="single" w:sz="2" w:space="0" w:color="auto"/>
              <w:left w:val="single" w:sz="2" w:space="0" w:color="auto"/>
              <w:bottom w:val="single" w:sz="2" w:space="0" w:color="auto"/>
              <w:right w:val="single" w:sz="2" w:space="0" w:color="auto"/>
            </w:tcBorders>
            <w:vAlign w:val="center"/>
          </w:tcPr>
          <w:p w14:paraId="59851405"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615DEA18"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1-10</w:t>
            </w:r>
          </w:p>
        </w:tc>
        <w:tc>
          <w:tcPr>
            <w:tcW w:w="1928" w:type="dxa"/>
            <w:tcBorders>
              <w:top w:val="single" w:sz="2" w:space="0" w:color="auto"/>
              <w:left w:val="single" w:sz="2" w:space="0" w:color="auto"/>
              <w:bottom w:val="single" w:sz="2" w:space="0" w:color="auto"/>
              <w:right w:val="single" w:sz="2" w:space="0" w:color="auto"/>
            </w:tcBorders>
            <w:vAlign w:val="center"/>
          </w:tcPr>
          <w:p w14:paraId="6AEA723C"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0-5</w:t>
            </w:r>
          </w:p>
        </w:tc>
        <w:tc>
          <w:tcPr>
            <w:tcW w:w="1928" w:type="dxa"/>
            <w:tcBorders>
              <w:top w:val="single" w:sz="2" w:space="0" w:color="auto"/>
              <w:left w:val="single" w:sz="2" w:space="0" w:color="auto"/>
              <w:bottom w:val="single" w:sz="2" w:space="0" w:color="auto"/>
              <w:right w:val="single" w:sz="2" w:space="0" w:color="auto"/>
            </w:tcBorders>
            <w:vAlign w:val="center"/>
          </w:tcPr>
          <w:p w14:paraId="3F2D47A1"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100.00-9.50</w:t>
            </w:r>
          </w:p>
        </w:tc>
      </w:tr>
      <w:tr w:rsidR="00095F6F" w14:paraId="52B30B14" w14:textId="77777777" w:rsidTr="00A46BF1">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777363FA"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运输设备</w:t>
            </w:r>
          </w:p>
        </w:tc>
        <w:tc>
          <w:tcPr>
            <w:tcW w:w="1928" w:type="dxa"/>
            <w:tcBorders>
              <w:top w:val="single" w:sz="2" w:space="0" w:color="auto"/>
              <w:left w:val="single" w:sz="2" w:space="0" w:color="auto"/>
              <w:bottom w:val="single" w:sz="2" w:space="0" w:color="auto"/>
              <w:right w:val="single" w:sz="2" w:space="0" w:color="auto"/>
            </w:tcBorders>
            <w:vAlign w:val="center"/>
          </w:tcPr>
          <w:p w14:paraId="20CF55E6"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4D1F1792"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4-10</w:t>
            </w:r>
          </w:p>
        </w:tc>
        <w:tc>
          <w:tcPr>
            <w:tcW w:w="1928" w:type="dxa"/>
            <w:tcBorders>
              <w:top w:val="single" w:sz="2" w:space="0" w:color="auto"/>
              <w:left w:val="single" w:sz="2" w:space="0" w:color="auto"/>
              <w:bottom w:val="single" w:sz="2" w:space="0" w:color="auto"/>
              <w:right w:val="single" w:sz="2" w:space="0" w:color="auto"/>
            </w:tcBorders>
            <w:vAlign w:val="center"/>
          </w:tcPr>
          <w:p w14:paraId="3CD80CAA"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0-5</w:t>
            </w:r>
          </w:p>
        </w:tc>
        <w:tc>
          <w:tcPr>
            <w:tcW w:w="1928" w:type="dxa"/>
            <w:tcBorders>
              <w:top w:val="single" w:sz="2" w:space="0" w:color="auto"/>
              <w:left w:val="single" w:sz="2" w:space="0" w:color="auto"/>
              <w:bottom w:val="single" w:sz="2" w:space="0" w:color="auto"/>
              <w:right w:val="single" w:sz="2" w:space="0" w:color="auto"/>
            </w:tcBorders>
            <w:vAlign w:val="center"/>
          </w:tcPr>
          <w:p w14:paraId="476A9A51"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25.00-9.50</w:t>
            </w:r>
          </w:p>
        </w:tc>
      </w:tr>
      <w:tr w:rsidR="00095F6F" w14:paraId="1C7C1854" w14:textId="77777777" w:rsidTr="00A46BF1">
        <w:trPr>
          <w:trHeight w:val="240"/>
        </w:trPr>
        <w:tc>
          <w:tcPr>
            <w:tcW w:w="1927" w:type="dxa"/>
            <w:tcBorders>
              <w:top w:val="single" w:sz="2" w:space="0" w:color="auto"/>
              <w:left w:val="single" w:sz="2" w:space="0" w:color="auto"/>
              <w:bottom w:val="single" w:sz="2" w:space="0" w:color="auto"/>
              <w:right w:val="single" w:sz="2" w:space="0" w:color="auto"/>
            </w:tcBorders>
            <w:vAlign w:val="center"/>
          </w:tcPr>
          <w:p w14:paraId="5645E80E"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办公设备</w:t>
            </w:r>
          </w:p>
        </w:tc>
        <w:tc>
          <w:tcPr>
            <w:tcW w:w="1928" w:type="dxa"/>
            <w:tcBorders>
              <w:top w:val="single" w:sz="2" w:space="0" w:color="auto"/>
              <w:left w:val="single" w:sz="2" w:space="0" w:color="auto"/>
              <w:bottom w:val="single" w:sz="2" w:space="0" w:color="auto"/>
              <w:right w:val="single" w:sz="2" w:space="0" w:color="auto"/>
            </w:tcBorders>
            <w:vAlign w:val="center"/>
          </w:tcPr>
          <w:p w14:paraId="52E43800"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年限平均法</w:t>
            </w:r>
          </w:p>
        </w:tc>
        <w:tc>
          <w:tcPr>
            <w:tcW w:w="1928" w:type="dxa"/>
            <w:tcBorders>
              <w:top w:val="single" w:sz="2" w:space="0" w:color="auto"/>
              <w:left w:val="single" w:sz="2" w:space="0" w:color="auto"/>
              <w:bottom w:val="single" w:sz="2" w:space="0" w:color="auto"/>
              <w:right w:val="single" w:sz="2" w:space="0" w:color="auto"/>
            </w:tcBorders>
            <w:vAlign w:val="center"/>
          </w:tcPr>
          <w:p w14:paraId="18454CD1"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3-10</w:t>
            </w:r>
          </w:p>
        </w:tc>
        <w:tc>
          <w:tcPr>
            <w:tcW w:w="1928" w:type="dxa"/>
            <w:tcBorders>
              <w:top w:val="single" w:sz="2" w:space="0" w:color="auto"/>
              <w:left w:val="single" w:sz="2" w:space="0" w:color="auto"/>
              <w:bottom w:val="single" w:sz="2" w:space="0" w:color="auto"/>
              <w:right w:val="single" w:sz="2" w:space="0" w:color="auto"/>
            </w:tcBorders>
            <w:vAlign w:val="center"/>
          </w:tcPr>
          <w:p w14:paraId="35A0A839"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0-5</w:t>
            </w:r>
          </w:p>
        </w:tc>
        <w:tc>
          <w:tcPr>
            <w:tcW w:w="1928" w:type="dxa"/>
            <w:tcBorders>
              <w:top w:val="single" w:sz="2" w:space="0" w:color="auto"/>
              <w:left w:val="single" w:sz="2" w:space="0" w:color="auto"/>
              <w:bottom w:val="single" w:sz="2" w:space="0" w:color="auto"/>
              <w:right w:val="single" w:sz="2" w:space="0" w:color="auto"/>
            </w:tcBorders>
            <w:vAlign w:val="center"/>
          </w:tcPr>
          <w:p w14:paraId="6F625252" w14:textId="77777777" w:rsidR="00A46BF1" w:rsidRPr="00A46BF1" w:rsidRDefault="00A46BF1" w:rsidP="00A46BF1">
            <w:pPr>
              <w:spacing w:line="360" w:lineRule="auto"/>
              <w:rPr>
                <w:rFonts w:ascii="Times New Roman" w:eastAsia="宋体" w:hAnsi="Times New Roman" w:cs="Times New Roman"/>
                <w:sz w:val="18"/>
                <w:szCs w:val="18"/>
              </w:rPr>
            </w:pPr>
            <w:r w:rsidRPr="00A46BF1">
              <w:rPr>
                <w:rFonts w:ascii="Times New Roman" w:eastAsia="宋体" w:hAnsi="Times New Roman" w:cs="Times New Roman"/>
                <w:sz w:val="18"/>
                <w:szCs w:val="18"/>
              </w:rPr>
              <w:t>33.33-9.50</w:t>
            </w:r>
          </w:p>
        </w:tc>
      </w:tr>
    </w:tbl>
    <w:p w14:paraId="686E5D10"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除已提足折旧仍继续使用的固定资产和单独计价入账的土地外，本集团对所有固定资产计提折旧。计提折旧时采用平均年限法。</w:t>
      </w:r>
      <w:r w:rsidRPr="00A46BF1">
        <w:rPr>
          <w:rFonts w:ascii="Times New Roman" w:hAnsi="Times New Roman" w:cs="Times New Roman" w:hint="eastAsia"/>
          <w:sz w:val="21"/>
          <w:szCs w:val="21"/>
        </w:rPr>
        <w:t xml:space="preserve"> </w:t>
      </w:r>
    </w:p>
    <w:p w14:paraId="6CF5135D"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本集团于每年年度终了，对固定资产的预计使用寿命、预计净残值和折旧方法进行复核，如发生改变，则作为会计估计变更处理。</w:t>
      </w:r>
    </w:p>
    <w:p w14:paraId="10F4CDD9" w14:textId="77777777" w:rsidR="00A46BF1" w:rsidRDefault="00A46BF1" w:rsidP="00A46BF1">
      <w:pPr>
        <w:pStyle w:val="3"/>
        <w:spacing w:line="280" w:lineRule="exact"/>
        <w:jc w:val="left"/>
        <w:rPr>
          <w:rFonts w:ascii="宋体" w:hAnsi="宋体" w:cs="宋体"/>
          <w:b/>
          <w:bCs/>
        </w:rPr>
      </w:pPr>
      <w:r>
        <w:rPr>
          <w:rFonts w:ascii="宋体" w:hAnsi="宋体" w:cs="宋体"/>
          <w:b/>
          <w:bCs/>
        </w:rPr>
        <w:t>19、在建工程</w:t>
      </w:r>
    </w:p>
    <w:p w14:paraId="1A89C970"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在建工程成本按实际工程支出确定，包括在建期间发生的各项必要工程支出、工程达到预定可使用状态前的应予资本化的借款费用以及其他相关费用等。</w:t>
      </w:r>
    </w:p>
    <w:p w14:paraId="33018BBB"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在建工程在达到预定可使用状态之日起，根据工程预算、造价或工程实际成本等，按估计的价值结转固定资产，次月起开始计提折旧，待办理竣工决算手续后再对固定资产原值差异进行调整。</w:t>
      </w:r>
    </w:p>
    <w:p w14:paraId="5D5A47B1"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在建工程在达到预定可使用状态时转入固定资产，标准如下：</w:t>
      </w:r>
    </w:p>
    <w:tbl>
      <w:tblPr>
        <w:tblW w:w="5000" w:type="pct"/>
        <w:jc w:val="center"/>
        <w:tblCellMar>
          <w:left w:w="0" w:type="dxa"/>
          <w:right w:w="0" w:type="dxa"/>
        </w:tblCellMar>
        <w:tblLook w:val="04A0" w:firstRow="1" w:lastRow="0" w:firstColumn="1" w:lastColumn="0" w:noHBand="0" w:noVBand="1"/>
      </w:tblPr>
      <w:tblGrid>
        <w:gridCol w:w="2882"/>
        <w:gridCol w:w="6775"/>
      </w:tblGrid>
      <w:tr w:rsidR="00A46BF1" w14:paraId="305D4717" w14:textId="77777777" w:rsidTr="00A46BF1">
        <w:trPr>
          <w:trHeight w:val="397"/>
          <w:tblHeader/>
          <w:jc w:val="center"/>
        </w:trPr>
        <w:tc>
          <w:tcPr>
            <w:tcW w:w="1492" w:type="pct"/>
            <w:tcBorders>
              <w:top w:val="single" w:sz="8" w:space="0" w:color="auto"/>
              <w:left w:val="single" w:sz="8" w:space="0" w:color="auto"/>
              <w:bottom w:val="single" w:sz="8" w:space="0" w:color="auto"/>
              <w:right w:val="single" w:sz="8" w:space="0" w:color="auto"/>
            </w:tcBorders>
            <w:noWrap/>
            <w:vAlign w:val="center"/>
            <w:hideMark/>
          </w:tcPr>
          <w:p w14:paraId="6B7D4B6E" w14:textId="77777777" w:rsidR="00A46BF1" w:rsidRPr="00A46BF1" w:rsidRDefault="00A46BF1" w:rsidP="00A46BF1">
            <w:pPr>
              <w:pStyle w:val="a9"/>
              <w:spacing w:before="0" w:beforeAutospacing="0" w:after="0" w:afterAutospacing="0" w:line="360" w:lineRule="auto"/>
              <w:jc w:val="center"/>
              <w:rPr>
                <w:rFonts w:ascii="Times New Roman" w:hAnsi="Times New Roman" w:cs="Times New Roman"/>
                <w:sz w:val="18"/>
                <w:szCs w:val="18"/>
              </w:rPr>
            </w:pPr>
            <w:r w:rsidRPr="00A46BF1">
              <w:rPr>
                <w:rStyle w:val="aa"/>
                <w:rFonts w:ascii="Times New Roman" w:hAnsi="Times New Roman" w:cs="Times New Roman"/>
                <w:sz w:val="18"/>
                <w:szCs w:val="18"/>
              </w:rPr>
              <w:t>项目</w:t>
            </w:r>
          </w:p>
        </w:tc>
        <w:tc>
          <w:tcPr>
            <w:tcW w:w="3508" w:type="pct"/>
            <w:tcBorders>
              <w:top w:val="single" w:sz="8" w:space="0" w:color="auto"/>
              <w:left w:val="nil"/>
              <w:bottom w:val="single" w:sz="8" w:space="0" w:color="auto"/>
              <w:right w:val="single" w:sz="8" w:space="0" w:color="auto"/>
            </w:tcBorders>
            <w:noWrap/>
            <w:vAlign w:val="center"/>
            <w:hideMark/>
          </w:tcPr>
          <w:p w14:paraId="40C3BE03" w14:textId="77777777" w:rsidR="00A46BF1" w:rsidRPr="00A46BF1" w:rsidRDefault="00A46BF1" w:rsidP="00A46BF1">
            <w:pPr>
              <w:pStyle w:val="a9"/>
              <w:spacing w:before="0" w:beforeAutospacing="0" w:after="0" w:afterAutospacing="0" w:line="360" w:lineRule="auto"/>
              <w:jc w:val="center"/>
              <w:rPr>
                <w:rFonts w:ascii="Times New Roman" w:hAnsi="Times New Roman" w:cs="Times New Roman"/>
                <w:sz w:val="18"/>
                <w:szCs w:val="18"/>
              </w:rPr>
            </w:pPr>
            <w:r w:rsidRPr="00A46BF1">
              <w:rPr>
                <w:rStyle w:val="aa"/>
                <w:rFonts w:ascii="Times New Roman" w:hAnsi="Times New Roman" w:cs="Times New Roman"/>
                <w:sz w:val="18"/>
                <w:szCs w:val="18"/>
              </w:rPr>
              <w:t>结转固定资产的标准</w:t>
            </w:r>
          </w:p>
        </w:tc>
      </w:tr>
      <w:tr w:rsidR="00A46BF1" w14:paraId="29DA4A37" w14:textId="77777777" w:rsidTr="00A46BF1">
        <w:trPr>
          <w:trHeight w:val="397"/>
          <w:jc w:val="center"/>
        </w:trPr>
        <w:tc>
          <w:tcPr>
            <w:tcW w:w="1492" w:type="pct"/>
            <w:tcBorders>
              <w:top w:val="nil"/>
              <w:left w:val="single" w:sz="8" w:space="0" w:color="auto"/>
              <w:bottom w:val="single" w:sz="8" w:space="0" w:color="auto"/>
              <w:right w:val="single" w:sz="8" w:space="0" w:color="auto"/>
            </w:tcBorders>
            <w:noWrap/>
            <w:vAlign w:val="center"/>
            <w:hideMark/>
          </w:tcPr>
          <w:p w14:paraId="057D1A92" w14:textId="77777777" w:rsidR="00A46BF1" w:rsidRPr="00A46BF1" w:rsidRDefault="00A46BF1" w:rsidP="00A46BF1">
            <w:pPr>
              <w:pStyle w:val="a9"/>
              <w:spacing w:before="0" w:beforeAutospacing="0" w:after="0" w:afterAutospacing="0" w:line="360" w:lineRule="auto"/>
              <w:jc w:val="both"/>
              <w:rPr>
                <w:rFonts w:ascii="Times New Roman" w:hAnsi="Times New Roman" w:cs="Times New Roman"/>
                <w:sz w:val="18"/>
                <w:szCs w:val="18"/>
              </w:rPr>
            </w:pPr>
            <w:r w:rsidRPr="00A46BF1">
              <w:rPr>
                <w:rFonts w:ascii="Times New Roman" w:hAnsi="Times New Roman" w:cs="Times New Roman"/>
                <w:sz w:val="18"/>
                <w:szCs w:val="18"/>
              </w:rPr>
              <w:t>房屋及建筑物</w:t>
            </w:r>
          </w:p>
        </w:tc>
        <w:tc>
          <w:tcPr>
            <w:tcW w:w="3508" w:type="pct"/>
            <w:tcBorders>
              <w:top w:val="nil"/>
              <w:left w:val="nil"/>
              <w:bottom w:val="single" w:sz="8" w:space="0" w:color="auto"/>
              <w:right w:val="single" w:sz="8" w:space="0" w:color="auto"/>
            </w:tcBorders>
            <w:noWrap/>
            <w:vAlign w:val="center"/>
            <w:hideMark/>
          </w:tcPr>
          <w:p w14:paraId="2B710505" w14:textId="77777777" w:rsidR="00A46BF1" w:rsidRPr="00A46BF1" w:rsidRDefault="00A46BF1" w:rsidP="00A46BF1">
            <w:pPr>
              <w:pStyle w:val="a9"/>
              <w:spacing w:before="0" w:beforeAutospacing="0" w:after="0" w:afterAutospacing="0" w:line="360" w:lineRule="auto"/>
              <w:jc w:val="center"/>
              <w:rPr>
                <w:rFonts w:ascii="Times New Roman" w:hAnsi="Times New Roman" w:cs="Times New Roman"/>
                <w:sz w:val="18"/>
                <w:szCs w:val="18"/>
              </w:rPr>
            </w:pPr>
            <w:r w:rsidRPr="00A46BF1">
              <w:rPr>
                <w:rFonts w:ascii="Times New Roman" w:hAnsi="Times New Roman" w:cs="Times New Roman"/>
                <w:sz w:val="18"/>
                <w:szCs w:val="18"/>
              </w:rPr>
              <w:t>实际开始使用</w:t>
            </w:r>
            <w:r w:rsidRPr="00A46BF1">
              <w:rPr>
                <w:rFonts w:ascii="Times New Roman" w:hAnsi="Times New Roman" w:cs="Times New Roman"/>
                <w:sz w:val="18"/>
                <w:szCs w:val="18"/>
              </w:rPr>
              <w:t>/</w:t>
            </w:r>
            <w:r w:rsidRPr="00A46BF1">
              <w:rPr>
                <w:rFonts w:ascii="Times New Roman" w:hAnsi="Times New Roman" w:cs="Times New Roman"/>
                <w:sz w:val="18"/>
                <w:szCs w:val="18"/>
              </w:rPr>
              <w:t>完工验收孰早</w:t>
            </w:r>
          </w:p>
        </w:tc>
      </w:tr>
      <w:tr w:rsidR="00A46BF1" w14:paraId="7F28E914" w14:textId="77777777" w:rsidTr="00A46BF1">
        <w:trPr>
          <w:trHeight w:val="397"/>
          <w:jc w:val="center"/>
        </w:trPr>
        <w:tc>
          <w:tcPr>
            <w:tcW w:w="1492" w:type="pct"/>
            <w:tcBorders>
              <w:top w:val="nil"/>
              <w:left w:val="single" w:sz="8" w:space="0" w:color="auto"/>
              <w:bottom w:val="single" w:sz="8" w:space="0" w:color="auto"/>
              <w:right w:val="single" w:sz="8" w:space="0" w:color="auto"/>
            </w:tcBorders>
            <w:noWrap/>
            <w:vAlign w:val="center"/>
            <w:hideMark/>
          </w:tcPr>
          <w:p w14:paraId="365DD8B4" w14:textId="77777777" w:rsidR="00A46BF1" w:rsidRPr="00A46BF1" w:rsidRDefault="00A46BF1" w:rsidP="00A46BF1">
            <w:pPr>
              <w:pStyle w:val="a9"/>
              <w:spacing w:before="0" w:beforeAutospacing="0" w:after="0" w:afterAutospacing="0" w:line="360" w:lineRule="auto"/>
              <w:jc w:val="both"/>
              <w:rPr>
                <w:rFonts w:ascii="Times New Roman" w:hAnsi="Times New Roman" w:cs="Times New Roman"/>
                <w:sz w:val="18"/>
                <w:szCs w:val="18"/>
              </w:rPr>
            </w:pPr>
            <w:r w:rsidRPr="00A46BF1">
              <w:rPr>
                <w:rFonts w:ascii="Times New Roman" w:hAnsi="Times New Roman" w:cs="Times New Roman"/>
                <w:sz w:val="18"/>
                <w:szCs w:val="18"/>
              </w:rPr>
              <w:t>机器设备</w:t>
            </w:r>
          </w:p>
        </w:tc>
        <w:tc>
          <w:tcPr>
            <w:tcW w:w="3508" w:type="pct"/>
            <w:tcBorders>
              <w:top w:val="nil"/>
              <w:left w:val="nil"/>
              <w:bottom w:val="single" w:sz="8" w:space="0" w:color="auto"/>
              <w:right w:val="single" w:sz="8" w:space="0" w:color="auto"/>
            </w:tcBorders>
            <w:noWrap/>
            <w:vAlign w:val="center"/>
            <w:hideMark/>
          </w:tcPr>
          <w:p w14:paraId="494F381F" w14:textId="77777777" w:rsidR="00A46BF1" w:rsidRPr="00A46BF1" w:rsidRDefault="00A46BF1" w:rsidP="00A46BF1">
            <w:pPr>
              <w:pStyle w:val="a9"/>
              <w:spacing w:before="0" w:beforeAutospacing="0" w:after="0" w:afterAutospacing="0" w:line="360" w:lineRule="auto"/>
              <w:jc w:val="center"/>
              <w:rPr>
                <w:rFonts w:ascii="Times New Roman" w:hAnsi="Times New Roman" w:cs="Times New Roman"/>
                <w:sz w:val="18"/>
                <w:szCs w:val="18"/>
              </w:rPr>
            </w:pPr>
            <w:r w:rsidRPr="00A46BF1">
              <w:rPr>
                <w:rFonts w:ascii="Times New Roman" w:hAnsi="Times New Roman" w:cs="Times New Roman"/>
                <w:sz w:val="18"/>
                <w:szCs w:val="18"/>
              </w:rPr>
              <w:t>实际开始使用</w:t>
            </w:r>
            <w:r w:rsidRPr="00A46BF1">
              <w:rPr>
                <w:rFonts w:ascii="Times New Roman" w:hAnsi="Times New Roman" w:cs="Times New Roman"/>
                <w:sz w:val="18"/>
                <w:szCs w:val="18"/>
              </w:rPr>
              <w:t>/</w:t>
            </w:r>
            <w:r w:rsidRPr="00A46BF1">
              <w:rPr>
                <w:rFonts w:ascii="Times New Roman" w:hAnsi="Times New Roman" w:cs="Times New Roman"/>
                <w:sz w:val="18"/>
                <w:szCs w:val="18"/>
              </w:rPr>
              <w:t>完成安装调试孰早</w:t>
            </w:r>
          </w:p>
        </w:tc>
      </w:tr>
    </w:tbl>
    <w:p w14:paraId="341CE833" w14:textId="77777777" w:rsidR="00A46BF1" w:rsidRDefault="00A46BF1" w:rsidP="00A46BF1">
      <w:pPr>
        <w:pStyle w:val="3"/>
        <w:spacing w:line="280" w:lineRule="exact"/>
        <w:jc w:val="left"/>
        <w:rPr>
          <w:rFonts w:ascii="宋体" w:hAnsi="宋体" w:cs="宋体"/>
          <w:b/>
          <w:bCs/>
        </w:rPr>
      </w:pPr>
      <w:r>
        <w:rPr>
          <w:rFonts w:ascii="宋体" w:hAnsi="宋体" w:cs="宋体"/>
          <w:b/>
          <w:bCs/>
        </w:rPr>
        <w:t>20、借款费用</w:t>
      </w:r>
    </w:p>
    <w:p w14:paraId="5404AF83"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本集团将发生的可直接归属于符合资本化条件的资产的购建或者生产的借款费用予以资本化，计入相关资产成本，其他借款费用计入当期损益。本集团确定的符合资本化条件的资产包括需要经过</w:t>
      </w:r>
      <w:r w:rsidRPr="00A46BF1">
        <w:rPr>
          <w:rFonts w:ascii="Times New Roman" w:hAnsi="Times New Roman" w:cs="Times New Roman"/>
          <w:sz w:val="21"/>
          <w:szCs w:val="21"/>
        </w:rPr>
        <w:t>1</w:t>
      </w:r>
      <w:r w:rsidRPr="00A46BF1">
        <w:rPr>
          <w:rFonts w:ascii="Times New Roman" w:hAnsi="Times New Roman" w:cs="Times New Roman" w:hint="eastAsia"/>
          <w:sz w:val="21"/>
          <w:szCs w:val="21"/>
        </w:rPr>
        <w:t>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w:t>
      </w:r>
      <w:r w:rsidRPr="00A46BF1">
        <w:rPr>
          <w:rFonts w:ascii="Times New Roman" w:hAnsi="Times New Roman" w:cs="Times New Roman"/>
          <w:sz w:val="21"/>
          <w:szCs w:val="21"/>
        </w:rPr>
        <w:t>3</w:t>
      </w:r>
      <w:r w:rsidRPr="00A46BF1">
        <w:rPr>
          <w:rFonts w:ascii="Times New Roman" w:hAnsi="Times New Roman" w:cs="Times New Roman" w:hint="eastAsia"/>
          <w:sz w:val="21"/>
          <w:szCs w:val="21"/>
        </w:rPr>
        <w:t>个月，暂停借款费用的资本化，直至资产的购建或生产活动重新开始。</w:t>
      </w:r>
    </w:p>
    <w:p w14:paraId="52CE1D44"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在资本化期间内的每一会计期间，本集团按照以下方法确认借款费用的资本化金额：借入专门借款的，按照当期实际发生的利息费用，扣除尚未动用的借款资金存入银行取得的利息收入或进行暂时性投资取得的投资收益后的金额确定；占用一般借款的，根据累计资产支出超过专门借款部分的资产支出加权平均数乘以所占用一般借款的资本化率确定，其中资本化率根据一般借款加权平均利率计算确定。</w:t>
      </w:r>
    </w:p>
    <w:p w14:paraId="48458A07" w14:textId="77777777" w:rsidR="00A46BF1" w:rsidRDefault="00A46BF1" w:rsidP="00A46BF1">
      <w:pPr>
        <w:pStyle w:val="3"/>
        <w:spacing w:line="280" w:lineRule="exact"/>
        <w:jc w:val="left"/>
        <w:rPr>
          <w:rFonts w:ascii="宋体" w:hAnsi="宋体" w:cs="宋体"/>
          <w:b/>
          <w:bCs/>
        </w:rPr>
      </w:pPr>
      <w:r>
        <w:rPr>
          <w:rFonts w:ascii="宋体" w:hAnsi="宋体" w:cs="宋体"/>
          <w:b/>
          <w:bCs/>
        </w:rPr>
        <w:t>21、无形资产</w:t>
      </w:r>
    </w:p>
    <w:p w14:paraId="2ECCFD98"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使用寿命及其确定依据、估计情况、摊销方法或复核程序</w:t>
      </w:r>
    </w:p>
    <w:p w14:paraId="09297BE6"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无形资产包括土地使用权、专利技术、非专利技术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但对非同一控制下合并中取得被购买方拥有的但在其财务报表中未确认的无形资产，在进行初始确认时，按公允价值确认计量。</w:t>
      </w:r>
    </w:p>
    <w:p w14:paraId="1782EB91"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土地使用权从出让起始日起，按其出让年限平均摊销；专利技术和非专利技术等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p>
    <w:p w14:paraId="1493D85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研发支出的归集范围及相关会计处理方法</w:t>
      </w:r>
    </w:p>
    <w:p w14:paraId="06DE6F93"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本集团的主要研究开发项目包括血糖测试系统、血糖测试仪器及试条的研究与开发。</w:t>
      </w:r>
    </w:p>
    <w:p w14:paraId="1E6B0D35"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本集团按研究开发项目核算研发支出，研究开发项目支出根据其性质以及研发活动最终形成无形资产是否具有较大不确定性，被分为研究阶段支出和开发阶段支出。</w:t>
      </w:r>
    </w:p>
    <w:p w14:paraId="0BE66394"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研究阶段：是指为获取新的科学或技术知识并理解它们而进行的独创性的有计划调查。</w:t>
      </w:r>
    </w:p>
    <w:p w14:paraId="2086D685"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开发阶段：是指在进行商业性生产或使用前，将研究成果或其他知识应用于某项计划或设计，以生产出新的或具有实质性改进的材料、装置、产品等。</w:t>
      </w:r>
    </w:p>
    <w:p w14:paraId="6FE0772B"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根据《企业会计准则第</w:t>
      </w:r>
      <w:r w:rsidRPr="00A46BF1">
        <w:rPr>
          <w:rFonts w:ascii="Times New Roman" w:hAnsi="Times New Roman" w:cs="Times New Roman"/>
          <w:sz w:val="21"/>
          <w:szCs w:val="21"/>
        </w:rPr>
        <w:t xml:space="preserve"> 6 </w:t>
      </w:r>
      <w:r w:rsidRPr="00A46BF1">
        <w:rPr>
          <w:rFonts w:ascii="Times New Roman" w:hAnsi="Times New Roman" w:cs="Times New Roman" w:hint="eastAsia"/>
          <w:sz w:val="21"/>
          <w:szCs w:val="21"/>
        </w:rPr>
        <w:t>号－无形资产》的规定，公司发生的内部研究开发支出主要包括研发人员工资、研发领料、模具费、设备维护费、临床试验费、注册检验费、相关设备折旧费、知识产权费等费用。</w:t>
      </w:r>
    </w:p>
    <w:p w14:paraId="11489812" w14:textId="77777777" w:rsidR="00A46BF1" w:rsidRPr="00F65585" w:rsidRDefault="00A46BF1" w:rsidP="00F65585">
      <w:pPr>
        <w:spacing w:before="100" w:after="100" w:line="240" w:lineRule="exact"/>
        <w:rPr>
          <w:rFonts w:ascii="宋体" w:eastAsia="宋体" w:hAnsi="宋体" w:cs="宋体"/>
          <w:spacing w:val="-2"/>
          <w:sz w:val="18"/>
          <w:szCs w:val="18"/>
        </w:rPr>
      </w:pPr>
      <w:r w:rsidRPr="00F65585">
        <w:rPr>
          <w:rFonts w:ascii="宋体" w:eastAsia="宋体" w:hAnsi="宋体" w:cs="宋体"/>
          <w:spacing w:val="-2"/>
          <w:sz w:val="18"/>
          <w:szCs w:val="18"/>
        </w:rPr>
        <w:t>公司需遵守《深圳证券交易所上市公司自律监管指引第4号——创业板行业信息披露》中的“医疗器械业务”的披露要求</w:t>
      </w:r>
    </w:p>
    <w:p w14:paraId="28FEB04D"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公司内部的研究开发主要包括五个阶段：概念阶段、输入及策划阶段、输出及验证阶段、确认及转移阶段、量产阶段。</w:t>
      </w:r>
    </w:p>
    <w:p w14:paraId="4DBE3192"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概念阶段</w:t>
      </w:r>
    </w:p>
    <w:p w14:paraId="14807F57"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概念阶段主要是通过市场调研收集市场信息，输出目标产品，进行市场技术可行性分析，形成市场调研报告、用户需求表、技术可行性报告，项目经理根据提交的可行性文件组织立项评审，评审通过，各部门负责人在立项评审报告书上签字确认，如果立项，项目将进入输入及策划阶段。</w:t>
      </w:r>
    </w:p>
    <w:p w14:paraId="20A1E328"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输入及策划阶段</w:t>
      </w:r>
    </w:p>
    <w:p w14:paraId="7D9431FF"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输入及策划阶段主要是策划设计开发活动，对需求进行分解，确定设计输入。</w:t>
      </w:r>
    </w:p>
    <w:p w14:paraId="394EF3E1"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输出及验证阶段</w:t>
      </w:r>
    </w:p>
    <w:p w14:paraId="24EEDC7A"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输出及验证阶段主要是对产品进行设计开发，形成符合输入要求的样品和设计文件，进行设计验证，确保设计输出满足设计输入的要求。</w:t>
      </w:r>
    </w:p>
    <w:p w14:paraId="7A8CF0B6"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确认及转移阶段</w:t>
      </w:r>
    </w:p>
    <w:p w14:paraId="0BFB5F65"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确认及转移阶段主要是确认产品能够满足规定的使用要求或已知用途的要求，完成产品从工艺试制样品到批量生产的转移过程。</w:t>
      </w:r>
    </w:p>
    <w:p w14:paraId="4587611C"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量产阶段</w:t>
      </w:r>
    </w:p>
    <w:p w14:paraId="75A54A95"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量产阶段主要是进行上市后评价，市场职能收集</w:t>
      </w:r>
      <w:r w:rsidRPr="00A46BF1">
        <w:rPr>
          <w:rFonts w:ascii="Times New Roman" w:hAnsi="Times New Roman" w:cs="Times New Roman"/>
          <w:sz w:val="21"/>
          <w:szCs w:val="21"/>
        </w:rPr>
        <w:t>3-6</w:t>
      </w:r>
      <w:r w:rsidRPr="00A46BF1">
        <w:rPr>
          <w:rFonts w:ascii="Times New Roman" w:hAnsi="Times New Roman" w:cs="Times New Roman" w:hint="eastAsia"/>
          <w:sz w:val="21"/>
          <w:szCs w:val="21"/>
        </w:rPr>
        <w:t>个月的用户评价，出具《上市后评价报告》并主导上市后临床试验，项目评审委员会再次对项目进行评审，评审通过，项目结束。</w:t>
      </w:r>
    </w:p>
    <w:p w14:paraId="612B270B"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概念阶段、输入及策划阶段处于调研及研究阶段，具有较大的不确定性，因此这两个阶段的研究开发支出均属于研究阶段的支出，支出发生的当期予以费用化。</w:t>
      </w:r>
    </w:p>
    <w:p w14:paraId="4F85C702"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输出及验证阶段、确认及转移阶段、量产阶段是在输入及策划阶段的基础研究成果基础上进行设计以生产出新的或具有实质性改进的材料、装置、产品等，因此这三个阶段的研究开发支出均属于开发阶段的支出。开发阶段的支出，同时满足下列条件的，确认为无形资产，不满足以下条件的发生时计入当期损益：</w:t>
      </w:r>
    </w:p>
    <w:p w14:paraId="5A3074C9" w14:textId="00119E3C"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sz w:val="21"/>
          <w:szCs w:val="21"/>
        </w:rPr>
        <w:t>1</w:t>
      </w:r>
      <w:r w:rsidRPr="00A46BF1">
        <w:rPr>
          <w:rFonts w:ascii="Times New Roman" w:hAnsi="Times New Roman" w:cs="Times New Roman" w:hint="eastAsia"/>
          <w:sz w:val="21"/>
          <w:szCs w:val="21"/>
        </w:rPr>
        <w:t>）完成该无形资产以使其能够使用或出售在技术上具有可行性；</w:t>
      </w:r>
    </w:p>
    <w:p w14:paraId="0FFD33CA" w14:textId="752F0518"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sz w:val="21"/>
          <w:szCs w:val="21"/>
        </w:rPr>
        <w:t>2</w:t>
      </w:r>
      <w:r w:rsidRPr="00A46BF1">
        <w:rPr>
          <w:rFonts w:ascii="Times New Roman" w:hAnsi="Times New Roman" w:cs="Times New Roman" w:hint="eastAsia"/>
          <w:sz w:val="21"/>
          <w:szCs w:val="21"/>
        </w:rPr>
        <w:t>）具有完成该无形资产并使用或出售的意图；</w:t>
      </w:r>
    </w:p>
    <w:p w14:paraId="7FB88E04" w14:textId="1D781E0B"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sz w:val="21"/>
          <w:szCs w:val="21"/>
        </w:rPr>
        <w:t>3</w:t>
      </w:r>
      <w:r w:rsidRPr="00A46BF1">
        <w:rPr>
          <w:rFonts w:ascii="Times New Roman" w:hAnsi="Times New Roman" w:cs="Times New Roman" w:hint="eastAsia"/>
          <w:sz w:val="21"/>
          <w:szCs w:val="21"/>
        </w:rPr>
        <w:t>）运用该无形资产生产的产品存在市场或无形资产自身存在市场；</w:t>
      </w:r>
    </w:p>
    <w:p w14:paraId="662D3426" w14:textId="51672304"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sz w:val="21"/>
          <w:szCs w:val="21"/>
        </w:rPr>
        <w:t>4</w:t>
      </w:r>
      <w:r w:rsidRPr="00A46BF1">
        <w:rPr>
          <w:rFonts w:ascii="Times New Roman" w:hAnsi="Times New Roman" w:cs="Times New Roman" w:hint="eastAsia"/>
          <w:sz w:val="21"/>
          <w:szCs w:val="21"/>
        </w:rPr>
        <w:t>）有足够的技术、财务资源和其他资源支持，以完成该无形资产的开发，并有能力使用或出售该无形资产；</w:t>
      </w:r>
    </w:p>
    <w:p w14:paraId="6F368A04" w14:textId="5166930B"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sz w:val="21"/>
          <w:szCs w:val="21"/>
        </w:rPr>
        <w:t>5</w:t>
      </w:r>
      <w:r w:rsidRPr="00A46BF1">
        <w:rPr>
          <w:rFonts w:ascii="Times New Roman" w:hAnsi="Times New Roman" w:cs="Times New Roman" w:hint="eastAsia"/>
          <w:sz w:val="21"/>
          <w:szCs w:val="21"/>
        </w:rPr>
        <w:t>）归属于该无形资产开发阶段的支出能够可靠地计量。</w:t>
      </w:r>
    </w:p>
    <w:p w14:paraId="1A59B118" w14:textId="77777777" w:rsidR="00A46BF1" w:rsidRDefault="00A46BF1" w:rsidP="00A46BF1">
      <w:pPr>
        <w:pStyle w:val="3"/>
        <w:spacing w:line="280" w:lineRule="exact"/>
        <w:jc w:val="left"/>
        <w:rPr>
          <w:rFonts w:ascii="宋体" w:hAnsi="宋体" w:cs="宋体"/>
          <w:b/>
          <w:bCs/>
        </w:rPr>
      </w:pPr>
      <w:r>
        <w:rPr>
          <w:rFonts w:ascii="宋体" w:hAnsi="宋体" w:cs="宋体"/>
          <w:b/>
          <w:bCs/>
        </w:rPr>
        <w:t>22、长期资产减值</w:t>
      </w:r>
    </w:p>
    <w:p w14:paraId="7DEBA016"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于每一资产负债表日对长期股权投资、固定资产、在建工程、使用寿命有限的无形资产等项目进行检查，当存在减值迹象时，本公司进行减值测试。对商誉、使用寿命不确定的无形资产、尚未达到预定可使用状态的开发支出，无论是否存在减值迹象，每年末均进行减值测试。</w:t>
      </w:r>
    </w:p>
    <w:p w14:paraId="536958F0" w14:textId="74E24D59" w:rsidR="00A46BF1" w:rsidRPr="00A46BF1" w:rsidRDefault="00A46BF1" w:rsidP="00A46BF1">
      <w:pPr>
        <w:pStyle w:val="a9"/>
        <w:spacing w:before="0" w:beforeAutospacing="0" w:after="0" w:afterAutospacing="0" w:line="360" w:lineRule="auto"/>
        <w:ind w:firstLineChars="200" w:firstLine="422"/>
        <w:jc w:val="both"/>
        <w:rPr>
          <w:rFonts w:ascii="Times New Roman" w:hAnsi="Times New Roman" w:cs="Times New Roman"/>
          <w:sz w:val="21"/>
          <w:szCs w:val="21"/>
        </w:rPr>
      </w:pPr>
      <w:r>
        <w:rPr>
          <w:rFonts w:ascii="Times New Roman" w:hAnsi="Times New Roman" w:cs="Times New Roman" w:hint="eastAsia"/>
          <w:b/>
          <w:bCs/>
          <w:sz w:val="21"/>
          <w:szCs w:val="21"/>
        </w:rPr>
        <w:t>（</w:t>
      </w:r>
      <w:r>
        <w:rPr>
          <w:rFonts w:ascii="Times New Roman" w:hAnsi="Times New Roman" w:cs="Times New Roman" w:hint="eastAsia"/>
          <w:b/>
          <w:bCs/>
          <w:sz w:val="21"/>
          <w:szCs w:val="21"/>
        </w:rPr>
        <w:t>1</w:t>
      </w:r>
      <w:r>
        <w:rPr>
          <w:rFonts w:ascii="Times New Roman" w:hAnsi="Times New Roman" w:cs="Times New Roman" w:hint="eastAsia"/>
          <w:b/>
          <w:bCs/>
          <w:sz w:val="21"/>
          <w:szCs w:val="21"/>
        </w:rPr>
        <w:t>）</w:t>
      </w:r>
      <w:r w:rsidRPr="00A46BF1">
        <w:rPr>
          <w:rFonts w:ascii="Times New Roman" w:hAnsi="Times New Roman" w:cs="Times New Roman" w:hint="eastAsia"/>
          <w:b/>
          <w:bCs/>
          <w:sz w:val="21"/>
          <w:szCs w:val="21"/>
        </w:rPr>
        <w:t>除金融资产之外的非流动资产减值（除商誉外）</w:t>
      </w:r>
    </w:p>
    <w:p w14:paraId="0B85CD3A"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在进行减值测试时，按照资产的公允价值减去处置费用后的净额与资产预计未来现金流量的现值两者之间的较高者确定其可收回金额。减值测试后，若该资产的账面价值超过其可收回金额，其差额确认为减值损失。</w:t>
      </w:r>
    </w:p>
    <w:p w14:paraId="271EDBF9"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以单项资产为基础估计其可回收金额，难以对单项资产的可回收金额进行估计的，以该资产所属资产组为基础确定资产组的可回收金额。资产组的认定，以资产组产生的主要现金流入是否独立于其他资产或者资产组的现金流入为依据。</w:t>
      </w:r>
    </w:p>
    <w:p w14:paraId="65E9B83F"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公允价值减去处置费用后的净额，参考计量日发生的有序交易中类似资产的销售协议价格或可观察到的市场价格，减去可直接归属于该资产处置的增量成本确定。预计未来现金流量现值时，管理层按照资产在持续使用过程中和最终处置时所产生的预计未来现金流量，并选择恰当的折现率确定未来现金流量的现值。</w:t>
      </w:r>
    </w:p>
    <w:p w14:paraId="524E2C17" w14:textId="70E80965" w:rsidR="00A46BF1" w:rsidRPr="00A46BF1" w:rsidRDefault="00A46BF1" w:rsidP="00A46BF1">
      <w:pPr>
        <w:pStyle w:val="a9"/>
        <w:spacing w:before="0" w:beforeAutospacing="0" w:after="0" w:afterAutospacing="0" w:line="360" w:lineRule="auto"/>
        <w:ind w:firstLineChars="200" w:firstLine="422"/>
        <w:jc w:val="both"/>
        <w:rPr>
          <w:rFonts w:ascii="Times New Roman" w:hAnsi="Times New Roman" w:cs="Times New Roman"/>
          <w:sz w:val="21"/>
          <w:szCs w:val="21"/>
        </w:rPr>
      </w:pPr>
      <w:r>
        <w:rPr>
          <w:rFonts w:ascii="Times New Roman" w:hAnsi="Times New Roman" w:cs="Times New Roman" w:hint="eastAsia"/>
          <w:b/>
          <w:bCs/>
          <w:sz w:val="21"/>
          <w:szCs w:val="21"/>
        </w:rPr>
        <w:t>（</w:t>
      </w:r>
      <w:r>
        <w:rPr>
          <w:rFonts w:ascii="Times New Roman" w:hAnsi="Times New Roman" w:cs="Times New Roman" w:hint="eastAsia"/>
          <w:b/>
          <w:bCs/>
          <w:sz w:val="21"/>
          <w:szCs w:val="21"/>
        </w:rPr>
        <w:t>2</w:t>
      </w:r>
      <w:r>
        <w:rPr>
          <w:rFonts w:ascii="Times New Roman" w:hAnsi="Times New Roman" w:cs="Times New Roman" w:hint="eastAsia"/>
          <w:b/>
          <w:bCs/>
          <w:sz w:val="21"/>
          <w:szCs w:val="21"/>
        </w:rPr>
        <w:t>）</w:t>
      </w:r>
      <w:r w:rsidRPr="00A46BF1">
        <w:rPr>
          <w:rFonts w:ascii="Times New Roman" w:hAnsi="Times New Roman" w:cs="Times New Roman" w:hint="eastAsia"/>
          <w:b/>
          <w:bCs/>
          <w:sz w:val="21"/>
          <w:szCs w:val="21"/>
        </w:rPr>
        <w:t>商誉减值</w:t>
      </w:r>
    </w:p>
    <w:p w14:paraId="1BFE5B14"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对企业合并形成的商誉，自购买日起将其账面价值按照合理的方法分摊至相关的资产组，难以分摊至相关的资产组的分摊至相关的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14:paraId="07F8D740" w14:textId="72A02099"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商誉减值测试的方法、参数与假设，详见本附注</w:t>
      </w:r>
      <w:r w:rsidRPr="009462A8">
        <w:rPr>
          <w:rFonts w:ascii="Times New Roman" w:hAnsi="Times New Roman" w:cs="Times New Roman" w:hint="eastAsia"/>
          <w:sz w:val="21"/>
          <w:szCs w:val="21"/>
        </w:rPr>
        <w:t>“</w:t>
      </w:r>
      <w:r w:rsidRPr="00447B2A">
        <w:rPr>
          <w:rFonts w:ascii="Times New Roman" w:hAnsi="Times New Roman" w:cs="Times New Roman" w:hint="eastAsia"/>
          <w:sz w:val="21"/>
          <w:szCs w:val="21"/>
        </w:rPr>
        <w:t>七、</w:t>
      </w:r>
      <w:r w:rsidR="00D73562" w:rsidRPr="00790DBE">
        <w:rPr>
          <w:rFonts w:ascii="Times New Roman" w:hAnsi="Times New Roman" w:cs="Times New Roman"/>
          <w:sz w:val="21"/>
          <w:szCs w:val="21"/>
        </w:rPr>
        <w:t>1</w:t>
      </w:r>
      <w:r w:rsidR="00D73562" w:rsidRPr="00C707CF">
        <w:rPr>
          <w:rFonts w:ascii="Times New Roman" w:hAnsi="Times New Roman" w:cs="Times New Roman"/>
          <w:sz w:val="21"/>
          <w:szCs w:val="21"/>
        </w:rPr>
        <w:t>9</w:t>
      </w:r>
      <w:r w:rsidRPr="009462A8">
        <w:rPr>
          <w:rFonts w:ascii="Times New Roman" w:hAnsi="Times New Roman" w:cs="Times New Roman"/>
          <w:sz w:val="21"/>
          <w:szCs w:val="21"/>
        </w:rPr>
        <w:t>商誉</w:t>
      </w:r>
      <w:r w:rsidRPr="00447B2A">
        <w:rPr>
          <w:rFonts w:cs="Times New Roman"/>
          <w:sz w:val="21"/>
          <w:szCs w:val="21"/>
        </w:rPr>
        <w:t>”</w:t>
      </w:r>
      <w:r w:rsidRPr="00447B2A">
        <w:rPr>
          <w:rFonts w:ascii="Times New Roman" w:hAnsi="Times New Roman" w:cs="Times New Roman"/>
          <w:sz w:val="21"/>
          <w:szCs w:val="21"/>
        </w:rPr>
        <w:t>相</w:t>
      </w:r>
      <w:r w:rsidRPr="00A46BF1">
        <w:rPr>
          <w:rFonts w:ascii="Times New Roman" w:hAnsi="Times New Roman" w:cs="Times New Roman"/>
          <w:sz w:val="21"/>
          <w:szCs w:val="21"/>
        </w:rPr>
        <w:t>关内容</w:t>
      </w:r>
      <w:r w:rsidRPr="00A46BF1">
        <w:rPr>
          <w:rFonts w:ascii="Times New Roman" w:hAnsi="Times New Roman" w:cs="Times New Roman" w:hint="eastAsia"/>
          <w:sz w:val="21"/>
          <w:szCs w:val="21"/>
        </w:rPr>
        <w:t>。</w:t>
      </w:r>
    </w:p>
    <w:p w14:paraId="70666293"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上述资产的减值损失一经确认，在以后会计期间不予转回。</w:t>
      </w:r>
    </w:p>
    <w:p w14:paraId="22E0A7AD" w14:textId="77777777" w:rsidR="00A46BF1" w:rsidRDefault="00A46BF1" w:rsidP="00A46BF1">
      <w:pPr>
        <w:pStyle w:val="3"/>
        <w:spacing w:line="280" w:lineRule="exact"/>
        <w:jc w:val="left"/>
        <w:rPr>
          <w:rFonts w:ascii="宋体" w:hAnsi="宋体" w:cs="宋体"/>
          <w:b/>
          <w:bCs/>
        </w:rPr>
      </w:pPr>
      <w:r>
        <w:rPr>
          <w:rFonts w:ascii="宋体" w:hAnsi="宋体" w:cs="宋体"/>
          <w:b/>
          <w:bCs/>
        </w:rPr>
        <w:t>23、长期待摊费用</w:t>
      </w:r>
    </w:p>
    <w:p w14:paraId="1F8D5E82"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本集团的长期待摊费用包括租入资产装修费等本集团已经支付但应由本期及以后各期分摊的期限在</w:t>
      </w:r>
      <w:r w:rsidRPr="00A46BF1">
        <w:rPr>
          <w:rFonts w:ascii="Times New Roman" w:hAnsi="Times New Roman" w:cs="Times New Roman"/>
          <w:sz w:val="21"/>
          <w:szCs w:val="21"/>
        </w:rPr>
        <w:t>1</w:t>
      </w:r>
      <w:r w:rsidRPr="00A46BF1">
        <w:rPr>
          <w:rFonts w:ascii="Times New Roman" w:hAnsi="Times New Roman" w:cs="Times New Roman" w:hint="eastAsia"/>
          <w:sz w:val="21"/>
          <w:szCs w:val="21"/>
        </w:rPr>
        <w:t>年以上的费用。该等费用在受益期内平均摊销，如果长期待摊费用项目不能使以后会计期间受益，则将尚未摊销的该项目的摊余价值全部转入当期损益。</w:t>
      </w:r>
    </w:p>
    <w:p w14:paraId="0D6F5FB8" w14:textId="77777777" w:rsidR="00A46BF1" w:rsidRDefault="00A46BF1" w:rsidP="00A46BF1">
      <w:pPr>
        <w:pStyle w:val="3"/>
        <w:spacing w:line="280" w:lineRule="exact"/>
        <w:jc w:val="left"/>
        <w:rPr>
          <w:rFonts w:ascii="宋体" w:hAnsi="宋体" w:cs="宋体"/>
          <w:b/>
          <w:bCs/>
        </w:rPr>
      </w:pPr>
      <w:r>
        <w:rPr>
          <w:rFonts w:ascii="宋体" w:hAnsi="宋体" w:cs="宋体"/>
          <w:b/>
          <w:bCs/>
        </w:rPr>
        <w:t>24、合同负债</w:t>
      </w:r>
    </w:p>
    <w:p w14:paraId="04B7DC0E"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合同负债反映本集团已收或应收客户对价而应向客户转让商品的义务。同一合同下的合同资产和合同负债以净额列示。</w:t>
      </w:r>
    </w:p>
    <w:p w14:paraId="1C81C022" w14:textId="77777777" w:rsidR="00A46BF1" w:rsidRDefault="00A46BF1" w:rsidP="00A46BF1">
      <w:pPr>
        <w:pStyle w:val="3"/>
        <w:spacing w:line="280" w:lineRule="exact"/>
        <w:jc w:val="left"/>
        <w:rPr>
          <w:rFonts w:ascii="宋体" w:hAnsi="宋体" w:cs="宋体"/>
          <w:b/>
          <w:bCs/>
        </w:rPr>
      </w:pPr>
      <w:r>
        <w:rPr>
          <w:rFonts w:ascii="宋体" w:hAnsi="宋体" w:cs="宋体"/>
          <w:b/>
          <w:bCs/>
        </w:rPr>
        <w:t>25、职工薪酬</w:t>
      </w:r>
    </w:p>
    <w:p w14:paraId="38B490EC"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短期薪酬的会计处理方法</w:t>
      </w:r>
    </w:p>
    <w:p w14:paraId="02288CE6" w14:textId="77777777" w:rsidR="00A46BF1" w:rsidRPr="00A46BF1" w:rsidRDefault="00A46BF1" w:rsidP="00A46BF1">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46BF1">
        <w:rPr>
          <w:rFonts w:ascii="Times New Roman" w:hAnsi="Times New Roman" w:cs="Times New Roman" w:hint="eastAsia"/>
          <w:sz w:val="21"/>
          <w:szCs w:val="21"/>
        </w:rPr>
        <w:t>短期薪酬主要包括职工工资、职工福利费、医疗保险费、工伤保险费、生育保险费、住房公积金、工会经费和职工教育经费等，在职工提供服务的会计期间，将实际发生的短期薪酬确认为负债，并按照受益对象计入当期损益或相关资产成本。</w:t>
      </w:r>
    </w:p>
    <w:p w14:paraId="68B1FAE4"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离职后福利的会计处理方法</w:t>
      </w:r>
    </w:p>
    <w:p w14:paraId="0EF2E489"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离职后福利主要包括基本养老保险费、失业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14:paraId="17360EE0"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本公司孙公司台湾三伟达医疗器材股份有限公司为</w:t>
      </w:r>
      <w:r w:rsidRPr="00BA0387">
        <w:rPr>
          <w:rFonts w:ascii="Times New Roman" w:hAnsi="Times New Roman" w:cs="Times New Roman"/>
          <w:sz w:val="21"/>
          <w:szCs w:val="21"/>
        </w:rPr>
        <w:t>2005</w:t>
      </w:r>
      <w:r w:rsidRPr="00BA0387">
        <w:rPr>
          <w:rFonts w:ascii="Times New Roman" w:hAnsi="Times New Roman" w:cs="Times New Roman" w:hint="eastAsia"/>
          <w:sz w:val="21"/>
          <w:szCs w:val="21"/>
        </w:rPr>
        <w:t>年</w:t>
      </w:r>
      <w:r w:rsidRPr="00BA0387">
        <w:rPr>
          <w:rFonts w:ascii="Times New Roman" w:hAnsi="Times New Roman" w:cs="Times New Roman"/>
          <w:sz w:val="21"/>
          <w:szCs w:val="21"/>
        </w:rPr>
        <w:t>6</w:t>
      </w:r>
      <w:r w:rsidRPr="00BA0387">
        <w:rPr>
          <w:rFonts w:ascii="Times New Roman" w:hAnsi="Times New Roman" w:cs="Times New Roman" w:hint="eastAsia"/>
          <w:sz w:val="21"/>
          <w:szCs w:val="21"/>
        </w:rPr>
        <w:t>月</w:t>
      </w:r>
      <w:r w:rsidRPr="00BA0387">
        <w:rPr>
          <w:rFonts w:ascii="Times New Roman" w:hAnsi="Times New Roman" w:cs="Times New Roman"/>
          <w:sz w:val="21"/>
          <w:szCs w:val="21"/>
        </w:rPr>
        <w:t>30</w:t>
      </w:r>
      <w:r w:rsidRPr="00BA0387">
        <w:rPr>
          <w:rFonts w:ascii="Times New Roman" w:hAnsi="Times New Roman" w:cs="Times New Roman" w:hint="eastAsia"/>
          <w:sz w:val="21"/>
          <w:szCs w:val="21"/>
        </w:rPr>
        <w:t>日前入职的员工提供设定受益计划，该计划要求向独立管理的基金缴存费用。设定受益计划下提供该福利的成本采用预期累积福利等单位法。设定受益退休金计划引起的重新计量，包括精算利得或损失，资产上限影响的变动（扣除包括在设定受益计划净负债利息净额中的金额），均在资产负债表中立即确认，并在其发生期间通过其他综合收益计入股东权益，后续期间不转回至损益。</w:t>
      </w:r>
    </w:p>
    <w:p w14:paraId="0FE55635"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在下列日期孰早日将过去服务成本确认为当期费用：修改设定受益计划时；本集团确认相关重组费用或辞退福利时。</w:t>
      </w:r>
    </w:p>
    <w:p w14:paraId="6C28F6E2"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利息净额由设定受益计划净负债或净资产乘以折现率计算而得。本集团在利润表的营业成本、管理费用、财务费用中确认设定受益计划净义务的变动服务成本，包括当期服务成本、过去服务成本和结算利得或损失；利息净额，包括计划资产的利息收益、计划义务的利息费用以及资产上限影响的利息。</w:t>
      </w:r>
    </w:p>
    <w:p w14:paraId="7A942ED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辞退福利的会计处理方法</w:t>
      </w:r>
    </w:p>
    <w:p w14:paraId="21D4E55D"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辞退福利是由于本集团已经制定正式的解除劳动关系计划或提出自愿裁减建议并即将实施事项产生，在本集团不能单方面撤回因解除劳动关系计划或裁减建议所提供的辞退福利时和确认与涉及支付辞退福利的重组相关的成本费用时两者孰早日确认辞退福利产生的职工薪酬负债，并计入当期损益。</w:t>
      </w:r>
    </w:p>
    <w:p w14:paraId="7F6FE7BD"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其他长期职工福利的会计处理方法</w:t>
      </w:r>
    </w:p>
    <w:p w14:paraId="031A3E64"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其他长期职工福利，是指除短期薪酬、离职后福利、辞退福利之外所有的职工薪酬，包括长期带薪缺勤、长期残疾福利、长期利润分享计划等。</w:t>
      </w:r>
    </w:p>
    <w:p w14:paraId="20D83834" w14:textId="77777777" w:rsidR="00A46BF1" w:rsidRDefault="00A46BF1" w:rsidP="00A46BF1">
      <w:pPr>
        <w:pStyle w:val="3"/>
        <w:spacing w:line="280" w:lineRule="exact"/>
        <w:jc w:val="left"/>
        <w:rPr>
          <w:rFonts w:ascii="宋体" w:hAnsi="宋体" w:cs="宋体"/>
          <w:b/>
          <w:bCs/>
        </w:rPr>
      </w:pPr>
      <w:r>
        <w:rPr>
          <w:rFonts w:ascii="宋体" w:hAnsi="宋体" w:cs="宋体"/>
          <w:b/>
          <w:bCs/>
        </w:rPr>
        <w:t>26、预计负债</w:t>
      </w:r>
    </w:p>
    <w:p w14:paraId="21F0ED60"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当与未决诉讼或仲裁、保证类质量保证等或有事项相关的业务同时符合以下条件时，本集团将其确认为负债：该义务是本集团承担的现时义务；该义务的履行很可能导致经济利益流出企业；该义务的金额能够可靠地计量。</w:t>
      </w:r>
    </w:p>
    <w:p w14:paraId="32CF351F"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预计负债按照履行相关现时义务所需支出的最佳估计数进行初始计量，并综合考虑与或有事项有关的风险、不确定性和货币时间价值等因素。本集团于资产负债表日对当前最佳估计数进行复核并对预计负债的账面价值进行调整。</w:t>
      </w:r>
    </w:p>
    <w:p w14:paraId="5235B769"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预期在资产负债表日起一年内需支付的预计负债，列报为流动负债。</w:t>
      </w:r>
    </w:p>
    <w:p w14:paraId="71CA061E"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非同一控制下企业合并中取得的被购买方或有负债在初始确认时按照公允价值计量，在初始确认后，按照预计负债确认的金额和初始确认金额扣除收入确认原则确定的累计摊销额后的余额，以两者之中的较高者进行后续计量。</w:t>
      </w:r>
    </w:p>
    <w:p w14:paraId="6E5997F8" w14:textId="77777777" w:rsidR="00A46BF1" w:rsidRDefault="00A46BF1" w:rsidP="00A46BF1">
      <w:pPr>
        <w:pStyle w:val="3"/>
        <w:spacing w:line="280" w:lineRule="exact"/>
        <w:jc w:val="left"/>
        <w:rPr>
          <w:rFonts w:ascii="宋体" w:hAnsi="宋体" w:cs="宋体"/>
          <w:b/>
          <w:bCs/>
        </w:rPr>
      </w:pPr>
      <w:r>
        <w:rPr>
          <w:rFonts w:ascii="宋体" w:hAnsi="宋体" w:cs="宋体"/>
          <w:b/>
          <w:bCs/>
        </w:rPr>
        <w:t>27、股份支付</w:t>
      </w:r>
    </w:p>
    <w:p w14:paraId="7E27F4A9"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用以换取职工提供服务的以权益结算的股份支付，以授予职工权益工具在授予日的公允价值计量。如授予后立即可行权，在授予日按照权益工具的公允价值计入相关成本或费用，相应增加资本公积。如需在完成等待期内的服务或达到规定业绩条件才可行权，在等待期内的每个资产负债表日，以对可行权权益工具数量的最佳估计为基础，按照权益工具授予日的公允价值，将当期取得的服务计入相关成本或费用和资本公积。如果修改了以权益结算的股份支付的条款，至少按照未修改条款的情况确认取得的服务。此外，增加所授予权益工具公允价值的修改，或在修改日对职工有利的变更，均确认取得服务的增加。</w:t>
      </w:r>
    </w:p>
    <w:p w14:paraId="5DE1E311"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14:paraId="3DD0DDC4"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在相关负债结算前的每个资产负债表日以及结算日，对负债的公允价值重新计量，其变动计入当期损益。</w:t>
      </w:r>
    </w:p>
    <w:p w14:paraId="10D872D6" w14:textId="77777777" w:rsidR="00A46BF1" w:rsidRDefault="00A46BF1" w:rsidP="00A46BF1">
      <w:pPr>
        <w:pStyle w:val="3"/>
        <w:spacing w:line="280" w:lineRule="exact"/>
        <w:jc w:val="left"/>
        <w:rPr>
          <w:rFonts w:ascii="宋体" w:hAnsi="宋体" w:cs="宋体"/>
          <w:b/>
          <w:bCs/>
        </w:rPr>
      </w:pPr>
      <w:r>
        <w:rPr>
          <w:rFonts w:ascii="宋体" w:hAnsi="宋体" w:cs="宋体"/>
          <w:b/>
          <w:bCs/>
        </w:rPr>
        <w:t>28、收入</w:t>
      </w:r>
    </w:p>
    <w:p w14:paraId="5ABA2BE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按照业务类型披露收入确认和计量所采用的会计政策</w:t>
      </w:r>
    </w:p>
    <w:p w14:paraId="3333CEB5"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本集团在履行了合同中的履约义务，即在客户取得相关商品或服务的控制权时，确认收入。取得相关商品或服务的控制权，是指能够主导该商品的使用或该服务的提供并从中获得几乎全部的经济利益。</w:t>
      </w:r>
    </w:p>
    <w:p w14:paraId="658DC4A7"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合同中包含两项或多项履约义务的，本集团在合同开始时，按照个单项履约义务所承诺商品或服务的单独售价的相对比例，将交易价格分摊至各单项履约义务，按照分摊至各单项履约义务的交易价格计量收入。</w:t>
      </w:r>
    </w:p>
    <w:p w14:paraId="0ABE1EC7"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3AAF5F2E"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满足下列条件之一时，本集团属于在某一时段内履行履约义务；否则，属于在某一时点履行履约义务：</w:t>
      </w:r>
    </w:p>
    <w:p w14:paraId="74E34BF6" w14:textId="5E404CAE"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1</w:t>
      </w:r>
      <w:r w:rsidR="00A46BF1" w:rsidRPr="00BA0387">
        <w:rPr>
          <w:rFonts w:ascii="Times New Roman" w:hAnsi="Times New Roman" w:cs="Times New Roman" w:hint="eastAsia"/>
          <w:sz w:val="21"/>
          <w:szCs w:val="21"/>
        </w:rPr>
        <w:t>）客户在本集团履约的同时即取得并消耗本集团履约所带来的经济利益。</w:t>
      </w:r>
    </w:p>
    <w:p w14:paraId="4EE61DEB" w14:textId="2BCAEEEA"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2</w:t>
      </w:r>
      <w:r w:rsidR="00A46BF1" w:rsidRPr="00BA0387">
        <w:rPr>
          <w:rFonts w:ascii="Times New Roman" w:hAnsi="Times New Roman" w:cs="Times New Roman" w:hint="eastAsia"/>
          <w:sz w:val="21"/>
          <w:szCs w:val="21"/>
        </w:rPr>
        <w:t>）客户能够控制本集团履约过程中在建的商品。</w:t>
      </w:r>
    </w:p>
    <w:p w14:paraId="6D169C75" w14:textId="415357CB"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3</w:t>
      </w:r>
      <w:r w:rsidR="00A46BF1" w:rsidRPr="00BA0387">
        <w:rPr>
          <w:rFonts w:ascii="Times New Roman" w:hAnsi="Times New Roman" w:cs="Times New Roman" w:hint="eastAsia"/>
          <w:sz w:val="21"/>
          <w:szCs w:val="21"/>
        </w:rPr>
        <w:t>）在本集团履约过程中所产出的商品具有不可替代用途，且本集团在整个合同期间内有权就累计至今已完成的履约部分收取款项。</w:t>
      </w:r>
    </w:p>
    <w:p w14:paraId="177D1769"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14:paraId="34F7E7FE"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对于在某一时点履行的履约义务，本集团在客户取得相关商品或服务控制权时点确认收入。在判断客户是否已取得商品或服务控制权时，本集团考虑下列迹象：</w:t>
      </w:r>
    </w:p>
    <w:p w14:paraId="258BD4BD" w14:textId="2EDC91F6"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1</w:t>
      </w:r>
      <w:r w:rsidR="00A46BF1" w:rsidRPr="00BA0387">
        <w:rPr>
          <w:rFonts w:ascii="Times New Roman" w:hAnsi="Times New Roman" w:cs="Times New Roman" w:hint="eastAsia"/>
          <w:sz w:val="21"/>
          <w:szCs w:val="21"/>
        </w:rPr>
        <w:t>）本集团就该商品或服务享有现时收款权利。</w:t>
      </w:r>
    </w:p>
    <w:p w14:paraId="006D2BDC" w14:textId="62180A0C"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2</w:t>
      </w:r>
      <w:r w:rsidR="00A46BF1" w:rsidRPr="00BA0387">
        <w:rPr>
          <w:rFonts w:ascii="Times New Roman" w:hAnsi="Times New Roman" w:cs="Times New Roman" w:hint="eastAsia"/>
          <w:sz w:val="21"/>
          <w:szCs w:val="21"/>
        </w:rPr>
        <w:t>）本集团已将该商品的法定所有权转移给客户。</w:t>
      </w:r>
    </w:p>
    <w:p w14:paraId="77383830" w14:textId="5ECB5EC0"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3</w:t>
      </w:r>
      <w:r w:rsidR="00A46BF1" w:rsidRPr="00BA0387">
        <w:rPr>
          <w:rFonts w:ascii="Times New Roman" w:hAnsi="Times New Roman" w:cs="Times New Roman" w:hint="eastAsia"/>
          <w:sz w:val="21"/>
          <w:szCs w:val="21"/>
        </w:rPr>
        <w:t>）本集团已将该商品的实物转移给客户。</w:t>
      </w:r>
    </w:p>
    <w:p w14:paraId="42D07C27" w14:textId="3521CB69"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4</w:t>
      </w:r>
      <w:r w:rsidR="00A46BF1" w:rsidRPr="00BA0387">
        <w:rPr>
          <w:rFonts w:ascii="Times New Roman" w:hAnsi="Times New Roman" w:cs="Times New Roman" w:hint="eastAsia"/>
          <w:sz w:val="21"/>
          <w:szCs w:val="21"/>
        </w:rPr>
        <w:t>）本集团已将该商品所有权上的主要风险和报酬转移给客户。</w:t>
      </w:r>
    </w:p>
    <w:p w14:paraId="5337CD24" w14:textId="58EFACA7"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5</w:t>
      </w:r>
      <w:r w:rsidR="00A46BF1" w:rsidRPr="00BA0387">
        <w:rPr>
          <w:rFonts w:ascii="Times New Roman" w:hAnsi="Times New Roman" w:cs="Times New Roman" w:hint="eastAsia"/>
          <w:sz w:val="21"/>
          <w:szCs w:val="21"/>
        </w:rPr>
        <w:t>）客户已接受该商品或服务等。</w:t>
      </w:r>
    </w:p>
    <w:p w14:paraId="1EC5CA47"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本集团已向客户转让商品或服务而有权收取对价的权利作为合同资产列示，合同资产以预期信用损失为基础计提减值。本集团拥有的无条件向客户收取对价的权利作为应收款项列示。本集团已收货应收客户对价而应向客户转让商品或服务的义务作为合同负债列示。</w:t>
      </w:r>
    </w:p>
    <w:p w14:paraId="24EDC45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同类业务采用不同经营模式涉及不同收入确认方式及计量方法的情况</w:t>
      </w:r>
    </w:p>
    <w:p w14:paraId="5092CA99"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本集团的营业收入主要包括销售商品收入，收入确认政策如下：</w:t>
      </w:r>
    </w:p>
    <w:p w14:paraId="2A732CDF"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本集团从事血糖监测系统、糖化血红蛋白检测系统、血脂检测系统、血压计等产品的制造，并通过多种渠道向终端客户销售该类产品。</w:t>
      </w:r>
    </w:p>
    <w:p w14:paraId="1F8D1FF6" w14:textId="0F2C627A"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1</w:t>
      </w:r>
      <w:r w:rsidR="00A46BF1" w:rsidRPr="00BA0387">
        <w:rPr>
          <w:rFonts w:ascii="Times New Roman" w:hAnsi="Times New Roman" w:cs="Times New Roman" w:hint="eastAsia"/>
          <w:sz w:val="21"/>
          <w:szCs w:val="21"/>
        </w:rPr>
        <w:t>）经销模式销售收入确认具体原则</w:t>
      </w:r>
    </w:p>
    <w:p w14:paraId="040FD5A5"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经销模式是指经销商买断商品后，在约定的区域内，自行负责分销零售药店、区域性独立药房以及医院的销售和配送的一种销售模式，该模式下经销商指定提货地点，仅在明确属于商品本身质量问题及本集团交付的商品与订单不符的前提下才能退换货。因此，自本集团交付产品时已将商品控制权转移给了经销商，本集团在交付产品时确认收入。</w:t>
      </w:r>
    </w:p>
    <w:p w14:paraId="6E83D409" w14:textId="0C574DB3" w:rsidR="00A46BF1" w:rsidRPr="00BA0387" w:rsidRDefault="00BA0387"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2</w:t>
      </w:r>
      <w:r w:rsidR="00A46BF1" w:rsidRPr="00BA0387">
        <w:rPr>
          <w:rFonts w:ascii="Times New Roman" w:hAnsi="Times New Roman" w:cs="Times New Roman" w:hint="eastAsia"/>
          <w:sz w:val="21"/>
          <w:szCs w:val="21"/>
        </w:rPr>
        <w:t>）电商模式销售收入确认具体原则</w:t>
      </w:r>
    </w:p>
    <w:p w14:paraId="526A46D8"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电商模式是指本集团利用大型网络购物平台销售产品的一种方式，电商平台向本集团提供电子商务交易平台，消费者在平台上下订单后，由公司直接发货。该模式下与商品相关的控制权在消费者签收后才转移，因此公司在消费者签收后确认收入。</w:t>
      </w:r>
    </w:p>
    <w:p w14:paraId="522CA3C2" w14:textId="318AD7CD" w:rsidR="00A46BF1" w:rsidRPr="00BA0387" w:rsidRDefault="009E3AE3"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sidR="00A46BF1" w:rsidRPr="00BA0387">
        <w:rPr>
          <w:rFonts w:ascii="Times New Roman" w:hAnsi="Times New Roman" w:cs="Times New Roman"/>
          <w:sz w:val="21"/>
          <w:szCs w:val="21"/>
        </w:rPr>
        <w:t>3</w:t>
      </w:r>
      <w:r w:rsidR="00A46BF1" w:rsidRPr="00BA0387">
        <w:rPr>
          <w:rFonts w:ascii="Times New Roman" w:hAnsi="Times New Roman" w:cs="Times New Roman" w:hint="eastAsia"/>
          <w:sz w:val="21"/>
          <w:szCs w:val="21"/>
        </w:rPr>
        <w:t>）出口商品销售收入确认具体原则</w:t>
      </w:r>
    </w:p>
    <w:p w14:paraId="15933AC5"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外销模式是指公司接受国外客户订单，按订单生产并直接报关出口的一种销售方式。以</w:t>
      </w:r>
      <w:r w:rsidRPr="00BA0387">
        <w:rPr>
          <w:rFonts w:ascii="Times New Roman" w:hAnsi="Times New Roman" w:cs="Times New Roman"/>
          <w:sz w:val="21"/>
          <w:szCs w:val="21"/>
        </w:rPr>
        <w:t>FOB</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CIF</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CFR</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FCA</w:t>
      </w:r>
      <w:r w:rsidRPr="00BA0387">
        <w:rPr>
          <w:rFonts w:ascii="Times New Roman" w:hAnsi="Times New Roman" w:cs="Times New Roman" w:hint="eastAsia"/>
          <w:sz w:val="21"/>
          <w:szCs w:val="21"/>
        </w:rPr>
        <w:t>形式进行贸易的外销业务，在获取报关单或提单日即确认收入；以</w:t>
      </w:r>
      <w:r w:rsidRPr="00BA0387">
        <w:rPr>
          <w:rFonts w:ascii="Times New Roman" w:hAnsi="Times New Roman" w:cs="Times New Roman"/>
          <w:sz w:val="21"/>
          <w:szCs w:val="21"/>
        </w:rPr>
        <w:t>CPT</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CIP</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DDP</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DDU</w:t>
      </w:r>
      <w:r w:rsidRPr="00BA0387">
        <w:rPr>
          <w:rFonts w:ascii="Times New Roman" w:hAnsi="Times New Roman" w:cs="Times New Roman" w:hint="eastAsia"/>
          <w:sz w:val="21"/>
          <w:szCs w:val="21"/>
        </w:rPr>
        <w:t>形式进行贸易的外销业务，在获得客户签收日即确认收入；以</w:t>
      </w:r>
      <w:r w:rsidRPr="00BA0387">
        <w:rPr>
          <w:rFonts w:ascii="Times New Roman" w:hAnsi="Times New Roman" w:cs="Times New Roman"/>
          <w:sz w:val="21"/>
          <w:szCs w:val="21"/>
        </w:rPr>
        <w:t>EXW</w:t>
      </w:r>
      <w:r w:rsidRPr="00BA0387">
        <w:rPr>
          <w:rFonts w:ascii="Times New Roman" w:hAnsi="Times New Roman" w:cs="Times New Roman" w:hint="eastAsia"/>
          <w:sz w:val="21"/>
          <w:szCs w:val="21"/>
        </w:rPr>
        <w:t>、</w:t>
      </w:r>
      <w:r w:rsidRPr="00BA0387">
        <w:rPr>
          <w:rFonts w:ascii="Times New Roman" w:hAnsi="Times New Roman" w:cs="Times New Roman"/>
          <w:sz w:val="21"/>
          <w:szCs w:val="21"/>
        </w:rPr>
        <w:t>DAP</w:t>
      </w:r>
      <w:r w:rsidRPr="00BA0387">
        <w:rPr>
          <w:rFonts w:ascii="Times New Roman" w:hAnsi="Times New Roman" w:cs="Times New Roman" w:hint="eastAsia"/>
          <w:sz w:val="21"/>
          <w:szCs w:val="21"/>
        </w:rPr>
        <w:t>形式进行贸易的外销业务，在本集团发货时即确认收入。</w:t>
      </w:r>
    </w:p>
    <w:p w14:paraId="4C42639E"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本集团将因向客户转让商品而预期有权收取的对价金额作为交易价格，并根据合同条款，结合以往的商业惯例予以确定。本集团部分合同约定当客户购买商品超过一定数量时向其发放一定金额的代金券折扣，可直接抵减未来客户购买商品时应支付的款项。本集团按照最有可能发生金额对折扣做出最佳估计，以估计折扣后的交易价格不超过在相关不确定性消除时累计已确认收入极可能不会发生重大转回的金额为限计入交易价格，并在每一个资产负债表日进行重新估计。</w:t>
      </w:r>
    </w:p>
    <w:p w14:paraId="29F48C40" w14:textId="77777777"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对于附有销售退回条款的销售，本集团在客户取得相关商品控制权时，按照因向客户转让商品而预期有权收取的对价金额确认收入，按照预期因销售退回将退还的金额确认为预计负债；同时，按照预期将退回商品转让时的账面价值，扣除收回该商品预计发生的成本（包括退回商品的价值减损）后的余额，确认为一项资产，即应收退货成本，按照所转让商品转让时的账面价值，扣除上述资产成本的净额结转成本。每一资产负债表日，本集团重新估计未来销售退回情况，并对上述资产和负债进行重新计量。</w:t>
      </w:r>
    </w:p>
    <w:p w14:paraId="25B543A6" w14:textId="040F7C08" w:rsidR="00A46BF1" w:rsidRPr="00BA0387" w:rsidRDefault="00A46BF1" w:rsidP="00BA0387">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A0387">
        <w:rPr>
          <w:rFonts w:ascii="Times New Roman" w:hAnsi="Times New Roman" w:cs="Times New Roman" w:hint="eastAsia"/>
          <w:sz w:val="21"/>
          <w:szCs w:val="21"/>
        </w:rPr>
        <w:t>根据合同约定、法律规定等，本集团为所销售的商品提供质量保证，属于为向客户保证所销售的商品符合既定标准的保证类质量保证，本集团按照本附注</w:t>
      </w:r>
      <w:r w:rsidRPr="009462A8">
        <w:rPr>
          <w:rFonts w:ascii="Times New Roman" w:hAnsi="Times New Roman" w:cs="Times New Roman" w:hint="eastAsia"/>
          <w:sz w:val="21"/>
          <w:szCs w:val="21"/>
        </w:rPr>
        <w:t>“</w:t>
      </w:r>
      <w:r w:rsidRPr="00447B2A">
        <w:rPr>
          <w:rFonts w:ascii="Times New Roman" w:hAnsi="Times New Roman" w:cs="Times New Roman" w:hint="eastAsia"/>
          <w:sz w:val="21"/>
          <w:szCs w:val="21"/>
        </w:rPr>
        <w:t>五、</w:t>
      </w:r>
      <w:r w:rsidR="00D73562" w:rsidRPr="00790DBE">
        <w:rPr>
          <w:rFonts w:ascii="Times New Roman" w:hAnsi="Times New Roman" w:cs="Times New Roman"/>
          <w:sz w:val="21"/>
          <w:szCs w:val="21"/>
        </w:rPr>
        <w:t>2</w:t>
      </w:r>
      <w:r w:rsidR="00D73562" w:rsidRPr="00C707CF">
        <w:rPr>
          <w:rFonts w:ascii="Times New Roman" w:hAnsi="Times New Roman" w:cs="Times New Roman"/>
          <w:sz w:val="21"/>
          <w:szCs w:val="21"/>
        </w:rPr>
        <w:t>6</w:t>
      </w:r>
      <w:r w:rsidRPr="009462A8">
        <w:rPr>
          <w:rFonts w:ascii="Times New Roman" w:hAnsi="Times New Roman" w:cs="Times New Roman" w:hint="eastAsia"/>
          <w:sz w:val="21"/>
          <w:szCs w:val="21"/>
        </w:rPr>
        <w:t>预计负债</w:t>
      </w:r>
      <w:r w:rsidRPr="00447B2A">
        <w:rPr>
          <w:rFonts w:ascii="Times New Roman" w:hAnsi="Times New Roman" w:cs="Times New Roman" w:hint="eastAsia"/>
          <w:sz w:val="21"/>
          <w:szCs w:val="21"/>
        </w:rPr>
        <w:t>”</w:t>
      </w:r>
      <w:r w:rsidRPr="00BA0387">
        <w:rPr>
          <w:rFonts w:ascii="Times New Roman" w:hAnsi="Times New Roman" w:cs="Times New Roman" w:hint="eastAsia"/>
          <w:sz w:val="21"/>
          <w:szCs w:val="21"/>
        </w:rPr>
        <w:t>进行会计处理。</w:t>
      </w:r>
    </w:p>
    <w:p w14:paraId="35F10D53" w14:textId="77777777" w:rsidR="00A46BF1" w:rsidRDefault="00A46BF1" w:rsidP="00A46BF1">
      <w:pPr>
        <w:pStyle w:val="3"/>
        <w:spacing w:line="280" w:lineRule="exact"/>
        <w:jc w:val="left"/>
        <w:rPr>
          <w:rFonts w:ascii="宋体" w:hAnsi="宋体" w:cs="宋体"/>
          <w:b/>
          <w:bCs/>
        </w:rPr>
      </w:pPr>
      <w:r>
        <w:rPr>
          <w:rFonts w:ascii="宋体" w:hAnsi="宋体" w:cs="宋体"/>
          <w:b/>
          <w:bCs/>
        </w:rPr>
        <w:t>29、合同成本</w:t>
      </w:r>
    </w:p>
    <w:p w14:paraId="7B98F0B5" w14:textId="64C26155" w:rsidR="00A46BF1" w:rsidRPr="009E3AE3" w:rsidRDefault="009E3AE3" w:rsidP="009E3AE3">
      <w:pPr>
        <w:pStyle w:val="a9"/>
        <w:spacing w:before="0" w:beforeAutospacing="0" w:after="0" w:afterAutospacing="0" w:line="360" w:lineRule="auto"/>
        <w:ind w:firstLineChars="200" w:firstLine="422"/>
        <w:jc w:val="both"/>
        <w:rPr>
          <w:rFonts w:ascii="Times New Roman" w:hAnsi="Times New Roman" w:cs="Times New Roman"/>
          <w:sz w:val="21"/>
          <w:szCs w:val="21"/>
        </w:rPr>
      </w:pPr>
      <w:r>
        <w:rPr>
          <w:rFonts w:ascii="Times New Roman" w:hAnsi="Times New Roman" w:cs="Times New Roman" w:hint="eastAsia"/>
          <w:b/>
          <w:bCs/>
          <w:sz w:val="21"/>
          <w:szCs w:val="21"/>
        </w:rPr>
        <w:t>（</w:t>
      </w:r>
      <w:r>
        <w:rPr>
          <w:rFonts w:ascii="Times New Roman" w:hAnsi="Times New Roman" w:cs="Times New Roman" w:hint="eastAsia"/>
          <w:b/>
          <w:bCs/>
          <w:sz w:val="21"/>
          <w:szCs w:val="21"/>
        </w:rPr>
        <w:t>1</w:t>
      </w:r>
      <w:r>
        <w:rPr>
          <w:rFonts w:ascii="Times New Roman" w:hAnsi="Times New Roman" w:cs="Times New Roman" w:hint="eastAsia"/>
          <w:b/>
          <w:bCs/>
          <w:sz w:val="21"/>
          <w:szCs w:val="21"/>
        </w:rPr>
        <w:t>）</w:t>
      </w:r>
      <w:r w:rsidR="00A46BF1" w:rsidRPr="009E3AE3">
        <w:rPr>
          <w:rFonts w:ascii="Times New Roman" w:hAnsi="Times New Roman" w:cs="Times New Roman" w:hint="eastAsia"/>
          <w:b/>
          <w:bCs/>
          <w:sz w:val="21"/>
          <w:szCs w:val="21"/>
        </w:rPr>
        <w:t>与合同成本有关的资产金额的确定方法</w:t>
      </w:r>
    </w:p>
    <w:p w14:paraId="35573B80" w14:textId="77777777" w:rsidR="00A46BF1" w:rsidRPr="009E3AE3" w:rsidRDefault="00A46BF1" w:rsidP="009E3AE3">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E3AE3">
        <w:rPr>
          <w:rFonts w:ascii="Times New Roman" w:hAnsi="Times New Roman" w:cs="Times New Roman" w:hint="eastAsia"/>
          <w:sz w:val="21"/>
          <w:szCs w:val="21"/>
        </w:rPr>
        <w:t>本集团与合同成本有关的资产包括合同履约成本和合同取得成本。根据其流动性，合同履约成本分别列报在存货和其他非流动资产中，合同取得成本分别列报在其他流动资产和其他非流动资产中。</w:t>
      </w:r>
    </w:p>
    <w:p w14:paraId="6E927F21" w14:textId="77777777" w:rsidR="00A46BF1" w:rsidRPr="009E3AE3" w:rsidRDefault="00A46BF1" w:rsidP="009E3AE3">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E3AE3">
        <w:rPr>
          <w:rFonts w:ascii="Times New Roman" w:hAnsi="Times New Roman" w:cs="Times New Roman" w:hint="eastAsia"/>
          <w:sz w:val="21"/>
          <w:szCs w:val="21"/>
        </w:rPr>
        <w:t>合同履约成本，即本集团为履行合同发生的成本，不属于存货、固定资产或无形资产等相关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052408D5" w14:textId="77777777" w:rsidR="00A46BF1" w:rsidRPr="009E3AE3" w:rsidRDefault="00A46BF1" w:rsidP="009E3AE3">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E3AE3">
        <w:rPr>
          <w:rFonts w:ascii="Times New Roman" w:hAnsi="Times New Roman" w:cs="Times New Roman" w:hint="eastAsia"/>
          <w:sz w:val="21"/>
          <w:szCs w:val="21"/>
        </w:rPr>
        <w:t>合同取得成本，即本集团为取得合同发生的增量成本预期能够收回的，作为合同取得成本确认为一项资产。如果该资产摊销期限不超过一年，本集团选择在发生时计入当期损益的简化处理。增量成本，是指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52737FF6" w14:textId="2CC53AD9" w:rsidR="00A46BF1" w:rsidRPr="009E3AE3" w:rsidRDefault="009E3AE3" w:rsidP="009E3AE3">
      <w:pPr>
        <w:pStyle w:val="a9"/>
        <w:spacing w:before="0" w:beforeAutospacing="0" w:after="0" w:afterAutospacing="0" w:line="360" w:lineRule="auto"/>
        <w:ind w:firstLineChars="200" w:firstLine="422"/>
        <w:jc w:val="both"/>
        <w:rPr>
          <w:rFonts w:ascii="Times New Roman" w:hAnsi="Times New Roman" w:cs="Times New Roman"/>
          <w:sz w:val="21"/>
          <w:szCs w:val="21"/>
        </w:rPr>
      </w:pPr>
      <w:r>
        <w:rPr>
          <w:rFonts w:ascii="Times New Roman" w:hAnsi="Times New Roman" w:cs="Times New Roman" w:hint="eastAsia"/>
          <w:b/>
          <w:bCs/>
          <w:sz w:val="21"/>
          <w:szCs w:val="21"/>
        </w:rPr>
        <w:t>（</w:t>
      </w:r>
      <w:r>
        <w:rPr>
          <w:rFonts w:ascii="Times New Roman" w:hAnsi="Times New Roman" w:cs="Times New Roman" w:hint="eastAsia"/>
          <w:b/>
          <w:bCs/>
          <w:sz w:val="21"/>
          <w:szCs w:val="21"/>
        </w:rPr>
        <w:t>2</w:t>
      </w:r>
      <w:r>
        <w:rPr>
          <w:rFonts w:ascii="Times New Roman" w:hAnsi="Times New Roman" w:cs="Times New Roman" w:hint="eastAsia"/>
          <w:b/>
          <w:bCs/>
          <w:sz w:val="21"/>
          <w:szCs w:val="21"/>
        </w:rPr>
        <w:t>）</w:t>
      </w:r>
      <w:r w:rsidR="00A46BF1" w:rsidRPr="009E3AE3">
        <w:rPr>
          <w:rFonts w:ascii="Times New Roman" w:hAnsi="Times New Roman" w:cs="Times New Roman" w:hint="eastAsia"/>
          <w:b/>
          <w:bCs/>
          <w:sz w:val="21"/>
          <w:szCs w:val="21"/>
        </w:rPr>
        <w:t>与合同成本有关的资产的摊销</w:t>
      </w:r>
    </w:p>
    <w:p w14:paraId="3400DD21" w14:textId="77777777" w:rsidR="00A46BF1" w:rsidRPr="009E3AE3" w:rsidRDefault="00A46BF1" w:rsidP="009E3AE3">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E3AE3">
        <w:rPr>
          <w:rFonts w:ascii="Times New Roman" w:hAnsi="Times New Roman" w:cs="Times New Roman" w:hint="eastAsia"/>
          <w:sz w:val="21"/>
          <w:szCs w:val="21"/>
        </w:rPr>
        <w:t>本集团与合同成本有关的资产采用与该资产相关的商品收入确认相同的基础进行摊销，计入当期损益。</w:t>
      </w:r>
    </w:p>
    <w:p w14:paraId="20300FE2" w14:textId="4792BDB1" w:rsidR="00A46BF1" w:rsidRPr="009E3AE3" w:rsidRDefault="009E3AE3" w:rsidP="009E3AE3">
      <w:pPr>
        <w:pStyle w:val="a9"/>
        <w:spacing w:before="0" w:beforeAutospacing="0" w:after="0" w:afterAutospacing="0" w:line="360" w:lineRule="auto"/>
        <w:ind w:firstLineChars="200" w:firstLine="422"/>
        <w:jc w:val="both"/>
        <w:rPr>
          <w:rFonts w:ascii="Times New Roman" w:hAnsi="Times New Roman" w:cs="Times New Roman"/>
          <w:sz w:val="21"/>
          <w:szCs w:val="21"/>
        </w:rPr>
      </w:pPr>
      <w:r>
        <w:rPr>
          <w:rFonts w:ascii="Times New Roman" w:hAnsi="Times New Roman" w:cs="Times New Roman" w:hint="eastAsia"/>
          <w:b/>
          <w:bCs/>
          <w:sz w:val="21"/>
          <w:szCs w:val="21"/>
        </w:rPr>
        <w:t>（</w:t>
      </w:r>
      <w:r w:rsidR="008123A2">
        <w:rPr>
          <w:rFonts w:ascii="Times New Roman" w:hAnsi="Times New Roman" w:cs="Times New Roman"/>
          <w:b/>
          <w:bCs/>
          <w:sz w:val="21"/>
          <w:szCs w:val="21"/>
        </w:rPr>
        <w:t>3</w:t>
      </w:r>
      <w:r>
        <w:rPr>
          <w:rFonts w:ascii="Times New Roman" w:hAnsi="Times New Roman" w:cs="Times New Roman" w:hint="eastAsia"/>
          <w:b/>
          <w:bCs/>
          <w:sz w:val="21"/>
          <w:szCs w:val="21"/>
        </w:rPr>
        <w:t>）</w:t>
      </w:r>
      <w:r w:rsidR="00A46BF1" w:rsidRPr="009E3AE3">
        <w:rPr>
          <w:rFonts w:ascii="Times New Roman" w:hAnsi="Times New Roman" w:cs="Times New Roman" w:hint="eastAsia"/>
          <w:b/>
          <w:bCs/>
          <w:sz w:val="21"/>
          <w:szCs w:val="21"/>
        </w:rPr>
        <w:t>与合同成本有关的资产的减值</w:t>
      </w:r>
    </w:p>
    <w:p w14:paraId="6EDE2338" w14:textId="77777777" w:rsidR="00A46BF1" w:rsidRPr="009E3AE3" w:rsidRDefault="00A46BF1" w:rsidP="009E3AE3">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E3AE3">
        <w:rPr>
          <w:rFonts w:ascii="Times New Roman" w:hAnsi="Times New Roman" w:cs="Times New Roman" w:hint="eastAsia"/>
          <w:sz w:val="21"/>
          <w:szCs w:val="21"/>
        </w:rPr>
        <w:t>本集团与合同成本有关的资产，其账面价值高于下列两项差额的，本集团将超出部分计提减值准备，并确认为资产减值损失：①企业因转让与该资产相关的商品预期能够取得的剩余对价；②为转让该相关商品估计将要发生的成本。计提减值准备后，如果以前期间减值的因素发生变化，使得上述两项差额高于该资产账面价值的，转回原已计提的资产减值准备，并计入当期损益，但转回后的资产账面价值不超过假定不计提减值准备情况下该资产在转回日的账面价值。</w:t>
      </w:r>
    </w:p>
    <w:p w14:paraId="5AFA1E8B" w14:textId="77777777" w:rsidR="00A46BF1" w:rsidRDefault="00A46BF1" w:rsidP="00A46BF1">
      <w:pPr>
        <w:pStyle w:val="3"/>
        <w:spacing w:line="280" w:lineRule="exact"/>
        <w:jc w:val="left"/>
        <w:rPr>
          <w:rFonts w:ascii="宋体" w:hAnsi="宋体" w:cs="宋体"/>
          <w:b/>
          <w:bCs/>
        </w:rPr>
      </w:pPr>
      <w:r>
        <w:rPr>
          <w:rFonts w:ascii="宋体" w:hAnsi="宋体" w:cs="宋体"/>
          <w:b/>
          <w:bCs/>
        </w:rPr>
        <w:t>30、政府补助</w:t>
      </w:r>
    </w:p>
    <w:p w14:paraId="4872966F"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政府补助在能够满足其所附的条件并且能够收到时，予以确认。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6854B8">
        <w:rPr>
          <w:rFonts w:ascii="Times New Roman" w:hAnsi="Times New Roman" w:cs="Times New Roman" w:hint="eastAsia"/>
          <w:sz w:val="21"/>
          <w:szCs w:val="21"/>
        </w:rPr>
        <w:t>(</w:t>
      </w:r>
      <w:r w:rsidRPr="006854B8">
        <w:rPr>
          <w:rFonts w:ascii="Times New Roman" w:hAnsi="Times New Roman" w:cs="Times New Roman"/>
          <w:sz w:val="21"/>
          <w:szCs w:val="21"/>
        </w:rPr>
        <w:t>1</w:t>
      </w:r>
      <w:r w:rsidRPr="006854B8">
        <w:rPr>
          <w:rFonts w:ascii="Times New Roman" w:hAnsi="Times New Roman" w:cs="Times New Roman" w:hint="eastAsia"/>
          <w:sz w:val="21"/>
          <w:szCs w:val="21"/>
        </w:rPr>
        <w:t>元</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计量。</w:t>
      </w:r>
    </w:p>
    <w:p w14:paraId="6F01F54A"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本集团的政府补助包括与资产相关的政府补助和与收益相关的政府补助。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392C1756"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与资产相关的政府补助</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确认为递延收益，确认为递延收益的与资产相关的政府补助，在相关资产使用寿命内按照直线法分期计入当期损益。相关资产在使用寿命结束前被出售、转让、报废或发生毁损的，将尚未分配的相关递延收益余额转入资产处置当期的损益。</w:t>
      </w:r>
    </w:p>
    <w:p w14:paraId="6B881708"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与收益相关的政府补助，用于补偿以后期间的相关成本费用或损失的，确认为递延收益，并在确认相关成本费用或损失的期间计入当期损益。与日常活动相关的政府补助，按照经济业务实质，计入其他收益或冲减相关成本费用。与日常活动无关的政府补助，计入营业外收支。</w:t>
      </w:r>
    </w:p>
    <w:p w14:paraId="5EE8711C" w14:textId="77777777" w:rsidR="00A46BF1" w:rsidRDefault="00A46BF1" w:rsidP="00A46BF1">
      <w:pPr>
        <w:pStyle w:val="3"/>
        <w:spacing w:line="280" w:lineRule="exact"/>
        <w:jc w:val="left"/>
        <w:rPr>
          <w:rFonts w:ascii="宋体" w:hAnsi="宋体" w:cs="宋体"/>
          <w:b/>
          <w:bCs/>
        </w:rPr>
      </w:pPr>
      <w:r>
        <w:rPr>
          <w:rFonts w:ascii="宋体" w:hAnsi="宋体" w:cs="宋体"/>
          <w:b/>
          <w:bCs/>
        </w:rPr>
        <w:t>31、递延所得税资产/递延所得税负债</w:t>
      </w:r>
    </w:p>
    <w:p w14:paraId="16482BE5"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本集团递延所得税资产和递延所得税负债根据资产和负债的计税基础与其账面价值之间的差额、以及未作为资产和负债确认但按照税法规定可以确定其计税基础的项目的计税基础与其账面价值之间的差额产生的</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暂时性差异</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计算确认。</w:t>
      </w:r>
    </w:p>
    <w:p w14:paraId="69C8B92B"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本集团对除以下情形外的所有应纳税暂时性差异确认递延所得税负债：（</w:t>
      </w:r>
      <w:r w:rsidRPr="006854B8">
        <w:rPr>
          <w:rFonts w:ascii="Times New Roman" w:hAnsi="Times New Roman" w:cs="Times New Roman"/>
          <w:sz w:val="21"/>
          <w:szCs w:val="21"/>
        </w:rPr>
        <w:t>1</w:t>
      </w:r>
      <w:r w:rsidRPr="006854B8">
        <w:rPr>
          <w:rFonts w:ascii="Times New Roman" w:hAnsi="Times New Roman" w:cs="Times New Roman" w:hint="eastAsia"/>
          <w:sz w:val="21"/>
          <w:szCs w:val="21"/>
        </w:rPr>
        <w:t>）暂时性差异产生于商誉的初始确认或既不影响会计利润也不影响应纳税所得额</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或可抵扣亏损</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的非企业合并的交易中产生的资产或负债的初始确认；（</w:t>
      </w:r>
      <w:r w:rsidRPr="006854B8">
        <w:rPr>
          <w:rFonts w:ascii="Times New Roman" w:hAnsi="Times New Roman" w:cs="Times New Roman"/>
          <w:sz w:val="21"/>
          <w:szCs w:val="21"/>
        </w:rPr>
        <w:t>2</w:t>
      </w:r>
      <w:r w:rsidRPr="006854B8">
        <w:rPr>
          <w:rFonts w:ascii="Times New Roman" w:hAnsi="Times New Roman" w:cs="Times New Roman" w:hint="eastAsia"/>
          <w:sz w:val="21"/>
          <w:szCs w:val="21"/>
        </w:rPr>
        <w:t>）与子公司、联营企业及合营企业投资相关的应纳税暂时性差异，本集团能够控制暂时性差异转回的时间且该暂时性差异在可预见的未来很可能不会转回的。</w:t>
      </w:r>
    </w:p>
    <w:p w14:paraId="5474A3AD"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本集团以很可能取得用来抵扣可抵扣暂时性差异、可抵扣亏损和税款抵减的未来应纳税所得额为限，对除以下情形外产生的可抵扣暂时性差异、可抵扣亏损和税款抵减确认递延所得税资产：（</w:t>
      </w:r>
      <w:r w:rsidRPr="006854B8">
        <w:rPr>
          <w:rFonts w:ascii="Times New Roman" w:hAnsi="Times New Roman" w:cs="Times New Roman"/>
          <w:sz w:val="21"/>
          <w:szCs w:val="21"/>
        </w:rPr>
        <w:t>1</w:t>
      </w:r>
      <w:r w:rsidRPr="006854B8">
        <w:rPr>
          <w:rFonts w:ascii="Times New Roman" w:hAnsi="Times New Roman" w:cs="Times New Roman" w:hint="eastAsia"/>
          <w:sz w:val="21"/>
          <w:szCs w:val="21"/>
        </w:rPr>
        <w:t>）暂时性差异产生于既不影响会计利润也不影响应纳税所得额</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或可抵扣亏损</w:t>
      </w:r>
      <w:r w:rsidRPr="006854B8">
        <w:rPr>
          <w:rFonts w:ascii="Times New Roman" w:hAnsi="Times New Roman" w:cs="Times New Roman" w:hint="eastAsia"/>
          <w:sz w:val="21"/>
          <w:szCs w:val="21"/>
        </w:rPr>
        <w:t>)</w:t>
      </w:r>
      <w:r w:rsidRPr="006854B8">
        <w:rPr>
          <w:rFonts w:ascii="Times New Roman" w:hAnsi="Times New Roman" w:cs="Times New Roman" w:hint="eastAsia"/>
          <w:sz w:val="21"/>
          <w:szCs w:val="21"/>
        </w:rPr>
        <w:t>的非企业合并的交易中产生的资产或负债的初始确认；（</w:t>
      </w:r>
      <w:r w:rsidRPr="006854B8">
        <w:rPr>
          <w:rFonts w:ascii="Times New Roman" w:hAnsi="Times New Roman" w:cs="Times New Roman"/>
          <w:sz w:val="21"/>
          <w:szCs w:val="21"/>
        </w:rPr>
        <w:t>2</w:t>
      </w:r>
      <w:r w:rsidRPr="006854B8">
        <w:rPr>
          <w:rFonts w:ascii="Times New Roman" w:hAnsi="Times New Roman" w:cs="Times New Roman" w:hint="eastAsia"/>
          <w:sz w:val="21"/>
          <w:szCs w:val="21"/>
        </w:rPr>
        <w:t>）与子公司、联营企业及合营企业投资相关的可抵扣暂时性差异，不能同时满足以下条件的：暂时性差异在可预见的未来很可能转回、未来很可能获得用来抵扣可抵扣暂时性差异的应纳税所得额。</w:t>
      </w:r>
    </w:p>
    <w:p w14:paraId="19B803C2"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本集团在很可能有足够的应纳税所得额用以抵扣可抵扣亏损的限度内，就所有尚未利用的可抵扣亏损确认递延所得税资产。管理层运用大量的判断来估计未来取得应纳税所得额的时间和金额，结合纳税筹划策略，决定应确认的递延所得税资产的金额，因此存在不确定性。</w:t>
      </w:r>
    </w:p>
    <w:p w14:paraId="4374F022" w14:textId="77777777" w:rsidR="00A46BF1" w:rsidRPr="006854B8" w:rsidRDefault="00A46BF1" w:rsidP="006854B8">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54B8">
        <w:rPr>
          <w:rFonts w:ascii="Times New Roman" w:hAnsi="Times New Roman" w:cs="Times New Roman" w:hint="eastAsia"/>
          <w:sz w:val="21"/>
          <w:szCs w:val="21"/>
        </w:rPr>
        <w:t>于资产负债表日，递延所得税资产和递延所得税负债，按照预期收回该资产或清偿该负债期间的适用税率计量。</w:t>
      </w:r>
    </w:p>
    <w:p w14:paraId="782D2D34" w14:textId="77777777" w:rsidR="00A46BF1" w:rsidRDefault="00A46BF1" w:rsidP="00A46BF1">
      <w:pPr>
        <w:pStyle w:val="3"/>
        <w:spacing w:line="280" w:lineRule="exact"/>
        <w:jc w:val="left"/>
        <w:rPr>
          <w:rFonts w:ascii="宋体" w:hAnsi="宋体" w:cs="宋体"/>
          <w:b/>
          <w:bCs/>
        </w:rPr>
      </w:pPr>
      <w:r>
        <w:rPr>
          <w:rFonts w:ascii="宋体" w:hAnsi="宋体" w:cs="宋体"/>
          <w:b/>
          <w:bCs/>
        </w:rPr>
        <w:t>32、租赁</w:t>
      </w:r>
    </w:p>
    <w:p w14:paraId="782C1075"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作为承租方租赁的会计处理方法</w:t>
      </w:r>
    </w:p>
    <w:p w14:paraId="4D806059"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在合同开始日，本集团评估合同是否为租赁或者包含租赁。如果合同一方让渡了在一定期间内控制一项或多项已识别资产使用的权利以换取对价，则该合同为租赁或者包含租赁。</w:t>
      </w:r>
    </w:p>
    <w:p w14:paraId="50FD1C4F"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合同中同时包含多项单独租赁的，本集团将合同予以分拆，并分别各项单独租赁进行会计处理。合同中同时包含租赁和非租赁部分的，本集团将租赁和非租赁部分分拆后进行会计处理。各租赁部分分别按照租赁准则进行会计处理，非租赁部分按照其他适用的企业会计准则进行会计处理。</w:t>
      </w:r>
    </w:p>
    <w:p w14:paraId="1933E4B5"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除了短期租赁和低价值资产租赁，在租赁期开始日，本集团对租赁确认使用权资产和租赁负债。</w:t>
      </w:r>
    </w:p>
    <w:p w14:paraId="76D9BDB5"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使用权资产，是指本集团作为承租人可在租赁期内使用租赁资产的权利，按照成本进行初始计量。该成本包括：①租赁负债的初始计量金额；②在租赁期开始日或之前支付的租赁付款额扣除已享受的租赁激励相关金额；③发生的初始直接费用；④为拆卸及移除租赁资产、复原租赁资产所在场地或将租赁资产恢复至租赁条款约定状态预计将发生的成本（属于为生产存货而发生的除外）。本集团按照租赁准则有关规定重新计量租赁负债的，相应调整使用权资产的账面价值。</w:t>
      </w:r>
    </w:p>
    <w:p w14:paraId="1A4FAD4F"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本集团根据与使用权资产有关的经济利益的预期消耗方式以直线法对使用权资产计提折旧。能够合理确定租赁期届满时取得租赁资产所有权的，在租赁资产剩余使用寿命内计提折旧；无法合理确定租赁期届满时能够取得租赁资产所有权的，在租赁期与租赁资产剩余使用寿命两者孰短的期间内计提折旧。计提的折旧金额根据使用权资产的用途，计入相关资产的成本或者当期损益。</w:t>
      </w:r>
    </w:p>
    <w:p w14:paraId="7DB8808B"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本集团按照租赁期开始日尚未支付的租赁付款额的现值对租赁负债进行初始计量。租赁付款额包括：①固定付款额及实质固定付款额，扣除租赁激励相关金额；②取决于指数或比率的可变租赁付款额；③本集团合理确定将行使购买选择权时，购买选择权的行权价格；④租赁期反映出本集团将行使终止租赁选择权时，行使终止租赁选择权需支付的款项；⑤根据本集团提供的担保余值预计应支付的款项。</w:t>
      </w:r>
    </w:p>
    <w:p w14:paraId="2A285453"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在计算租赁付款额的现值时，本集团因无法确定租赁内含利率的，采用增量借款利率作为折现率。本集团按照固定的周期性利率计算租赁负债在租赁期内各期间的利息费用，并计入当期损益，但应当资本化的除外。</w:t>
      </w:r>
    </w:p>
    <w:p w14:paraId="6837C97E"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在租赁期开始日后，本集团确认租赁负债的利息时，增加租赁负债的账面金额；支付租赁付款额时，减少租赁负债的账面金额。当实质固定付款额发生变动、担保余值预计的应付金额发生变化、用于确定租赁付款额的指数或比率发生变动、购买选择权、续租选择权或终止选择权的评估结果或实际行权情况发生变化时，本集团按照变动后的租赁付款额的现值重新计量租赁负债。</w:t>
      </w:r>
    </w:p>
    <w:p w14:paraId="3F39E2B5"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sz w:val="21"/>
          <w:szCs w:val="21"/>
        </w:rPr>
        <w:t>2</w:t>
      </w:r>
      <w:r w:rsidRPr="002855BD">
        <w:rPr>
          <w:rFonts w:ascii="Times New Roman" w:hAnsi="Times New Roman" w:cs="Times New Roman" w:hint="eastAsia"/>
          <w:sz w:val="21"/>
          <w:szCs w:val="21"/>
        </w:rPr>
        <w:t>）短期租赁和低价值资产租赁</w:t>
      </w:r>
    </w:p>
    <w:p w14:paraId="2ABAFDDE" w14:textId="77777777" w:rsidR="00A46BF1" w:rsidRPr="002855BD" w:rsidRDefault="00A46BF1" w:rsidP="002855B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2855BD">
        <w:rPr>
          <w:rFonts w:ascii="Times New Roman" w:hAnsi="Times New Roman" w:cs="Times New Roman" w:hint="eastAsia"/>
          <w:sz w:val="21"/>
          <w:szCs w:val="21"/>
        </w:rPr>
        <w:t>对于租赁期不超过</w:t>
      </w:r>
      <w:r w:rsidRPr="002855BD">
        <w:rPr>
          <w:rFonts w:ascii="Times New Roman" w:hAnsi="Times New Roman" w:cs="Times New Roman"/>
          <w:sz w:val="21"/>
          <w:szCs w:val="21"/>
        </w:rPr>
        <w:t>12</w:t>
      </w:r>
      <w:r w:rsidRPr="002855BD">
        <w:rPr>
          <w:rFonts w:ascii="Times New Roman" w:hAnsi="Times New Roman" w:cs="Times New Roman" w:hint="eastAsia"/>
          <w:sz w:val="21"/>
          <w:szCs w:val="21"/>
        </w:rPr>
        <w:t>个月的短期租赁和单项租赁资产为全新资产时价值不超过人民币</w:t>
      </w:r>
      <w:r w:rsidRPr="002855BD">
        <w:rPr>
          <w:rFonts w:ascii="Times New Roman" w:hAnsi="Times New Roman" w:cs="Times New Roman"/>
          <w:sz w:val="21"/>
          <w:szCs w:val="21"/>
        </w:rPr>
        <w:t>4</w:t>
      </w:r>
      <w:r w:rsidRPr="002855BD">
        <w:rPr>
          <w:rFonts w:ascii="Times New Roman" w:hAnsi="Times New Roman" w:cs="Times New Roman" w:hint="eastAsia"/>
          <w:sz w:val="21"/>
          <w:szCs w:val="21"/>
        </w:rPr>
        <w:t>万元的低价值资产租赁，本集团选择不确认使用权资产和租赁负债。本集团将短期租赁和低价值资产租赁的租赁付款额，在租赁期内各个期间按照直线法计入相关资产成本或当期损益。</w:t>
      </w:r>
      <w:r w:rsidRPr="002855BD">
        <w:rPr>
          <w:rFonts w:ascii="Times New Roman" w:hAnsi="Times New Roman" w:cs="Times New Roman"/>
          <w:sz w:val="21"/>
          <w:szCs w:val="21"/>
        </w:rPr>
        <w:t xml:space="preserve"> </w:t>
      </w:r>
    </w:p>
    <w:p w14:paraId="62A9E565" w14:textId="77777777" w:rsidR="00A46BF1" w:rsidRDefault="00A46BF1" w:rsidP="00A46BF1">
      <w:pPr>
        <w:pStyle w:val="3"/>
        <w:spacing w:line="280" w:lineRule="exact"/>
        <w:jc w:val="left"/>
        <w:rPr>
          <w:rFonts w:ascii="宋体" w:hAnsi="宋体" w:cs="宋体"/>
          <w:b/>
          <w:bCs/>
        </w:rPr>
      </w:pPr>
      <w:r>
        <w:rPr>
          <w:rFonts w:ascii="宋体" w:hAnsi="宋体" w:cs="宋体"/>
          <w:b/>
          <w:bCs/>
        </w:rPr>
        <w:t>33、公允价值计量</w:t>
      </w:r>
    </w:p>
    <w:p w14:paraId="2AD232ED" w14:textId="20E8F311" w:rsidR="00A46BF1" w:rsidRPr="001570D9" w:rsidRDefault="00A46BF1" w:rsidP="001570D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570D9">
        <w:rPr>
          <w:rFonts w:ascii="Times New Roman" w:hAnsi="Times New Roman" w:cs="Times New Roman" w:hint="eastAsia"/>
          <w:sz w:val="21"/>
          <w:szCs w:val="21"/>
        </w:rPr>
        <w:t>本集团于每个资产负债表日以公允价值计量权益工具投资。公允价值，是指市场参与者在计量日发生的有序交易中，出售一项资产所能收到或者转移一项负债所需支付的价格。</w:t>
      </w:r>
    </w:p>
    <w:p w14:paraId="5CF882C4" w14:textId="77777777" w:rsidR="00A46BF1" w:rsidRPr="001570D9" w:rsidRDefault="00A46BF1" w:rsidP="001570D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570D9">
        <w:rPr>
          <w:rFonts w:ascii="Times New Roman" w:hAnsi="Times New Roman" w:cs="Times New Roman" w:hint="eastAsia"/>
          <w:sz w:val="21"/>
          <w:szCs w:val="21"/>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14:paraId="44BD7CC8" w14:textId="77777777" w:rsidR="00A46BF1" w:rsidRPr="001570D9" w:rsidRDefault="00A46BF1" w:rsidP="001570D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570D9">
        <w:rPr>
          <w:rFonts w:ascii="Times New Roman" w:hAnsi="Times New Roman" w:cs="Times New Roman" w:hint="eastAsia"/>
          <w:sz w:val="21"/>
          <w:szCs w:val="21"/>
        </w:rPr>
        <w:t>每个资产负债表日，本集团对在财务报表中确认的持续以公允价值计量的资产和负债进行重新评估，以确定是否在公允价值计量层次之间发生转换。</w:t>
      </w:r>
    </w:p>
    <w:p w14:paraId="3468EDDB" w14:textId="77777777" w:rsidR="00A46BF1" w:rsidRPr="001570D9" w:rsidRDefault="00A46BF1" w:rsidP="001570D9">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1570D9">
        <w:rPr>
          <w:rFonts w:ascii="Times New Roman" w:hAnsi="Times New Roman" w:cs="Times New Roman" w:hint="eastAsia"/>
          <w:sz w:val="21"/>
          <w:szCs w:val="21"/>
        </w:rPr>
        <w:t>对于在活跃市场上交易的金融工具，本集团以其活跃市场报价确定其公允价值；对于不在活跃市场上交易的金融工具，本集团采用估值技术确定其公允价值。本集团采用市场法确定对非上市股权投资的公允价值。这要求本集团确定可比上市公司、选择市场乘数、对流动性折价进行估计等，因此具有不确定性。</w:t>
      </w:r>
    </w:p>
    <w:p w14:paraId="3879C54C" w14:textId="77777777" w:rsidR="00A46BF1" w:rsidRDefault="00A46BF1" w:rsidP="00A46BF1">
      <w:pPr>
        <w:pStyle w:val="3"/>
        <w:spacing w:line="280" w:lineRule="exact"/>
        <w:jc w:val="left"/>
        <w:rPr>
          <w:rFonts w:ascii="宋体" w:hAnsi="宋体" w:cs="宋体"/>
          <w:b/>
          <w:bCs/>
        </w:rPr>
      </w:pPr>
      <w:r>
        <w:rPr>
          <w:rFonts w:ascii="宋体" w:hAnsi="宋体" w:cs="宋体"/>
          <w:b/>
          <w:bCs/>
        </w:rPr>
        <w:t>34、重要会计政策和会计估计变更</w:t>
      </w:r>
    </w:p>
    <w:p w14:paraId="3292CD2D"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重要会计政策变更</w:t>
      </w:r>
    </w:p>
    <w:p w14:paraId="44D605A6"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1A38406"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（2） 重要会计估计变更</w:t>
      </w:r>
    </w:p>
    <w:p w14:paraId="590CC866"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A70D24F"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（3） 2025年起首次执行新会计准则调整首次执行当年年初财务报表相关项目情况</w:t>
      </w:r>
    </w:p>
    <w:p w14:paraId="35411810"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F5F6030"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六、税项</w:t>
      </w:r>
    </w:p>
    <w:p w14:paraId="78F9D6E5" w14:textId="77777777" w:rsidR="00A46BF1" w:rsidRDefault="00A46BF1" w:rsidP="00A46BF1">
      <w:pPr>
        <w:pStyle w:val="3"/>
        <w:spacing w:line="280" w:lineRule="exact"/>
        <w:jc w:val="left"/>
        <w:rPr>
          <w:rFonts w:ascii="宋体" w:hAnsi="宋体" w:cs="宋体"/>
          <w:b/>
          <w:bCs/>
        </w:rPr>
      </w:pPr>
      <w:r>
        <w:rPr>
          <w:rFonts w:ascii="宋体" w:hAnsi="宋体" w:cs="宋体"/>
          <w:b/>
          <w:bCs/>
        </w:rPr>
        <w:t>1、主要税种及税率</w:t>
      </w:r>
    </w:p>
    <w:tbl>
      <w:tblPr>
        <w:tblW w:w="9639" w:type="dxa"/>
        <w:tblInd w:w="108" w:type="dxa"/>
        <w:tblLayout w:type="fixed"/>
        <w:tblLook w:val="04A0" w:firstRow="1" w:lastRow="0" w:firstColumn="1" w:lastColumn="0" w:noHBand="0" w:noVBand="1"/>
      </w:tblPr>
      <w:tblGrid>
        <w:gridCol w:w="3213"/>
        <w:gridCol w:w="3213"/>
        <w:gridCol w:w="3213"/>
      </w:tblGrid>
      <w:tr w:rsidR="00095F6F" w14:paraId="1964A7A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B5F7A5" w14:textId="77777777" w:rsidR="00A46BF1" w:rsidRPr="00A64493" w:rsidRDefault="00A46BF1" w:rsidP="00A64493">
            <w:pPr>
              <w:spacing w:before="40" w:after="40" w:line="360" w:lineRule="auto"/>
              <w:jc w:val="center"/>
              <w:rPr>
                <w:rFonts w:ascii="Times New Roman" w:eastAsia="宋体" w:hAnsi="Times New Roman" w:cs="Times New Roman"/>
                <w:sz w:val="18"/>
                <w:szCs w:val="18"/>
              </w:rPr>
            </w:pPr>
            <w:r w:rsidRPr="00A64493">
              <w:rPr>
                <w:rFonts w:ascii="Times New Roman" w:eastAsia="宋体" w:hAnsi="Times New Roman" w:cs="Times New Roman"/>
                <w:sz w:val="18"/>
                <w:szCs w:val="18"/>
              </w:rPr>
              <w:t>税种</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6EA3083" w14:textId="77777777" w:rsidR="00A46BF1" w:rsidRPr="00A64493" w:rsidRDefault="00A46BF1" w:rsidP="00A64493">
            <w:pPr>
              <w:spacing w:before="40" w:after="40" w:line="360" w:lineRule="auto"/>
              <w:jc w:val="center"/>
              <w:rPr>
                <w:rFonts w:ascii="Times New Roman" w:eastAsia="宋体" w:hAnsi="Times New Roman" w:cs="Times New Roman"/>
                <w:sz w:val="18"/>
                <w:szCs w:val="18"/>
              </w:rPr>
            </w:pPr>
            <w:r w:rsidRPr="00A64493">
              <w:rPr>
                <w:rFonts w:ascii="Times New Roman" w:eastAsia="宋体" w:hAnsi="Times New Roman" w:cs="Times New Roman"/>
                <w:sz w:val="18"/>
                <w:szCs w:val="18"/>
              </w:rPr>
              <w:t>计税依据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153D494" w14:textId="77777777" w:rsidR="00A46BF1" w:rsidRPr="00A64493" w:rsidRDefault="00A46BF1" w:rsidP="00A64493">
            <w:pPr>
              <w:spacing w:before="40" w:after="40" w:line="360" w:lineRule="auto"/>
              <w:jc w:val="center"/>
              <w:rPr>
                <w:rFonts w:ascii="Times New Roman" w:eastAsia="宋体" w:hAnsi="Times New Roman" w:cs="Times New Roman"/>
                <w:sz w:val="18"/>
                <w:szCs w:val="18"/>
              </w:rPr>
            </w:pPr>
            <w:r w:rsidRPr="00A64493">
              <w:rPr>
                <w:rFonts w:ascii="Times New Roman" w:eastAsia="宋体" w:hAnsi="Times New Roman" w:cs="Times New Roman"/>
                <w:sz w:val="18"/>
                <w:szCs w:val="18"/>
              </w:rPr>
              <w:t>税率</w:t>
            </w:r>
          </w:p>
        </w:tc>
      </w:tr>
      <w:tr w:rsidR="00095F6F" w14:paraId="04741A1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B67396" w14:textId="77777777" w:rsidR="00A46BF1" w:rsidRPr="00A64493" w:rsidRDefault="00A46BF1" w:rsidP="00A64493">
            <w:pPr>
              <w:spacing w:before="40" w:after="40"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227D36E8"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销售商品或提供劳务的增值额</w:t>
            </w:r>
          </w:p>
        </w:tc>
        <w:tc>
          <w:tcPr>
            <w:tcW w:w="3213" w:type="dxa"/>
            <w:tcBorders>
              <w:top w:val="single" w:sz="2" w:space="0" w:color="auto"/>
              <w:left w:val="single" w:sz="2" w:space="0" w:color="auto"/>
              <w:bottom w:val="single" w:sz="2" w:space="0" w:color="auto"/>
              <w:right w:val="single" w:sz="2" w:space="0" w:color="auto"/>
            </w:tcBorders>
            <w:vAlign w:val="center"/>
          </w:tcPr>
          <w:p w14:paraId="38B02E09"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13%</w:t>
            </w:r>
            <w:r w:rsidRPr="00A64493">
              <w:rPr>
                <w:rFonts w:ascii="Times New Roman" w:eastAsia="宋体" w:hAnsi="Times New Roman" w:cs="Times New Roman"/>
                <w:sz w:val="18"/>
                <w:szCs w:val="18"/>
              </w:rPr>
              <w:t>、</w:t>
            </w:r>
            <w:r w:rsidRPr="00A64493">
              <w:rPr>
                <w:rFonts w:ascii="Times New Roman" w:eastAsia="宋体" w:hAnsi="Times New Roman" w:cs="Times New Roman"/>
                <w:sz w:val="18"/>
                <w:szCs w:val="18"/>
              </w:rPr>
              <w:t>9%</w:t>
            </w:r>
            <w:r w:rsidRPr="00A64493">
              <w:rPr>
                <w:rFonts w:ascii="Times New Roman" w:eastAsia="宋体" w:hAnsi="Times New Roman" w:cs="Times New Roman"/>
                <w:sz w:val="18"/>
                <w:szCs w:val="18"/>
              </w:rPr>
              <w:t>、</w:t>
            </w:r>
            <w:r w:rsidRPr="00A64493">
              <w:rPr>
                <w:rFonts w:ascii="Times New Roman" w:eastAsia="宋体" w:hAnsi="Times New Roman" w:cs="Times New Roman"/>
                <w:sz w:val="18"/>
                <w:szCs w:val="18"/>
              </w:rPr>
              <w:t>6%</w:t>
            </w:r>
          </w:p>
        </w:tc>
      </w:tr>
      <w:tr w:rsidR="00095F6F" w14:paraId="4A45605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01E0C4" w14:textId="77777777" w:rsidR="00A46BF1" w:rsidRPr="00A64493" w:rsidRDefault="00A46BF1" w:rsidP="00A64493">
            <w:pPr>
              <w:spacing w:before="40" w:after="40"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3618BA16"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应纳流转税额</w:t>
            </w:r>
          </w:p>
        </w:tc>
        <w:tc>
          <w:tcPr>
            <w:tcW w:w="3213" w:type="dxa"/>
            <w:tcBorders>
              <w:top w:val="single" w:sz="2" w:space="0" w:color="auto"/>
              <w:left w:val="single" w:sz="2" w:space="0" w:color="auto"/>
              <w:bottom w:val="single" w:sz="2" w:space="0" w:color="auto"/>
              <w:right w:val="single" w:sz="2" w:space="0" w:color="auto"/>
            </w:tcBorders>
            <w:vAlign w:val="center"/>
          </w:tcPr>
          <w:p w14:paraId="6DA7B3A2"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5%</w:t>
            </w:r>
            <w:r w:rsidRPr="00A64493">
              <w:rPr>
                <w:rFonts w:ascii="Times New Roman" w:eastAsia="宋体" w:hAnsi="Times New Roman" w:cs="Times New Roman"/>
                <w:sz w:val="18"/>
                <w:szCs w:val="18"/>
              </w:rPr>
              <w:t>、</w:t>
            </w:r>
            <w:r w:rsidRPr="00A64493">
              <w:rPr>
                <w:rFonts w:ascii="Times New Roman" w:eastAsia="宋体" w:hAnsi="Times New Roman" w:cs="Times New Roman"/>
                <w:sz w:val="18"/>
                <w:szCs w:val="18"/>
              </w:rPr>
              <w:t>7%</w:t>
            </w:r>
          </w:p>
        </w:tc>
      </w:tr>
      <w:tr w:rsidR="00095F6F" w14:paraId="4B2F0F2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BFFA62" w14:textId="77777777" w:rsidR="00A46BF1" w:rsidRPr="00A64493" w:rsidRDefault="00A46BF1" w:rsidP="00A64493">
            <w:pPr>
              <w:spacing w:before="40" w:after="40"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49F56F25"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应纳税所得额</w:t>
            </w:r>
          </w:p>
        </w:tc>
        <w:tc>
          <w:tcPr>
            <w:tcW w:w="3213" w:type="dxa"/>
            <w:tcBorders>
              <w:top w:val="single" w:sz="2" w:space="0" w:color="auto"/>
              <w:left w:val="single" w:sz="2" w:space="0" w:color="auto"/>
              <w:bottom w:val="single" w:sz="2" w:space="0" w:color="auto"/>
              <w:right w:val="single" w:sz="2" w:space="0" w:color="auto"/>
            </w:tcBorders>
            <w:vAlign w:val="center"/>
          </w:tcPr>
          <w:p w14:paraId="67B5CDD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8.25%-27.5%</w:t>
            </w:r>
          </w:p>
        </w:tc>
      </w:tr>
      <w:tr w:rsidR="00095F6F" w14:paraId="1EA283A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17E85E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4DE44F67"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应纳流转税额</w:t>
            </w:r>
          </w:p>
        </w:tc>
        <w:tc>
          <w:tcPr>
            <w:tcW w:w="3213" w:type="dxa"/>
            <w:tcBorders>
              <w:top w:val="single" w:sz="2" w:space="0" w:color="auto"/>
              <w:left w:val="single" w:sz="2" w:space="0" w:color="auto"/>
              <w:bottom w:val="single" w:sz="2" w:space="0" w:color="auto"/>
              <w:right w:val="single" w:sz="2" w:space="0" w:color="auto"/>
            </w:tcBorders>
            <w:vAlign w:val="center"/>
          </w:tcPr>
          <w:p w14:paraId="4AC703C0"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5%</w:t>
            </w:r>
          </w:p>
        </w:tc>
      </w:tr>
      <w:tr w:rsidR="00095F6F" w14:paraId="0329C9F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70CB3C4"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0D590D2B"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土地使用证核定面积</w:t>
            </w:r>
          </w:p>
        </w:tc>
        <w:tc>
          <w:tcPr>
            <w:tcW w:w="3213" w:type="dxa"/>
            <w:tcBorders>
              <w:top w:val="single" w:sz="2" w:space="0" w:color="auto"/>
              <w:left w:val="single" w:sz="2" w:space="0" w:color="auto"/>
              <w:bottom w:val="single" w:sz="2" w:space="0" w:color="auto"/>
              <w:right w:val="single" w:sz="2" w:space="0" w:color="auto"/>
            </w:tcBorders>
            <w:vAlign w:val="center"/>
          </w:tcPr>
          <w:p w14:paraId="2C5AEF7B"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8</w:t>
            </w:r>
            <w:r w:rsidRPr="00A64493">
              <w:rPr>
                <w:rFonts w:ascii="Times New Roman" w:eastAsia="宋体" w:hAnsi="Times New Roman" w:cs="Times New Roman"/>
                <w:sz w:val="18"/>
                <w:szCs w:val="18"/>
              </w:rPr>
              <w:t>元</w:t>
            </w:r>
            <w:r w:rsidRPr="00A64493">
              <w:rPr>
                <w:rFonts w:ascii="Times New Roman" w:eastAsia="宋体" w:hAnsi="Times New Roman" w:cs="Times New Roman"/>
                <w:sz w:val="18"/>
                <w:szCs w:val="18"/>
              </w:rPr>
              <w:t>/</w:t>
            </w:r>
            <w:r w:rsidRPr="00A64493">
              <w:rPr>
                <w:rFonts w:ascii="Times New Roman" w:eastAsia="宋体" w:hAnsi="Times New Roman" w:cs="Times New Roman"/>
                <w:sz w:val="18"/>
                <w:szCs w:val="18"/>
              </w:rPr>
              <w:t>㎡</w:t>
            </w:r>
          </w:p>
        </w:tc>
      </w:tr>
      <w:tr w:rsidR="00095F6F" w14:paraId="49B05C4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09C5A23"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693AC921"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房产原值扣除</w:t>
            </w:r>
            <w:r w:rsidRPr="00A64493">
              <w:rPr>
                <w:rFonts w:ascii="Times New Roman" w:eastAsia="宋体" w:hAnsi="Times New Roman" w:cs="Times New Roman"/>
                <w:sz w:val="18"/>
                <w:szCs w:val="18"/>
              </w:rPr>
              <w:t>20%</w:t>
            </w:r>
            <w:r w:rsidRPr="00A64493">
              <w:rPr>
                <w:rFonts w:ascii="Times New Roman" w:eastAsia="宋体" w:hAnsi="Times New Roman" w:cs="Times New Roman"/>
                <w:sz w:val="18"/>
                <w:szCs w:val="18"/>
              </w:rPr>
              <w:t>后的余值</w:t>
            </w:r>
          </w:p>
        </w:tc>
        <w:tc>
          <w:tcPr>
            <w:tcW w:w="3213" w:type="dxa"/>
            <w:tcBorders>
              <w:top w:val="single" w:sz="2" w:space="0" w:color="auto"/>
              <w:left w:val="single" w:sz="2" w:space="0" w:color="auto"/>
              <w:bottom w:val="single" w:sz="2" w:space="0" w:color="auto"/>
              <w:right w:val="single" w:sz="2" w:space="0" w:color="auto"/>
            </w:tcBorders>
            <w:vAlign w:val="center"/>
          </w:tcPr>
          <w:p w14:paraId="0F42DDB8"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1.2%</w:t>
            </w:r>
          </w:p>
        </w:tc>
      </w:tr>
      <w:tr w:rsidR="00095F6F" w14:paraId="26C18DE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EF22C86"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1BA2D29E"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租金收入</w:t>
            </w:r>
          </w:p>
        </w:tc>
        <w:tc>
          <w:tcPr>
            <w:tcW w:w="3213" w:type="dxa"/>
            <w:tcBorders>
              <w:top w:val="single" w:sz="2" w:space="0" w:color="auto"/>
              <w:left w:val="single" w:sz="2" w:space="0" w:color="auto"/>
              <w:bottom w:val="single" w:sz="2" w:space="0" w:color="auto"/>
              <w:right w:val="single" w:sz="2" w:space="0" w:color="auto"/>
            </w:tcBorders>
            <w:vAlign w:val="center"/>
          </w:tcPr>
          <w:p w14:paraId="5076CB3E"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12%</w:t>
            </w:r>
          </w:p>
        </w:tc>
      </w:tr>
      <w:tr w:rsidR="00095F6F" w14:paraId="3801A66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1AC785"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财产税</w:t>
            </w:r>
            <w:r w:rsidRPr="00A64493">
              <w:rPr>
                <w:rFonts w:ascii="Times New Roman" w:eastAsia="宋体" w:hAnsi="Times New Roman" w:cs="Times New Roman"/>
                <w:sz w:val="18"/>
                <w:szCs w:val="18"/>
              </w:rPr>
              <w:t>US</w:t>
            </w:r>
          </w:p>
        </w:tc>
        <w:tc>
          <w:tcPr>
            <w:tcW w:w="3213" w:type="dxa"/>
            <w:tcBorders>
              <w:top w:val="single" w:sz="2" w:space="0" w:color="auto"/>
              <w:left w:val="single" w:sz="2" w:space="0" w:color="auto"/>
              <w:bottom w:val="single" w:sz="2" w:space="0" w:color="auto"/>
              <w:right w:val="single" w:sz="2" w:space="0" w:color="auto"/>
            </w:tcBorders>
            <w:vAlign w:val="center"/>
          </w:tcPr>
          <w:p w14:paraId="0564E9A6"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财产账面价值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0B643ED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0.6%-2.6%</w:t>
            </w:r>
          </w:p>
        </w:tc>
      </w:tr>
      <w:tr w:rsidR="00095F6F" w14:paraId="1473658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EF04B0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销售税</w:t>
            </w:r>
            <w:r w:rsidRPr="00A64493">
              <w:rPr>
                <w:rFonts w:ascii="Times New Roman" w:eastAsia="宋体" w:hAnsi="Times New Roman" w:cs="Times New Roman"/>
                <w:sz w:val="18"/>
                <w:szCs w:val="18"/>
              </w:rPr>
              <w:t>US</w:t>
            </w:r>
          </w:p>
        </w:tc>
        <w:tc>
          <w:tcPr>
            <w:tcW w:w="3213" w:type="dxa"/>
            <w:tcBorders>
              <w:top w:val="single" w:sz="2" w:space="0" w:color="auto"/>
              <w:left w:val="single" w:sz="2" w:space="0" w:color="auto"/>
              <w:bottom w:val="single" w:sz="2" w:space="0" w:color="auto"/>
              <w:right w:val="single" w:sz="2" w:space="0" w:color="auto"/>
            </w:tcBorders>
            <w:vAlign w:val="center"/>
          </w:tcPr>
          <w:p w14:paraId="137BF7EF"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商品的销售价格</w:t>
            </w:r>
          </w:p>
        </w:tc>
        <w:tc>
          <w:tcPr>
            <w:tcW w:w="3213" w:type="dxa"/>
            <w:tcBorders>
              <w:top w:val="single" w:sz="2" w:space="0" w:color="auto"/>
              <w:left w:val="single" w:sz="2" w:space="0" w:color="auto"/>
              <w:bottom w:val="single" w:sz="2" w:space="0" w:color="auto"/>
              <w:right w:val="single" w:sz="2" w:space="0" w:color="auto"/>
            </w:tcBorders>
            <w:vAlign w:val="center"/>
          </w:tcPr>
          <w:p w14:paraId="15E346F2"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3.5%-10%</w:t>
            </w:r>
          </w:p>
        </w:tc>
      </w:tr>
    </w:tbl>
    <w:p w14:paraId="767E4A2D"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存在不同企业所得税税率纳税主体的，披露情况说明</w:t>
      </w:r>
    </w:p>
    <w:tbl>
      <w:tblPr>
        <w:tblW w:w="9639" w:type="dxa"/>
        <w:tblInd w:w="108" w:type="dxa"/>
        <w:tblLayout w:type="fixed"/>
        <w:tblLook w:val="04A0" w:firstRow="1" w:lastRow="0" w:firstColumn="1" w:lastColumn="0" w:noHBand="0" w:noVBand="1"/>
      </w:tblPr>
      <w:tblGrid>
        <w:gridCol w:w="4253"/>
        <w:gridCol w:w="5386"/>
      </w:tblGrid>
      <w:tr w:rsidR="00095F6F" w14:paraId="1DB4E966"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shd w:val="clear" w:color="auto" w:fill="D3D3D3"/>
            <w:vAlign w:val="center"/>
          </w:tcPr>
          <w:p w14:paraId="65F094C9" w14:textId="77777777" w:rsidR="00A46BF1" w:rsidRPr="00A64493" w:rsidRDefault="00A46BF1" w:rsidP="00A64493">
            <w:pPr>
              <w:spacing w:before="40" w:after="40" w:line="360" w:lineRule="auto"/>
              <w:jc w:val="center"/>
              <w:rPr>
                <w:rFonts w:ascii="Times New Roman" w:eastAsia="宋体" w:hAnsi="Times New Roman" w:cs="Times New Roman"/>
                <w:sz w:val="18"/>
                <w:szCs w:val="18"/>
              </w:rPr>
            </w:pPr>
            <w:r w:rsidRPr="00A64493">
              <w:rPr>
                <w:rFonts w:ascii="Times New Roman" w:eastAsia="宋体" w:hAnsi="Times New Roman" w:cs="Times New Roman"/>
                <w:sz w:val="18"/>
                <w:szCs w:val="18"/>
              </w:rPr>
              <w:t>纳税主体名称</w:t>
            </w:r>
          </w:p>
        </w:tc>
        <w:tc>
          <w:tcPr>
            <w:tcW w:w="5386" w:type="dxa"/>
            <w:tcBorders>
              <w:top w:val="single" w:sz="2" w:space="0" w:color="auto"/>
              <w:left w:val="single" w:sz="2" w:space="0" w:color="auto"/>
              <w:bottom w:val="single" w:sz="2" w:space="0" w:color="auto"/>
              <w:right w:val="single" w:sz="2" w:space="0" w:color="auto"/>
            </w:tcBorders>
            <w:shd w:val="clear" w:color="auto" w:fill="D3D3D3"/>
            <w:vAlign w:val="center"/>
          </w:tcPr>
          <w:p w14:paraId="5988C759" w14:textId="77777777" w:rsidR="00A46BF1" w:rsidRPr="00A64493" w:rsidRDefault="00A46BF1" w:rsidP="00A64493">
            <w:pPr>
              <w:spacing w:before="40" w:after="40" w:line="360" w:lineRule="auto"/>
              <w:jc w:val="center"/>
              <w:rPr>
                <w:rFonts w:ascii="Times New Roman" w:eastAsia="宋体" w:hAnsi="Times New Roman" w:cs="Times New Roman"/>
                <w:sz w:val="18"/>
                <w:szCs w:val="18"/>
              </w:rPr>
            </w:pPr>
            <w:r w:rsidRPr="00A64493">
              <w:rPr>
                <w:rFonts w:ascii="Times New Roman" w:eastAsia="宋体" w:hAnsi="Times New Roman" w:cs="Times New Roman"/>
                <w:sz w:val="18"/>
                <w:szCs w:val="18"/>
              </w:rPr>
              <w:t>所得税税率</w:t>
            </w:r>
          </w:p>
        </w:tc>
      </w:tr>
      <w:tr w:rsidR="00095F6F" w14:paraId="594487BA"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8452A4E"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三诺生物传感股份有限公司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3074A85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15%</w:t>
            </w:r>
          </w:p>
        </w:tc>
      </w:tr>
      <w:tr w:rsidR="00095F6F" w14:paraId="6E8E6284"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6B5F5D77"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深圳市三诺健康产业发展有限公司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44919F8F"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5DC4EACB"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0418D922"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三诺生物（香港）有限公司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484E9297"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16.5%</w:t>
            </w:r>
          </w:p>
        </w:tc>
      </w:tr>
      <w:tr w:rsidR="00095F6F" w14:paraId="7FE98F75"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39747937" w14:textId="4202838E" w:rsidR="00A46BF1" w:rsidRPr="00A64493" w:rsidRDefault="006726DA" w:rsidP="00A64493">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Sinocare Bangladesh</w:t>
            </w:r>
            <w:r>
              <w:rPr>
                <w:rFonts w:ascii="Times New Roman" w:eastAsia="宋体" w:hAnsi="Times New Roman" w:cs="Times New Roman" w:hint="eastAsia"/>
                <w:sz w:val="18"/>
                <w:szCs w:val="18"/>
              </w:rPr>
              <w:t xml:space="preserve"> </w:t>
            </w:r>
            <w:r w:rsidR="00A46BF1" w:rsidRPr="00A64493">
              <w:rPr>
                <w:rFonts w:ascii="Times New Roman" w:eastAsia="宋体" w:hAnsi="Times New Roman" w:cs="Times New Roman"/>
                <w:sz w:val="18"/>
                <w:szCs w:val="18"/>
              </w:rPr>
              <w:t>Limited</w:t>
            </w:r>
          </w:p>
        </w:tc>
        <w:tc>
          <w:tcPr>
            <w:tcW w:w="5386" w:type="dxa"/>
            <w:tcBorders>
              <w:top w:val="single" w:sz="2" w:space="0" w:color="auto"/>
              <w:left w:val="single" w:sz="2" w:space="0" w:color="auto"/>
              <w:bottom w:val="single" w:sz="2" w:space="0" w:color="auto"/>
              <w:right w:val="single" w:sz="2" w:space="0" w:color="auto"/>
            </w:tcBorders>
            <w:vAlign w:val="center"/>
          </w:tcPr>
          <w:p w14:paraId="445B0FD1"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27.5%</w:t>
            </w:r>
          </w:p>
        </w:tc>
      </w:tr>
      <w:tr w:rsidR="00095F6F" w14:paraId="0B71FFC8"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F773363"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 (Thailand) Company Limited</w:t>
            </w:r>
          </w:p>
        </w:tc>
        <w:tc>
          <w:tcPr>
            <w:tcW w:w="5386" w:type="dxa"/>
            <w:tcBorders>
              <w:top w:val="single" w:sz="2" w:space="0" w:color="auto"/>
              <w:left w:val="single" w:sz="2" w:space="0" w:color="auto"/>
              <w:bottom w:val="single" w:sz="2" w:space="0" w:color="auto"/>
              <w:right w:val="single" w:sz="2" w:space="0" w:color="auto"/>
            </w:tcBorders>
            <w:vAlign w:val="center"/>
          </w:tcPr>
          <w:p w14:paraId="3AFB13E3"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38769F26"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2C63F23" w14:textId="15133A38" w:rsidR="00A46BF1" w:rsidRPr="00A64493" w:rsidRDefault="00A46BF1" w:rsidP="006726DA">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PT</w:t>
            </w:r>
            <w:r w:rsidR="006726DA">
              <w:rPr>
                <w:rFonts w:ascii="Times New Roman" w:eastAsia="宋体" w:hAnsi="Times New Roman" w:cs="Times New Roman"/>
                <w:sz w:val="18"/>
                <w:szCs w:val="18"/>
              </w:rPr>
              <w:t xml:space="preserve"> </w:t>
            </w:r>
            <w:r w:rsidRPr="00A64493">
              <w:rPr>
                <w:rFonts w:ascii="Times New Roman" w:eastAsia="宋体" w:hAnsi="Times New Roman" w:cs="Times New Roman"/>
                <w:sz w:val="18"/>
                <w:szCs w:val="18"/>
              </w:rPr>
              <w:t>S</w:t>
            </w:r>
            <w:r w:rsidR="00A64493">
              <w:rPr>
                <w:rFonts w:ascii="Times New Roman" w:eastAsia="宋体" w:hAnsi="Times New Roman" w:cs="Times New Roman"/>
                <w:sz w:val="18"/>
                <w:szCs w:val="18"/>
              </w:rPr>
              <w:t xml:space="preserve">inocare </w:t>
            </w:r>
            <w:r w:rsidRPr="00A64493">
              <w:rPr>
                <w:rFonts w:ascii="Times New Roman" w:eastAsia="宋体" w:hAnsi="Times New Roman" w:cs="Times New Roman"/>
                <w:sz w:val="18"/>
                <w:szCs w:val="18"/>
              </w:rPr>
              <w:t>Healthcare Indonesia</w:t>
            </w:r>
          </w:p>
        </w:tc>
        <w:tc>
          <w:tcPr>
            <w:tcW w:w="5386" w:type="dxa"/>
            <w:tcBorders>
              <w:top w:val="single" w:sz="2" w:space="0" w:color="auto"/>
              <w:left w:val="single" w:sz="2" w:space="0" w:color="auto"/>
              <w:bottom w:val="single" w:sz="2" w:space="0" w:color="auto"/>
              <w:right w:val="single" w:sz="2" w:space="0" w:color="auto"/>
            </w:tcBorders>
            <w:vAlign w:val="center"/>
          </w:tcPr>
          <w:p w14:paraId="5A70E4ED"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22%</w:t>
            </w:r>
          </w:p>
        </w:tc>
      </w:tr>
      <w:tr w:rsidR="00095F6F" w14:paraId="3C09B61B"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022FA63"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 Vietnam L&amp;M Company Limited</w:t>
            </w:r>
          </w:p>
        </w:tc>
        <w:tc>
          <w:tcPr>
            <w:tcW w:w="5386" w:type="dxa"/>
            <w:tcBorders>
              <w:top w:val="single" w:sz="2" w:space="0" w:color="auto"/>
              <w:left w:val="single" w:sz="2" w:space="0" w:color="auto"/>
              <w:bottom w:val="single" w:sz="2" w:space="0" w:color="auto"/>
              <w:right w:val="single" w:sz="2" w:space="0" w:color="auto"/>
            </w:tcBorders>
            <w:vAlign w:val="center"/>
          </w:tcPr>
          <w:p w14:paraId="78EC7823"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07FA8EDF"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738D2A56" w14:textId="0EFF8E84"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 Meditech</w:t>
            </w:r>
            <w:r w:rsidR="00A64493">
              <w:rPr>
                <w:rFonts w:ascii="Times New Roman" w:eastAsia="宋体" w:hAnsi="Times New Roman" w:cs="Times New Roman" w:hint="eastAsia"/>
                <w:sz w:val="18"/>
                <w:szCs w:val="18"/>
              </w:rPr>
              <w:t xml:space="preserve"> </w:t>
            </w:r>
            <w:r w:rsidRPr="00A64493">
              <w:rPr>
                <w:rFonts w:ascii="Times New Roman" w:eastAsia="宋体" w:hAnsi="Times New Roman" w:cs="Times New Roman"/>
                <w:sz w:val="18"/>
                <w:szCs w:val="18"/>
              </w:rPr>
              <w:t>Netherlands B.V.</w:t>
            </w:r>
          </w:p>
        </w:tc>
        <w:tc>
          <w:tcPr>
            <w:tcW w:w="5386" w:type="dxa"/>
            <w:tcBorders>
              <w:top w:val="single" w:sz="2" w:space="0" w:color="auto"/>
              <w:left w:val="single" w:sz="2" w:space="0" w:color="auto"/>
              <w:bottom w:val="single" w:sz="2" w:space="0" w:color="auto"/>
              <w:right w:val="single" w:sz="2" w:space="0" w:color="auto"/>
            </w:tcBorders>
            <w:vAlign w:val="center"/>
          </w:tcPr>
          <w:p w14:paraId="099E0D2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实行两级累进税率：</w:t>
            </w:r>
            <w:r w:rsidRPr="00A64493">
              <w:rPr>
                <w:rFonts w:ascii="Times New Roman" w:eastAsia="宋体" w:hAnsi="Times New Roman" w:cs="Times New Roman"/>
                <w:sz w:val="18"/>
                <w:szCs w:val="18"/>
              </w:rPr>
              <w:t>19%</w:t>
            </w:r>
            <w:r w:rsidRPr="00A64493">
              <w:rPr>
                <w:rFonts w:ascii="Times New Roman" w:eastAsia="宋体" w:hAnsi="Times New Roman" w:cs="Times New Roman"/>
                <w:sz w:val="18"/>
                <w:szCs w:val="18"/>
              </w:rPr>
              <w:t>（利润</w:t>
            </w:r>
            <w:r w:rsidRPr="00A64493">
              <w:rPr>
                <w:rFonts w:ascii="Times New Roman" w:eastAsia="宋体" w:hAnsi="Times New Roman" w:cs="Times New Roman"/>
                <w:sz w:val="18"/>
                <w:szCs w:val="18"/>
              </w:rPr>
              <w:t>≤€20</w:t>
            </w:r>
            <w:r w:rsidRPr="00A64493">
              <w:rPr>
                <w:rFonts w:ascii="Times New Roman" w:eastAsia="宋体" w:hAnsi="Times New Roman" w:cs="Times New Roman"/>
                <w:sz w:val="18"/>
                <w:szCs w:val="18"/>
              </w:rPr>
              <w:t>万），</w:t>
            </w:r>
            <w:r w:rsidRPr="00A64493">
              <w:rPr>
                <w:rFonts w:ascii="Times New Roman" w:eastAsia="宋体" w:hAnsi="Times New Roman" w:cs="Times New Roman"/>
                <w:sz w:val="18"/>
                <w:szCs w:val="18"/>
              </w:rPr>
              <w:t>25.8%</w:t>
            </w:r>
            <w:r w:rsidRPr="00A64493">
              <w:rPr>
                <w:rFonts w:ascii="Times New Roman" w:eastAsia="宋体" w:hAnsi="Times New Roman" w:cs="Times New Roman"/>
                <w:sz w:val="18"/>
                <w:szCs w:val="18"/>
              </w:rPr>
              <w:t>（利润</w:t>
            </w:r>
            <w:r w:rsidRPr="00A64493">
              <w:rPr>
                <w:rFonts w:ascii="Times New Roman" w:eastAsia="宋体" w:hAnsi="Times New Roman" w:cs="Times New Roman"/>
                <w:sz w:val="18"/>
                <w:szCs w:val="18"/>
              </w:rPr>
              <w:t>&gt;€20</w:t>
            </w:r>
            <w:r w:rsidRPr="00A64493">
              <w:rPr>
                <w:rFonts w:ascii="Times New Roman" w:eastAsia="宋体" w:hAnsi="Times New Roman" w:cs="Times New Roman"/>
                <w:sz w:val="18"/>
                <w:szCs w:val="18"/>
              </w:rPr>
              <w:t>万）</w:t>
            </w:r>
          </w:p>
        </w:tc>
      </w:tr>
      <w:tr w:rsidR="00095F6F" w14:paraId="068D3270"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0A2BEF06" w14:textId="3594783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 MALAYSIA SDN.BHD.</w:t>
            </w:r>
          </w:p>
        </w:tc>
        <w:tc>
          <w:tcPr>
            <w:tcW w:w="5386" w:type="dxa"/>
            <w:tcBorders>
              <w:top w:val="single" w:sz="2" w:space="0" w:color="auto"/>
              <w:left w:val="single" w:sz="2" w:space="0" w:color="auto"/>
              <w:bottom w:val="single" w:sz="2" w:space="0" w:color="auto"/>
              <w:right w:val="single" w:sz="2" w:space="0" w:color="auto"/>
            </w:tcBorders>
            <w:vAlign w:val="center"/>
          </w:tcPr>
          <w:p w14:paraId="527D7B6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24%</w:t>
            </w:r>
          </w:p>
        </w:tc>
      </w:tr>
      <w:tr w:rsidR="00095F6F" w14:paraId="0342AA1A"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67B552D3" w14:textId="40819E1C"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 MEDITECH</w:t>
            </w:r>
            <w:r w:rsidR="00A64493">
              <w:rPr>
                <w:rFonts w:ascii="Times New Roman" w:eastAsia="宋体" w:hAnsi="Times New Roman" w:cs="Times New Roman" w:hint="eastAsia"/>
                <w:sz w:val="18"/>
                <w:szCs w:val="18"/>
              </w:rPr>
              <w:t xml:space="preserve"> </w:t>
            </w:r>
            <w:r w:rsidRPr="00A64493">
              <w:rPr>
                <w:rFonts w:ascii="Times New Roman" w:eastAsia="宋体" w:hAnsi="Times New Roman" w:cs="Times New Roman"/>
                <w:sz w:val="18"/>
                <w:szCs w:val="18"/>
              </w:rPr>
              <w:t>SINGAPORE PTE. LTD.</w:t>
            </w:r>
          </w:p>
        </w:tc>
        <w:tc>
          <w:tcPr>
            <w:tcW w:w="5386" w:type="dxa"/>
            <w:tcBorders>
              <w:top w:val="single" w:sz="2" w:space="0" w:color="auto"/>
              <w:left w:val="single" w:sz="2" w:space="0" w:color="auto"/>
              <w:bottom w:val="single" w:sz="2" w:space="0" w:color="auto"/>
              <w:right w:val="single" w:sz="2" w:space="0" w:color="auto"/>
            </w:tcBorders>
            <w:vAlign w:val="center"/>
          </w:tcPr>
          <w:p w14:paraId="3237578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17%</w:t>
            </w:r>
          </w:p>
        </w:tc>
      </w:tr>
      <w:tr w:rsidR="00095F6F" w14:paraId="02EEA96E"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C9B0315" w14:textId="781E9B39"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 Meditech,Inc.</w:t>
            </w:r>
          </w:p>
        </w:tc>
        <w:tc>
          <w:tcPr>
            <w:tcW w:w="5386" w:type="dxa"/>
            <w:tcBorders>
              <w:top w:val="single" w:sz="2" w:space="0" w:color="auto"/>
              <w:left w:val="single" w:sz="2" w:space="0" w:color="auto"/>
              <w:bottom w:val="single" w:sz="2" w:space="0" w:color="auto"/>
              <w:right w:val="single" w:sz="2" w:space="0" w:color="auto"/>
            </w:tcBorders>
            <w:vAlign w:val="center"/>
          </w:tcPr>
          <w:p w14:paraId="51D2010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联邦所得税率</w:t>
            </w:r>
            <w:r w:rsidRPr="00A64493">
              <w:rPr>
                <w:rFonts w:ascii="Times New Roman" w:eastAsia="宋体" w:hAnsi="Times New Roman" w:cs="Times New Roman"/>
                <w:sz w:val="18"/>
                <w:szCs w:val="18"/>
              </w:rPr>
              <w:t>21%</w:t>
            </w:r>
            <w:r w:rsidRPr="00A64493">
              <w:rPr>
                <w:rFonts w:ascii="Times New Roman" w:eastAsia="宋体" w:hAnsi="Times New Roman" w:cs="Times New Roman"/>
                <w:sz w:val="18"/>
                <w:szCs w:val="18"/>
              </w:rPr>
              <w:t>、州所得税率</w:t>
            </w:r>
            <w:r w:rsidRPr="00A64493">
              <w:rPr>
                <w:rFonts w:ascii="Times New Roman" w:eastAsia="宋体" w:hAnsi="Times New Roman" w:cs="Times New Roman"/>
                <w:sz w:val="18"/>
                <w:szCs w:val="18"/>
              </w:rPr>
              <w:t>5.5%</w:t>
            </w:r>
          </w:p>
        </w:tc>
      </w:tr>
      <w:tr w:rsidR="00095F6F" w14:paraId="62466DEF"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73C7C5E"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三诺健康管理有限公司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067BD1F5"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15%</w:t>
            </w:r>
          </w:p>
        </w:tc>
      </w:tr>
      <w:tr w:rsidR="00095F6F" w14:paraId="3543E3D6"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45FA8BF8" w14:textId="3D232E54" w:rsidR="00A46BF1" w:rsidRPr="00A64493" w:rsidRDefault="00A46BF1" w:rsidP="00D734DD">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Polymer</w:t>
            </w:r>
            <w:r w:rsidR="00A64493">
              <w:rPr>
                <w:rFonts w:ascii="Times New Roman" w:eastAsia="宋体" w:hAnsi="Times New Roman" w:cs="Times New Roman" w:hint="eastAsia"/>
                <w:sz w:val="18"/>
                <w:szCs w:val="18"/>
              </w:rPr>
              <w:t xml:space="preserve"> </w:t>
            </w:r>
            <w:r w:rsidRPr="00A64493">
              <w:rPr>
                <w:rFonts w:ascii="Times New Roman" w:eastAsia="宋体" w:hAnsi="Times New Roman" w:cs="Times New Roman"/>
                <w:sz w:val="18"/>
                <w:szCs w:val="18"/>
              </w:rPr>
              <w:t>Technology Systems,Inc.</w:t>
            </w:r>
          </w:p>
        </w:tc>
        <w:tc>
          <w:tcPr>
            <w:tcW w:w="5386" w:type="dxa"/>
            <w:tcBorders>
              <w:top w:val="single" w:sz="2" w:space="0" w:color="auto"/>
              <w:left w:val="single" w:sz="2" w:space="0" w:color="auto"/>
              <w:bottom w:val="single" w:sz="2" w:space="0" w:color="auto"/>
              <w:right w:val="single" w:sz="2" w:space="0" w:color="auto"/>
            </w:tcBorders>
            <w:vAlign w:val="center"/>
          </w:tcPr>
          <w:p w14:paraId="37D8846F"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联邦所得税率</w:t>
            </w:r>
            <w:r w:rsidRPr="00A64493">
              <w:rPr>
                <w:rFonts w:ascii="Times New Roman" w:eastAsia="宋体" w:hAnsi="Times New Roman" w:cs="Times New Roman"/>
                <w:sz w:val="18"/>
                <w:szCs w:val="18"/>
              </w:rPr>
              <w:t>21%</w:t>
            </w:r>
            <w:r w:rsidRPr="00A64493">
              <w:rPr>
                <w:rFonts w:ascii="Times New Roman" w:eastAsia="宋体" w:hAnsi="Times New Roman" w:cs="Times New Roman"/>
                <w:sz w:val="18"/>
                <w:szCs w:val="18"/>
              </w:rPr>
              <w:t>、州所得税率</w:t>
            </w:r>
            <w:r w:rsidRPr="00A64493">
              <w:rPr>
                <w:rFonts w:ascii="Times New Roman" w:eastAsia="宋体" w:hAnsi="Times New Roman" w:cs="Times New Roman"/>
                <w:sz w:val="18"/>
                <w:szCs w:val="18"/>
              </w:rPr>
              <w:t>1.14%</w:t>
            </w:r>
          </w:p>
        </w:tc>
      </w:tr>
      <w:tr w:rsidR="00095F6F" w14:paraId="7335000E"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004F1358"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长沙三诺电子商务有限公司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74A5C652"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25%</w:t>
            </w:r>
          </w:p>
        </w:tc>
      </w:tr>
      <w:tr w:rsidR="00095F6F" w14:paraId="4411F02E"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6663F8DB"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长沙默风电子商务有限公司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244ECBB7"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1FC48907"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5902FD4"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长沙超风电子商务有限公司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57878319"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3B909C06"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6B70C50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长沙章风电子商务有限公司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60444E59"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25%</w:t>
            </w:r>
          </w:p>
        </w:tc>
      </w:tr>
      <w:tr w:rsidR="00095F6F" w14:paraId="630F66D6"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12F5B23"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长沙若风电子商务有限公司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60C7F640"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64FAD7F4"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7025454F"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长沙健准电子商务有限公司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60E0CC07"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25%</w:t>
            </w:r>
          </w:p>
        </w:tc>
      </w:tr>
      <w:tr w:rsidR="00095F6F" w14:paraId="381467F9"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3BAA2CC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上海绮风电子商务有限公司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0A851994"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5D642FE3"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4FE9E808"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长沙安诺心大药房有限公司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5B776740"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4CEA94F0"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B8844D6"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北京三诺健恒糖尿病医院有限责任公司</w:t>
            </w:r>
          </w:p>
        </w:tc>
        <w:tc>
          <w:tcPr>
            <w:tcW w:w="5386" w:type="dxa"/>
            <w:tcBorders>
              <w:top w:val="single" w:sz="2" w:space="0" w:color="auto"/>
              <w:left w:val="single" w:sz="2" w:space="0" w:color="auto"/>
              <w:bottom w:val="single" w:sz="2" w:space="0" w:color="auto"/>
              <w:right w:val="single" w:sz="2" w:space="0" w:color="auto"/>
            </w:tcBorders>
            <w:vAlign w:val="center"/>
          </w:tcPr>
          <w:p w14:paraId="55C57D6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3D8C3953"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08E3BB9"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长沙三诺智慧糖尿病医院有限责任公司</w:t>
            </w:r>
          </w:p>
        </w:tc>
        <w:tc>
          <w:tcPr>
            <w:tcW w:w="5386" w:type="dxa"/>
            <w:tcBorders>
              <w:top w:val="single" w:sz="2" w:space="0" w:color="auto"/>
              <w:left w:val="single" w:sz="2" w:space="0" w:color="auto"/>
              <w:bottom w:val="single" w:sz="2" w:space="0" w:color="auto"/>
              <w:right w:val="single" w:sz="2" w:space="0" w:color="auto"/>
            </w:tcBorders>
            <w:vAlign w:val="center"/>
          </w:tcPr>
          <w:p w14:paraId="0B95E50D"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119A6827"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3CA0F09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长沙稳糖健康管理有限公司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053B675E"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1903A413"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3E4D8552"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长沙甜蜜医联网络科技有限公司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3F007FA5"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714D5A51"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1ED8CA37"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长沙三诺医学检验有限公司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7DD2588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652D98AA"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3F949574"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东莞一测科技有限公司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4236526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15%</w:t>
            </w:r>
          </w:p>
        </w:tc>
      </w:tr>
      <w:tr w:rsidR="00095F6F" w14:paraId="2E51711F"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FB9F7EA" w14:textId="64097545"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Sinocare</w:t>
            </w:r>
            <w:r w:rsidR="00D734DD">
              <w:rPr>
                <w:rFonts w:ascii="Times New Roman" w:eastAsia="宋体" w:hAnsi="Times New Roman" w:cs="Times New Roman"/>
                <w:sz w:val="18"/>
                <w:szCs w:val="18"/>
              </w:rPr>
              <w:t xml:space="preserve"> Healthcare</w:t>
            </w:r>
            <w:r w:rsidR="00D734DD">
              <w:rPr>
                <w:rFonts w:ascii="Times New Roman" w:eastAsia="宋体" w:hAnsi="Times New Roman" w:cs="Times New Roman" w:hint="eastAsia"/>
                <w:sz w:val="18"/>
                <w:szCs w:val="18"/>
              </w:rPr>
              <w:t xml:space="preserve"> </w:t>
            </w:r>
            <w:r w:rsidRPr="00A64493">
              <w:rPr>
                <w:rFonts w:ascii="Times New Roman" w:eastAsia="宋体" w:hAnsi="Times New Roman" w:cs="Times New Roman"/>
                <w:sz w:val="18"/>
                <w:szCs w:val="18"/>
              </w:rPr>
              <w:t>Philippines,Inc.</w:t>
            </w:r>
          </w:p>
        </w:tc>
        <w:tc>
          <w:tcPr>
            <w:tcW w:w="5386" w:type="dxa"/>
            <w:tcBorders>
              <w:top w:val="single" w:sz="2" w:space="0" w:color="auto"/>
              <w:left w:val="single" w:sz="2" w:space="0" w:color="auto"/>
              <w:bottom w:val="single" w:sz="2" w:space="0" w:color="auto"/>
              <w:right w:val="single" w:sz="2" w:space="0" w:color="auto"/>
            </w:tcBorders>
            <w:vAlign w:val="center"/>
          </w:tcPr>
          <w:p w14:paraId="0C6895A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53C1D45A"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44EDA0DF"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长沙福诺医疗科技有限公司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6B41550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6896C3FF"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50948F2" w14:textId="7903C0EE" w:rsidR="00A46BF1" w:rsidRPr="00A64493" w:rsidRDefault="00D734DD" w:rsidP="00A64493">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 xml:space="preserve">PTS </w:t>
            </w:r>
            <w:r w:rsidR="00A46BF1" w:rsidRPr="00A64493">
              <w:rPr>
                <w:rFonts w:ascii="Times New Roman" w:eastAsia="宋体" w:hAnsi="Times New Roman" w:cs="Times New Roman"/>
                <w:sz w:val="18"/>
                <w:szCs w:val="18"/>
              </w:rPr>
              <w:t>Diagnostics India Private Limited</w:t>
            </w:r>
          </w:p>
        </w:tc>
        <w:tc>
          <w:tcPr>
            <w:tcW w:w="5386" w:type="dxa"/>
            <w:tcBorders>
              <w:top w:val="single" w:sz="2" w:space="0" w:color="auto"/>
              <w:left w:val="single" w:sz="2" w:space="0" w:color="auto"/>
              <w:bottom w:val="single" w:sz="2" w:space="0" w:color="auto"/>
              <w:right w:val="single" w:sz="2" w:space="0" w:color="auto"/>
            </w:tcBorders>
            <w:vAlign w:val="center"/>
          </w:tcPr>
          <w:p w14:paraId="704041DB"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25.17%</w:t>
            </w:r>
          </w:p>
        </w:tc>
      </w:tr>
      <w:tr w:rsidR="00095F6F" w14:paraId="7BAC961E"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557C4C3E"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长沙心诺健康产业投资有限公司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1C85D5A5"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25%</w:t>
            </w:r>
          </w:p>
        </w:tc>
      </w:tr>
      <w:tr w:rsidR="00095F6F" w14:paraId="766EF83E"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65DB7D8"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Trividia Health Inc.</w:t>
            </w:r>
          </w:p>
        </w:tc>
        <w:tc>
          <w:tcPr>
            <w:tcW w:w="5386" w:type="dxa"/>
            <w:tcBorders>
              <w:top w:val="single" w:sz="2" w:space="0" w:color="auto"/>
              <w:left w:val="single" w:sz="2" w:space="0" w:color="auto"/>
              <w:bottom w:val="single" w:sz="2" w:space="0" w:color="auto"/>
              <w:right w:val="single" w:sz="2" w:space="0" w:color="auto"/>
            </w:tcBorders>
            <w:vAlign w:val="center"/>
          </w:tcPr>
          <w:p w14:paraId="74629F00"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联邦所得税率</w:t>
            </w:r>
            <w:r w:rsidRPr="00A64493">
              <w:rPr>
                <w:rFonts w:ascii="Times New Roman" w:eastAsia="宋体" w:hAnsi="Times New Roman" w:cs="Times New Roman"/>
                <w:sz w:val="18"/>
                <w:szCs w:val="18"/>
              </w:rPr>
              <w:t>21%</w:t>
            </w:r>
            <w:r w:rsidRPr="00A64493">
              <w:rPr>
                <w:rFonts w:ascii="Times New Roman" w:eastAsia="宋体" w:hAnsi="Times New Roman" w:cs="Times New Roman"/>
                <w:sz w:val="18"/>
                <w:szCs w:val="18"/>
              </w:rPr>
              <w:t>、州所得税率</w:t>
            </w:r>
            <w:r w:rsidRPr="00A64493">
              <w:rPr>
                <w:rFonts w:ascii="Times New Roman" w:eastAsia="宋体" w:hAnsi="Times New Roman" w:cs="Times New Roman"/>
                <w:sz w:val="18"/>
                <w:szCs w:val="18"/>
              </w:rPr>
              <w:t>3.3813%</w:t>
            </w:r>
          </w:p>
        </w:tc>
      </w:tr>
      <w:tr w:rsidR="00095F6F" w14:paraId="3453A149"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C1B909C"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长沙耘睿科技有限公司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38876D11"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r w:rsidR="00095F6F" w14:paraId="6BA098D8" w14:textId="77777777" w:rsidTr="00A64493">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662775B2"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长沙诺行科技有限公司</w:t>
            </w:r>
          </w:p>
        </w:tc>
        <w:tc>
          <w:tcPr>
            <w:tcW w:w="5386" w:type="dxa"/>
            <w:tcBorders>
              <w:top w:val="single" w:sz="2" w:space="0" w:color="auto"/>
              <w:left w:val="single" w:sz="2" w:space="0" w:color="auto"/>
              <w:bottom w:val="single" w:sz="2" w:space="0" w:color="auto"/>
              <w:right w:val="single" w:sz="2" w:space="0" w:color="auto"/>
            </w:tcBorders>
            <w:vAlign w:val="center"/>
          </w:tcPr>
          <w:p w14:paraId="12DB287A" w14:textId="77777777" w:rsidR="00A46BF1" w:rsidRPr="00A64493" w:rsidRDefault="00A46BF1" w:rsidP="00A64493">
            <w:pPr>
              <w:spacing w:line="360" w:lineRule="auto"/>
              <w:rPr>
                <w:rFonts w:ascii="Times New Roman" w:eastAsia="宋体" w:hAnsi="Times New Roman" w:cs="Times New Roman"/>
                <w:sz w:val="18"/>
                <w:szCs w:val="18"/>
              </w:rPr>
            </w:pPr>
            <w:r w:rsidRPr="00A64493">
              <w:rPr>
                <w:rFonts w:ascii="Times New Roman" w:eastAsia="宋体" w:hAnsi="Times New Roman" w:cs="Times New Roman"/>
                <w:sz w:val="18"/>
                <w:szCs w:val="18"/>
              </w:rPr>
              <w:t>20%</w:t>
            </w:r>
          </w:p>
        </w:tc>
      </w:tr>
    </w:tbl>
    <w:p w14:paraId="7F9CAE0C" w14:textId="77777777" w:rsidR="00A46BF1" w:rsidRDefault="00A46BF1" w:rsidP="00A46BF1">
      <w:pPr>
        <w:pStyle w:val="3"/>
        <w:spacing w:line="280" w:lineRule="exact"/>
        <w:jc w:val="left"/>
        <w:rPr>
          <w:rFonts w:ascii="宋体" w:hAnsi="宋体" w:cs="宋体"/>
          <w:b/>
          <w:bCs/>
        </w:rPr>
      </w:pPr>
      <w:r>
        <w:rPr>
          <w:rFonts w:ascii="宋体" w:hAnsi="宋体" w:cs="宋体"/>
          <w:b/>
          <w:bCs/>
        </w:rPr>
        <w:t>2、税收优惠</w:t>
      </w:r>
    </w:p>
    <w:p w14:paraId="38CE026A" w14:textId="77777777"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w:t>
      </w:r>
      <w:r w:rsidRPr="00D734DD">
        <w:rPr>
          <w:rFonts w:ascii="Times New Roman" w:hAnsi="Times New Roman" w:cs="Times New Roman"/>
          <w:sz w:val="21"/>
          <w:szCs w:val="21"/>
        </w:rPr>
        <w:t>1</w:t>
      </w:r>
      <w:r w:rsidRPr="00D734DD">
        <w:rPr>
          <w:rFonts w:ascii="Times New Roman" w:hAnsi="Times New Roman" w:cs="Times New Roman" w:hint="eastAsia"/>
          <w:sz w:val="21"/>
          <w:szCs w:val="21"/>
        </w:rPr>
        <w:t>）本公司于</w:t>
      </w:r>
      <w:r w:rsidRPr="00D734DD">
        <w:rPr>
          <w:rFonts w:ascii="Times New Roman" w:hAnsi="Times New Roman" w:cs="Times New Roman"/>
          <w:sz w:val="21"/>
          <w:szCs w:val="21"/>
        </w:rPr>
        <w:t>2023</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10</w:t>
      </w:r>
      <w:r w:rsidRPr="00D734DD">
        <w:rPr>
          <w:rFonts w:ascii="Times New Roman" w:hAnsi="Times New Roman" w:cs="Times New Roman" w:hint="eastAsia"/>
          <w:sz w:val="21"/>
          <w:szCs w:val="21"/>
        </w:rPr>
        <w:t>月</w:t>
      </w:r>
      <w:r w:rsidRPr="00D734DD">
        <w:rPr>
          <w:rFonts w:ascii="Times New Roman" w:hAnsi="Times New Roman" w:cs="Times New Roman"/>
          <w:sz w:val="21"/>
          <w:szCs w:val="21"/>
        </w:rPr>
        <w:t>16</w:t>
      </w:r>
      <w:r w:rsidRPr="00D734DD">
        <w:rPr>
          <w:rFonts w:ascii="Times New Roman" w:hAnsi="Times New Roman" w:cs="Times New Roman" w:hint="eastAsia"/>
          <w:sz w:val="21"/>
          <w:szCs w:val="21"/>
        </w:rPr>
        <w:t>日取得湖南省科学技术厅、湖南省财政厅、国家税务总局湖南省税务局颁发的</w:t>
      </w:r>
      <w:r w:rsidRPr="00D734DD">
        <w:rPr>
          <w:rFonts w:ascii="Times New Roman" w:hAnsi="Times New Roman" w:cs="Times New Roman"/>
          <w:sz w:val="21"/>
          <w:szCs w:val="21"/>
        </w:rPr>
        <w:t>GR202343003384</w:t>
      </w:r>
      <w:r w:rsidRPr="00D734DD">
        <w:rPr>
          <w:rFonts w:ascii="Times New Roman" w:hAnsi="Times New Roman" w:cs="Times New Roman" w:hint="eastAsia"/>
          <w:sz w:val="21"/>
          <w:szCs w:val="21"/>
        </w:rPr>
        <w:t>号高新技术企业证书，有效期为</w:t>
      </w:r>
      <w:r w:rsidRPr="00D734DD">
        <w:rPr>
          <w:rFonts w:ascii="Times New Roman" w:hAnsi="Times New Roman" w:cs="Times New Roman"/>
          <w:sz w:val="21"/>
          <w:szCs w:val="21"/>
        </w:rPr>
        <w:t>3</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2023</w:t>
      </w:r>
      <w:r w:rsidRPr="00D734DD">
        <w:rPr>
          <w:rFonts w:ascii="Times New Roman" w:hAnsi="Times New Roman" w:cs="Times New Roman" w:hint="eastAsia"/>
          <w:sz w:val="21"/>
          <w:szCs w:val="21"/>
        </w:rPr>
        <w:t>年至</w:t>
      </w:r>
      <w:r w:rsidRPr="00D734DD">
        <w:rPr>
          <w:rFonts w:ascii="Times New Roman" w:hAnsi="Times New Roman" w:cs="Times New Roman"/>
          <w:sz w:val="21"/>
          <w:szCs w:val="21"/>
        </w:rPr>
        <w:t>2025</w:t>
      </w:r>
      <w:r w:rsidRPr="00D734DD">
        <w:rPr>
          <w:rFonts w:ascii="Times New Roman" w:hAnsi="Times New Roman" w:cs="Times New Roman" w:hint="eastAsia"/>
          <w:sz w:val="21"/>
          <w:szCs w:val="21"/>
        </w:rPr>
        <w:t>年，本公司依据高新企业税收优惠政策规定，享受企业所得税</w:t>
      </w:r>
      <w:r w:rsidRPr="00D734DD">
        <w:rPr>
          <w:rFonts w:ascii="Times New Roman" w:hAnsi="Times New Roman" w:cs="Times New Roman"/>
          <w:sz w:val="21"/>
          <w:szCs w:val="21"/>
        </w:rPr>
        <w:t>15%</w:t>
      </w:r>
      <w:r w:rsidRPr="00D734DD">
        <w:rPr>
          <w:rFonts w:ascii="Times New Roman" w:hAnsi="Times New Roman" w:cs="Times New Roman" w:hint="eastAsia"/>
          <w:sz w:val="21"/>
          <w:szCs w:val="21"/>
        </w:rPr>
        <w:t>的优惠税率。</w:t>
      </w:r>
    </w:p>
    <w:p w14:paraId="523F6051" w14:textId="77777777"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w:t>
      </w:r>
      <w:r w:rsidRPr="00D734DD">
        <w:rPr>
          <w:rFonts w:ascii="Times New Roman" w:hAnsi="Times New Roman" w:cs="Times New Roman"/>
          <w:sz w:val="21"/>
          <w:szCs w:val="21"/>
        </w:rPr>
        <w:t>2</w:t>
      </w:r>
      <w:r w:rsidRPr="00D734DD">
        <w:rPr>
          <w:rFonts w:ascii="Times New Roman" w:hAnsi="Times New Roman" w:cs="Times New Roman" w:hint="eastAsia"/>
          <w:sz w:val="21"/>
          <w:szCs w:val="21"/>
        </w:rPr>
        <w:t>）本公司之子公司三诺健康管理有限公司于</w:t>
      </w:r>
      <w:r w:rsidRPr="00D734DD">
        <w:rPr>
          <w:rFonts w:ascii="Times New Roman" w:hAnsi="Times New Roman" w:cs="Times New Roman"/>
          <w:sz w:val="21"/>
          <w:szCs w:val="21"/>
        </w:rPr>
        <w:t>2024</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12</w:t>
      </w:r>
      <w:r w:rsidRPr="00D734DD">
        <w:rPr>
          <w:rFonts w:ascii="Times New Roman" w:hAnsi="Times New Roman" w:cs="Times New Roman" w:hint="eastAsia"/>
          <w:sz w:val="21"/>
          <w:szCs w:val="21"/>
        </w:rPr>
        <w:t>月</w:t>
      </w:r>
      <w:r w:rsidRPr="00D734DD">
        <w:rPr>
          <w:rFonts w:ascii="Times New Roman" w:hAnsi="Times New Roman" w:cs="Times New Roman"/>
          <w:sz w:val="21"/>
          <w:szCs w:val="21"/>
        </w:rPr>
        <w:t>16</w:t>
      </w:r>
      <w:r w:rsidRPr="00D734DD">
        <w:rPr>
          <w:rFonts w:ascii="Times New Roman" w:hAnsi="Times New Roman" w:cs="Times New Roman" w:hint="eastAsia"/>
          <w:sz w:val="21"/>
          <w:szCs w:val="21"/>
        </w:rPr>
        <w:t>日取得湖南省科学技术厅、湖南省财政厅、国家税务总局湖南省税务局颁发的</w:t>
      </w:r>
      <w:r w:rsidRPr="00D734DD">
        <w:rPr>
          <w:rFonts w:ascii="Times New Roman" w:hAnsi="Times New Roman" w:cs="Times New Roman"/>
          <w:sz w:val="21"/>
          <w:szCs w:val="21"/>
        </w:rPr>
        <w:t>GR202443004148</w:t>
      </w:r>
      <w:r w:rsidRPr="00D734DD">
        <w:rPr>
          <w:rFonts w:ascii="Times New Roman" w:hAnsi="Times New Roman" w:cs="Times New Roman" w:hint="eastAsia"/>
          <w:sz w:val="21"/>
          <w:szCs w:val="21"/>
        </w:rPr>
        <w:t>号高新技术企业证书，有效期为</w:t>
      </w:r>
      <w:r w:rsidRPr="00D734DD">
        <w:rPr>
          <w:rFonts w:ascii="Times New Roman" w:hAnsi="Times New Roman" w:cs="Times New Roman"/>
          <w:sz w:val="21"/>
          <w:szCs w:val="21"/>
        </w:rPr>
        <w:t>3</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2024</w:t>
      </w:r>
      <w:r w:rsidRPr="00D734DD">
        <w:rPr>
          <w:rFonts w:ascii="Times New Roman" w:hAnsi="Times New Roman" w:cs="Times New Roman" w:hint="eastAsia"/>
          <w:sz w:val="21"/>
          <w:szCs w:val="21"/>
        </w:rPr>
        <w:t>年至</w:t>
      </w:r>
      <w:r w:rsidRPr="00D734DD">
        <w:rPr>
          <w:rFonts w:ascii="Times New Roman" w:hAnsi="Times New Roman" w:cs="Times New Roman"/>
          <w:sz w:val="21"/>
          <w:szCs w:val="21"/>
        </w:rPr>
        <w:t>2026</w:t>
      </w:r>
      <w:r w:rsidRPr="00D734DD">
        <w:rPr>
          <w:rFonts w:ascii="Times New Roman" w:hAnsi="Times New Roman" w:cs="Times New Roman" w:hint="eastAsia"/>
          <w:sz w:val="21"/>
          <w:szCs w:val="21"/>
        </w:rPr>
        <w:t>年，三诺健康管理有限公司依据高新企业税收优惠政策规定，享受企业所得税</w:t>
      </w:r>
      <w:r w:rsidRPr="00D734DD">
        <w:rPr>
          <w:rFonts w:ascii="Times New Roman" w:hAnsi="Times New Roman" w:cs="Times New Roman"/>
          <w:sz w:val="21"/>
          <w:szCs w:val="21"/>
        </w:rPr>
        <w:t>15%</w:t>
      </w:r>
      <w:r w:rsidRPr="00D734DD">
        <w:rPr>
          <w:rFonts w:ascii="Times New Roman" w:hAnsi="Times New Roman" w:cs="Times New Roman" w:hint="eastAsia"/>
          <w:sz w:val="21"/>
          <w:szCs w:val="21"/>
        </w:rPr>
        <w:t>的优惠税率。</w:t>
      </w:r>
    </w:p>
    <w:p w14:paraId="645EEC06" w14:textId="77777777"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w:t>
      </w:r>
      <w:r w:rsidRPr="00D734DD">
        <w:rPr>
          <w:rFonts w:ascii="Times New Roman" w:hAnsi="Times New Roman" w:cs="Times New Roman"/>
          <w:sz w:val="21"/>
          <w:szCs w:val="21"/>
        </w:rPr>
        <w:t>3</w:t>
      </w:r>
      <w:r w:rsidRPr="00D734DD">
        <w:rPr>
          <w:rFonts w:ascii="Times New Roman" w:hAnsi="Times New Roman" w:cs="Times New Roman" w:hint="eastAsia"/>
          <w:sz w:val="21"/>
          <w:szCs w:val="21"/>
        </w:rPr>
        <w:t>）本公司之子公司东莞一测科技有限公司于</w:t>
      </w:r>
      <w:r w:rsidRPr="00D734DD">
        <w:rPr>
          <w:rFonts w:ascii="Times New Roman" w:hAnsi="Times New Roman" w:cs="Times New Roman"/>
          <w:sz w:val="21"/>
          <w:szCs w:val="21"/>
        </w:rPr>
        <w:t>2025</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12</w:t>
      </w:r>
      <w:r w:rsidRPr="00D734DD">
        <w:rPr>
          <w:rFonts w:ascii="Times New Roman" w:hAnsi="Times New Roman" w:cs="Times New Roman" w:hint="eastAsia"/>
          <w:sz w:val="21"/>
          <w:szCs w:val="21"/>
        </w:rPr>
        <w:t>月</w:t>
      </w:r>
      <w:r w:rsidRPr="00D734DD">
        <w:rPr>
          <w:rFonts w:ascii="Times New Roman" w:hAnsi="Times New Roman" w:cs="Times New Roman"/>
          <w:sz w:val="21"/>
          <w:szCs w:val="21"/>
        </w:rPr>
        <w:t>19</w:t>
      </w:r>
      <w:r w:rsidRPr="00D734DD">
        <w:rPr>
          <w:rFonts w:ascii="Times New Roman" w:hAnsi="Times New Roman" w:cs="Times New Roman" w:hint="eastAsia"/>
          <w:sz w:val="21"/>
          <w:szCs w:val="21"/>
        </w:rPr>
        <w:t>日取得广东省科学技术厅、广东省财政厅、国家税务总局广东省税务局颁发的</w:t>
      </w:r>
      <w:r w:rsidRPr="00D734DD">
        <w:rPr>
          <w:rFonts w:ascii="Times New Roman" w:hAnsi="Times New Roman" w:cs="Times New Roman"/>
          <w:sz w:val="21"/>
          <w:szCs w:val="21"/>
        </w:rPr>
        <w:t>GR202544006706</w:t>
      </w:r>
      <w:r w:rsidRPr="00D734DD">
        <w:rPr>
          <w:rFonts w:ascii="Times New Roman" w:hAnsi="Times New Roman" w:cs="Times New Roman" w:hint="eastAsia"/>
          <w:sz w:val="21"/>
          <w:szCs w:val="21"/>
        </w:rPr>
        <w:t>号高新技术企业证书，有效期为</w:t>
      </w:r>
      <w:r w:rsidRPr="00D734DD">
        <w:rPr>
          <w:rFonts w:ascii="Times New Roman" w:hAnsi="Times New Roman" w:cs="Times New Roman"/>
          <w:sz w:val="21"/>
          <w:szCs w:val="21"/>
        </w:rPr>
        <w:t>3</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2025</w:t>
      </w:r>
      <w:r w:rsidRPr="00D734DD">
        <w:rPr>
          <w:rFonts w:ascii="Times New Roman" w:hAnsi="Times New Roman" w:cs="Times New Roman" w:hint="eastAsia"/>
          <w:sz w:val="21"/>
          <w:szCs w:val="21"/>
        </w:rPr>
        <w:t>年至</w:t>
      </w:r>
      <w:r w:rsidRPr="00D734DD">
        <w:rPr>
          <w:rFonts w:ascii="Times New Roman" w:hAnsi="Times New Roman" w:cs="Times New Roman"/>
          <w:sz w:val="21"/>
          <w:szCs w:val="21"/>
        </w:rPr>
        <w:t>2027</w:t>
      </w:r>
      <w:r w:rsidRPr="00D734DD">
        <w:rPr>
          <w:rFonts w:ascii="Times New Roman" w:hAnsi="Times New Roman" w:cs="Times New Roman" w:hint="eastAsia"/>
          <w:sz w:val="21"/>
          <w:szCs w:val="21"/>
        </w:rPr>
        <w:t>年，东莞一测科技有限公司依据高新企业税收优惠政策规定，享受企业所得税</w:t>
      </w:r>
      <w:r w:rsidRPr="00D734DD">
        <w:rPr>
          <w:rFonts w:ascii="Times New Roman" w:hAnsi="Times New Roman" w:cs="Times New Roman"/>
          <w:sz w:val="21"/>
          <w:szCs w:val="21"/>
        </w:rPr>
        <w:t>15%</w:t>
      </w:r>
      <w:r w:rsidRPr="00D734DD">
        <w:rPr>
          <w:rFonts w:ascii="Times New Roman" w:hAnsi="Times New Roman" w:cs="Times New Roman" w:hint="eastAsia"/>
          <w:sz w:val="21"/>
          <w:szCs w:val="21"/>
        </w:rPr>
        <w:t>的优惠税率。</w:t>
      </w:r>
    </w:p>
    <w:p w14:paraId="289191E6" w14:textId="77777777"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w:t>
      </w:r>
      <w:r w:rsidRPr="00D734DD">
        <w:rPr>
          <w:rFonts w:ascii="Times New Roman" w:hAnsi="Times New Roman" w:cs="Times New Roman"/>
          <w:sz w:val="21"/>
          <w:szCs w:val="21"/>
        </w:rPr>
        <w:t>4</w:t>
      </w:r>
      <w:r w:rsidRPr="00D734DD">
        <w:rPr>
          <w:rFonts w:ascii="Times New Roman" w:hAnsi="Times New Roman" w:cs="Times New Roman" w:hint="eastAsia"/>
          <w:sz w:val="21"/>
          <w:szCs w:val="21"/>
        </w:rPr>
        <w:t>）根据《财政部、国家税务总局关于软件产品增值税政策的通知》（财税〔</w:t>
      </w:r>
      <w:r w:rsidRPr="00D734DD">
        <w:rPr>
          <w:rFonts w:ascii="Times New Roman" w:hAnsi="Times New Roman" w:cs="Times New Roman"/>
          <w:sz w:val="21"/>
          <w:szCs w:val="21"/>
        </w:rPr>
        <w:t>2011</w:t>
      </w:r>
      <w:r w:rsidRPr="00D734DD">
        <w:rPr>
          <w:rFonts w:ascii="Times New Roman" w:hAnsi="Times New Roman" w:cs="Times New Roman" w:hint="eastAsia"/>
          <w:sz w:val="21"/>
          <w:szCs w:val="21"/>
        </w:rPr>
        <w:t>〕</w:t>
      </w:r>
      <w:r w:rsidRPr="00D734DD">
        <w:rPr>
          <w:rFonts w:ascii="Times New Roman" w:hAnsi="Times New Roman" w:cs="Times New Roman"/>
          <w:sz w:val="21"/>
          <w:szCs w:val="21"/>
        </w:rPr>
        <w:t>100</w:t>
      </w:r>
      <w:r w:rsidRPr="00D734DD">
        <w:rPr>
          <w:rFonts w:ascii="Times New Roman" w:hAnsi="Times New Roman" w:cs="Times New Roman" w:hint="eastAsia"/>
          <w:sz w:val="21"/>
          <w:szCs w:val="21"/>
        </w:rPr>
        <w:t>号）的相关规定，本公司</w:t>
      </w:r>
      <w:r w:rsidRPr="00D734DD">
        <w:rPr>
          <w:rFonts w:ascii="Times New Roman" w:hAnsi="Times New Roman" w:cs="Times New Roman"/>
          <w:sz w:val="21"/>
          <w:szCs w:val="21"/>
        </w:rPr>
        <w:t>2011</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1</w:t>
      </w:r>
      <w:r w:rsidRPr="00D734DD">
        <w:rPr>
          <w:rFonts w:ascii="Times New Roman" w:hAnsi="Times New Roman" w:cs="Times New Roman" w:hint="eastAsia"/>
          <w:sz w:val="21"/>
          <w:szCs w:val="21"/>
        </w:rPr>
        <w:t>月</w:t>
      </w:r>
      <w:r w:rsidRPr="00D734DD">
        <w:rPr>
          <w:rFonts w:ascii="Times New Roman" w:hAnsi="Times New Roman" w:cs="Times New Roman"/>
          <w:sz w:val="21"/>
          <w:szCs w:val="21"/>
        </w:rPr>
        <w:t>1</w:t>
      </w:r>
      <w:r w:rsidRPr="00D734DD">
        <w:rPr>
          <w:rFonts w:ascii="Times New Roman" w:hAnsi="Times New Roman" w:cs="Times New Roman" w:hint="eastAsia"/>
          <w:sz w:val="21"/>
          <w:szCs w:val="21"/>
        </w:rPr>
        <w:t>日起销售自行开发生产的软件产品，按照法定税率缴纳增值税，对增值税实际税负超过</w:t>
      </w:r>
      <w:r w:rsidRPr="00D734DD">
        <w:rPr>
          <w:rFonts w:ascii="Times New Roman" w:hAnsi="Times New Roman" w:cs="Times New Roman"/>
          <w:sz w:val="21"/>
          <w:szCs w:val="21"/>
        </w:rPr>
        <w:t>3%</w:t>
      </w:r>
      <w:r w:rsidRPr="00D734DD">
        <w:rPr>
          <w:rFonts w:ascii="Times New Roman" w:hAnsi="Times New Roman" w:cs="Times New Roman" w:hint="eastAsia"/>
          <w:sz w:val="21"/>
          <w:szCs w:val="21"/>
        </w:rPr>
        <w:t>的部分实行即征即退政策。</w:t>
      </w:r>
    </w:p>
    <w:p w14:paraId="7396F7B9" w14:textId="77777777"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w:t>
      </w:r>
      <w:r w:rsidRPr="00D734DD">
        <w:rPr>
          <w:rFonts w:ascii="Times New Roman" w:hAnsi="Times New Roman" w:cs="Times New Roman"/>
          <w:sz w:val="21"/>
          <w:szCs w:val="21"/>
        </w:rPr>
        <w:t>5</w:t>
      </w:r>
      <w:r w:rsidRPr="00D734DD">
        <w:rPr>
          <w:rFonts w:ascii="Times New Roman" w:hAnsi="Times New Roman" w:cs="Times New Roman" w:hint="eastAsia"/>
          <w:sz w:val="21"/>
          <w:szCs w:val="21"/>
        </w:rPr>
        <w:t>）本公司根据《关于进一步完善研发费用税前加计扣除政策的公告》（财政部</w:t>
      </w:r>
      <w:r w:rsidRPr="00D734DD">
        <w:rPr>
          <w:rFonts w:ascii="Times New Roman" w:hAnsi="Times New Roman" w:cs="Times New Roman"/>
          <w:sz w:val="21"/>
          <w:szCs w:val="21"/>
        </w:rPr>
        <w:t xml:space="preserve"> </w:t>
      </w:r>
      <w:r w:rsidRPr="00D734DD">
        <w:rPr>
          <w:rFonts w:ascii="Times New Roman" w:hAnsi="Times New Roman" w:cs="Times New Roman" w:hint="eastAsia"/>
          <w:sz w:val="21"/>
          <w:szCs w:val="21"/>
        </w:rPr>
        <w:t>税务总局公告</w:t>
      </w:r>
      <w:r w:rsidRPr="00D734DD">
        <w:rPr>
          <w:rFonts w:ascii="Times New Roman" w:hAnsi="Times New Roman" w:cs="Times New Roman"/>
          <w:sz w:val="21"/>
          <w:szCs w:val="21"/>
        </w:rPr>
        <w:t>2021</w:t>
      </w:r>
      <w:r w:rsidRPr="00D734DD">
        <w:rPr>
          <w:rFonts w:ascii="Times New Roman" w:hAnsi="Times New Roman" w:cs="Times New Roman" w:hint="eastAsia"/>
          <w:sz w:val="21"/>
          <w:szCs w:val="21"/>
        </w:rPr>
        <w:t>年第</w:t>
      </w:r>
      <w:r w:rsidRPr="00D734DD">
        <w:rPr>
          <w:rFonts w:ascii="Times New Roman" w:hAnsi="Times New Roman" w:cs="Times New Roman"/>
          <w:sz w:val="21"/>
          <w:szCs w:val="21"/>
        </w:rPr>
        <w:t>13</w:t>
      </w:r>
      <w:r w:rsidRPr="00D734DD">
        <w:rPr>
          <w:rFonts w:ascii="Times New Roman" w:hAnsi="Times New Roman" w:cs="Times New Roman" w:hint="eastAsia"/>
          <w:sz w:val="21"/>
          <w:szCs w:val="21"/>
        </w:rPr>
        <w:t>号）的相关规定，制造企业在开展研发活动中实际发生的研发费用，未形成无形资产计入当期损益的，在按规定据实扣除的基础上，自</w:t>
      </w:r>
      <w:r w:rsidRPr="00D734DD">
        <w:rPr>
          <w:rFonts w:ascii="Times New Roman" w:hAnsi="Times New Roman" w:cs="Times New Roman"/>
          <w:sz w:val="21"/>
          <w:szCs w:val="21"/>
        </w:rPr>
        <w:t>2021</w:t>
      </w:r>
      <w:r w:rsidRPr="00D734DD">
        <w:rPr>
          <w:rFonts w:ascii="Times New Roman" w:hAnsi="Times New Roman" w:cs="Times New Roman" w:hint="eastAsia"/>
          <w:sz w:val="21"/>
          <w:szCs w:val="21"/>
        </w:rPr>
        <w:t>年</w:t>
      </w:r>
      <w:r w:rsidRPr="00D734DD">
        <w:rPr>
          <w:rFonts w:ascii="Times New Roman" w:hAnsi="Times New Roman" w:cs="Times New Roman"/>
          <w:sz w:val="21"/>
          <w:szCs w:val="21"/>
        </w:rPr>
        <w:t>1</w:t>
      </w:r>
      <w:r w:rsidRPr="00D734DD">
        <w:rPr>
          <w:rFonts w:ascii="Times New Roman" w:hAnsi="Times New Roman" w:cs="Times New Roman" w:hint="eastAsia"/>
          <w:sz w:val="21"/>
          <w:szCs w:val="21"/>
        </w:rPr>
        <w:t>月</w:t>
      </w:r>
      <w:r w:rsidRPr="00D734DD">
        <w:rPr>
          <w:rFonts w:ascii="Times New Roman" w:hAnsi="Times New Roman" w:cs="Times New Roman"/>
          <w:sz w:val="21"/>
          <w:szCs w:val="21"/>
        </w:rPr>
        <w:t>1</w:t>
      </w:r>
      <w:r w:rsidRPr="00D734DD">
        <w:rPr>
          <w:rFonts w:ascii="Times New Roman" w:hAnsi="Times New Roman" w:cs="Times New Roman" w:hint="eastAsia"/>
          <w:sz w:val="21"/>
          <w:szCs w:val="21"/>
        </w:rPr>
        <w:t>日起，再按照实际发生额的</w:t>
      </w:r>
      <w:r w:rsidRPr="00D734DD">
        <w:rPr>
          <w:rFonts w:ascii="Times New Roman" w:hAnsi="Times New Roman" w:cs="Times New Roman"/>
          <w:sz w:val="21"/>
          <w:szCs w:val="21"/>
        </w:rPr>
        <w:t>100%</w:t>
      </w:r>
      <w:r w:rsidRPr="00D734DD">
        <w:rPr>
          <w:rFonts w:ascii="Times New Roman" w:hAnsi="Times New Roman" w:cs="Times New Roman" w:hint="eastAsia"/>
          <w:sz w:val="21"/>
          <w:szCs w:val="21"/>
        </w:rPr>
        <w:t>在税前加计扣除；形成无形资产的，在上述期间按照无形资产成本的</w:t>
      </w:r>
      <w:r w:rsidRPr="00D734DD">
        <w:rPr>
          <w:rFonts w:ascii="Times New Roman" w:hAnsi="Times New Roman" w:cs="Times New Roman"/>
          <w:sz w:val="21"/>
          <w:szCs w:val="21"/>
        </w:rPr>
        <w:t>200%</w:t>
      </w:r>
      <w:r w:rsidRPr="00D734DD">
        <w:rPr>
          <w:rFonts w:ascii="Times New Roman" w:hAnsi="Times New Roman" w:cs="Times New Roman" w:hint="eastAsia"/>
          <w:sz w:val="21"/>
          <w:szCs w:val="21"/>
        </w:rPr>
        <w:t>在税前摊销。</w:t>
      </w:r>
    </w:p>
    <w:p w14:paraId="01AA65E1" w14:textId="77777777"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w:t>
      </w:r>
      <w:r w:rsidRPr="00D734DD">
        <w:rPr>
          <w:rFonts w:ascii="Times New Roman" w:hAnsi="Times New Roman" w:cs="Times New Roman"/>
          <w:sz w:val="21"/>
          <w:szCs w:val="21"/>
        </w:rPr>
        <w:t>6</w:t>
      </w:r>
      <w:r w:rsidRPr="00D734DD">
        <w:rPr>
          <w:rFonts w:ascii="Times New Roman" w:hAnsi="Times New Roman" w:cs="Times New Roman" w:hint="eastAsia"/>
          <w:sz w:val="21"/>
          <w:szCs w:val="21"/>
        </w:rPr>
        <w:t>）根据《关于进一步实施小微企业所得税优惠政策的公告》（财政部</w:t>
      </w:r>
      <w:r w:rsidRPr="00D734DD">
        <w:rPr>
          <w:rFonts w:ascii="Times New Roman" w:hAnsi="Times New Roman" w:cs="Times New Roman"/>
          <w:sz w:val="21"/>
          <w:szCs w:val="21"/>
        </w:rPr>
        <w:t xml:space="preserve"> </w:t>
      </w:r>
      <w:r w:rsidRPr="00D734DD">
        <w:rPr>
          <w:rFonts w:ascii="Times New Roman" w:hAnsi="Times New Roman" w:cs="Times New Roman" w:hint="eastAsia"/>
          <w:sz w:val="21"/>
          <w:szCs w:val="21"/>
        </w:rPr>
        <w:t>税务总局公告</w:t>
      </w:r>
      <w:r w:rsidRPr="00D734DD">
        <w:rPr>
          <w:rFonts w:ascii="Times New Roman" w:hAnsi="Times New Roman" w:cs="Times New Roman"/>
          <w:sz w:val="21"/>
          <w:szCs w:val="21"/>
        </w:rPr>
        <w:t>2022</w:t>
      </w:r>
      <w:r w:rsidRPr="00D734DD">
        <w:rPr>
          <w:rFonts w:ascii="Times New Roman" w:hAnsi="Times New Roman" w:cs="Times New Roman" w:hint="eastAsia"/>
          <w:sz w:val="21"/>
          <w:szCs w:val="21"/>
        </w:rPr>
        <w:t>年第</w:t>
      </w:r>
      <w:r w:rsidRPr="00D734DD">
        <w:rPr>
          <w:rFonts w:ascii="Times New Roman" w:hAnsi="Times New Roman" w:cs="Times New Roman"/>
          <w:sz w:val="21"/>
          <w:szCs w:val="21"/>
        </w:rPr>
        <w:t>13</w:t>
      </w:r>
      <w:r w:rsidRPr="00D734DD">
        <w:rPr>
          <w:rFonts w:ascii="Times New Roman" w:hAnsi="Times New Roman" w:cs="Times New Roman" w:hint="eastAsia"/>
          <w:sz w:val="21"/>
          <w:szCs w:val="21"/>
        </w:rPr>
        <w:t>号）、《关于小微企业和个体工商户所得税优惠政策的公告》（财政部</w:t>
      </w:r>
      <w:r w:rsidRPr="00D734DD">
        <w:rPr>
          <w:rFonts w:ascii="Times New Roman" w:hAnsi="Times New Roman" w:cs="Times New Roman"/>
          <w:sz w:val="21"/>
          <w:szCs w:val="21"/>
        </w:rPr>
        <w:t xml:space="preserve"> </w:t>
      </w:r>
      <w:r w:rsidRPr="00D734DD">
        <w:rPr>
          <w:rFonts w:ascii="Times New Roman" w:hAnsi="Times New Roman" w:cs="Times New Roman" w:hint="eastAsia"/>
          <w:sz w:val="21"/>
          <w:szCs w:val="21"/>
        </w:rPr>
        <w:t>税务总局公告</w:t>
      </w:r>
      <w:r w:rsidRPr="00D734DD">
        <w:rPr>
          <w:rFonts w:ascii="Times New Roman" w:hAnsi="Times New Roman" w:cs="Times New Roman"/>
          <w:sz w:val="21"/>
          <w:szCs w:val="21"/>
        </w:rPr>
        <w:t>2023</w:t>
      </w:r>
      <w:r w:rsidRPr="00D734DD">
        <w:rPr>
          <w:rFonts w:ascii="Times New Roman" w:hAnsi="Times New Roman" w:cs="Times New Roman" w:hint="eastAsia"/>
          <w:sz w:val="21"/>
          <w:szCs w:val="21"/>
        </w:rPr>
        <w:t>年第</w:t>
      </w:r>
      <w:r w:rsidRPr="00D734DD">
        <w:rPr>
          <w:rFonts w:ascii="Times New Roman" w:hAnsi="Times New Roman" w:cs="Times New Roman"/>
          <w:sz w:val="21"/>
          <w:szCs w:val="21"/>
        </w:rPr>
        <w:t>6</w:t>
      </w:r>
      <w:r w:rsidRPr="00D734DD">
        <w:rPr>
          <w:rFonts w:ascii="Times New Roman" w:hAnsi="Times New Roman" w:cs="Times New Roman" w:hint="eastAsia"/>
          <w:sz w:val="21"/>
          <w:szCs w:val="21"/>
        </w:rPr>
        <w:t>号）、《关于进一步支持小微企业和个体工商户发展有关税费政策的公告》（财政部</w:t>
      </w:r>
      <w:r w:rsidRPr="00D734DD">
        <w:rPr>
          <w:rFonts w:ascii="Times New Roman" w:hAnsi="Times New Roman" w:cs="Times New Roman"/>
          <w:sz w:val="21"/>
          <w:szCs w:val="21"/>
        </w:rPr>
        <w:t xml:space="preserve"> </w:t>
      </w:r>
      <w:r w:rsidRPr="00D734DD">
        <w:rPr>
          <w:rFonts w:ascii="Times New Roman" w:hAnsi="Times New Roman" w:cs="Times New Roman" w:hint="eastAsia"/>
          <w:sz w:val="21"/>
          <w:szCs w:val="21"/>
        </w:rPr>
        <w:t>税务总局公告</w:t>
      </w:r>
      <w:r w:rsidRPr="00D734DD">
        <w:rPr>
          <w:rFonts w:ascii="Times New Roman" w:hAnsi="Times New Roman" w:cs="Times New Roman"/>
          <w:sz w:val="21"/>
          <w:szCs w:val="21"/>
        </w:rPr>
        <w:t>2023</w:t>
      </w:r>
      <w:r w:rsidRPr="00D734DD">
        <w:rPr>
          <w:rFonts w:ascii="Times New Roman" w:hAnsi="Times New Roman" w:cs="Times New Roman" w:hint="eastAsia"/>
          <w:sz w:val="21"/>
          <w:szCs w:val="21"/>
        </w:rPr>
        <w:t>年第</w:t>
      </w:r>
      <w:r w:rsidRPr="00D734DD">
        <w:rPr>
          <w:rFonts w:ascii="Times New Roman" w:hAnsi="Times New Roman" w:cs="Times New Roman"/>
          <w:sz w:val="21"/>
          <w:szCs w:val="21"/>
        </w:rPr>
        <w:t>12</w:t>
      </w:r>
      <w:r w:rsidRPr="00D734DD">
        <w:rPr>
          <w:rFonts w:ascii="Times New Roman" w:hAnsi="Times New Roman" w:cs="Times New Roman" w:hint="eastAsia"/>
          <w:sz w:val="21"/>
          <w:szCs w:val="21"/>
        </w:rPr>
        <w:t>号）的相关规定，本公司之子公司深圳市三诺健康产业发展有限公司、长沙福诺医疗科技有限公司、长沙三诺医学检验有限公司，孙公司长沙三诺智慧糖尿病医院有限责任公司、北京三诺健恒糖尿病医院有限责任公司、长沙安诺心大药房有限公司、长沙稳糖健康管理有限公司、长沙甜蜜医联网络科技有限公司、长沙耘睿科技有限公司、长沙诺行科技有限公司，孙公司之子公司长沙若风电子商务有限公司、长沙超风电子商务有限公司、长沙默风电子商务有限公司、上海绮风电子商务有限公司属于小型微利企业，对年应纳税所得额不超过</w:t>
      </w:r>
      <w:r w:rsidRPr="00D734DD">
        <w:rPr>
          <w:rFonts w:ascii="Times New Roman" w:hAnsi="Times New Roman" w:cs="Times New Roman"/>
          <w:sz w:val="21"/>
          <w:szCs w:val="21"/>
        </w:rPr>
        <w:t>300</w:t>
      </w:r>
      <w:r w:rsidRPr="00D734DD">
        <w:rPr>
          <w:rFonts w:ascii="Times New Roman" w:hAnsi="Times New Roman" w:cs="Times New Roman" w:hint="eastAsia"/>
          <w:sz w:val="21"/>
          <w:szCs w:val="21"/>
        </w:rPr>
        <w:t>万元的部分，减按</w:t>
      </w:r>
      <w:r w:rsidRPr="00D734DD">
        <w:rPr>
          <w:rFonts w:ascii="Times New Roman" w:hAnsi="Times New Roman" w:cs="Times New Roman"/>
          <w:sz w:val="21"/>
          <w:szCs w:val="21"/>
        </w:rPr>
        <w:t>25%</w:t>
      </w:r>
      <w:r w:rsidRPr="00D734DD">
        <w:rPr>
          <w:rFonts w:ascii="Times New Roman" w:hAnsi="Times New Roman" w:cs="Times New Roman" w:hint="eastAsia"/>
          <w:sz w:val="21"/>
          <w:szCs w:val="21"/>
        </w:rPr>
        <w:t>计入应纳税所得额，按</w:t>
      </w:r>
      <w:r w:rsidRPr="00D734DD">
        <w:rPr>
          <w:rFonts w:ascii="Times New Roman" w:hAnsi="Times New Roman" w:cs="Times New Roman"/>
          <w:sz w:val="21"/>
          <w:szCs w:val="21"/>
        </w:rPr>
        <w:t>20%</w:t>
      </w:r>
      <w:r w:rsidRPr="00D734DD">
        <w:rPr>
          <w:rFonts w:ascii="Times New Roman" w:hAnsi="Times New Roman" w:cs="Times New Roman" w:hint="eastAsia"/>
          <w:sz w:val="21"/>
          <w:szCs w:val="21"/>
        </w:rPr>
        <w:t>的税率缴纳企业所得税。</w:t>
      </w:r>
    </w:p>
    <w:p w14:paraId="56704333"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七、合并财务报表项目注释</w:t>
      </w:r>
    </w:p>
    <w:p w14:paraId="2BCEF0DE" w14:textId="77777777" w:rsidR="00A46BF1" w:rsidRDefault="00A46BF1" w:rsidP="00A46BF1">
      <w:pPr>
        <w:pStyle w:val="3"/>
        <w:spacing w:line="280" w:lineRule="exact"/>
        <w:jc w:val="left"/>
        <w:rPr>
          <w:rFonts w:ascii="宋体" w:hAnsi="宋体" w:cs="宋体"/>
          <w:b/>
          <w:bCs/>
        </w:rPr>
      </w:pPr>
      <w:r>
        <w:rPr>
          <w:rFonts w:ascii="宋体" w:hAnsi="宋体" w:cs="宋体"/>
          <w:b/>
          <w:bCs/>
        </w:rPr>
        <w:t>1、货币资金</w:t>
      </w:r>
    </w:p>
    <w:p w14:paraId="3CFB395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2D6412F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D4478E" w14:textId="77777777" w:rsidR="00A46BF1" w:rsidRPr="00D734DD" w:rsidRDefault="00A46BF1" w:rsidP="00D734DD">
            <w:pPr>
              <w:spacing w:before="40" w:after="40" w:line="360" w:lineRule="auto"/>
              <w:jc w:val="center"/>
              <w:rPr>
                <w:rFonts w:ascii="Times New Roman" w:eastAsia="宋体" w:hAnsi="Times New Roman" w:cs="Times New Roman"/>
                <w:sz w:val="18"/>
                <w:szCs w:val="18"/>
              </w:rPr>
            </w:pPr>
            <w:r w:rsidRPr="00D734DD">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C9D0DA" w14:textId="77777777" w:rsidR="00A46BF1" w:rsidRPr="00D734DD" w:rsidRDefault="00A46BF1" w:rsidP="00D734DD">
            <w:pPr>
              <w:spacing w:before="40" w:after="40" w:line="360" w:lineRule="auto"/>
              <w:jc w:val="center"/>
              <w:rPr>
                <w:rFonts w:ascii="Times New Roman" w:eastAsia="宋体" w:hAnsi="Times New Roman" w:cs="Times New Roman"/>
                <w:sz w:val="18"/>
                <w:szCs w:val="18"/>
              </w:rPr>
            </w:pPr>
            <w:r w:rsidRPr="00D734DD">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5E12DC" w14:textId="77777777" w:rsidR="00A46BF1" w:rsidRPr="00D734DD" w:rsidRDefault="00A46BF1" w:rsidP="00D734DD">
            <w:pPr>
              <w:spacing w:before="40" w:after="40" w:line="360" w:lineRule="auto"/>
              <w:jc w:val="center"/>
              <w:rPr>
                <w:rFonts w:ascii="Times New Roman" w:eastAsia="宋体" w:hAnsi="Times New Roman" w:cs="Times New Roman"/>
                <w:sz w:val="18"/>
                <w:szCs w:val="18"/>
              </w:rPr>
            </w:pPr>
            <w:r w:rsidRPr="00D734DD">
              <w:rPr>
                <w:rFonts w:ascii="Times New Roman" w:eastAsia="宋体" w:hAnsi="Times New Roman" w:cs="Times New Roman"/>
                <w:sz w:val="18"/>
                <w:szCs w:val="18"/>
              </w:rPr>
              <w:t>期初余额</w:t>
            </w:r>
          </w:p>
        </w:tc>
      </w:tr>
      <w:tr w:rsidR="00095F6F" w14:paraId="0394AFB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F7B71D"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库存现金</w:t>
            </w:r>
          </w:p>
        </w:tc>
        <w:tc>
          <w:tcPr>
            <w:tcW w:w="3213" w:type="dxa"/>
            <w:tcBorders>
              <w:top w:val="single" w:sz="2" w:space="0" w:color="auto"/>
              <w:left w:val="single" w:sz="2" w:space="0" w:color="auto"/>
              <w:bottom w:val="single" w:sz="2" w:space="0" w:color="auto"/>
              <w:right w:val="single" w:sz="2" w:space="0" w:color="auto"/>
            </w:tcBorders>
            <w:vAlign w:val="center"/>
          </w:tcPr>
          <w:p w14:paraId="1E3896E6"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78,730.91</w:t>
            </w:r>
          </w:p>
        </w:tc>
        <w:tc>
          <w:tcPr>
            <w:tcW w:w="3213" w:type="dxa"/>
            <w:tcBorders>
              <w:top w:val="single" w:sz="2" w:space="0" w:color="auto"/>
              <w:left w:val="single" w:sz="2" w:space="0" w:color="auto"/>
              <w:bottom w:val="single" w:sz="2" w:space="0" w:color="auto"/>
              <w:right w:val="single" w:sz="2" w:space="0" w:color="auto"/>
            </w:tcBorders>
            <w:vAlign w:val="center"/>
          </w:tcPr>
          <w:p w14:paraId="7C01B457"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66,061.08</w:t>
            </w:r>
          </w:p>
        </w:tc>
      </w:tr>
      <w:tr w:rsidR="00095F6F" w14:paraId="41E859F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6DA1B8"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银行存款</w:t>
            </w:r>
          </w:p>
        </w:tc>
        <w:tc>
          <w:tcPr>
            <w:tcW w:w="3213" w:type="dxa"/>
            <w:tcBorders>
              <w:top w:val="single" w:sz="2" w:space="0" w:color="auto"/>
              <w:left w:val="single" w:sz="2" w:space="0" w:color="auto"/>
              <w:bottom w:val="single" w:sz="2" w:space="0" w:color="auto"/>
              <w:right w:val="single" w:sz="2" w:space="0" w:color="auto"/>
            </w:tcBorders>
            <w:vAlign w:val="center"/>
          </w:tcPr>
          <w:p w14:paraId="31E1F73F"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748,359,863.86</w:t>
            </w:r>
          </w:p>
        </w:tc>
        <w:tc>
          <w:tcPr>
            <w:tcW w:w="3213" w:type="dxa"/>
            <w:tcBorders>
              <w:top w:val="single" w:sz="2" w:space="0" w:color="auto"/>
              <w:left w:val="single" w:sz="2" w:space="0" w:color="auto"/>
              <w:bottom w:val="single" w:sz="2" w:space="0" w:color="auto"/>
              <w:right w:val="single" w:sz="2" w:space="0" w:color="auto"/>
            </w:tcBorders>
            <w:vAlign w:val="center"/>
          </w:tcPr>
          <w:p w14:paraId="44D6F8D7"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836,393,225.30</w:t>
            </w:r>
          </w:p>
        </w:tc>
      </w:tr>
      <w:tr w:rsidR="00095F6F" w14:paraId="1FC44BD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5938B7"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其他货币资金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63E1C55B"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30,623,969.30</w:t>
            </w:r>
          </w:p>
        </w:tc>
        <w:tc>
          <w:tcPr>
            <w:tcW w:w="3213" w:type="dxa"/>
            <w:tcBorders>
              <w:top w:val="single" w:sz="2" w:space="0" w:color="auto"/>
              <w:left w:val="single" w:sz="2" w:space="0" w:color="auto"/>
              <w:bottom w:val="single" w:sz="2" w:space="0" w:color="auto"/>
              <w:right w:val="single" w:sz="2" w:space="0" w:color="auto"/>
            </w:tcBorders>
            <w:vAlign w:val="center"/>
          </w:tcPr>
          <w:p w14:paraId="675D1E14"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8,237,157.38</w:t>
            </w:r>
          </w:p>
        </w:tc>
      </w:tr>
      <w:tr w:rsidR="00095F6F" w14:paraId="22F52B8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2A9CD9"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2CFDCF8"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779,062,564.07</w:t>
            </w:r>
          </w:p>
        </w:tc>
        <w:tc>
          <w:tcPr>
            <w:tcW w:w="3213" w:type="dxa"/>
            <w:tcBorders>
              <w:top w:val="single" w:sz="2" w:space="0" w:color="auto"/>
              <w:left w:val="single" w:sz="2" w:space="0" w:color="auto"/>
              <w:bottom w:val="single" w:sz="2" w:space="0" w:color="auto"/>
              <w:right w:val="single" w:sz="2" w:space="0" w:color="auto"/>
            </w:tcBorders>
            <w:vAlign w:val="center"/>
          </w:tcPr>
          <w:p w14:paraId="4B5CC90B"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844,696,443.76</w:t>
            </w:r>
          </w:p>
        </w:tc>
      </w:tr>
      <w:tr w:rsidR="00095F6F" w14:paraId="08DEB56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80B546" w14:textId="77777777" w:rsidR="00A46BF1" w:rsidRPr="00D734DD" w:rsidRDefault="00A46BF1" w:rsidP="00D734DD">
            <w:pPr>
              <w:spacing w:before="40" w:after="40" w:line="360" w:lineRule="auto"/>
              <w:ind w:firstLineChars="200" w:firstLine="360"/>
              <w:rPr>
                <w:rFonts w:ascii="Times New Roman" w:eastAsia="宋体" w:hAnsi="Times New Roman" w:cs="Times New Roman"/>
                <w:sz w:val="18"/>
                <w:szCs w:val="18"/>
              </w:rPr>
            </w:pPr>
            <w:r w:rsidRPr="00D734DD">
              <w:rPr>
                <w:rFonts w:ascii="Times New Roman" w:eastAsia="宋体" w:hAnsi="Times New Roman" w:cs="Times New Roman"/>
                <w:sz w:val="18"/>
                <w:szCs w:val="18"/>
              </w:rPr>
              <w:t>其中：存放在境外的款项总额</w:t>
            </w:r>
          </w:p>
        </w:tc>
        <w:tc>
          <w:tcPr>
            <w:tcW w:w="3213" w:type="dxa"/>
            <w:tcBorders>
              <w:top w:val="single" w:sz="2" w:space="0" w:color="auto"/>
              <w:left w:val="single" w:sz="2" w:space="0" w:color="auto"/>
              <w:bottom w:val="single" w:sz="2" w:space="0" w:color="auto"/>
              <w:right w:val="single" w:sz="2" w:space="0" w:color="auto"/>
            </w:tcBorders>
            <w:vAlign w:val="center"/>
          </w:tcPr>
          <w:p w14:paraId="30B70A09"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486,292,874.60</w:t>
            </w:r>
          </w:p>
        </w:tc>
        <w:tc>
          <w:tcPr>
            <w:tcW w:w="3213" w:type="dxa"/>
            <w:tcBorders>
              <w:top w:val="single" w:sz="2" w:space="0" w:color="auto"/>
              <w:left w:val="single" w:sz="2" w:space="0" w:color="auto"/>
              <w:bottom w:val="single" w:sz="2" w:space="0" w:color="auto"/>
              <w:right w:val="single" w:sz="2" w:space="0" w:color="auto"/>
            </w:tcBorders>
            <w:vAlign w:val="center"/>
          </w:tcPr>
          <w:p w14:paraId="7908B94F"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477,004,474.84</w:t>
            </w:r>
          </w:p>
        </w:tc>
      </w:tr>
    </w:tbl>
    <w:p w14:paraId="1EF21680"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855E9CB" w14:textId="2084FC59"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注</w:t>
      </w:r>
      <w:r w:rsidRPr="00D734DD">
        <w:rPr>
          <w:rFonts w:ascii="Times New Roman" w:hAnsi="Times New Roman" w:cs="Times New Roman"/>
          <w:sz w:val="21"/>
          <w:szCs w:val="21"/>
        </w:rPr>
        <w:t>1</w:t>
      </w:r>
      <w:r w:rsidRPr="00D734DD">
        <w:rPr>
          <w:rFonts w:ascii="Times New Roman" w:hAnsi="Times New Roman" w:cs="Times New Roman" w:hint="eastAsia"/>
          <w:sz w:val="21"/>
          <w:szCs w:val="21"/>
        </w:rPr>
        <w:t>：本公司年末使用受限制的货币资金为</w:t>
      </w:r>
      <w:r w:rsidRPr="00D734DD">
        <w:rPr>
          <w:rFonts w:ascii="Times New Roman" w:hAnsi="Times New Roman" w:cs="Times New Roman"/>
          <w:sz w:val="21"/>
          <w:szCs w:val="21"/>
        </w:rPr>
        <w:t>8,192,291.52</w:t>
      </w:r>
      <w:r w:rsidRPr="00D734DD">
        <w:rPr>
          <w:rFonts w:ascii="Times New Roman" w:hAnsi="Times New Roman" w:cs="Times New Roman" w:hint="eastAsia"/>
          <w:sz w:val="21"/>
          <w:szCs w:val="21"/>
        </w:rPr>
        <w:t>元，详见</w:t>
      </w:r>
      <w:r w:rsidRPr="00C707CF">
        <w:rPr>
          <w:rFonts w:ascii="Times New Roman" w:hAnsi="Times New Roman" w:cs="Times New Roman" w:hint="eastAsia"/>
          <w:sz w:val="21"/>
          <w:szCs w:val="21"/>
        </w:rPr>
        <w:t>本附注</w:t>
      </w:r>
      <w:r w:rsidR="00622238">
        <w:rPr>
          <w:rFonts w:ascii="Times New Roman" w:hAnsi="Times New Roman" w:cs="Times New Roman" w:hint="eastAsia"/>
          <w:sz w:val="21"/>
          <w:szCs w:val="21"/>
        </w:rPr>
        <w:t>七</w:t>
      </w:r>
      <w:r w:rsidRPr="00C707CF">
        <w:rPr>
          <w:rFonts w:ascii="Times New Roman" w:hAnsi="Times New Roman" w:cs="Times New Roman" w:hint="eastAsia"/>
          <w:sz w:val="21"/>
          <w:szCs w:val="21"/>
        </w:rPr>
        <w:t>、</w:t>
      </w:r>
      <w:r w:rsidR="00622238" w:rsidRPr="00C707CF">
        <w:rPr>
          <w:rFonts w:ascii="Times New Roman" w:hAnsi="Times New Roman" w:cs="Times New Roman"/>
          <w:sz w:val="21"/>
          <w:szCs w:val="21"/>
        </w:rPr>
        <w:t>2</w:t>
      </w:r>
      <w:r w:rsidR="00622238">
        <w:rPr>
          <w:rFonts w:ascii="Times New Roman" w:hAnsi="Times New Roman" w:cs="Times New Roman"/>
          <w:sz w:val="21"/>
          <w:szCs w:val="21"/>
        </w:rPr>
        <w:t>3</w:t>
      </w:r>
      <w:r w:rsidRPr="00D734DD">
        <w:rPr>
          <w:rFonts w:ascii="Times New Roman" w:hAnsi="Times New Roman" w:cs="Times New Roman" w:hint="eastAsia"/>
          <w:sz w:val="21"/>
          <w:szCs w:val="21"/>
        </w:rPr>
        <w:t>所有权或使用权受到限制的资产。</w:t>
      </w:r>
    </w:p>
    <w:p w14:paraId="22F6DA8D" w14:textId="0CB5A121" w:rsidR="00A46BF1" w:rsidRPr="00D734DD" w:rsidRDefault="00A46BF1" w:rsidP="00D734DD">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D734DD">
        <w:rPr>
          <w:rFonts w:ascii="Times New Roman" w:hAnsi="Times New Roman" w:cs="Times New Roman" w:hint="eastAsia"/>
          <w:sz w:val="21"/>
          <w:szCs w:val="21"/>
        </w:rPr>
        <w:t>注</w:t>
      </w:r>
      <w:r w:rsidRPr="00D734DD">
        <w:rPr>
          <w:rFonts w:ascii="Times New Roman" w:hAnsi="Times New Roman" w:cs="Times New Roman"/>
          <w:sz w:val="21"/>
          <w:szCs w:val="21"/>
        </w:rPr>
        <w:t>2</w:t>
      </w:r>
      <w:r w:rsidRPr="00D734DD">
        <w:rPr>
          <w:rFonts w:ascii="Times New Roman" w:hAnsi="Times New Roman" w:cs="Times New Roman" w:hint="eastAsia"/>
          <w:sz w:val="21"/>
          <w:szCs w:val="21"/>
        </w:rPr>
        <w:t>：存放在境外的款项主要为本公司之子公司三诺生物（香港）有限公司及其子公司、</w:t>
      </w:r>
      <w:r w:rsidRPr="00D734DD">
        <w:rPr>
          <w:rFonts w:ascii="Times New Roman" w:hAnsi="Times New Roman" w:cs="Times New Roman"/>
          <w:sz w:val="21"/>
          <w:szCs w:val="21"/>
        </w:rPr>
        <w:t>Sinocare Meditech,Inc.</w:t>
      </w:r>
      <w:r w:rsidRPr="00D734DD">
        <w:rPr>
          <w:rFonts w:ascii="Times New Roman" w:hAnsi="Times New Roman" w:cs="Times New Roman" w:hint="eastAsia"/>
          <w:sz w:val="21"/>
          <w:szCs w:val="21"/>
        </w:rPr>
        <w:t>、</w:t>
      </w:r>
      <w:r w:rsidRPr="00D734DD">
        <w:rPr>
          <w:rFonts w:ascii="Times New Roman" w:hAnsi="Times New Roman" w:cs="Times New Roman"/>
          <w:sz w:val="21"/>
          <w:szCs w:val="21"/>
        </w:rPr>
        <w:t>Sinocare Healthcare  Philippines,Inc.</w:t>
      </w:r>
      <w:r w:rsidRPr="00D734DD">
        <w:rPr>
          <w:rFonts w:ascii="Times New Roman" w:hAnsi="Times New Roman" w:cs="Times New Roman" w:hint="eastAsia"/>
          <w:sz w:val="21"/>
          <w:szCs w:val="21"/>
        </w:rPr>
        <w:t>、孙公司</w:t>
      </w:r>
      <w:r w:rsidRPr="00D734DD">
        <w:rPr>
          <w:rFonts w:ascii="Times New Roman" w:hAnsi="Times New Roman" w:cs="Times New Roman"/>
          <w:sz w:val="21"/>
          <w:szCs w:val="21"/>
        </w:rPr>
        <w:t>Polymer Technology Systems,Inc.</w:t>
      </w:r>
      <w:r w:rsidRPr="00D734DD">
        <w:rPr>
          <w:rFonts w:ascii="Times New Roman" w:hAnsi="Times New Roman" w:cs="Times New Roman" w:hint="eastAsia"/>
          <w:sz w:val="21"/>
          <w:szCs w:val="21"/>
        </w:rPr>
        <w:t>及其子公司、</w:t>
      </w:r>
      <w:r w:rsidRPr="00D734DD">
        <w:rPr>
          <w:rFonts w:ascii="Times New Roman" w:hAnsi="Times New Roman" w:cs="Times New Roman"/>
          <w:sz w:val="21"/>
          <w:szCs w:val="21"/>
        </w:rPr>
        <w:t>PTS Diagnostics India Private Limited</w:t>
      </w:r>
      <w:r w:rsidRPr="00D734DD">
        <w:rPr>
          <w:rFonts w:ascii="Times New Roman" w:hAnsi="Times New Roman" w:cs="Times New Roman" w:hint="eastAsia"/>
          <w:sz w:val="21"/>
          <w:szCs w:val="21"/>
        </w:rPr>
        <w:t>、孙公司</w:t>
      </w:r>
      <w:r w:rsidRPr="00D734DD">
        <w:rPr>
          <w:rFonts w:ascii="Times New Roman" w:hAnsi="Times New Roman" w:cs="Times New Roman"/>
          <w:sz w:val="21"/>
          <w:szCs w:val="21"/>
        </w:rPr>
        <w:t>Trividia Health Inc.</w:t>
      </w:r>
      <w:r w:rsidRPr="00D734DD">
        <w:rPr>
          <w:rFonts w:ascii="Times New Roman" w:hAnsi="Times New Roman" w:cs="Times New Roman" w:hint="eastAsia"/>
          <w:sz w:val="21"/>
          <w:szCs w:val="21"/>
        </w:rPr>
        <w:t>及其子公司年末的货币资金余额。</w:t>
      </w:r>
    </w:p>
    <w:p w14:paraId="732B29D6" w14:textId="77777777" w:rsidR="00A46BF1" w:rsidRDefault="00A46BF1" w:rsidP="00A46BF1">
      <w:pPr>
        <w:pStyle w:val="3"/>
        <w:spacing w:line="280" w:lineRule="exact"/>
        <w:jc w:val="left"/>
        <w:rPr>
          <w:rFonts w:ascii="宋体" w:hAnsi="宋体" w:cs="宋体"/>
          <w:b/>
          <w:bCs/>
        </w:rPr>
      </w:pPr>
      <w:r>
        <w:rPr>
          <w:rFonts w:ascii="宋体" w:hAnsi="宋体" w:cs="宋体"/>
          <w:b/>
          <w:bCs/>
        </w:rPr>
        <w:t>2、交易性金融资产</w:t>
      </w:r>
    </w:p>
    <w:p w14:paraId="59F0F60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253"/>
        <w:gridCol w:w="2693"/>
        <w:gridCol w:w="2693"/>
      </w:tblGrid>
      <w:tr w:rsidR="00095F6F" w14:paraId="7733EB41"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shd w:val="clear" w:color="auto" w:fill="D3D3D3"/>
            <w:vAlign w:val="center"/>
          </w:tcPr>
          <w:p w14:paraId="0C1BF537" w14:textId="77777777" w:rsidR="00A46BF1" w:rsidRPr="00D734DD" w:rsidRDefault="00A46BF1" w:rsidP="00D734DD">
            <w:pPr>
              <w:spacing w:before="40" w:after="40" w:line="360" w:lineRule="auto"/>
              <w:jc w:val="center"/>
              <w:rPr>
                <w:rFonts w:ascii="Times New Roman" w:eastAsia="宋体" w:hAnsi="Times New Roman" w:cs="Times New Roman"/>
                <w:sz w:val="18"/>
                <w:szCs w:val="18"/>
              </w:rPr>
            </w:pPr>
            <w:r w:rsidRPr="00D734DD">
              <w:rPr>
                <w:rFonts w:ascii="Times New Roman" w:eastAsia="宋体" w:hAnsi="Times New Roman" w:cs="Times New Roman"/>
                <w:sz w:val="18"/>
                <w:szCs w:val="18"/>
              </w:rPr>
              <w:t>项目</w:t>
            </w: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79B0411" w14:textId="77777777" w:rsidR="00A46BF1" w:rsidRPr="00D734DD" w:rsidRDefault="00A46BF1" w:rsidP="00D734DD">
            <w:pPr>
              <w:spacing w:before="40" w:after="40" w:line="360" w:lineRule="auto"/>
              <w:jc w:val="center"/>
              <w:rPr>
                <w:rFonts w:ascii="Times New Roman" w:eastAsia="宋体" w:hAnsi="Times New Roman" w:cs="Times New Roman"/>
                <w:sz w:val="18"/>
                <w:szCs w:val="18"/>
              </w:rPr>
            </w:pPr>
            <w:r w:rsidRPr="00D734DD">
              <w:rPr>
                <w:rFonts w:ascii="Times New Roman" w:eastAsia="宋体" w:hAnsi="Times New Roman" w:cs="Times New Roman"/>
                <w:sz w:val="18"/>
                <w:szCs w:val="18"/>
              </w:rPr>
              <w:t>期末余额</w:t>
            </w: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00F7C5CA" w14:textId="77777777" w:rsidR="00A46BF1" w:rsidRPr="00D734DD" w:rsidRDefault="00A46BF1" w:rsidP="00D734DD">
            <w:pPr>
              <w:spacing w:before="40" w:after="40" w:line="360" w:lineRule="auto"/>
              <w:jc w:val="center"/>
              <w:rPr>
                <w:rFonts w:ascii="Times New Roman" w:eastAsia="宋体" w:hAnsi="Times New Roman" w:cs="Times New Roman"/>
                <w:sz w:val="18"/>
                <w:szCs w:val="18"/>
              </w:rPr>
            </w:pPr>
            <w:r w:rsidRPr="00D734DD">
              <w:rPr>
                <w:rFonts w:ascii="Times New Roman" w:eastAsia="宋体" w:hAnsi="Times New Roman" w:cs="Times New Roman"/>
                <w:sz w:val="18"/>
                <w:szCs w:val="18"/>
              </w:rPr>
              <w:t>期初余额</w:t>
            </w:r>
          </w:p>
        </w:tc>
      </w:tr>
      <w:tr w:rsidR="00095F6F" w14:paraId="14324A81"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shd w:val="clear" w:color="auto" w:fill="D3D3D3"/>
            <w:vAlign w:val="center"/>
          </w:tcPr>
          <w:p w14:paraId="031BFF8A"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以公允价值计量且其变动计入当期损益的金融资产</w:t>
            </w:r>
          </w:p>
        </w:tc>
        <w:tc>
          <w:tcPr>
            <w:tcW w:w="2693" w:type="dxa"/>
            <w:tcBorders>
              <w:top w:val="single" w:sz="2" w:space="0" w:color="auto"/>
              <w:left w:val="single" w:sz="2" w:space="0" w:color="auto"/>
              <w:bottom w:val="single" w:sz="2" w:space="0" w:color="auto"/>
              <w:right w:val="single" w:sz="2" w:space="0" w:color="auto"/>
            </w:tcBorders>
            <w:vAlign w:val="center"/>
          </w:tcPr>
          <w:p w14:paraId="64271265"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244,345,429.99</w:t>
            </w:r>
          </w:p>
        </w:tc>
        <w:tc>
          <w:tcPr>
            <w:tcW w:w="2693" w:type="dxa"/>
            <w:tcBorders>
              <w:top w:val="single" w:sz="2" w:space="0" w:color="auto"/>
              <w:left w:val="single" w:sz="2" w:space="0" w:color="auto"/>
              <w:bottom w:val="single" w:sz="2" w:space="0" w:color="auto"/>
              <w:right w:val="single" w:sz="2" w:space="0" w:color="auto"/>
            </w:tcBorders>
            <w:vAlign w:val="center"/>
          </w:tcPr>
          <w:p w14:paraId="49F98E8D"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110,000,000.00</w:t>
            </w:r>
          </w:p>
        </w:tc>
      </w:tr>
      <w:tr w:rsidR="00095F6F" w14:paraId="685005AE"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shd w:val="clear" w:color="auto" w:fill="D3D3D3"/>
            <w:vAlign w:val="center"/>
          </w:tcPr>
          <w:p w14:paraId="456A5041"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其中：</w:t>
            </w: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1A959E63" w14:textId="77777777" w:rsidR="00A46BF1" w:rsidRPr="00D734DD" w:rsidRDefault="00A46BF1" w:rsidP="00D734DD">
            <w:pPr>
              <w:spacing w:line="360" w:lineRule="auto"/>
              <w:rPr>
                <w:rFonts w:ascii="Times New Roman" w:hAnsi="Times New Roman" w:cs="Times New Roman"/>
              </w:rPr>
            </w:pP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78EA0E75" w14:textId="77777777" w:rsidR="00A46BF1" w:rsidRPr="00D734DD" w:rsidRDefault="00A46BF1" w:rsidP="00D734DD">
            <w:pPr>
              <w:spacing w:line="360" w:lineRule="auto"/>
              <w:rPr>
                <w:rFonts w:ascii="Times New Roman" w:hAnsi="Times New Roman" w:cs="Times New Roman"/>
              </w:rPr>
            </w:pPr>
          </w:p>
        </w:tc>
      </w:tr>
      <w:tr w:rsidR="00095F6F" w14:paraId="7A7A6A1E"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2B763855" w14:textId="77777777" w:rsidR="00A46BF1" w:rsidRPr="00D734DD" w:rsidRDefault="00A46BF1" w:rsidP="00D734DD">
            <w:pPr>
              <w:spacing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信托计划</w:t>
            </w:r>
          </w:p>
        </w:tc>
        <w:tc>
          <w:tcPr>
            <w:tcW w:w="2693" w:type="dxa"/>
            <w:tcBorders>
              <w:top w:val="single" w:sz="2" w:space="0" w:color="auto"/>
              <w:left w:val="single" w:sz="2" w:space="0" w:color="auto"/>
              <w:bottom w:val="single" w:sz="2" w:space="0" w:color="auto"/>
              <w:right w:val="single" w:sz="2" w:space="0" w:color="auto"/>
            </w:tcBorders>
            <w:vAlign w:val="center"/>
          </w:tcPr>
          <w:p w14:paraId="715BE4C0"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219,345,429.99</w:t>
            </w:r>
          </w:p>
        </w:tc>
        <w:tc>
          <w:tcPr>
            <w:tcW w:w="2693" w:type="dxa"/>
            <w:tcBorders>
              <w:top w:val="single" w:sz="2" w:space="0" w:color="auto"/>
              <w:left w:val="single" w:sz="2" w:space="0" w:color="auto"/>
              <w:bottom w:val="single" w:sz="2" w:space="0" w:color="auto"/>
              <w:right w:val="single" w:sz="2" w:space="0" w:color="auto"/>
            </w:tcBorders>
            <w:vAlign w:val="center"/>
          </w:tcPr>
          <w:p w14:paraId="6D638BB7" w14:textId="77777777" w:rsidR="00A46BF1" w:rsidRPr="00D734DD" w:rsidRDefault="00A46BF1" w:rsidP="00D734DD">
            <w:pPr>
              <w:spacing w:line="360" w:lineRule="auto"/>
              <w:jc w:val="right"/>
              <w:rPr>
                <w:rFonts w:ascii="Times New Roman" w:eastAsia="宋体" w:hAnsi="Times New Roman" w:cs="Times New Roman"/>
                <w:sz w:val="18"/>
                <w:szCs w:val="18"/>
              </w:rPr>
            </w:pPr>
          </w:p>
        </w:tc>
      </w:tr>
      <w:tr w:rsidR="00095F6F" w14:paraId="2757CEC8"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vAlign w:val="center"/>
          </w:tcPr>
          <w:p w14:paraId="0A7DDA2D" w14:textId="77777777" w:rsidR="00A46BF1" w:rsidRPr="00D734DD" w:rsidRDefault="00A46BF1" w:rsidP="00D734DD">
            <w:pPr>
              <w:spacing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结构性存款</w:t>
            </w:r>
          </w:p>
        </w:tc>
        <w:tc>
          <w:tcPr>
            <w:tcW w:w="2693" w:type="dxa"/>
            <w:tcBorders>
              <w:top w:val="single" w:sz="2" w:space="0" w:color="auto"/>
              <w:left w:val="single" w:sz="2" w:space="0" w:color="auto"/>
              <w:bottom w:val="single" w:sz="2" w:space="0" w:color="auto"/>
              <w:right w:val="single" w:sz="2" w:space="0" w:color="auto"/>
            </w:tcBorders>
            <w:vAlign w:val="center"/>
          </w:tcPr>
          <w:p w14:paraId="1927A09B"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25,000,000.00</w:t>
            </w:r>
          </w:p>
        </w:tc>
        <w:tc>
          <w:tcPr>
            <w:tcW w:w="2693" w:type="dxa"/>
            <w:tcBorders>
              <w:top w:val="single" w:sz="2" w:space="0" w:color="auto"/>
              <w:left w:val="single" w:sz="2" w:space="0" w:color="auto"/>
              <w:bottom w:val="single" w:sz="2" w:space="0" w:color="auto"/>
              <w:right w:val="single" w:sz="2" w:space="0" w:color="auto"/>
            </w:tcBorders>
            <w:vAlign w:val="center"/>
          </w:tcPr>
          <w:p w14:paraId="20490CE3"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110,000,000.00</w:t>
            </w:r>
          </w:p>
        </w:tc>
      </w:tr>
      <w:tr w:rsidR="00095F6F" w14:paraId="3A462B53"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shd w:val="clear" w:color="auto" w:fill="D3D3D3"/>
            <w:vAlign w:val="center"/>
          </w:tcPr>
          <w:p w14:paraId="2907CE01"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其中：</w:t>
            </w: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B76C618" w14:textId="77777777" w:rsidR="00A46BF1" w:rsidRPr="00D734DD" w:rsidRDefault="00A46BF1" w:rsidP="00D734DD">
            <w:pPr>
              <w:spacing w:line="360" w:lineRule="auto"/>
              <w:rPr>
                <w:rFonts w:ascii="Times New Roman" w:hAnsi="Times New Roman" w:cs="Times New Roman"/>
              </w:rPr>
            </w:pP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069A565F" w14:textId="77777777" w:rsidR="00A46BF1" w:rsidRPr="00D734DD" w:rsidRDefault="00A46BF1" w:rsidP="00D734DD">
            <w:pPr>
              <w:spacing w:line="360" w:lineRule="auto"/>
              <w:rPr>
                <w:rFonts w:ascii="Times New Roman" w:hAnsi="Times New Roman" w:cs="Times New Roman"/>
              </w:rPr>
            </w:pPr>
          </w:p>
        </w:tc>
      </w:tr>
      <w:tr w:rsidR="00095F6F" w14:paraId="55070CDD" w14:textId="77777777" w:rsidTr="00D734DD">
        <w:trPr>
          <w:trHeight w:val="240"/>
        </w:trPr>
        <w:tc>
          <w:tcPr>
            <w:tcW w:w="4253" w:type="dxa"/>
            <w:tcBorders>
              <w:top w:val="single" w:sz="2" w:space="0" w:color="auto"/>
              <w:left w:val="single" w:sz="2" w:space="0" w:color="auto"/>
              <w:bottom w:val="single" w:sz="2" w:space="0" w:color="auto"/>
              <w:right w:val="single" w:sz="2" w:space="0" w:color="auto"/>
            </w:tcBorders>
            <w:shd w:val="clear" w:color="auto" w:fill="D3D3D3"/>
            <w:vAlign w:val="center"/>
          </w:tcPr>
          <w:p w14:paraId="3E9CAF05" w14:textId="77777777" w:rsidR="00A46BF1" w:rsidRPr="00D734DD" w:rsidRDefault="00A46BF1" w:rsidP="00D734DD">
            <w:pPr>
              <w:spacing w:before="40" w:after="40" w:line="360" w:lineRule="auto"/>
              <w:rPr>
                <w:rFonts w:ascii="Times New Roman" w:eastAsia="宋体" w:hAnsi="Times New Roman" w:cs="Times New Roman"/>
                <w:sz w:val="18"/>
                <w:szCs w:val="18"/>
              </w:rPr>
            </w:pPr>
            <w:r w:rsidRPr="00D734DD">
              <w:rPr>
                <w:rFonts w:ascii="Times New Roman" w:eastAsia="宋体" w:hAnsi="Times New Roman" w:cs="Times New Roman"/>
                <w:sz w:val="18"/>
                <w:szCs w:val="18"/>
              </w:rPr>
              <w:t>合计</w:t>
            </w:r>
          </w:p>
        </w:tc>
        <w:tc>
          <w:tcPr>
            <w:tcW w:w="2693" w:type="dxa"/>
            <w:tcBorders>
              <w:top w:val="single" w:sz="2" w:space="0" w:color="auto"/>
              <w:left w:val="single" w:sz="2" w:space="0" w:color="auto"/>
              <w:bottom w:val="single" w:sz="2" w:space="0" w:color="auto"/>
              <w:right w:val="single" w:sz="2" w:space="0" w:color="auto"/>
            </w:tcBorders>
            <w:vAlign w:val="center"/>
          </w:tcPr>
          <w:p w14:paraId="1BF33AD2"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244,345,429.99</w:t>
            </w:r>
          </w:p>
        </w:tc>
        <w:tc>
          <w:tcPr>
            <w:tcW w:w="2693" w:type="dxa"/>
            <w:tcBorders>
              <w:top w:val="single" w:sz="2" w:space="0" w:color="auto"/>
              <w:left w:val="single" w:sz="2" w:space="0" w:color="auto"/>
              <w:bottom w:val="single" w:sz="2" w:space="0" w:color="auto"/>
              <w:right w:val="single" w:sz="2" w:space="0" w:color="auto"/>
            </w:tcBorders>
            <w:vAlign w:val="center"/>
          </w:tcPr>
          <w:p w14:paraId="5D244242" w14:textId="77777777" w:rsidR="00A46BF1" w:rsidRPr="00D734DD" w:rsidRDefault="00A46BF1" w:rsidP="00D734DD">
            <w:pPr>
              <w:spacing w:line="360" w:lineRule="auto"/>
              <w:jc w:val="right"/>
              <w:rPr>
                <w:rFonts w:ascii="Times New Roman" w:eastAsia="宋体" w:hAnsi="Times New Roman" w:cs="Times New Roman"/>
                <w:sz w:val="18"/>
                <w:szCs w:val="18"/>
              </w:rPr>
            </w:pPr>
            <w:r w:rsidRPr="00D734DD">
              <w:rPr>
                <w:rFonts w:ascii="Times New Roman" w:eastAsia="宋体" w:hAnsi="Times New Roman" w:cs="Times New Roman"/>
                <w:sz w:val="18"/>
                <w:szCs w:val="18"/>
              </w:rPr>
              <w:t>110,000,000.00</w:t>
            </w:r>
          </w:p>
        </w:tc>
      </w:tr>
    </w:tbl>
    <w:p w14:paraId="7A9F913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6925C98" w14:textId="77777777" w:rsidR="00A46BF1" w:rsidRPr="00D734DD" w:rsidRDefault="00A46BF1" w:rsidP="00D734DD">
      <w:pPr>
        <w:spacing w:before="100" w:after="100" w:line="240" w:lineRule="exact"/>
        <w:rPr>
          <w:rFonts w:ascii="宋体" w:eastAsia="宋体" w:hAnsi="宋体" w:cs="宋体"/>
          <w:sz w:val="18"/>
          <w:szCs w:val="18"/>
        </w:rPr>
      </w:pPr>
      <w:r w:rsidRPr="00D734DD">
        <w:rPr>
          <w:rFonts w:ascii="宋体" w:eastAsia="宋体" w:hAnsi="宋体" w:cs="宋体" w:hint="eastAsia"/>
          <w:sz w:val="18"/>
          <w:szCs w:val="18"/>
        </w:rPr>
        <w:t>无</w:t>
      </w:r>
    </w:p>
    <w:p w14:paraId="5FFE9516" w14:textId="422C5F66" w:rsidR="00A46BF1" w:rsidRDefault="000B7037" w:rsidP="00A46BF1">
      <w:pPr>
        <w:pStyle w:val="3"/>
        <w:spacing w:line="280" w:lineRule="exact"/>
        <w:jc w:val="left"/>
        <w:rPr>
          <w:rFonts w:ascii="宋体" w:hAnsi="宋体" w:cs="宋体"/>
          <w:b/>
          <w:bCs/>
        </w:rPr>
      </w:pPr>
      <w:r>
        <w:rPr>
          <w:rFonts w:ascii="宋体" w:hAnsi="宋体" w:cs="宋体"/>
          <w:b/>
          <w:bCs/>
        </w:rPr>
        <w:t>3</w:t>
      </w:r>
      <w:r w:rsidR="00A46BF1">
        <w:rPr>
          <w:rFonts w:ascii="宋体" w:hAnsi="宋体" w:cs="宋体"/>
          <w:b/>
          <w:bCs/>
        </w:rPr>
        <w:t>、应收票据</w:t>
      </w:r>
    </w:p>
    <w:p w14:paraId="01B3717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C1470EA" w14:textId="6500BBDE" w:rsidR="00A46BF1" w:rsidRDefault="00881321" w:rsidP="00A46BF1">
      <w:pPr>
        <w:pStyle w:val="3"/>
        <w:spacing w:line="280" w:lineRule="exact"/>
        <w:jc w:val="left"/>
        <w:rPr>
          <w:rFonts w:ascii="宋体" w:hAnsi="宋体" w:cs="宋体"/>
          <w:b/>
          <w:bCs/>
        </w:rPr>
      </w:pPr>
      <w:r>
        <w:rPr>
          <w:rFonts w:ascii="宋体" w:hAnsi="宋体" w:cs="宋体"/>
          <w:b/>
          <w:bCs/>
        </w:rPr>
        <w:t>4</w:t>
      </w:r>
      <w:r w:rsidR="00A46BF1">
        <w:rPr>
          <w:rFonts w:ascii="宋体" w:hAnsi="宋体" w:cs="宋体"/>
          <w:b/>
          <w:bCs/>
        </w:rPr>
        <w:t>、应收账款</w:t>
      </w:r>
    </w:p>
    <w:p w14:paraId="173CB1E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按账龄披露</w:t>
      </w:r>
    </w:p>
    <w:p w14:paraId="0E82B7AE"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37EDA1D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CD34E0" w14:textId="77777777" w:rsidR="00A46BF1" w:rsidRPr="00881321" w:rsidRDefault="00A46BF1" w:rsidP="00881321">
            <w:pPr>
              <w:spacing w:before="40" w:after="40" w:line="360" w:lineRule="auto"/>
              <w:jc w:val="center"/>
              <w:rPr>
                <w:rFonts w:ascii="Times New Roman" w:eastAsia="宋体" w:hAnsi="Times New Roman" w:cs="Times New Roman"/>
                <w:sz w:val="18"/>
                <w:szCs w:val="18"/>
              </w:rPr>
            </w:pPr>
            <w:r w:rsidRPr="00881321">
              <w:rPr>
                <w:rFonts w:ascii="Times New Roman" w:eastAsia="宋体" w:hAnsi="Times New Roman" w:cs="Times New Roman"/>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67244BA" w14:textId="77777777" w:rsidR="00A46BF1" w:rsidRPr="00881321" w:rsidRDefault="00A46BF1" w:rsidP="00881321">
            <w:pPr>
              <w:spacing w:before="40" w:after="40" w:line="360" w:lineRule="auto"/>
              <w:jc w:val="center"/>
              <w:rPr>
                <w:rFonts w:ascii="Times New Roman" w:eastAsia="宋体" w:hAnsi="Times New Roman" w:cs="Times New Roman"/>
                <w:sz w:val="18"/>
                <w:szCs w:val="18"/>
              </w:rPr>
            </w:pPr>
            <w:r w:rsidRPr="00881321">
              <w:rPr>
                <w:rFonts w:ascii="Times New Roman" w:eastAsia="宋体" w:hAnsi="Times New Roman" w:cs="Times New Roman"/>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C354C3" w14:textId="77777777" w:rsidR="00A46BF1" w:rsidRPr="00881321" w:rsidRDefault="00A46BF1" w:rsidP="00881321">
            <w:pPr>
              <w:spacing w:before="40" w:after="40" w:line="360" w:lineRule="auto"/>
              <w:jc w:val="center"/>
              <w:rPr>
                <w:rFonts w:ascii="Times New Roman" w:eastAsia="宋体" w:hAnsi="Times New Roman" w:cs="Times New Roman"/>
                <w:sz w:val="18"/>
                <w:szCs w:val="18"/>
              </w:rPr>
            </w:pPr>
            <w:r w:rsidRPr="00881321">
              <w:rPr>
                <w:rFonts w:ascii="Times New Roman" w:eastAsia="宋体" w:hAnsi="Times New Roman" w:cs="Times New Roman"/>
                <w:sz w:val="18"/>
                <w:szCs w:val="18"/>
              </w:rPr>
              <w:t>期初账面余额</w:t>
            </w:r>
          </w:p>
        </w:tc>
      </w:tr>
      <w:tr w:rsidR="00095F6F" w14:paraId="7DAF9F6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E4E349" w14:textId="77777777" w:rsidR="00A46BF1" w:rsidRPr="00881321" w:rsidRDefault="00A46BF1" w:rsidP="00881321">
            <w:pPr>
              <w:spacing w:before="40" w:after="40" w:line="360" w:lineRule="auto"/>
              <w:rPr>
                <w:rFonts w:ascii="Times New Roman" w:eastAsia="宋体" w:hAnsi="Times New Roman" w:cs="Times New Roman"/>
                <w:sz w:val="18"/>
                <w:szCs w:val="18"/>
              </w:rPr>
            </w:pPr>
            <w:r w:rsidRPr="00881321">
              <w:rPr>
                <w:rFonts w:ascii="Times New Roman" w:eastAsia="宋体" w:hAnsi="Times New Roman" w:cs="Times New Roman"/>
                <w:sz w:val="18"/>
                <w:szCs w:val="18"/>
              </w:rPr>
              <w:t>1</w:t>
            </w:r>
            <w:r w:rsidRPr="00881321">
              <w:rPr>
                <w:rFonts w:ascii="Times New Roman" w:eastAsia="宋体" w:hAnsi="Times New Roman" w:cs="Times New Roman"/>
                <w:sz w:val="18"/>
                <w:szCs w:val="18"/>
              </w:rPr>
              <w:t>年以内（含</w:t>
            </w:r>
            <w:r w:rsidRPr="00881321">
              <w:rPr>
                <w:rFonts w:ascii="Times New Roman" w:eastAsia="宋体" w:hAnsi="Times New Roman" w:cs="Times New Roman"/>
                <w:sz w:val="18"/>
                <w:szCs w:val="18"/>
              </w:rPr>
              <w:t>1</w:t>
            </w:r>
            <w:r w:rsidRPr="00881321">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0BF053F2"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529,128,661.14</w:t>
            </w:r>
          </w:p>
        </w:tc>
        <w:tc>
          <w:tcPr>
            <w:tcW w:w="3213" w:type="dxa"/>
            <w:tcBorders>
              <w:top w:val="single" w:sz="2" w:space="0" w:color="auto"/>
              <w:left w:val="single" w:sz="2" w:space="0" w:color="auto"/>
              <w:bottom w:val="single" w:sz="2" w:space="0" w:color="auto"/>
              <w:right w:val="single" w:sz="2" w:space="0" w:color="auto"/>
            </w:tcBorders>
            <w:vAlign w:val="center"/>
          </w:tcPr>
          <w:p w14:paraId="1DD11819"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653,106,849.86</w:t>
            </w:r>
          </w:p>
        </w:tc>
      </w:tr>
      <w:tr w:rsidR="00095F6F" w14:paraId="30B94B1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F67E94" w14:textId="77777777" w:rsidR="00A46BF1" w:rsidRPr="00881321" w:rsidRDefault="00A46BF1" w:rsidP="00881321">
            <w:pPr>
              <w:spacing w:before="40" w:after="40" w:line="360" w:lineRule="auto"/>
              <w:rPr>
                <w:rFonts w:ascii="Times New Roman" w:eastAsia="宋体" w:hAnsi="Times New Roman" w:cs="Times New Roman"/>
                <w:sz w:val="18"/>
                <w:szCs w:val="18"/>
              </w:rPr>
            </w:pPr>
            <w:r w:rsidRPr="00881321">
              <w:rPr>
                <w:rFonts w:ascii="Times New Roman" w:eastAsia="宋体" w:hAnsi="Times New Roman" w:cs="Times New Roman"/>
                <w:sz w:val="18"/>
                <w:szCs w:val="18"/>
              </w:rPr>
              <w:t>1</w:t>
            </w:r>
            <w:r w:rsidRPr="00881321">
              <w:rPr>
                <w:rFonts w:ascii="Times New Roman" w:eastAsia="宋体" w:hAnsi="Times New Roman" w:cs="Times New Roman"/>
                <w:sz w:val="18"/>
                <w:szCs w:val="18"/>
              </w:rPr>
              <w:t>至</w:t>
            </w:r>
            <w:r w:rsidRPr="00881321">
              <w:rPr>
                <w:rFonts w:ascii="Times New Roman" w:eastAsia="宋体" w:hAnsi="Times New Roman" w:cs="Times New Roman"/>
                <w:sz w:val="18"/>
                <w:szCs w:val="18"/>
              </w:rPr>
              <w:t>2</w:t>
            </w:r>
            <w:r w:rsidRPr="00881321">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262A298"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6,814,290.11</w:t>
            </w:r>
          </w:p>
        </w:tc>
        <w:tc>
          <w:tcPr>
            <w:tcW w:w="3213" w:type="dxa"/>
            <w:tcBorders>
              <w:top w:val="single" w:sz="2" w:space="0" w:color="auto"/>
              <w:left w:val="single" w:sz="2" w:space="0" w:color="auto"/>
              <w:bottom w:val="single" w:sz="2" w:space="0" w:color="auto"/>
              <w:right w:val="single" w:sz="2" w:space="0" w:color="auto"/>
            </w:tcBorders>
            <w:vAlign w:val="center"/>
          </w:tcPr>
          <w:p w14:paraId="4D048F37"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5,851,895.48</w:t>
            </w:r>
          </w:p>
        </w:tc>
      </w:tr>
      <w:tr w:rsidR="00095F6F" w14:paraId="4DDDAA3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61833E" w14:textId="77777777" w:rsidR="00A46BF1" w:rsidRPr="00881321" w:rsidRDefault="00A46BF1" w:rsidP="00881321">
            <w:pPr>
              <w:spacing w:before="40" w:after="40" w:line="360" w:lineRule="auto"/>
              <w:rPr>
                <w:rFonts w:ascii="Times New Roman" w:eastAsia="宋体" w:hAnsi="Times New Roman" w:cs="Times New Roman"/>
                <w:sz w:val="18"/>
                <w:szCs w:val="18"/>
              </w:rPr>
            </w:pPr>
            <w:r w:rsidRPr="00881321">
              <w:rPr>
                <w:rFonts w:ascii="Times New Roman" w:eastAsia="宋体" w:hAnsi="Times New Roman" w:cs="Times New Roman"/>
                <w:sz w:val="18"/>
                <w:szCs w:val="18"/>
              </w:rPr>
              <w:t>2</w:t>
            </w:r>
            <w:r w:rsidRPr="00881321">
              <w:rPr>
                <w:rFonts w:ascii="Times New Roman" w:eastAsia="宋体" w:hAnsi="Times New Roman" w:cs="Times New Roman"/>
                <w:sz w:val="18"/>
                <w:szCs w:val="18"/>
              </w:rPr>
              <w:t>至</w:t>
            </w:r>
            <w:r w:rsidRPr="00881321">
              <w:rPr>
                <w:rFonts w:ascii="Times New Roman" w:eastAsia="宋体" w:hAnsi="Times New Roman" w:cs="Times New Roman"/>
                <w:sz w:val="18"/>
                <w:szCs w:val="18"/>
              </w:rPr>
              <w:t>3</w:t>
            </w:r>
            <w:r w:rsidRPr="00881321">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6FF4A16F"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1,551,237.58</w:t>
            </w:r>
          </w:p>
        </w:tc>
        <w:tc>
          <w:tcPr>
            <w:tcW w:w="3213" w:type="dxa"/>
            <w:tcBorders>
              <w:top w:val="single" w:sz="2" w:space="0" w:color="auto"/>
              <w:left w:val="single" w:sz="2" w:space="0" w:color="auto"/>
              <w:bottom w:val="single" w:sz="2" w:space="0" w:color="auto"/>
              <w:right w:val="single" w:sz="2" w:space="0" w:color="auto"/>
            </w:tcBorders>
            <w:vAlign w:val="center"/>
          </w:tcPr>
          <w:p w14:paraId="16E21D35"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8,593,654.73</w:t>
            </w:r>
          </w:p>
        </w:tc>
      </w:tr>
      <w:tr w:rsidR="00095F6F" w14:paraId="47BD0DC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D82643" w14:textId="77777777" w:rsidR="00A46BF1" w:rsidRPr="00881321" w:rsidRDefault="00A46BF1" w:rsidP="00881321">
            <w:pPr>
              <w:spacing w:before="40" w:after="40" w:line="360" w:lineRule="auto"/>
              <w:rPr>
                <w:rFonts w:ascii="Times New Roman" w:eastAsia="宋体" w:hAnsi="Times New Roman" w:cs="Times New Roman"/>
                <w:sz w:val="18"/>
                <w:szCs w:val="18"/>
              </w:rPr>
            </w:pPr>
            <w:r w:rsidRPr="00881321">
              <w:rPr>
                <w:rFonts w:ascii="Times New Roman" w:eastAsia="宋体" w:hAnsi="Times New Roman" w:cs="Times New Roman"/>
                <w:sz w:val="18"/>
                <w:szCs w:val="18"/>
              </w:rPr>
              <w:t>3</w:t>
            </w:r>
            <w:r w:rsidRPr="00881321">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5B409B1A"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179,622,632.90</w:t>
            </w:r>
          </w:p>
        </w:tc>
        <w:tc>
          <w:tcPr>
            <w:tcW w:w="3213" w:type="dxa"/>
            <w:tcBorders>
              <w:top w:val="single" w:sz="2" w:space="0" w:color="auto"/>
              <w:left w:val="single" w:sz="2" w:space="0" w:color="auto"/>
              <w:bottom w:val="single" w:sz="2" w:space="0" w:color="auto"/>
              <w:right w:val="single" w:sz="2" w:space="0" w:color="auto"/>
            </w:tcBorders>
            <w:vAlign w:val="center"/>
          </w:tcPr>
          <w:p w14:paraId="588B0837"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170,628,832.98</w:t>
            </w:r>
          </w:p>
        </w:tc>
      </w:tr>
      <w:tr w:rsidR="00095F6F" w14:paraId="5A9AD6D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BE280C" w14:textId="77777777" w:rsidR="00A46BF1" w:rsidRPr="00881321" w:rsidRDefault="00A46BF1" w:rsidP="00881321">
            <w:pPr>
              <w:spacing w:before="40" w:after="40" w:line="360" w:lineRule="auto"/>
              <w:ind w:firstLineChars="100" w:firstLine="180"/>
              <w:rPr>
                <w:rFonts w:ascii="Times New Roman" w:eastAsia="宋体" w:hAnsi="Times New Roman" w:cs="Times New Roman"/>
                <w:sz w:val="18"/>
                <w:szCs w:val="18"/>
              </w:rPr>
            </w:pPr>
            <w:r w:rsidRPr="00881321">
              <w:rPr>
                <w:rFonts w:ascii="Times New Roman" w:eastAsia="宋体" w:hAnsi="Times New Roman" w:cs="Times New Roman"/>
                <w:sz w:val="18"/>
                <w:szCs w:val="18"/>
              </w:rPr>
              <w:t>3</w:t>
            </w:r>
            <w:r w:rsidRPr="00881321">
              <w:rPr>
                <w:rFonts w:ascii="Times New Roman" w:eastAsia="宋体" w:hAnsi="Times New Roman" w:cs="Times New Roman"/>
                <w:sz w:val="18"/>
                <w:szCs w:val="18"/>
              </w:rPr>
              <w:t>至</w:t>
            </w:r>
            <w:r w:rsidRPr="00881321">
              <w:rPr>
                <w:rFonts w:ascii="Times New Roman" w:eastAsia="宋体" w:hAnsi="Times New Roman" w:cs="Times New Roman"/>
                <w:sz w:val="18"/>
                <w:szCs w:val="18"/>
              </w:rPr>
              <w:t>4</w:t>
            </w:r>
            <w:r w:rsidRPr="00881321">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B132A9A"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7,152,297.84</w:t>
            </w:r>
          </w:p>
        </w:tc>
        <w:tc>
          <w:tcPr>
            <w:tcW w:w="3213" w:type="dxa"/>
            <w:tcBorders>
              <w:top w:val="single" w:sz="2" w:space="0" w:color="auto"/>
              <w:left w:val="single" w:sz="2" w:space="0" w:color="auto"/>
              <w:bottom w:val="single" w:sz="2" w:space="0" w:color="auto"/>
              <w:right w:val="single" w:sz="2" w:space="0" w:color="auto"/>
            </w:tcBorders>
            <w:vAlign w:val="center"/>
          </w:tcPr>
          <w:p w14:paraId="09563269"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1,208,685.57</w:t>
            </w:r>
          </w:p>
        </w:tc>
      </w:tr>
      <w:tr w:rsidR="00095F6F" w14:paraId="67E040E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5EF0DC" w14:textId="77777777" w:rsidR="00A46BF1" w:rsidRPr="00881321" w:rsidRDefault="00A46BF1" w:rsidP="00881321">
            <w:pPr>
              <w:spacing w:before="40" w:after="40" w:line="360" w:lineRule="auto"/>
              <w:ind w:firstLineChars="100" w:firstLine="180"/>
              <w:rPr>
                <w:rFonts w:ascii="Times New Roman" w:eastAsia="宋体" w:hAnsi="Times New Roman" w:cs="Times New Roman"/>
                <w:sz w:val="18"/>
                <w:szCs w:val="18"/>
              </w:rPr>
            </w:pPr>
            <w:r w:rsidRPr="00881321">
              <w:rPr>
                <w:rFonts w:ascii="Times New Roman" w:eastAsia="宋体" w:hAnsi="Times New Roman" w:cs="Times New Roman"/>
                <w:sz w:val="18"/>
                <w:szCs w:val="18"/>
              </w:rPr>
              <w:t>4</w:t>
            </w:r>
            <w:r w:rsidRPr="00881321">
              <w:rPr>
                <w:rFonts w:ascii="Times New Roman" w:eastAsia="宋体" w:hAnsi="Times New Roman" w:cs="Times New Roman"/>
                <w:sz w:val="18"/>
                <w:szCs w:val="18"/>
              </w:rPr>
              <w:t>至</w:t>
            </w:r>
            <w:r w:rsidRPr="00881321">
              <w:rPr>
                <w:rFonts w:ascii="Times New Roman" w:eastAsia="宋体" w:hAnsi="Times New Roman" w:cs="Times New Roman"/>
                <w:sz w:val="18"/>
                <w:szCs w:val="18"/>
              </w:rPr>
              <w:t>5</w:t>
            </w:r>
            <w:r w:rsidRPr="00881321">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1C4B29A0"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969,690.00</w:t>
            </w:r>
          </w:p>
        </w:tc>
        <w:tc>
          <w:tcPr>
            <w:tcW w:w="3213" w:type="dxa"/>
            <w:tcBorders>
              <w:top w:val="single" w:sz="2" w:space="0" w:color="auto"/>
              <w:left w:val="single" w:sz="2" w:space="0" w:color="auto"/>
              <w:bottom w:val="single" w:sz="2" w:space="0" w:color="auto"/>
              <w:right w:val="single" w:sz="2" w:space="0" w:color="auto"/>
            </w:tcBorders>
            <w:vAlign w:val="center"/>
          </w:tcPr>
          <w:p w14:paraId="0A88A2CA"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12,159,057.58</w:t>
            </w:r>
          </w:p>
        </w:tc>
      </w:tr>
      <w:tr w:rsidR="00095F6F" w14:paraId="0F0FAAB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9AB22B" w14:textId="77777777" w:rsidR="00A46BF1" w:rsidRPr="00881321" w:rsidRDefault="00A46BF1" w:rsidP="00881321">
            <w:pPr>
              <w:spacing w:before="40" w:after="40" w:line="360" w:lineRule="auto"/>
              <w:ind w:firstLineChars="100" w:firstLine="180"/>
              <w:rPr>
                <w:rFonts w:ascii="Times New Roman" w:eastAsia="宋体" w:hAnsi="Times New Roman" w:cs="Times New Roman"/>
                <w:sz w:val="18"/>
                <w:szCs w:val="18"/>
              </w:rPr>
            </w:pPr>
            <w:r w:rsidRPr="00881321">
              <w:rPr>
                <w:rFonts w:ascii="Times New Roman" w:eastAsia="宋体" w:hAnsi="Times New Roman" w:cs="Times New Roman"/>
                <w:sz w:val="18"/>
                <w:szCs w:val="18"/>
              </w:rPr>
              <w:t>5</w:t>
            </w:r>
            <w:r w:rsidRPr="00881321">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12B21469"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171,500,645.06</w:t>
            </w:r>
          </w:p>
        </w:tc>
        <w:tc>
          <w:tcPr>
            <w:tcW w:w="3213" w:type="dxa"/>
            <w:tcBorders>
              <w:top w:val="single" w:sz="2" w:space="0" w:color="auto"/>
              <w:left w:val="single" w:sz="2" w:space="0" w:color="auto"/>
              <w:bottom w:val="single" w:sz="2" w:space="0" w:color="auto"/>
              <w:right w:val="single" w:sz="2" w:space="0" w:color="auto"/>
            </w:tcBorders>
            <w:vAlign w:val="center"/>
          </w:tcPr>
          <w:p w14:paraId="54C5AC20"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157,261,089.83</w:t>
            </w:r>
          </w:p>
        </w:tc>
      </w:tr>
      <w:tr w:rsidR="00095F6F" w14:paraId="7FB84C2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CA9AA5" w14:textId="77777777" w:rsidR="00A46BF1" w:rsidRPr="00881321" w:rsidRDefault="00A46BF1" w:rsidP="00881321">
            <w:pPr>
              <w:spacing w:before="40" w:after="40" w:line="360" w:lineRule="auto"/>
              <w:rPr>
                <w:rFonts w:ascii="Times New Roman" w:eastAsia="宋体" w:hAnsi="Times New Roman" w:cs="Times New Roman"/>
                <w:sz w:val="18"/>
                <w:szCs w:val="18"/>
              </w:rPr>
            </w:pPr>
            <w:r w:rsidRPr="00881321">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89BA16E"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717,116,821.73</w:t>
            </w:r>
          </w:p>
        </w:tc>
        <w:tc>
          <w:tcPr>
            <w:tcW w:w="3213" w:type="dxa"/>
            <w:tcBorders>
              <w:top w:val="single" w:sz="2" w:space="0" w:color="auto"/>
              <w:left w:val="single" w:sz="2" w:space="0" w:color="auto"/>
              <w:bottom w:val="single" w:sz="2" w:space="0" w:color="auto"/>
              <w:right w:val="single" w:sz="2" w:space="0" w:color="auto"/>
            </w:tcBorders>
            <w:vAlign w:val="center"/>
          </w:tcPr>
          <w:p w14:paraId="758CCB9B" w14:textId="77777777" w:rsidR="00A46BF1" w:rsidRPr="00881321" w:rsidRDefault="00A46BF1" w:rsidP="00881321">
            <w:pPr>
              <w:spacing w:line="360" w:lineRule="auto"/>
              <w:jc w:val="right"/>
              <w:rPr>
                <w:rFonts w:ascii="Times New Roman" w:eastAsia="宋体" w:hAnsi="Times New Roman" w:cs="Times New Roman"/>
                <w:sz w:val="18"/>
                <w:szCs w:val="18"/>
              </w:rPr>
            </w:pPr>
            <w:r w:rsidRPr="00881321">
              <w:rPr>
                <w:rFonts w:ascii="Times New Roman" w:eastAsia="宋体" w:hAnsi="Times New Roman" w:cs="Times New Roman"/>
                <w:sz w:val="18"/>
                <w:szCs w:val="18"/>
              </w:rPr>
              <w:t>838,181,233.05</w:t>
            </w:r>
          </w:p>
        </w:tc>
      </w:tr>
    </w:tbl>
    <w:p w14:paraId="0692B37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按坏账计提方法分类披露</w:t>
      </w:r>
    </w:p>
    <w:p w14:paraId="44FC2DE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1338"/>
        <w:gridCol w:w="992"/>
        <w:gridCol w:w="567"/>
        <w:gridCol w:w="992"/>
        <w:gridCol w:w="709"/>
        <w:gridCol w:w="992"/>
        <w:gridCol w:w="993"/>
        <w:gridCol w:w="567"/>
        <w:gridCol w:w="992"/>
        <w:gridCol w:w="621"/>
        <w:gridCol w:w="876"/>
      </w:tblGrid>
      <w:tr w:rsidR="00095F6F" w14:paraId="1D8724F1" w14:textId="77777777" w:rsidTr="00684E6E">
        <w:trPr>
          <w:trHeight w:val="240"/>
        </w:trPr>
        <w:tc>
          <w:tcPr>
            <w:tcW w:w="133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978F36C"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类别</w:t>
            </w:r>
          </w:p>
        </w:tc>
        <w:tc>
          <w:tcPr>
            <w:tcW w:w="425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01F322D"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期末余额</w:t>
            </w:r>
          </w:p>
        </w:tc>
        <w:tc>
          <w:tcPr>
            <w:tcW w:w="4049"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7D4CE2D"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期初余额</w:t>
            </w:r>
          </w:p>
        </w:tc>
      </w:tr>
      <w:tr w:rsidR="00095F6F" w14:paraId="0DBB157B" w14:textId="77777777" w:rsidTr="00684E6E">
        <w:trPr>
          <w:trHeight w:val="240"/>
        </w:trPr>
        <w:tc>
          <w:tcPr>
            <w:tcW w:w="133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D10A312" w14:textId="77777777" w:rsidR="00A46BF1" w:rsidRPr="00684E6E" w:rsidRDefault="00A46BF1" w:rsidP="00881321">
            <w:pPr>
              <w:spacing w:line="360" w:lineRule="auto"/>
              <w:rPr>
                <w:rFonts w:ascii="Times New Roman" w:hAnsi="Times New Roman" w:cs="Times New Roman"/>
                <w:sz w:val="13"/>
                <w:szCs w:val="13"/>
              </w:rPr>
            </w:pPr>
          </w:p>
        </w:tc>
        <w:tc>
          <w:tcPr>
            <w:tcW w:w="155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24CA6FB"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账面余额</w:t>
            </w:r>
          </w:p>
        </w:tc>
        <w:tc>
          <w:tcPr>
            <w:tcW w:w="170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1AEC2EC"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坏账准备</w:t>
            </w:r>
          </w:p>
        </w:tc>
        <w:tc>
          <w:tcPr>
            <w:tcW w:w="99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878CC79"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账面价值</w:t>
            </w:r>
          </w:p>
        </w:tc>
        <w:tc>
          <w:tcPr>
            <w:tcW w:w="156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D4917CC"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账面余额</w:t>
            </w:r>
          </w:p>
        </w:tc>
        <w:tc>
          <w:tcPr>
            <w:tcW w:w="161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822BEC7"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FDD80C"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账面价值</w:t>
            </w:r>
          </w:p>
        </w:tc>
      </w:tr>
      <w:tr w:rsidR="00095F6F" w14:paraId="29568517" w14:textId="77777777" w:rsidTr="00684E6E">
        <w:trPr>
          <w:trHeight w:val="240"/>
        </w:trPr>
        <w:tc>
          <w:tcPr>
            <w:tcW w:w="133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113D040"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028CCDD"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金额</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848298A"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比例</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336E7DE8"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金额</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0E100E7"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计提比例</w:t>
            </w:r>
          </w:p>
        </w:tc>
        <w:tc>
          <w:tcPr>
            <w:tcW w:w="99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2EC6CAB" w14:textId="77777777" w:rsidR="00A46BF1" w:rsidRPr="00684E6E" w:rsidRDefault="00A46BF1" w:rsidP="00881321">
            <w:pPr>
              <w:spacing w:line="360" w:lineRule="auto"/>
              <w:rPr>
                <w:rFonts w:ascii="Times New Roman" w:hAnsi="Times New Roman" w:cs="Times New Roman"/>
                <w:sz w:val="13"/>
                <w:szCs w:val="13"/>
              </w:rPr>
            </w:pP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311B24B"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金额</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8F19660"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比例</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4722C462"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金额</w:t>
            </w:r>
          </w:p>
        </w:tc>
        <w:tc>
          <w:tcPr>
            <w:tcW w:w="621" w:type="dxa"/>
            <w:tcBorders>
              <w:top w:val="single" w:sz="2" w:space="0" w:color="auto"/>
              <w:left w:val="single" w:sz="2" w:space="0" w:color="auto"/>
              <w:bottom w:val="single" w:sz="2" w:space="0" w:color="auto"/>
              <w:right w:val="single" w:sz="2" w:space="0" w:color="auto"/>
            </w:tcBorders>
            <w:shd w:val="clear" w:color="auto" w:fill="D3D3D3"/>
            <w:vAlign w:val="center"/>
          </w:tcPr>
          <w:p w14:paraId="1BD4B67A" w14:textId="77777777" w:rsidR="00A46BF1" w:rsidRPr="00684E6E" w:rsidRDefault="00A46BF1" w:rsidP="00881321">
            <w:pPr>
              <w:spacing w:before="40" w:after="40" w:line="360" w:lineRule="auto"/>
              <w:jc w:val="center"/>
              <w:rPr>
                <w:rFonts w:ascii="Times New Roman" w:eastAsia="宋体" w:hAnsi="Times New Roman" w:cs="Times New Roman"/>
                <w:sz w:val="13"/>
                <w:szCs w:val="13"/>
              </w:rPr>
            </w:pPr>
            <w:r w:rsidRPr="00684E6E">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A6915C0" w14:textId="77777777" w:rsidR="00A46BF1" w:rsidRPr="00684E6E" w:rsidRDefault="00A46BF1" w:rsidP="00881321">
            <w:pPr>
              <w:spacing w:line="360" w:lineRule="auto"/>
              <w:rPr>
                <w:rFonts w:ascii="Times New Roman" w:hAnsi="Times New Roman" w:cs="Times New Roman"/>
                <w:sz w:val="13"/>
                <w:szCs w:val="13"/>
              </w:rPr>
            </w:pPr>
          </w:p>
        </w:tc>
      </w:tr>
      <w:tr w:rsidR="00095F6F" w14:paraId="67C122DD"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52BF13F3" w14:textId="77777777" w:rsidR="00A46BF1" w:rsidRPr="00684E6E" w:rsidRDefault="00A46BF1" w:rsidP="00881321">
            <w:pPr>
              <w:spacing w:before="40" w:after="40"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按单项计提坏账准备的应收账款</w:t>
            </w:r>
          </w:p>
        </w:tc>
        <w:tc>
          <w:tcPr>
            <w:tcW w:w="992" w:type="dxa"/>
            <w:tcBorders>
              <w:top w:val="single" w:sz="2" w:space="0" w:color="auto"/>
              <w:left w:val="single" w:sz="2" w:space="0" w:color="auto"/>
              <w:bottom w:val="single" w:sz="2" w:space="0" w:color="auto"/>
              <w:right w:val="single" w:sz="2" w:space="0" w:color="auto"/>
            </w:tcBorders>
            <w:vAlign w:val="center"/>
          </w:tcPr>
          <w:p w14:paraId="076D31A4"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175,552,731.58</w:t>
            </w:r>
          </w:p>
        </w:tc>
        <w:tc>
          <w:tcPr>
            <w:tcW w:w="567" w:type="dxa"/>
            <w:tcBorders>
              <w:top w:val="single" w:sz="2" w:space="0" w:color="auto"/>
              <w:left w:val="single" w:sz="2" w:space="0" w:color="auto"/>
              <w:bottom w:val="single" w:sz="2" w:space="0" w:color="auto"/>
              <w:right w:val="single" w:sz="2" w:space="0" w:color="auto"/>
            </w:tcBorders>
            <w:vAlign w:val="center"/>
          </w:tcPr>
          <w:p w14:paraId="03160453"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24.48%</w:t>
            </w:r>
          </w:p>
        </w:tc>
        <w:tc>
          <w:tcPr>
            <w:tcW w:w="992" w:type="dxa"/>
            <w:tcBorders>
              <w:top w:val="single" w:sz="2" w:space="0" w:color="auto"/>
              <w:left w:val="single" w:sz="2" w:space="0" w:color="auto"/>
              <w:bottom w:val="single" w:sz="2" w:space="0" w:color="auto"/>
              <w:right w:val="single" w:sz="2" w:space="0" w:color="auto"/>
            </w:tcBorders>
            <w:vAlign w:val="center"/>
          </w:tcPr>
          <w:p w14:paraId="7EB089EA"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175,552,731.58</w:t>
            </w:r>
          </w:p>
        </w:tc>
        <w:tc>
          <w:tcPr>
            <w:tcW w:w="709" w:type="dxa"/>
            <w:tcBorders>
              <w:top w:val="single" w:sz="2" w:space="0" w:color="auto"/>
              <w:left w:val="single" w:sz="2" w:space="0" w:color="auto"/>
              <w:bottom w:val="single" w:sz="2" w:space="0" w:color="auto"/>
              <w:right w:val="single" w:sz="2" w:space="0" w:color="auto"/>
            </w:tcBorders>
            <w:vAlign w:val="center"/>
          </w:tcPr>
          <w:p w14:paraId="55A7C4D4"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100.00%</w:t>
            </w:r>
          </w:p>
        </w:tc>
        <w:tc>
          <w:tcPr>
            <w:tcW w:w="992" w:type="dxa"/>
            <w:tcBorders>
              <w:top w:val="single" w:sz="2" w:space="0" w:color="auto"/>
              <w:left w:val="single" w:sz="2" w:space="0" w:color="auto"/>
              <w:bottom w:val="single" w:sz="2" w:space="0" w:color="auto"/>
              <w:right w:val="single" w:sz="2" w:space="0" w:color="auto"/>
            </w:tcBorders>
            <w:vAlign w:val="center"/>
          </w:tcPr>
          <w:p w14:paraId="2036DC4C" w14:textId="77777777" w:rsidR="00A46BF1" w:rsidRPr="00684E6E" w:rsidRDefault="00A46BF1" w:rsidP="00881321">
            <w:pPr>
              <w:spacing w:line="360" w:lineRule="auto"/>
              <w:jc w:val="right"/>
              <w:rPr>
                <w:rFonts w:ascii="Times New Roman" w:eastAsia="宋体" w:hAnsi="Times New Roman" w:cs="Times New Roman"/>
                <w:sz w:val="13"/>
                <w:szCs w:val="13"/>
              </w:rPr>
            </w:pPr>
          </w:p>
        </w:tc>
        <w:tc>
          <w:tcPr>
            <w:tcW w:w="993" w:type="dxa"/>
            <w:tcBorders>
              <w:top w:val="single" w:sz="2" w:space="0" w:color="auto"/>
              <w:left w:val="single" w:sz="2" w:space="0" w:color="auto"/>
              <w:bottom w:val="single" w:sz="2" w:space="0" w:color="auto"/>
              <w:right w:val="single" w:sz="2" w:space="0" w:color="auto"/>
            </w:tcBorders>
            <w:vAlign w:val="center"/>
          </w:tcPr>
          <w:p w14:paraId="73AE1CEF"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173,001,040.03</w:t>
            </w:r>
          </w:p>
        </w:tc>
        <w:tc>
          <w:tcPr>
            <w:tcW w:w="567" w:type="dxa"/>
            <w:tcBorders>
              <w:top w:val="single" w:sz="2" w:space="0" w:color="auto"/>
              <w:left w:val="single" w:sz="2" w:space="0" w:color="auto"/>
              <w:bottom w:val="single" w:sz="2" w:space="0" w:color="auto"/>
              <w:right w:val="single" w:sz="2" w:space="0" w:color="auto"/>
            </w:tcBorders>
            <w:vAlign w:val="center"/>
          </w:tcPr>
          <w:p w14:paraId="7998E80B"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20.64%</w:t>
            </w:r>
          </w:p>
        </w:tc>
        <w:tc>
          <w:tcPr>
            <w:tcW w:w="992" w:type="dxa"/>
            <w:tcBorders>
              <w:top w:val="single" w:sz="2" w:space="0" w:color="auto"/>
              <w:left w:val="single" w:sz="2" w:space="0" w:color="auto"/>
              <w:bottom w:val="single" w:sz="2" w:space="0" w:color="auto"/>
              <w:right w:val="single" w:sz="2" w:space="0" w:color="auto"/>
            </w:tcBorders>
            <w:vAlign w:val="center"/>
          </w:tcPr>
          <w:p w14:paraId="7A0AEB7F"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173,001,040.03</w:t>
            </w:r>
          </w:p>
        </w:tc>
        <w:tc>
          <w:tcPr>
            <w:tcW w:w="621" w:type="dxa"/>
            <w:tcBorders>
              <w:top w:val="single" w:sz="2" w:space="0" w:color="auto"/>
              <w:left w:val="single" w:sz="2" w:space="0" w:color="auto"/>
              <w:bottom w:val="single" w:sz="2" w:space="0" w:color="auto"/>
              <w:right w:val="single" w:sz="2" w:space="0" w:color="auto"/>
            </w:tcBorders>
            <w:vAlign w:val="center"/>
          </w:tcPr>
          <w:p w14:paraId="0FF970EF"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6F6E35CC" w14:textId="77777777" w:rsidR="00A46BF1" w:rsidRPr="00684E6E" w:rsidRDefault="00A46BF1" w:rsidP="00881321">
            <w:pPr>
              <w:spacing w:line="360" w:lineRule="auto"/>
              <w:jc w:val="right"/>
              <w:rPr>
                <w:rFonts w:ascii="Times New Roman" w:eastAsia="宋体" w:hAnsi="Times New Roman" w:cs="Times New Roman"/>
                <w:sz w:val="13"/>
                <w:szCs w:val="13"/>
              </w:rPr>
            </w:pPr>
          </w:p>
        </w:tc>
      </w:tr>
      <w:tr w:rsidR="00095F6F" w14:paraId="3D826B8C"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53EBBC4B" w14:textId="77777777" w:rsidR="00A46BF1" w:rsidRPr="00684E6E" w:rsidRDefault="00A46BF1" w:rsidP="00881321">
            <w:pPr>
              <w:spacing w:before="40" w:after="40"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其中：</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15A36CFB" w14:textId="77777777" w:rsidR="00A46BF1" w:rsidRPr="00684E6E" w:rsidRDefault="00A46BF1" w:rsidP="00881321">
            <w:pPr>
              <w:spacing w:line="360" w:lineRule="auto"/>
              <w:rPr>
                <w:rFonts w:ascii="Times New Roman"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9988398"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AFD30B7" w14:textId="77777777" w:rsidR="00A46BF1" w:rsidRPr="00684E6E" w:rsidRDefault="00A46BF1" w:rsidP="00881321">
            <w:pPr>
              <w:spacing w:line="360" w:lineRule="auto"/>
              <w:rPr>
                <w:rFonts w:ascii="Times New Roman" w:hAnsi="Times New Roman" w:cs="Times New Roman"/>
                <w:sz w:val="13"/>
                <w:szCs w:val="13"/>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4E42B5CB"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0451A5D" w14:textId="77777777" w:rsidR="00A46BF1" w:rsidRPr="00684E6E" w:rsidRDefault="00A46BF1" w:rsidP="00881321">
            <w:pPr>
              <w:spacing w:line="360" w:lineRule="auto"/>
              <w:rPr>
                <w:rFonts w:ascii="Times New Roman" w:hAnsi="Times New Roman" w:cs="Times New Roman"/>
                <w:sz w:val="13"/>
                <w:szCs w:val="13"/>
              </w:rPr>
            </w:pP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26115806" w14:textId="77777777" w:rsidR="00A46BF1" w:rsidRPr="00684E6E" w:rsidRDefault="00A46BF1" w:rsidP="00881321">
            <w:pPr>
              <w:spacing w:line="360" w:lineRule="auto"/>
              <w:rPr>
                <w:rFonts w:ascii="Times New Roman"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026AA9F0"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10601CD" w14:textId="77777777" w:rsidR="00A46BF1" w:rsidRPr="00684E6E" w:rsidRDefault="00A46BF1" w:rsidP="00881321">
            <w:pPr>
              <w:spacing w:line="360" w:lineRule="auto"/>
              <w:rPr>
                <w:rFonts w:ascii="Times New Roman" w:hAnsi="Times New Roman" w:cs="Times New Roman"/>
                <w:sz w:val="13"/>
                <w:szCs w:val="13"/>
              </w:rPr>
            </w:pPr>
          </w:p>
        </w:tc>
        <w:tc>
          <w:tcPr>
            <w:tcW w:w="621" w:type="dxa"/>
            <w:tcBorders>
              <w:top w:val="single" w:sz="2" w:space="0" w:color="auto"/>
              <w:left w:val="single" w:sz="2" w:space="0" w:color="auto"/>
              <w:bottom w:val="single" w:sz="2" w:space="0" w:color="auto"/>
              <w:right w:val="single" w:sz="2" w:space="0" w:color="auto"/>
            </w:tcBorders>
            <w:shd w:val="clear" w:color="auto" w:fill="D3D3D3"/>
            <w:vAlign w:val="center"/>
          </w:tcPr>
          <w:p w14:paraId="6E7FF65B" w14:textId="77777777" w:rsidR="00A46BF1" w:rsidRPr="00684E6E" w:rsidRDefault="00A46BF1" w:rsidP="00881321">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E1AEC95" w14:textId="77777777" w:rsidR="00A46BF1" w:rsidRPr="00684E6E" w:rsidRDefault="00A46BF1" w:rsidP="00881321">
            <w:pPr>
              <w:spacing w:line="360" w:lineRule="auto"/>
              <w:rPr>
                <w:rFonts w:ascii="Times New Roman" w:hAnsi="Times New Roman" w:cs="Times New Roman"/>
                <w:sz w:val="13"/>
                <w:szCs w:val="13"/>
              </w:rPr>
            </w:pPr>
          </w:p>
        </w:tc>
      </w:tr>
      <w:tr w:rsidR="00095F6F" w14:paraId="675F93E7"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650CB786" w14:textId="77777777" w:rsidR="00A46BF1" w:rsidRPr="00684E6E" w:rsidRDefault="00A46BF1" w:rsidP="00881321">
            <w:pPr>
              <w:spacing w:before="40" w:after="40"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按组合计提坏账准备的应收账款</w:t>
            </w:r>
          </w:p>
        </w:tc>
        <w:tc>
          <w:tcPr>
            <w:tcW w:w="992" w:type="dxa"/>
            <w:tcBorders>
              <w:top w:val="single" w:sz="2" w:space="0" w:color="auto"/>
              <w:left w:val="single" w:sz="2" w:space="0" w:color="auto"/>
              <w:bottom w:val="single" w:sz="2" w:space="0" w:color="auto"/>
              <w:right w:val="single" w:sz="2" w:space="0" w:color="auto"/>
            </w:tcBorders>
            <w:vAlign w:val="center"/>
          </w:tcPr>
          <w:p w14:paraId="33E98BD6"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541,564,090.15</w:t>
            </w:r>
          </w:p>
        </w:tc>
        <w:tc>
          <w:tcPr>
            <w:tcW w:w="567" w:type="dxa"/>
            <w:tcBorders>
              <w:top w:val="single" w:sz="2" w:space="0" w:color="auto"/>
              <w:left w:val="single" w:sz="2" w:space="0" w:color="auto"/>
              <w:bottom w:val="single" w:sz="2" w:space="0" w:color="auto"/>
              <w:right w:val="single" w:sz="2" w:space="0" w:color="auto"/>
            </w:tcBorders>
            <w:vAlign w:val="center"/>
          </w:tcPr>
          <w:p w14:paraId="21A669C2"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75.52%</w:t>
            </w:r>
          </w:p>
        </w:tc>
        <w:tc>
          <w:tcPr>
            <w:tcW w:w="992" w:type="dxa"/>
            <w:tcBorders>
              <w:top w:val="single" w:sz="2" w:space="0" w:color="auto"/>
              <w:left w:val="single" w:sz="2" w:space="0" w:color="auto"/>
              <w:bottom w:val="single" w:sz="2" w:space="0" w:color="auto"/>
              <w:right w:val="single" w:sz="2" w:space="0" w:color="auto"/>
            </w:tcBorders>
            <w:vAlign w:val="center"/>
          </w:tcPr>
          <w:p w14:paraId="0834093A"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28,348,744.07</w:t>
            </w:r>
          </w:p>
        </w:tc>
        <w:tc>
          <w:tcPr>
            <w:tcW w:w="709" w:type="dxa"/>
            <w:tcBorders>
              <w:top w:val="single" w:sz="2" w:space="0" w:color="auto"/>
              <w:left w:val="single" w:sz="2" w:space="0" w:color="auto"/>
              <w:bottom w:val="single" w:sz="2" w:space="0" w:color="auto"/>
              <w:right w:val="single" w:sz="2" w:space="0" w:color="auto"/>
            </w:tcBorders>
            <w:vAlign w:val="center"/>
          </w:tcPr>
          <w:p w14:paraId="4F52B010"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5.23%</w:t>
            </w:r>
          </w:p>
        </w:tc>
        <w:tc>
          <w:tcPr>
            <w:tcW w:w="992" w:type="dxa"/>
            <w:tcBorders>
              <w:top w:val="single" w:sz="2" w:space="0" w:color="auto"/>
              <w:left w:val="single" w:sz="2" w:space="0" w:color="auto"/>
              <w:bottom w:val="single" w:sz="2" w:space="0" w:color="auto"/>
              <w:right w:val="single" w:sz="2" w:space="0" w:color="auto"/>
            </w:tcBorders>
            <w:vAlign w:val="center"/>
          </w:tcPr>
          <w:p w14:paraId="32394648"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513,215,346.08</w:t>
            </w:r>
          </w:p>
        </w:tc>
        <w:tc>
          <w:tcPr>
            <w:tcW w:w="993" w:type="dxa"/>
            <w:tcBorders>
              <w:top w:val="single" w:sz="2" w:space="0" w:color="auto"/>
              <w:left w:val="single" w:sz="2" w:space="0" w:color="auto"/>
              <w:bottom w:val="single" w:sz="2" w:space="0" w:color="auto"/>
              <w:right w:val="single" w:sz="2" w:space="0" w:color="auto"/>
            </w:tcBorders>
            <w:vAlign w:val="center"/>
          </w:tcPr>
          <w:p w14:paraId="5A4A0448"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665,180,193.02</w:t>
            </w:r>
          </w:p>
        </w:tc>
        <w:tc>
          <w:tcPr>
            <w:tcW w:w="567" w:type="dxa"/>
            <w:tcBorders>
              <w:top w:val="single" w:sz="2" w:space="0" w:color="auto"/>
              <w:left w:val="single" w:sz="2" w:space="0" w:color="auto"/>
              <w:bottom w:val="single" w:sz="2" w:space="0" w:color="auto"/>
              <w:right w:val="single" w:sz="2" w:space="0" w:color="auto"/>
            </w:tcBorders>
            <w:vAlign w:val="center"/>
          </w:tcPr>
          <w:p w14:paraId="64932CF9"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79.36%</w:t>
            </w:r>
          </w:p>
        </w:tc>
        <w:tc>
          <w:tcPr>
            <w:tcW w:w="992" w:type="dxa"/>
            <w:tcBorders>
              <w:top w:val="single" w:sz="2" w:space="0" w:color="auto"/>
              <w:left w:val="single" w:sz="2" w:space="0" w:color="auto"/>
              <w:bottom w:val="single" w:sz="2" w:space="0" w:color="auto"/>
              <w:right w:val="single" w:sz="2" w:space="0" w:color="auto"/>
            </w:tcBorders>
            <w:vAlign w:val="center"/>
          </w:tcPr>
          <w:p w14:paraId="7D313F18"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44,924,087.88</w:t>
            </w:r>
          </w:p>
        </w:tc>
        <w:tc>
          <w:tcPr>
            <w:tcW w:w="621" w:type="dxa"/>
            <w:tcBorders>
              <w:top w:val="single" w:sz="2" w:space="0" w:color="auto"/>
              <w:left w:val="single" w:sz="2" w:space="0" w:color="auto"/>
              <w:bottom w:val="single" w:sz="2" w:space="0" w:color="auto"/>
              <w:right w:val="single" w:sz="2" w:space="0" w:color="auto"/>
            </w:tcBorders>
            <w:vAlign w:val="center"/>
          </w:tcPr>
          <w:p w14:paraId="654E7879"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6.75%</w:t>
            </w:r>
          </w:p>
        </w:tc>
        <w:tc>
          <w:tcPr>
            <w:tcW w:w="876" w:type="dxa"/>
            <w:tcBorders>
              <w:top w:val="single" w:sz="2" w:space="0" w:color="auto"/>
              <w:left w:val="single" w:sz="2" w:space="0" w:color="auto"/>
              <w:bottom w:val="single" w:sz="2" w:space="0" w:color="auto"/>
              <w:right w:val="single" w:sz="2" w:space="0" w:color="auto"/>
            </w:tcBorders>
            <w:vAlign w:val="center"/>
          </w:tcPr>
          <w:p w14:paraId="0E70A46F"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620,256,105.14</w:t>
            </w:r>
          </w:p>
        </w:tc>
      </w:tr>
      <w:tr w:rsidR="00095F6F" w14:paraId="6EEB3B67"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2B9A07C6" w14:textId="77777777" w:rsidR="00A46BF1" w:rsidRPr="00684E6E" w:rsidRDefault="00A46BF1" w:rsidP="00881321">
            <w:pPr>
              <w:spacing w:before="40" w:after="40"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其中：</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4F290B99" w14:textId="77777777" w:rsidR="00A46BF1" w:rsidRPr="00684E6E" w:rsidRDefault="00A46BF1" w:rsidP="00881321">
            <w:pPr>
              <w:spacing w:line="360" w:lineRule="auto"/>
              <w:rPr>
                <w:rFonts w:ascii="Times New Roman"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74AED029"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1749E17" w14:textId="77777777" w:rsidR="00A46BF1" w:rsidRPr="00684E6E" w:rsidRDefault="00A46BF1" w:rsidP="00881321">
            <w:pPr>
              <w:spacing w:line="360" w:lineRule="auto"/>
              <w:rPr>
                <w:rFonts w:ascii="Times New Roman" w:hAnsi="Times New Roman" w:cs="Times New Roman"/>
                <w:sz w:val="13"/>
                <w:szCs w:val="13"/>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1E1D976"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0603624" w14:textId="77777777" w:rsidR="00A46BF1" w:rsidRPr="00684E6E" w:rsidRDefault="00A46BF1" w:rsidP="00881321">
            <w:pPr>
              <w:spacing w:line="360" w:lineRule="auto"/>
              <w:rPr>
                <w:rFonts w:ascii="Times New Roman" w:hAnsi="Times New Roman" w:cs="Times New Roman"/>
                <w:sz w:val="13"/>
                <w:szCs w:val="13"/>
              </w:rPr>
            </w:pP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3609FEB6" w14:textId="77777777" w:rsidR="00A46BF1" w:rsidRPr="00684E6E" w:rsidRDefault="00A46BF1" w:rsidP="00881321">
            <w:pPr>
              <w:spacing w:line="360" w:lineRule="auto"/>
              <w:rPr>
                <w:rFonts w:ascii="Times New Roman"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387D5ADE" w14:textId="77777777" w:rsidR="00A46BF1" w:rsidRPr="00684E6E" w:rsidRDefault="00A46BF1" w:rsidP="00881321">
            <w:pPr>
              <w:spacing w:line="360" w:lineRule="auto"/>
              <w:rPr>
                <w:rFonts w:ascii="Times New Roman"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3C13CCD1" w14:textId="77777777" w:rsidR="00A46BF1" w:rsidRPr="00684E6E" w:rsidRDefault="00A46BF1" w:rsidP="00881321">
            <w:pPr>
              <w:spacing w:line="360" w:lineRule="auto"/>
              <w:rPr>
                <w:rFonts w:ascii="Times New Roman" w:hAnsi="Times New Roman" w:cs="Times New Roman"/>
                <w:sz w:val="13"/>
                <w:szCs w:val="13"/>
              </w:rPr>
            </w:pPr>
          </w:p>
        </w:tc>
        <w:tc>
          <w:tcPr>
            <w:tcW w:w="621" w:type="dxa"/>
            <w:tcBorders>
              <w:top w:val="single" w:sz="2" w:space="0" w:color="auto"/>
              <w:left w:val="single" w:sz="2" w:space="0" w:color="auto"/>
              <w:bottom w:val="single" w:sz="2" w:space="0" w:color="auto"/>
              <w:right w:val="single" w:sz="2" w:space="0" w:color="auto"/>
            </w:tcBorders>
            <w:shd w:val="clear" w:color="auto" w:fill="D3D3D3"/>
            <w:vAlign w:val="center"/>
          </w:tcPr>
          <w:p w14:paraId="5EA5436B" w14:textId="77777777" w:rsidR="00A46BF1" w:rsidRPr="00684E6E" w:rsidRDefault="00A46BF1" w:rsidP="00881321">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5184361" w14:textId="77777777" w:rsidR="00A46BF1" w:rsidRPr="00684E6E" w:rsidRDefault="00A46BF1" w:rsidP="00881321">
            <w:pPr>
              <w:spacing w:line="360" w:lineRule="auto"/>
              <w:rPr>
                <w:rFonts w:ascii="Times New Roman" w:hAnsi="Times New Roman" w:cs="Times New Roman"/>
                <w:sz w:val="13"/>
                <w:szCs w:val="13"/>
              </w:rPr>
            </w:pPr>
          </w:p>
        </w:tc>
      </w:tr>
      <w:tr w:rsidR="00095F6F" w14:paraId="71B7DC94"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vAlign w:val="center"/>
          </w:tcPr>
          <w:p w14:paraId="66BA96AA" w14:textId="77777777" w:rsidR="00A46BF1" w:rsidRPr="00684E6E" w:rsidRDefault="00A46BF1" w:rsidP="00881321">
            <w:pPr>
              <w:spacing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账龄组合</w:t>
            </w:r>
          </w:p>
        </w:tc>
        <w:tc>
          <w:tcPr>
            <w:tcW w:w="992" w:type="dxa"/>
            <w:tcBorders>
              <w:top w:val="single" w:sz="2" w:space="0" w:color="auto"/>
              <w:left w:val="single" w:sz="2" w:space="0" w:color="auto"/>
              <w:bottom w:val="single" w:sz="2" w:space="0" w:color="auto"/>
              <w:right w:val="single" w:sz="2" w:space="0" w:color="auto"/>
            </w:tcBorders>
            <w:vAlign w:val="center"/>
          </w:tcPr>
          <w:p w14:paraId="1F32F650"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356,507,214.62</w:t>
            </w:r>
          </w:p>
        </w:tc>
        <w:tc>
          <w:tcPr>
            <w:tcW w:w="567" w:type="dxa"/>
            <w:tcBorders>
              <w:top w:val="single" w:sz="2" w:space="0" w:color="auto"/>
              <w:left w:val="single" w:sz="2" w:space="0" w:color="auto"/>
              <w:bottom w:val="single" w:sz="2" w:space="0" w:color="auto"/>
              <w:right w:val="single" w:sz="2" w:space="0" w:color="auto"/>
            </w:tcBorders>
            <w:vAlign w:val="center"/>
          </w:tcPr>
          <w:p w14:paraId="01202CE3"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49.71%</w:t>
            </w:r>
          </w:p>
        </w:tc>
        <w:tc>
          <w:tcPr>
            <w:tcW w:w="992" w:type="dxa"/>
            <w:tcBorders>
              <w:top w:val="single" w:sz="2" w:space="0" w:color="auto"/>
              <w:left w:val="single" w:sz="2" w:space="0" w:color="auto"/>
              <w:bottom w:val="single" w:sz="2" w:space="0" w:color="auto"/>
              <w:right w:val="single" w:sz="2" w:space="0" w:color="auto"/>
            </w:tcBorders>
            <w:vAlign w:val="center"/>
          </w:tcPr>
          <w:p w14:paraId="4A66C16D"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19,532,723.64</w:t>
            </w:r>
          </w:p>
        </w:tc>
        <w:tc>
          <w:tcPr>
            <w:tcW w:w="709" w:type="dxa"/>
            <w:tcBorders>
              <w:top w:val="single" w:sz="2" w:space="0" w:color="auto"/>
              <w:left w:val="single" w:sz="2" w:space="0" w:color="auto"/>
              <w:bottom w:val="single" w:sz="2" w:space="0" w:color="auto"/>
              <w:right w:val="single" w:sz="2" w:space="0" w:color="auto"/>
            </w:tcBorders>
            <w:vAlign w:val="center"/>
          </w:tcPr>
          <w:p w14:paraId="63175EF1"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5.48%</w:t>
            </w:r>
          </w:p>
        </w:tc>
        <w:tc>
          <w:tcPr>
            <w:tcW w:w="992" w:type="dxa"/>
            <w:tcBorders>
              <w:top w:val="single" w:sz="2" w:space="0" w:color="auto"/>
              <w:left w:val="single" w:sz="2" w:space="0" w:color="auto"/>
              <w:bottom w:val="single" w:sz="2" w:space="0" w:color="auto"/>
              <w:right w:val="single" w:sz="2" w:space="0" w:color="auto"/>
            </w:tcBorders>
            <w:vAlign w:val="center"/>
          </w:tcPr>
          <w:p w14:paraId="12A241E2"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336,974,490.98</w:t>
            </w:r>
          </w:p>
        </w:tc>
        <w:tc>
          <w:tcPr>
            <w:tcW w:w="993" w:type="dxa"/>
            <w:tcBorders>
              <w:top w:val="single" w:sz="2" w:space="0" w:color="auto"/>
              <w:left w:val="single" w:sz="2" w:space="0" w:color="auto"/>
              <w:bottom w:val="single" w:sz="2" w:space="0" w:color="auto"/>
              <w:right w:val="single" w:sz="2" w:space="0" w:color="auto"/>
            </w:tcBorders>
            <w:vAlign w:val="center"/>
          </w:tcPr>
          <w:p w14:paraId="75C63804"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488,049,786.46</w:t>
            </w:r>
          </w:p>
        </w:tc>
        <w:tc>
          <w:tcPr>
            <w:tcW w:w="567" w:type="dxa"/>
            <w:tcBorders>
              <w:top w:val="single" w:sz="2" w:space="0" w:color="auto"/>
              <w:left w:val="single" w:sz="2" w:space="0" w:color="auto"/>
              <w:bottom w:val="single" w:sz="2" w:space="0" w:color="auto"/>
              <w:right w:val="single" w:sz="2" w:space="0" w:color="auto"/>
            </w:tcBorders>
            <w:vAlign w:val="center"/>
          </w:tcPr>
          <w:p w14:paraId="505FE524"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58.23%</w:t>
            </w:r>
          </w:p>
        </w:tc>
        <w:tc>
          <w:tcPr>
            <w:tcW w:w="992" w:type="dxa"/>
            <w:tcBorders>
              <w:top w:val="single" w:sz="2" w:space="0" w:color="auto"/>
              <w:left w:val="single" w:sz="2" w:space="0" w:color="auto"/>
              <w:bottom w:val="single" w:sz="2" w:space="0" w:color="auto"/>
              <w:right w:val="single" w:sz="2" w:space="0" w:color="auto"/>
            </w:tcBorders>
            <w:vAlign w:val="center"/>
          </w:tcPr>
          <w:p w14:paraId="09E6814E"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26,625,031.73</w:t>
            </w:r>
          </w:p>
        </w:tc>
        <w:tc>
          <w:tcPr>
            <w:tcW w:w="621" w:type="dxa"/>
            <w:tcBorders>
              <w:top w:val="single" w:sz="2" w:space="0" w:color="auto"/>
              <w:left w:val="single" w:sz="2" w:space="0" w:color="auto"/>
              <w:bottom w:val="single" w:sz="2" w:space="0" w:color="auto"/>
              <w:right w:val="single" w:sz="2" w:space="0" w:color="auto"/>
            </w:tcBorders>
            <w:vAlign w:val="center"/>
          </w:tcPr>
          <w:p w14:paraId="6AFB3E09"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5.46%</w:t>
            </w:r>
          </w:p>
        </w:tc>
        <w:tc>
          <w:tcPr>
            <w:tcW w:w="876" w:type="dxa"/>
            <w:tcBorders>
              <w:top w:val="single" w:sz="2" w:space="0" w:color="auto"/>
              <w:left w:val="single" w:sz="2" w:space="0" w:color="auto"/>
              <w:bottom w:val="single" w:sz="2" w:space="0" w:color="auto"/>
              <w:right w:val="single" w:sz="2" w:space="0" w:color="auto"/>
            </w:tcBorders>
            <w:vAlign w:val="center"/>
          </w:tcPr>
          <w:p w14:paraId="4387E205"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461,424,754.73</w:t>
            </w:r>
          </w:p>
        </w:tc>
      </w:tr>
      <w:tr w:rsidR="00095F6F" w14:paraId="56B1DBFB"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vAlign w:val="center"/>
          </w:tcPr>
          <w:p w14:paraId="69234807" w14:textId="77777777" w:rsidR="00A46BF1" w:rsidRPr="00684E6E" w:rsidRDefault="00A46BF1" w:rsidP="00881321">
            <w:pPr>
              <w:spacing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其他组合</w:t>
            </w:r>
            <w:r w:rsidRPr="00684E6E">
              <w:rPr>
                <w:rFonts w:ascii="Times New Roman" w:eastAsia="宋体" w:hAnsi="Times New Roman" w:cs="Times New Roman"/>
                <w:sz w:val="13"/>
                <w:szCs w:val="13"/>
              </w:rPr>
              <w:t>1</w:t>
            </w:r>
          </w:p>
        </w:tc>
        <w:tc>
          <w:tcPr>
            <w:tcW w:w="992" w:type="dxa"/>
            <w:tcBorders>
              <w:top w:val="single" w:sz="2" w:space="0" w:color="auto"/>
              <w:left w:val="single" w:sz="2" w:space="0" w:color="auto"/>
              <w:bottom w:val="single" w:sz="2" w:space="0" w:color="auto"/>
              <w:right w:val="single" w:sz="2" w:space="0" w:color="auto"/>
            </w:tcBorders>
            <w:vAlign w:val="center"/>
          </w:tcPr>
          <w:p w14:paraId="098F31C0"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25,069,713.82</w:t>
            </w:r>
          </w:p>
        </w:tc>
        <w:tc>
          <w:tcPr>
            <w:tcW w:w="567" w:type="dxa"/>
            <w:tcBorders>
              <w:top w:val="single" w:sz="2" w:space="0" w:color="auto"/>
              <w:left w:val="single" w:sz="2" w:space="0" w:color="auto"/>
              <w:bottom w:val="single" w:sz="2" w:space="0" w:color="auto"/>
              <w:right w:val="single" w:sz="2" w:space="0" w:color="auto"/>
            </w:tcBorders>
            <w:vAlign w:val="center"/>
          </w:tcPr>
          <w:p w14:paraId="55745A3B"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3.50%</w:t>
            </w:r>
          </w:p>
        </w:tc>
        <w:tc>
          <w:tcPr>
            <w:tcW w:w="992" w:type="dxa"/>
            <w:tcBorders>
              <w:top w:val="single" w:sz="2" w:space="0" w:color="auto"/>
              <w:left w:val="single" w:sz="2" w:space="0" w:color="auto"/>
              <w:bottom w:val="single" w:sz="2" w:space="0" w:color="auto"/>
              <w:right w:val="single" w:sz="2" w:space="0" w:color="auto"/>
            </w:tcBorders>
            <w:vAlign w:val="center"/>
          </w:tcPr>
          <w:p w14:paraId="6BB66E36" w14:textId="77777777" w:rsidR="00A46BF1" w:rsidRPr="00684E6E" w:rsidRDefault="00A46BF1" w:rsidP="00881321">
            <w:pPr>
              <w:spacing w:line="360" w:lineRule="auto"/>
              <w:jc w:val="right"/>
              <w:rPr>
                <w:rFonts w:ascii="Times New Roman" w:eastAsia="宋体" w:hAnsi="Times New Roman" w:cs="Times New Roman"/>
                <w:sz w:val="13"/>
                <w:szCs w:val="13"/>
              </w:rPr>
            </w:pPr>
          </w:p>
        </w:tc>
        <w:tc>
          <w:tcPr>
            <w:tcW w:w="709" w:type="dxa"/>
            <w:tcBorders>
              <w:top w:val="single" w:sz="2" w:space="0" w:color="auto"/>
              <w:left w:val="single" w:sz="2" w:space="0" w:color="auto"/>
              <w:bottom w:val="single" w:sz="2" w:space="0" w:color="auto"/>
              <w:right w:val="single" w:sz="2" w:space="0" w:color="auto"/>
            </w:tcBorders>
            <w:vAlign w:val="center"/>
          </w:tcPr>
          <w:p w14:paraId="50AEF338" w14:textId="77777777" w:rsidR="00A46BF1" w:rsidRPr="00684E6E" w:rsidRDefault="00A46BF1" w:rsidP="00881321">
            <w:pPr>
              <w:spacing w:line="360" w:lineRule="auto"/>
              <w:jc w:val="right"/>
              <w:rPr>
                <w:rFonts w:ascii="Times New Roman" w:eastAsia="宋体"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vAlign w:val="center"/>
          </w:tcPr>
          <w:p w14:paraId="62B590DF"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25,069,713.82</w:t>
            </w:r>
          </w:p>
        </w:tc>
        <w:tc>
          <w:tcPr>
            <w:tcW w:w="993" w:type="dxa"/>
            <w:tcBorders>
              <w:top w:val="single" w:sz="2" w:space="0" w:color="auto"/>
              <w:left w:val="single" w:sz="2" w:space="0" w:color="auto"/>
              <w:bottom w:val="single" w:sz="2" w:space="0" w:color="auto"/>
              <w:right w:val="single" w:sz="2" w:space="0" w:color="auto"/>
            </w:tcBorders>
            <w:vAlign w:val="center"/>
          </w:tcPr>
          <w:p w14:paraId="6A839992"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25,184,158.43</w:t>
            </w:r>
          </w:p>
        </w:tc>
        <w:tc>
          <w:tcPr>
            <w:tcW w:w="567" w:type="dxa"/>
            <w:tcBorders>
              <w:top w:val="single" w:sz="2" w:space="0" w:color="auto"/>
              <w:left w:val="single" w:sz="2" w:space="0" w:color="auto"/>
              <w:bottom w:val="single" w:sz="2" w:space="0" w:color="auto"/>
              <w:right w:val="single" w:sz="2" w:space="0" w:color="auto"/>
            </w:tcBorders>
            <w:vAlign w:val="center"/>
          </w:tcPr>
          <w:p w14:paraId="55A758B8"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3.00%</w:t>
            </w:r>
          </w:p>
        </w:tc>
        <w:tc>
          <w:tcPr>
            <w:tcW w:w="992" w:type="dxa"/>
            <w:tcBorders>
              <w:top w:val="single" w:sz="2" w:space="0" w:color="auto"/>
              <w:left w:val="single" w:sz="2" w:space="0" w:color="auto"/>
              <w:bottom w:val="single" w:sz="2" w:space="0" w:color="auto"/>
              <w:right w:val="single" w:sz="2" w:space="0" w:color="auto"/>
            </w:tcBorders>
            <w:vAlign w:val="center"/>
          </w:tcPr>
          <w:p w14:paraId="10036D27" w14:textId="77777777" w:rsidR="00A46BF1" w:rsidRPr="00684E6E" w:rsidRDefault="00A46BF1" w:rsidP="00881321">
            <w:pPr>
              <w:spacing w:line="360" w:lineRule="auto"/>
              <w:jc w:val="right"/>
              <w:rPr>
                <w:rFonts w:ascii="Times New Roman" w:eastAsia="宋体" w:hAnsi="Times New Roman" w:cs="Times New Roman"/>
                <w:sz w:val="13"/>
                <w:szCs w:val="13"/>
              </w:rPr>
            </w:pPr>
          </w:p>
        </w:tc>
        <w:tc>
          <w:tcPr>
            <w:tcW w:w="621" w:type="dxa"/>
            <w:tcBorders>
              <w:top w:val="single" w:sz="2" w:space="0" w:color="auto"/>
              <w:left w:val="single" w:sz="2" w:space="0" w:color="auto"/>
              <w:bottom w:val="single" w:sz="2" w:space="0" w:color="auto"/>
              <w:right w:val="single" w:sz="2" w:space="0" w:color="auto"/>
            </w:tcBorders>
            <w:vAlign w:val="center"/>
          </w:tcPr>
          <w:p w14:paraId="6E7F30A1" w14:textId="77777777" w:rsidR="00A46BF1" w:rsidRPr="00684E6E" w:rsidRDefault="00A46BF1" w:rsidP="0088132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20798AEC"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25,184,158.43</w:t>
            </w:r>
          </w:p>
        </w:tc>
      </w:tr>
      <w:tr w:rsidR="00095F6F" w14:paraId="4015FDB4"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vAlign w:val="center"/>
          </w:tcPr>
          <w:p w14:paraId="5300BB02" w14:textId="77777777" w:rsidR="00A46BF1" w:rsidRPr="00684E6E" w:rsidRDefault="00A46BF1" w:rsidP="00881321">
            <w:pPr>
              <w:spacing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其他组合</w:t>
            </w:r>
            <w:r w:rsidRPr="00684E6E">
              <w:rPr>
                <w:rFonts w:ascii="Times New Roman" w:eastAsia="宋体" w:hAnsi="Times New Roman" w:cs="Times New Roman"/>
                <w:sz w:val="13"/>
                <w:szCs w:val="13"/>
              </w:rPr>
              <w:t>2</w:t>
            </w:r>
          </w:p>
        </w:tc>
        <w:tc>
          <w:tcPr>
            <w:tcW w:w="992" w:type="dxa"/>
            <w:tcBorders>
              <w:top w:val="single" w:sz="2" w:space="0" w:color="auto"/>
              <w:left w:val="single" w:sz="2" w:space="0" w:color="auto"/>
              <w:bottom w:val="single" w:sz="2" w:space="0" w:color="auto"/>
              <w:right w:val="single" w:sz="2" w:space="0" w:color="auto"/>
            </w:tcBorders>
            <w:vAlign w:val="center"/>
          </w:tcPr>
          <w:p w14:paraId="5E130B60"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159,987,161.71</w:t>
            </w:r>
          </w:p>
        </w:tc>
        <w:tc>
          <w:tcPr>
            <w:tcW w:w="567" w:type="dxa"/>
            <w:tcBorders>
              <w:top w:val="single" w:sz="2" w:space="0" w:color="auto"/>
              <w:left w:val="single" w:sz="2" w:space="0" w:color="auto"/>
              <w:bottom w:val="single" w:sz="2" w:space="0" w:color="auto"/>
              <w:right w:val="single" w:sz="2" w:space="0" w:color="auto"/>
            </w:tcBorders>
            <w:vAlign w:val="center"/>
          </w:tcPr>
          <w:p w14:paraId="1BA83EF0"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22.31%</w:t>
            </w:r>
          </w:p>
        </w:tc>
        <w:tc>
          <w:tcPr>
            <w:tcW w:w="992" w:type="dxa"/>
            <w:tcBorders>
              <w:top w:val="single" w:sz="2" w:space="0" w:color="auto"/>
              <w:left w:val="single" w:sz="2" w:space="0" w:color="auto"/>
              <w:bottom w:val="single" w:sz="2" w:space="0" w:color="auto"/>
              <w:right w:val="single" w:sz="2" w:space="0" w:color="auto"/>
            </w:tcBorders>
            <w:vAlign w:val="center"/>
          </w:tcPr>
          <w:p w14:paraId="20834798"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8,816,020.43</w:t>
            </w:r>
          </w:p>
        </w:tc>
        <w:tc>
          <w:tcPr>
            <w:tcW w:w="709" w:type="dxa"/>
            <w:tcBorders>
              <w:top w:val="single" w:sz="2" w:space="0" w:color="auto"/>
              <w:left w:val="single" w:sz="2" w:space="0" w:color="auto"/>
              <w:bottom w:val="single" w:sz="2" w:space="0" w:color="auto"/>
              <w:right w:val="single" w:sz="2" w:space="0" w:color="auto"/>
            </w:tcBorders>
            <w:vAlign w:val="center"/>
          </w:tcPr>
          <w:p w14:paraId="675E53DB"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5.51%</w:t>
            </w:r>
          </w:p>
        </w:tc>
        <w:tc>
          <w:tcPr>
            <w:tcW w:w="992" w:type="dxa"/>
            <w:tcBorders>
              <w:top w:val="single" w:sz="2" w:space="0" w:color="auto"/>
              <w:left w:val="single" w:sz="2" w:space="0" w:color="auto"/>
              <w:bottom w:val="single" w:sz="2" w:space="0" w:color="auto"/>
              <w:right w:val="single" w:sz="2" w:space="0" w:color="auto"/>
            </w:tcBorders>
            <w:vAlign w:val="center"/>
          </w:tcPr>
          <w:p w14:paraId="28C3D6E5"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151,171,141.28</w:t>
            </w:r>
          </w:p>
        </w:tc>
        <w:tc>
          <w:tcPr>
            <w:tcW w:w="993" w:type="dxa"/>
            <w:tcBorders>
              <w:top w:val="single" w:sz="2" w:space="0" w:color="auto"/>
              <w:left w:val="single" w:sz="2" w:space="0" w:color="auto"/>
              <w:bottom w:val="single" w:sz="2" w:space="0" w:color="auto"/>
              <w:right w:val="single" w:sz="2" w:space="0" w:color="auto"/>
            </w:tcBorders>
            <w:vAlign w:val="center"/>
          </w:tcPr>
          <w:p w14:paraId="7C17DCF7"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151,946,248.13</w:t>
            </w:r>
          </w:p>
        </w:tc>
        <w:tc>
          <w:tcPr>
            <w:tcW w:w="567" w:type="dxa"/>
            <w:tcBorders>
              <w:top w:val="single" w:sz="2" w:space="0" w:color="auto"/>
              <w:left w:val="single" w:sz="2" w:space="0" w:color="auto"/>
              <w:bottom w:val="single" w:sz="2" w:space="0" w:color="auto"/>
              <w:right w:val="single" w:sz="2" w:space="0" w:color="auto"/>
            </w:tcBorders>
            <w:vAlign w:val="center"/>
          </w:tcPr>
          <w:p w14:paraId="3A84DE66"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18.13%</w:t>
            </w:r>
          </w:p>
        </w:tc>
        <w:tc>
          <w:tcPr>
            <w:tcW w:w="992" w:type="dxa"/>
            <w:tcBorders>
              <w:top w:val="single" w:sz="2" w:space="0" w:color="auto"/>
              <w:left w:val="single" w:sz="2" w:space="0" w:color="auto"/>
              <w:bottom w:val="single" w:sz="2" w:space="0" w:color="auto"/>
              <w:right w:val="single" w:sz="2" w:space="0" w:color="auto"/>
            </w:tcBorders>
            <w:vAlign w:val="center"/>
          </w:tcPr>
          <w:p w14:paraId="1654D3D6"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18,299,056.15</w:t>
            </w:r>
          </w:p>
        </w:tc>
        <w:tc>
          <w:tcPr>
            <w:tcW w:w="621" w:type="dxa"/>
            <w:tcBorders>
              <w:top w:val="single" w:sz="2" w:space="0" w:color="auto"/>
              <w:left w:val="single" w:sz="2" w:space="0" w:color="auto"/>
              <w:bottom w:val="single" w:sz="2" w:space="0" w:color="auto"/>
              <w:right w:val="single" w:sz="2" w:space="0" w:color="auto"/>
            </w:tcBorders>
            <w:vAlign w:val="center"/>
          </w:tcPr>
          <w:p w14:paraId="4F4F77FB"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12.04%</w:t>
            </w:r>
          </w:p>
        </w:tc>
        <w:tc>
          <w:tcPr>
            <w:tcW w:w="876" w:type="dxa"/>
            <w:tcBorders>
              <w:top w:val="single" w:sz="2" w:space="0" w:color="auto"/>
              <w:left w:val="single" w:sz="2" w:space="0" w:color="auto"/>
              <w:bottom w:val="single" w:sz="2" w:space="0" w:color="auto"/>
              <w:right w:val="single" w:sz="2" w:space="0" w:color="auto"/>
            </w:tcBorders>
            <w:vAlign w:val="center"/>
          </w:tcPr>
          <w:p w14:paraId="36BABDB6"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133,647,191.98</w:t>
            </w:r>
          </w:p>
        </w:tc>
      </w:tr>
      <w:tr w:rsidR="00095F6F" w14:paraId="3330D4E1" w14:textId="77777777" w:rsidTr="00684E6E">
        <w:trPr>
          <w:trHeight w:val="240"/>
        </w:trPr>
        <w:tc>
          <w:tcPr>
            <w:tcW w:w="1338" w:type="dxa"/>
            <w:tcBorders>
              <w:top w:val="single" w:sz="2" w:space="0" w:color="auto"/>
              <w:left w:val="single" w:sz="2" w:space="0" w:color="auto"/>
              <w:bottom w:val="single" w:sz="2" w:space="0" w:color="auto"/>
              <w:right w:val="single" w:sz="2" w:space="0" w:color="auto"/>
            </w:tcBorders>
            <w:shd w:val="clear" w:color="auto" w:fill="D3D3D3"/>
            <w:vAlign w:val="center"/>
          </w:tcPr>
          <w:p w14:paraId="473B4887" w14:textId="77777777" w:rsidR="00A46BF1" w:rsidRPr="00684E6E" w:rsidRDefault="00A46BF1" w:rsidP="00881321">
            <w:pPr>
              <w:spacing w:before="40" w:after="40" w:line="360" w:lineRule="auto"/>
              <w:rPr>
                <w:rFonts w:ascii="Times New Roman" w:eastAsia="宋体" w:hAnsi="Times New Roman" w:cs="Times New Roman"/>
                <w:sz w:val="13"/>
                <w:szCs w:val="13"/>
              </w:rPr>
            </w:pPr>
            <w:r w:rsidRPr="00684E6E">
              <w:rPr>
                <w:rFonts w:ascii="Times New Roman" w:eastAsia="宋体" w:hAnsi="Times New Roman" w:cs="Times New Roman"/>
                <w:sz w:val="13"/>
                <w:szCs w:val="13"/>
              </w:rPr>
              <w:t>合计</w:t>
            </w:r>
          </w:p>
        </w:tc>
        <w:tc>
          <w:tcPr>
            <w:tcW w:w="992" w:type="dxa"/>
            <w:tcBorders>
              <w:top w:val="single" w:sz="2" w:space="0" w:color="auto"/>
              <w:left w:val="single" w:sz="2" w:space="0" w:color="auto"/>
              <w:bottom w:val="single" w:sz="2" w:space="0" w:color="auto"/>
              <w:right w:val="single" w:sz="2" w:space="0" w:color="auto"/>
            </w:tcBorders>
            <w:vAlign w:val="center"/>
          </w:tcPr>
          <w:p w14:paraId="485A4559"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717,116,821.73</w:t>
            </w:r>
          </w:p>
        </w:tc>
        <w:tc>
          <w:tcPr>
            <w:tcW w:w="567" w:type="dxa"/>
            <w:tcBorders>
              <w:top w:val="single" w:sz="2" w:space="0" w:color="auto"/>
              <w:left w:val="single" w:sz="2" w:space="0" w:color="auto"/>
              <w:bottom w:val="single" w:sz="2" w:space="0" w:color="auto"/>
              <w:right w:val="single" w:sz="2" w:space="0" w:color="auto"/>
            </w:tcBorders>
            <w:vAlign w:val="center"/>
          </w:tcPr>
          <w:p w14:paraId="4A234D29"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100.00%</w:t>
            </w:r>
          </w:p>
        </w:tc>
        <w:tc>
          <w:tcPr>
            <w:tcW w:w="992" w:type="dxa"/>
            <w:tcBorders>
              <w:top w:val="single" w:sz="2" w:space="0" w:color="auto"/>
              <w:left w:val="single" w:sz="2" w:space="0" w:color="auto"/>
              <w:bottom w:val="single" w:sz="2" w:space="0" w:color="auto"/>
              <w:right w:val="single" w:sz="2" w:space="0" w:color="auto"/>
            </w:tcBorders>
            <w:vAlign w:val="center"/>
          </w:tcPr>
          <w:p w14:paraId="4753F1F7"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203,901,475.65</w:t>
            </w:r>
          </w:p>
        </w:tc>
        <w:tc>
          <w:tcPr>
            <w:tcW w:w="709" w:type="dxa"/>
            <w:tcBorders>
              <w:top w:val="single" w:sz="2" w:space="0" w:color="auto"/>
              <w:left w:val="single" w:sz="2" w:space="0" w:color="auto"/>
              <w:bottom w:val="single" w:sz="2" w:space="0" w:color="auto"/>
              <w:right w:val="single" w:sz="2" w:space="0" w:color="auto"/>
            </w:tcBorders>
            <w:vAlign w:val="center"/>
          </w:tcPr>
          <w:p w14:paraId="7A7662EC"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28.43%</w:t>
            </w:r>
          </w:p>
        </w:tc>
        <w:tc>
          <w:tcPr>
            <w:tcW w:w="992" w:type="dxa"/>
            <w:tcBorders>
              <w:top w:val="single" w:sz="2" w:space="0" w:color="auto"/>
              <w:left w:val="single" w:sz="2" w:space="0" w:color="auto"/>
              <w:bottom w:val="single" w:sz="2" w:space="0" w:color="auto"/>
              <w:right w:val="single" w:sz="2" w:space="0" w:color="auto"/>
            </w:tcBorders>
            <w:vAlign w:val="center"/>
          </w:tcPr>
          <w:p w14:paraId="2ABE01E7"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513,215,346.08</w:t>
            </w:r>
          </w:p>
        </w:tc>
        <w:tc>
          <w:tcPr>
            <w:tcW w:w="993" w:type="dxa"/>
            <w:tcBorders>
              <w:top w:val="single" w:sz="2" w:space="0" w:color="auto"/>
              <w:left w:val="single" w:sz="2" w:space="0" w:color="auto"/>
              <w:bottom w:val="single" w:sz="2" w:space="0" w:color="auto"/>
              <w:right w:val="single" w:sz="2" w:space="0" w:color="auto"/>
            </w:tcBorders>
            <w:vAlign w:val="center"/>
          </w:tcPr>
          <w:p w14:paraId="565BD2A8"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838,181,233.05</w:t>
            </w:r>
          </w:p>
        </w:tc>
        <w:tc>
          <w:tcPr>
            <w:tcW w:w="567" w:type="dxa"/>
            <w:tcBorders>
              <w:top w:val="single" w:sz="2" w:space="0" w:color="auto"/>
              <w:left w:val="single" w:sz="2" w:space="0" w:color="auto"/>
              <w:bottom w:val="single" w:sz="2" w:space="0" w:color="auto"/>
              <w:right w:val="single" w:sz="2" w:space="0" w:color="auto"/>
            </w:tcBorders>
            <w:vAlign w:val="center"/>
          </w:tcPr>
          <w:p w14:paraId="1BAD6BC6"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100.00%</w:t>
            </w:r>
          </w:p>
        </w:tc>
        <w:tc>
          <w:tcPr>
            <w:tcW w:w="992" w:type="dxa"/>
            <w:tcBorders>
              <w:top w:val="single" w:sz="2" w:space="0" w:color="auto"/>
              <w:left w:val="single" w:sz="2" w:space="0" w:color="auto"/>
              <w:bottom w:val="single" w:sz="2" w:space="0" w:color="auto"/>
              <w:right w:val="single" w:sz="2" w:space="0" w:color="auto"/>
            </w:tcBorders>
            <w:vAlign w:val="center"/>
          </w:tcPr>
          <w:p w14:paraId="670C3E41"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217,925,127.91</w:t>
            </w:r>
          </w:p>
        </w:tc>
        <w:tc>
          <w:tcPr>
            <w:tcW w:w="621" w:type="dxa"/>
            <w:tcBorders>
              <w:top w:val="single" w:sz="2" w:space="0" w:color="auto"/>
              <w:left w:val="single" w:sz="2" w:space="0" w:color="auto"/>
              <w:bottom w:val="single" w:sz="2" w:space="0" w:color="auto"/>
              <w:right w:val="single" w:sz="2" w:space="0" w:color="auto"/>
            </w:tcBorders>
            <w:vAlign w:val="center"/>
          </w:tcPr>
          <w:p w14:paraId="5BBD2DB6"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26.00%</w:t>
            </w:r>
          </w:p>
        </w:tc>
        <w:tc>
          <w:tcPr>
            <w:tcW w:w="876" w:type="dxa"/>
            <w:tcBorders>
              <w:top w:val="single" w:sz="2" w:space="0" w:color="auto"/>
              <w:left w:val="single" w:sz="2" w:space="0" w:color="auto"/>
              <w:bottom w:val="single" w:sz="2" w:space="0" w:color="auto"/>
              <w:right w:val="single" w:sz="2" w:space="0" w:color="auto"/>
            </w:tcBorders>
            <w:vAlign w:val="center"/>
          </w:tcPr>
          <w:p w14:paraId="038F80C1" w14:textId="77777777" w:rsidR="00A46BF1" w:rsidRPr="00684E6E" w:rsidRDefault="00A46BF1" w:rsidP="00881321">
            <w:pPr>
              <w:spacing w:line="360" w:lineRule="auto"/>
              <w:jc w:val="right"/>
              <w:rPr>
                <w:rFonts w:ascii="Times New Roman" w:eastAsia="宋体" w:hAnsi="Times New Roman" w:cs="Times New Roman"/>
                <w:sz w:val="13"/>
                <w:szCs w:val="13"/>
              </w:rPr>
            </w:pPr>
            <w:r w:rsidRPr="00684E6E">
              <w:rPr>
                <w:rFonts w:ascii="Times New Roman" w:eastAsia="宋体" w:hAnsi="Times New Roman" w:cs="Times New Roman"/>
                <w:sz w:val="13"/>
                <w:szCs w:val="13"/>
              </w:rPr>
              <w:t>620,256,105.14</w:t>
            </w:r>
          </w:p>
        </w:tc>
      </w:tr>
    </w:tbl>
    <w:p w14:paraId="622D6ADD"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按单项计提坏账准备：单项计提</w:t>
      </w:r>
    </w:p>
    <w:p w14:paraId="0369957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14:paraId="4CD8D2AC" w14:textId="77777777" w:rsidTr="00A46BF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4982019"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名称</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B140A17"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AD3F83D"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期末余额</w:t>
            </w:r>
          </w:p>
        </w:tc>
      </w:tr>
      <w:tr w:rsidR="00095F6F" w14:paraId="4BF17AC5" w14:textId="77777777" w:rsidTr="00A46BF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73EE97B" w14:textId="77777777" w:rsidR="00A46BF1" w:rsidRPr="00684E6E" w:rsidRDefault="00A46BF1" w:rsidP="00684E6E">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8FEDC0"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3A09EF6"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FF36C2"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0E47FD4"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908A934"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C500AC7"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计提理由</w:t>
            </w:r>
          </w:p>
        </w:tc>
      </w:tr>
      <w:tr w:rsidR="00095F6F" w14:paraId="33F7956A"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493A0A2B"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A</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52A4E717"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168,061,907.26</w:t>
            </w:r>
          </w:p>
        </w:tc>
        <w:tc>
          <w:tcPr>
            <w:tcW w:w="1377" w:type="dxa"/>
            <w:tcBorders>
              <w:top w:val="single" w:sz="2" w:space="0" w:color="auto"/>
              <w:left w:val="single" w:sz="2" w:space="0" w:color="auto"/>
              <w:bottom w:val="single" w:sz="2" w:space="0" w:color="auto"/>
              <w:right w:val="single" w:sz="2" w:space="0" w:color="auto"/>
            </w:tcBorders>
            <w:vAlign w:val="center"/>
          </w:tcPr>
          <w:p w14:paraId="1B42448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168,061,907.26</w:t>
            </w:r>
          </w:p>
        </w:tc>
        <w:tc>
          <w:tcPr>
            <w:tcW w:w="1377" w:type="dxa"/>
            <w:tcBorders>
              <w:top w:val="single" w:sz="2" w:space="0" w:color="auto"/>
              <w:left w:val="single" w:sz="2" w:space="0" w:color="auto"/>
              <w:bottom w:val="single" w:sz="2" w:space="0" w:color="auto"/>
              <w:right w:val="single" w:sz="2" w:space="0" w:color="auto"/>
            </w:tcBorders>
            <w:vAlign w:val="center"/>
          </w:tcPr>
          <w:p w14:paraId="584BF3D1"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170,319,481.74</w:t>
            </w:r>
          </w:p>
        </w:tc>
        <w:tc>
          <w:tcPr>
            <w:tcW w:w="1377" w:type="dxa"/>
            <w:tcBorders>
              <w:top w:val="single" w:sz="2" w:space="0" w:color="auto"/>
              <w:left w:val="single" w:sz="2" w:space="0" w:color="auto"/>
              <w:bottom w:val="single" w:sz="2" w:space="0" w:color="auto"/>
              <w:right w:val="single" w:sz="2" w:space="0" w:color="auto"/>
            </w:tcBorders>
            <w:vAlign w:val="center"/>
          </w:tcPr>
          <w:p w14:paraId="74D56DAB"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170,319,481.74</w:t>
            </w:r>
          </w:p>
        </w:tc>
        <w:tc>
          <w:tcPr>
            <w:tcW w:w="1377" w:type="dxa"/>
            <w:tcBorders>
              <w:top w:val="single" w:sz="2" w:space="0" w:color="auto"/>
              <w:left w:val="single" w:sz="2" w:space="0" w:color="auto"/>
              <w:bottom w:val="single" w:sz="2" w:space="0" w:color="auto"/>
              <w:right w:val="single" w:sz="2" w:space="0" w:color="auto"/>
            </w:tcBorders>
            <w:vAlign w:val="center"/>
          </w:tcPr>
          <w:p w14:paraId="3ADD23AB"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50AE3C59"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7B08234B"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8177B68"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B</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57E5FF3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2D7D219F"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347FAA87"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20BDC7C0"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2BA4C7E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6B959067"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41EA4BE8"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F1BBAD1"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C</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65DAD0DF"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1,234,036.39</w:t>
            </w:r>
          </w:p>
        </w:tc>
        <w:tc>
          <w:tcPr>
            <w:tcW w:w="1377" w:type="dxa"/>
            <w:tcBorders>
              <w:top w:val="single" w:sz="2" w:space="0" w:color="auto"/>
              <w:left w:val="single" w:sz="2" w:space="0" w:color="auto"/>
              <w:bottom w:val="single" w:sz="2" w:space="0" w:color="auto"/>
              <w:right w:val="single" w:sz="2" w:space="0" w:color="auto"/>
            </w:tcBorders>
            <w:vAlign w:val="center"/>
          </w:tcPr>
          <w:p w14:paraId="168BD90D"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1,234,036.39</w:t>
            </w:r>
          </w:p>
        </w:tc>
        <w:tc>
          <w:tcPr>
            <w:tcW w:w="1377" w:type="dxa"/>
            <w:tcBorders>
              <w:top w:val="single" w:sz="2" w:space="0" w:color="auto"/>
              <w:left w:val="single" w:sz="2" w:space="0" w:color="auto"/>
              <w:bottom w:val="single" w:sz="2" w:space="0" w:color="auto"/>
              <w:right w:val="single" w:sz="2" w:space="0" w:color="auto"/>
            </w:tcBorders>
            <w:vAlign w:val="center"/>
          </w:tcPr>
          <w:p w14:paraId="0E1279A1"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1,214,036.39</w:t>
            </w:r>
          </w:p>
        </w:tc>
        <w:tc>
          <w:tcPr>
            <w:tcW w:w="1377" w:type="dxa"/>
            <w:tcBorders>
              <w:top w:val="single" w:sz="2" w:space="0" w:color="auto"/>
              <w:left w:val="single" w:sz="2" w:space="0" w:color="auto"/>
              <w:bottom w:val="single" w:sz="2" w:space="0" w:color="auto"/>
              <w:right w:val="single" w:sz="2" w:space="0" w:color="auto"/>
            </w:tcBorders>
            <w:vAlign w:val="center"/>
          </w:tcPr>
          <w:p w14:paraId="75D0C7E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1,214,036.39</w:t>
            </w:r>
          </w:p>
        </w:tc>
        <w:tc>
          <w:tcPr>
            <w:tcW w:w="1377" w:type="dxa"/>
            <w:tcBorders>
              <w:top w:val="single" w:sz="2" w:space="0" w:color="auto"/>
              <w:left w:val="single" w:sz="2" w:space="0" w:color="auto"/>
              <w:bottom w:val="single" w:sz="2" w:space="0" w:color="auto"/>
              <w:right w:val="single" w:sz="2" w:space="0" w:color="auto"/>
            </w:tcBorders>
            <w:vAlign w:val="center"/>
          </w:tcPr>
          <w:p w14:paraId="65923F3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368FE757"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3CA17160"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3637FA2F"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D</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1C85BCFC"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51AFD634"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61B96DBE"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21B3FE9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113AEEA1"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1CE14F10"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19E73A5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3501B60"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E</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5336F33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7E1D4770"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444A9850"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7CC1FC04"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38EE262E"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33B8EF3"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3882F1F7"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D5A3D15"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F</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69E628D7"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222,600.65</w:t>
            </w:r>
          </w:p>
        </w:tc>
        <w:tc>
          <w:tcPr>
            <w:tcW w:w="1377" w:type="dxa"/>
            <w:tcBorders>
              <w:top w:val="single" w:sz="2" w:space="0" w:color="auto"/>
              <w:left w:val="single" w:sz="2" w:space="0" w:color="auto"/>
              <w:bottom w:val="single" w:sz="2" w:space="0" w:color="auto"/>
              <w:right w:val="single" w:sz="2" w:space="0" w:color="auto"/>
            </w:tcBorders>
            <w:vAlign w:val="center"/>
          </w:tcPr>
          <w:p w14:paraId="3DB9B49F"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222,600.65</w:t>
            </w:r>
          </w:p>
        </w:tc>
        <w:tc>
          <w:tcPr>
            <w:tcW w:w="1377" w:type="dxa"/>
            <w:tcBorders>
              <w:top w:val="single" w:sz="2" w:space="0" w:color="auto"/>
              <w:left w:val="single" w:sz="2" w:space="0" w:color="auto"/>
              <w:bottom w:val="single" w:sz="2" w:space="0" w:color="auto"/>
              <w:right w:val="single" w:sz="2" w:space="0" w:color="auto"/>
            </w:tcBorders>
            <w:vAlign w:val="center"/>
          </w:tcPr>
          <w:p w14:paraId="1852FC8C"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222,600.65</w:t>
            </w:r>
          </w:p>
        </w:tc>
        <w:tc>
          <w:tcPr>
            <w:tcW w:w="1377" w:type="dxa"/>
            <w:tcBorders>
              <w:top w:val="single" w:sz="2" w:space="0" w:color="auto"/>
              <w:left w:val="single" w:sz="2" w:space="0" w:color="auto"/>
              <w:bottom w:val="single" w:sz="2" w:space="0" w:color="auto"/>
              <w:right w:val="single" w:sz="2" w:space="0" w:color="auto"/>
            </w:tcBorders>
            <w:vAlign w:val="center"/>
          </w:tcPr>
          <w:p w14:paraId="42AF56F5"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222,600.65</w:t>
            </w:r>
          </w:p>
        </w:tc>
        <w:tc>
          <w:tcPr>
            <w:tcW w:w="1377" w:type="dxa"/>
            <w:tcBorders>
              <w:top w:val="single" w:sz="2" w:space="0" w:color="auto"/>
              <w:left w:val="single" w:sz="2" w:space="0" w:color="auto"/>
              <w:bottom w:val="single" w:sz="2" w:space="0" w:color="auto"/>
              <w:right w:val="single" w:sz="2" w:space="0" w:color="auto"/>
            </w:tcBorders>
            <w:vAlign w:val="center"/>
          </w:tcPr>
          <w:p w14:paraId="5BA7D583"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50B6DAA1"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39495D10"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B9CE7DD"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G</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4D77F4E2" w14:textId="77777777" w:rsidR="00A46BF1" w:rsidRPr="00684E6E" w:rsidRDefault="00A46BF1" w:rsidP="00684E6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DFA55A6" w14:textId="77777777" w:rsidR="00A46BF1" w:rsidRPr="00684E6E" w:rsidRDefault="00A46BF1" w:rsidP="00684E6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7B4891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285,123.27</w:t>
            </w:r>
          </w:p>
        </w:tc>
        <w:tc>
          <w:tcPr>
            <w:tcW w:w="1377" w:type="dxa"/>
            <w:tcBorders>
              <w:top w:val="single" w:sz="2" w:space="0" w:color="auto"/>
              <w:left w:val="single" w:sz="2" w:space="0" w:color="auto"/>
              <w:bottom w:val="single" w:sz="2" w:space="0" w:color="auto"/>
              <w:right w:val="single" w:sz="2" w:space="0" w:color="auto"/>
            </w:tcBorders>
            <w:vAlign w:val="center"/>
          </w:tcPr>
          <w:p w14:paraId="43FBEB48"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285,123.27</w:t>
            </w:r>
          </w:p>
        </w:tc>
        <w:tc>
          <w:tcPr>
            <w:tcW w:w="1377" w:type="dxa"/>
            <w:tcBorders>
              <w:top w:val="single" w:sz="2" w:space="0" w:color="auto"/>
              <w:left w:val="single" w:sz="2" w:space="0" w:color="auto"/>
              <w:bottom w:val="single" w:sz="2" w:space="0" w:color="auto"/>
              <w:right w:val="single" w:sz="2" w:space="0" w:color="auto"/>
            </w:tcBorders>
            <w:vAlign w:val="center"/>
          </w:tcPr>
          <w:p w14:paraId="327DFE47"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690AA75"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3772A130"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15FC5CE"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H</w:t>
            </w:r>
            <w:r w:rsidRPr="00684E6E">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323459A3" w14:textId="77777777" w:rsidR="00A46BF1" w:rsidRPr="00684E6E" w:rsidRDefault="00A46BF1" w:rsidP="00684E6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D5F87FA" w14:textId="77777777" w:rsidR="00A46BF1" w:rsidRPr="00684E6E" w:rsidRDefault="00A46BF1" w:rsidP="00684E6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4F0396A"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28,993.80</w:t>
            </w:r>
          </w:p>
        </w:tc>
        <w:tc>
          <w:tcPr>
            <w:tcW w:w="1377" w:type="dxa"/>
            <w:tcBorders>
              <w:top w:val="single" w:sz="2" w:space="0" w:color="auto"/>
              <w:left w:val="single" w:sz="2" w:space="0" w:color="auto"/>
              <w:bottom w:val="single" w:sz="2" w:space="0" w:color="auto"/>
              <w:right w:val="single" w:sz="2" w:space="0" w:color="auto"/>
            </w:tcBorders>
            <w:vAlign w:val="center"/>
          </w:tcPr>
          <w:p w14:paraId="3ED78F2B"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28,993.80</w:t>
            </w:r>
          </w:p>
        </w:tc>
        <w:tc>
          <w:tcPr>
            <w:tcW w:w="1377" w:type="dxa"/>
            <w:tcBorders>
              <w:top w:val="single" w:sz="2" w:space="0" w:color="auto"/>
              <w:left w:val="single" w:sz="2" w:space="0" w:color="auto"/>
              <w:bottom w:val="single" w:sz="2" w:space="0" w:color="auto"/>
              <w:right w:val="single" w:sz="2" w:space="0" w:color="auto"/>
            </w:tcBorders>
            <w:vAlign w:val="center"/>
          </w:tcPr>
          <w:p w14:paraId="6E9C419B"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7B8DC11B"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超账期</w:t>
            </w:r>
          </w:p>
        </w:tc>
      </w:tr>
      <w:tr w:rsidR="00095F6F" w14:paraId="35714B5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DCDCC80" w14:textId="77777777" w:rsidR="00A46BF1" w:rsidRPr="00684E6E" w:rsidRDefault="00A46BF1" w:rsidP="00684E6E">
            <w:pPr>
              <w:spacing w:before="40" w:after="40"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7B2AFC6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173,001,040.03</w:t>
            </w:r>
          </w:p>
        </w:tc>
        <w:tc>
          <w:tcPr>
            <w:tcW w:w="1377" w:type="dxa"/>
            <w:tcBorders>
              <w:top w:val="single" w:sz="2" w:space="0" w:color="auto"/>
              <w:left w:val="single" w:sz="2" w:space="0" w:color="auto"/>
              <w:bottom w:val="single" w:sz="2" w:space="0" w:color="auto"/>
              <w:right w:val="single" w:sz="2" w:space="0" w:color="auto"/>
            </w:tcBorders>
            <w:vAlign w:val="center"/>
          </w:tcPr>
          <w:p w14:paraId="3B21D435"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173,001,040.03</w:t>
            </w:r>
          </w:p>
        </w:tc>
        <w:tc>
          <w:tcPr>
            <w:tcW w:w="1377" w:type="dxa"/>
            <w:tcBorders>
              <w:top w:val="single" w:sz="2" w:space="0" w:color="auto"/>
              <w:left w:val="single" w:sz="2" w:space="0" w:color="auto"/>
              <w:bottom w:val="single" w:sz="2" w:space="0" w:color="auto"/>
              <w:right w:val="single" w:sz="2" w:space="0" w:color="auto"/>
            </w:tcBorders>
            <w:vAlign w:val="center"/>
          </w:tcPr>
          <w:p w14:paraId="1BD6D88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175,552,731.58</w:t>
            </w:r>
          </w:p>
        </w:tc>
        <w:tc>
          <w:tcPr>
            <w:tcW w:w="1377" w:type="dxa"/>
            <w:tcBorders>
              <w:top w:val="single" w:sz="2" w:space="0" w:color="auto"/>
              <w:left w:val="single" w:sz="2" w:space="0" w:color="auto"/>
              <w:bottom w:val="single" w:sz="2" w:space="0" w:color="auto"/>
              <w:right w:val="single" w:sz="2" w:space="0" w:color="auto"/>
            </w:tcBorders>
            <w:vAlign w:val="center"/>
          </w:tcPr>
          <w:p w14:paraId="1C3DCD1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175,552,731.58</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9F1FCF2" w14:textId="77777777" w:rsidR="00A46BF1" w:rsidRPr="00684E6E" w:rsidRDefault="00A46BF1" w:rsidP="00684E6E">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81809F" w14:textId="77777777" w:rsidR="00A46BF1" w:rsidRPr="00684E6E" w:rsidRDefault="00A46BF1" w:rsidP="00684E6E">
            <w:pPr>
              <w:spacing w:line="360" w:lineRule="auto"/>
              <w:rPr>
                <w:rFonts w:ascii="Times New Roman" w:hAnsi="Times New Roman" w:cs="Times New Roman"/>
              </w:rPr>
            </w:pPr>
          </w:p>
        </w:tc>
      </w:tr>
    </w:tbl>
    <w:p w14:paraId="5FF43C6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按组合计提坏账准备：账龄组合计提</w:t>
      </w:r>
    </w:p>
    <w:p w14:paraId="37BF550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76FE395F"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22EAEB0"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13F05D0C"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期末余额</w:t>
            </w:r>
          </w:p>
        </w:tc>
      </w:tr>
      <w:tr w:rsidR="00095F6F" w14:paraId="2262D9B7"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D7D275" w14:textId="77777777" w:rsidR="00A46BF1" w:rsidRPr="00684E6E" w:rsidRDefault="00A46BF1" w:rsidP="00684E6E">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DB18FCB"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E64EEA"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16E3DA0" w14:textId="77777777" w:rsidR="00A46BF1" w:rsidRPr="00684E6E" w:rsidRDefault="00A46BF1" w:rsidP="00684E6E">
            <w:pPr>
              <w:spacing w:before="40" w:after="40" w:line="360" w:lineRule="auto"/>
              <w:jc w:val="center"/>
              <w:rPr>
                <w:rFonts w:ascii="Times New Roman" w:eastAsia="宋体" w:hAnsi="Times New Roman" w:cs="Times New Roman"/>
                <w:sz w:val="18"/>
                <w:szCs w:val="18"/>
              </w:rPr>
            </w:pPr>
            <w:r w:rsidRPr="00684E6E">
              <w:rPr>
                <w:rFonts w:ascii="Times New Roman" w:eastAsia="宋体" w:hAnsi="Times New Roman" w:cs="Times New Roman"/>
                <w:sz w:val="18"/>
                <w:szCs w:val="18"/>
              </w:rPr>
              <w:t>计提比例</w:t>
            </w:r>
          </w:p>
        </w:tc>
      </w:tr>
      <w:tr w:rsidR="00095F6F" w14:paraId="4F583F5B"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458E2F5"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1</w:t>
            </w:r>
            <w:r w:rsidRPr="00684E6E">
              <w:rPr>
                <w:rFonts w:ascii="Times New Roman" w:eastAsia="宋体" w:hAnsi="Times New Roman" w:cs="Times New Roman"/>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01078F4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350,232,222.47</w:t>
            </w:r>
          </w:p>
        </w:tc>
        <w:tc>
          <w:tcPr>
            <w:tcW w:w="2410" w:type="dxa"/>
            <w:tcBorders>
              <w:top w:val="single" w:sz="2" w:space="0" w:color="auto"/>
              <w:left w:val="single" w:sz="2" w:space="0" w:color="auto"/>
              <w:bottom w:val="single" w:sz="2" w:space="0" w:color="auto"/>
              <w:right w:val="single" w:sz="2" w:space="0" w:color="auto"/>
            </w:tcBorders>
            <w:vAlign w:val="center"/>
          </w:tcPr>
          <w:p w14:paraId="1A1021BC"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17,509,170.05</w:t>
            </w:r>
          </w:p>
        </w:tc>
        <w:tc>
          <w:tcPr>
            <w:tcW w:w="2410" w:type="dxa"/>
            <w:tcBorders>
              <w:top w:val="single" w:sz="2" w:space="0" w:color="auto"/>
              <w:left w:val="single" w:sz="2" w:space="0" w:color="auto"/>
              <w:bottom w:val="single" w:sz="2" w:space="0" w:color="auto"/>
              <w:right w:val="single" w:sz="2" w:space="0" w:color="auto"/>
            </w:tcBorders>
            <w:vAlign w:val="center"/>
          </w:tcPr>
          <w:p w14:paraId="77EAF0B4"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5.00%</w:t>
            </w:r>
          </w:p>
        </w:tc>
      </w:tr>
      <w:tr w:rsidR="00095F6F" w14:paraId="5592B145"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ED75571"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1</w:t>
            </w:r>
            <w:r w:rsidRPr="00684E6E">
              <w:rPr>
                <w:rFonts w:ascii="Times New Roman" w:eastAsia="宋体" w:hAnsi="Times New Roman" w:cs="Times New Roman"/>
                <w:sz w:val="18"/>
                <w:szCs w:val="18"/>
              </w:rPr>
              <w:t>至</w:t>
            </w:r>
            <w:r w:rsidRPr="00684E6E">
              <w:rPr>
                <w:rFonts w:ascii="Times New Roman" w:eastAsia="宋体" w:hAnsi="Times New Roman" w:cs="Times New Roman"/>
                <w:sz w:val="18"/>
                <w:szCs w:val="18"/>
              </w:rPr>
              <w:t>2</w:t>
            </w:r>
            <w:r w:rsidRPr="00684E6E">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75F57F8D"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5,190,170.74</w:t>
            </w:r>
          </w:p>
        </w:tc>
        <w:tc>
          <w:tcPr>
            <w:tcW w:w="2410" w:type="dxa"/>
            <w:tcBorders>
              <w:top w:val="single" w:sz="2" w:space="0" w:color="auto"/>
              <w:left w:val="single" w:sz="2" w:space="0" w:color="auto"/>
              <w:bottom w:val="single" w:sz="2" w:space="0" w:color="auto"/>
              <w:right w:val="single" w:sz="2" w:space="0" w:color="auto"/>
            </w:tcBorders>
            <w:vAlign w:val="center"/>
          </w:tcPr>
          <w:p w14:paraId="662B4A91"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1,038,034.18</w:t>
            </w:r>
          </w:p>
        </w:tc>
        <w:tc>
          <w:tcPr>
            <w:tcW w:w="2410" w:type="dxa"/>
            <w:tcBorders>
              <w:top w:val="single" w:sz="2" w:space="0" w:color="auto"/>
              <w:left w:val="single" w:sz="2" w:space="0" w:color="auto"/>
              <w:bottom w:val="single" w:sz="2" w:space="0" w:color="auto"/>
              <w:right w:val="single" w:sz="2" w:space="0" w:color="auto"/>
            </w:tcBorders>
            <w:vAlign w:val="center"/>
          </w:tcPr>
          <w:p w14:paraId="25D890BE"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20.00%</w:t>
            </w:r>
          </w:p>
        </w:tc>
      </w:tr>
      <w:tr w:rsidR="00095F6F" w14:paraId="709B932F"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109D440"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2</w:t>
            </w:r>
            <w:r w:rsidRPr="00684E6E">
              <w:rPr>
                <w:rFonts w:ascii="Times New Roman" w:eastAsia="宋体" w:hAnsi="Times New Roman" w:cs="Times New Roman"/>
                <w:sz w:val="18"/>
                <w:szCs w:val="18"/>
              </w:rPr>
              <w:t>至</w:t>
            </w:r>
            <w:r w:rsidRPr="00684E6E">
              <w:rPr>
                <w:rFonts w:ascii="Times New Roman" w:eastAsia="宋体" w:hAnsi="Times New Roman" w:cs="Times New Roman"/>
                <w:sz w:val="18"/>
                <w:szCs w:val="18"/>
              </w:rPr>
              <w:t>3</w:t>
            </w:r>
            <w:r w:rsidRPr="00684E6E">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11205327"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198,604.03</w:t>
            </w:r>
          </w:p>
        </w:tc>
        <w:tc>
          <w:tcPr>
            <w:tcW w:w="2410" w:type="dxa"/>
            <w:tcBorders>
              <w:top w:val="single" w:sz="2" w:space="0" w:color="auto"/>
              <w:left w:val="single" w:sz="2" w:space="0" w:color="auto"/>
              <w:bottom w:val="single" w:sz="2" w:space="0" w:color="auto"/>
              <w:right w:val="single" w:sz="2" w:space="0" w:color="auto"/>
            </w:tcBorders>
            <w:vAlign w:val="center"/>
          </w:tcPr>
          <w:p w14:paraId="2022AE00"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99,302.03</w:t>
            </w:r>
          </w:p>
        </w:tc>
        <w:tc>
          <w:tcPr>
            <w:tcW w:w="2410" w:type="dxa"/>
            <w:tcBorders>
              <w:top w:val="single" w:sz="2" w:space="0" w:color="auto"/>
              <w:left w:val="single" w:sz="2" w:space="0" w:color="auto"/>
              <w:bottom w:val="single" w:sz="2" w:space="0" w:color="auto"/>
              <w:right w:val="single" w:sz="2" w:space="0" w:color="auto"/>
            </w:tcBorders>
            <w:vAlign w:val="center"/>
          </w:tcPr>
          <w:p w14:paraId="6D79FDA1"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50.00%</w:t>
            </w:r>
          </w:p>
        </w:tc>
      </w:tr>
      <w:tr w:rsidR="00095F6F" w14:paraId="592B5387"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FEF3454"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3</w:t>
            </w:r>
            <w:r w:rsidRPr="00684E6E">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56B74179"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886,217.38</w:t>
            </w:r>
          </w:p>
        </w:tc>
        <w:tc>
          <w:tcPr>
            <w:tcW w:w="2410" w:type="dxa"/>
            <w:tcBorders>
              <w:top w:val="single" w:sz="2" w:space="0" w:color="auto"/>
              <w:left w:val="single" w:sz="2" w:space="0" w:color="auto"/>
              <w:bottom w:val="single" w:sz="2" w:space="0" w:color="auto"/>
              <w:right w:val="single" w:sz="2" w:space="0" w:color="auto"/>
            </w:tcBorders>
            <w:vAlign w:val="center"/>
          </w:tcPr>
          <w:p w14:paraId="4F579952"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886,217.38</w:t>
            </w:r>
          </w:p>
        </w:tc>
        <w:tc>
          <w:tcPr>
            <w:tcW w:w="2410" w:type="dxa"/>
            <w:tcBorders>
              <w:top w:val="single" w:sz="2" w:space="0" w:color="auto"/>
              <w:left w:val="single" w:sz="2" w:space="0" w:color="auto"/>
              <w:bottom w:val="single" w:sz="2" w:space="0" w:color="auto"/>
              <w:right w:val="single" w:sz="2" w:space="0" w:color="auto"/>
            </w:tcBorders>
            <w:vAlign w:val="center"/>
          </w:tcPr>
          <w:p w14:paraId="6EA1BAE0"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r>
      <w:tr w:rsidR="00095F6F" w14:paraId="4D7E675D"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97CC900"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3</w:t>
            </w:r>
            <w:r w:rsidRPr="00684E6E">
              <w:rPr>
                <w:rFonts w:ascii="Times New Roman" w:eastAsia="宋体" w:hAnsi="Times New Roman" w:cs="Times New Roman"/>
                <w:sz w:val="18"/>
                <w:szCs w:val="18"/>
              </w:rPr>
              <w:t>至</w:t>
            </w:r>
            <w:r w:rsidRPr="00684E6E">
              <w:rPr>
                <w:rFonts w:ascii="Times New Roman" w:eastAsia="宋体" w:hAnsi="Times New Roman" w:cs="Times New Roman"/>
                <w:sz w:val="18"/>
                <w:szCs w:val="18"/>
              </w:rPr>
              <w:t>4</w:t>
            </w:r>
            <w:r w:rsidRPr="00684E6E">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733804D3"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232,365.84</w:t>
            </w:r>
          </w:p>
        </w:tc>
        <w:tc>
          <w:tcPr>
            <w:tcW w:w="2410" w:type="dxa"/>
            <w:tcBorders>
              <w:top w:val="single" w:sz="2" w:space="0" w:color="auto"/>
              <w:left w:val="single" w:sz="2" w:space="0" w:color="auto"/>
              <w:bottom w:val="single" w:sz="2" w:space="0" w:color="auto"/>
              <w:right w:val="single" w:sz="2" w:space="0" w:color="auto"/>
            </w:tcBorders>
            <w:vAlign w:val="center"/>
          </w:tcPr>
          <w:p w14:paraId="471E0E36"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232,365.84</w:t>
            </w:r>
          </w:p>
        </w:tc>
        <w:tc>
          <w:tcPr>
            <w:tcW w:w="2410" w:type="dxa"/>
            <w:tcBorders>
              <w:top w:val="single" w:sz="2" w:space="0" w:color="auto"/>
              <w:left w:val="single" w:sz="2" w:space="0" w:color="auto"/>
              <w:bottom w:val="single" w:sz="2" w:space="0" w:color="auto"/>
              <w:right w:val="single" w:sz="2" w:space="0" w:color="auto"/>
            </w:tcBorders>
            <w:vAlign w:val="center"/>
          </w:tcPr>
          <w:p w14:paraId="6713F552"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r>
      <w:tr w:rsidR="00095F6F" w14:paraId="74248B95"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8CAAF33"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4</w:t>
            </w:r>
            <w:r w:rsidRPr="00684E6E">
              <w:rPr>
                <w:rFonts w:ascii="Times New Roman" w:eastAsia="宋体" w:hAnsi="Times New Roman" w:cs="Times New Roman"/>
                <w:sz w:val="18"/>
                <w:szCs w:val="18"/>
              </w:rPr>
              <w:t>至</w:t>
            </w:r>
            <w:r w:rsidRPr="00684E6E">
              <w:rPr>
                <w:rFonts w:ascii="Times New Roman" w:eastAsia="宋体" w:hAnsi="Times New Roman" w:cs="Times New Roman"/>
                <w:sz w:val="18"/>
                <w:szCs w:val="18"/>
              </w:rPr>
              <w:t>5</w:t>
            </w:r>
            <w:r w:rsidRPr="00684E6E">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02AFF7D2"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80,902.01</w:t>
            </w:r>
          </w:p>
        </w:tc>
        <w:tc>
          <w:tcPr>
            <w:tcW w:w="2410" w:type="dxa"/>
            <w:tcBorders>
              <w:top w:val="single" w:sz="2" w:space="0" w:color="auto"/>
              <w:left w:val="single" w:sz="2" w:space="0" w:color="auto"/>
              <w:bottom w:val="single" w:sz="2" w:space="0" w:color="auto"/>
              <w:right w:val="single" w:sz="2" w:space="0" w:color="auto"/>
            </w:tcBorders>
            <w:vAlign w:val="center"/>
          </w:tcPr>
          <w:p w14:paraId="33C2E0EC"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80,902.01</w:t>
            </w:r>
          </w:p>
        </w:tc>
        <w:tc>
          <w:tcPr>
            <w:tcW w:w="2410" w:type="dxa"/>
            <w:tcBorders>
              <w:top w:val="single" w:sz="2" w:space="0" w:color="auto"/>
              <w:left w:val="single" w:sz="2" w:space="0" w:color="auto"/>
              <w:bottom w:val="single" w:sz="2" w:space="0" w:color="auto"/>
              <w:right w:val="single" w:sz="2" w:space="0" w:color="auto"/>
            </w:tcBorders>
            <w:vAlign w:val="center"/>
          </w:tcPr>
          <w:p w14:paraId="563B88F7"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r>
      <w:tr w:rsidR="00095F6F" w14:paraId="1532FB94"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02E5EA" w14:textId="77777777" w:rsidR="00A46BF1" w:rsidRPr="00684E6E" w:rsidRDefault="00A46BF1" w:rsidP="00684E6E">
            <w:pPr>
              <w:spacing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5</w:t>
            </w:r>
            <w:r w:rsidRPr="00684E6E">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213AEE5E"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572,949.53</w:t>
            </w:r>
          </w:p>
        </w:tc>
        <w:tc>
          <w:tcPr>
            <w:tcW w:w="2410" w:type="dxa"/>
            <w:tcBorders>
              <w:top w:val="single" w:sz="2" w:space="0" w:color="auto"/>
              <w:left w:val="single" w:sz="2" w:space="0" w:color="auto"/>
              <w:bottom w:val="single" w:sz="2" w:space="0" w:color="auto"/>
              <w:right w:val="single" w:sz="2" w:space="0" w:color="auto"/>
            </w:tcBorders>
            <w:vAlign w:val="center"/>
          </w:tcPr>
          <w:p w14:paraId="6CD75401"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572,949.53</w:t>
            </w:r>
          </w:p>
        </w:tc>
        <w:tc>
          <w:tcPr>
            <w:tcW w:w="2410" w:type="dxa"/>
            <w:tcBorders>
              <w:top w:val="single" w:sz="2" w:space="0" w:color="auto"/>
              <w:left w:val="single" w:sz="2" w:space="0" w:color="auto"/>
              <w:bottom w:val="single" w:sz="2" w:space="0" w:color="auto"/>
              <w:right w:val="single" w:sz="2" w:space="0" w:color="auto"/>
            </w:tcBorders>
            <w:vAlign w:val="center"/>
          </w:tcPr>
          <w:p w14:paraId="1BBEA2A0"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100.00%</w:t>
            </w:r>
          </w:p>
        </w:tc>
      </w:tr>
      <w:tr w:rsidR="00095F6F" w14:paraId="3221C4D3"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07F8D2E" w14:textId="77777777" w:rsidR="00A46BF1" w:rsidRPr="00684E6E" w:rsidRDefault="00A46BF1" w:rsidP="00684E6E">
            <w:pPr>
              <w:spacing w:before="40" w:after="40" w:line="360" w:lineRule="auto"/>
              <w:rPr>
                <w:rFonts w:ascii="Times New Roman" w:eastAsia="宋体" w:hAnsi="Times New Roman" w:cs="Times New Roman"/>
                <w:sz w:val="18"/>
                <w:szCs w:val="18"/>
              </w:rPr>
            </w:pPr>
            <w:r w:rsidRPr="00684E6E">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8580CD4"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356,507,214.62</w:t>
            </w:r>
          </w:p>
        </w:tc>
        <w:tc>
          <w:tcPr>
            <w:tcW w:w="2410" w:type="dxa"/>
            <w:tcBorders>
              <w:top w:val="single" w:sz="2" w:space="0" w:color="auto"/>
              <w:left w:val="single" w:sz="2" w:space="0" w:color="auto"/>
              <w:bottom w:val="single" w:sz="2" w:space="0" w:color="auto"/>
              <w:right w:val="single" w:sz="2" w:space="0" w:color="auto"/>
            </w:tcBorders>
            <w:vAlign w:val="center"/>
          </w:tcPr>
          <w:p w14:paraId="74F1092A" w14:textId="77777777" w:rsidR="00A46BF1" w:rsidRPr="00684E6E" w:rsidRDefault="00A46BF1" w:rsidP="00684E6E">
            <w:pPr>
              <w:spacing w:line="360" w:lineRule="auto"/>
              <w:jc w:val="right"/>
              <w:rPr>
                <w:rFonts w:ascii="Times New Roman" w:eastAsia="宋体" w:hAnsi="Times New Roman" w:cs="Times New Roman"/>
                <w:sz w:val="18"/>
                <w:szCs w:val="18"/>
              </w:rPr>
            </w:pPr>
            <w:r w:rsidRPr="00684E6E">
              <w:rPr>
                <w:rFonts w:ascii="Times New Roman" w:eastAsia="宋体" w:hAnsi="Times New Roman" w:cs="Times New Roman"/>
                <w:sz w:val="18"/>
                <w:szCs w:val="18"/>
              </w:rPr>
              <w:t>19,532,723.64</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F97C87" w14:textId="77777777" w:rsidR="00A46BF1" w:rsidRPr="00684E6E" w:rsidRDefault="00A46BF1" w:rsidP="00684E6E">
            <w:pPr>
              <w:spacing w:line="360" w:lineRule="auto"/>
              <w:rPr>
                <w:rFonts w:ascii="Times New Roman" w:hAnsi="Times New Roman" w:cs="Times New Roman"/>
              </w:rPr>
            </w:pPr>
          </w:p>
        </w:tc>
      </w:tr>
    </w:tbl>
    <w:p w14:paraId="5F50F07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3F2651DC" w14:textId="659C8F0E"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详见本附注“五、</w:t>
      </w:r>
      <w:r w:rsidRPr="00684E6E">
        <w:rPr>
          <w:rFonts w:ascii="Times New Roman" w:hAnsi="Times New Roman" w:cs="Times New Roman" w:hint="eastAsia"/>
          <w:sz w:val="21"/>
          <w:szCs w:val="21"/>
        </w:rPr>
        <w:t>10</w:t>
      </w:r>
      <w:r w:rsidR="00684E6E" w:rsidRPr="00684E6E">
        <w:rPr>
          <w:rFonts w:ascii="Times New Roman" w:hAnsi="Times New Roman" w:cs="Times New Roman" w:hint="eastAsia"/>
          <w:sz w:val="21"/>
          <w:szCs w:val="21"/>
        </w:rPr>
        <w:t>金融工具</w:t>
      </w:r>
      <w:r w:rsidRPr="00684E6E">
        <w:rPr>
          <w:rFonts w:ascii="Times New Roman" w:hAnsi="Times New Roman" w:cs="Times New Roman" w:hint="eastAsia"/>
          <w:sz w:val="21"/>
          <w:szCs w:val="21"/>
        </w:rPr>
        <w:t>”相关内容。</w:t>
      </w:r>
    </w:p>
    <w:p w14:paraId="3C1F411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按组合计提坏账准备：其他组合计提</w:t>
      </w:r>
    </w:p>
    <w:p w14:paraId="1610AC8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rsidRPr="00B07534" w14:paraId="1987D85F"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B69D98"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30C883B2"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期末余额</w:t>
            </w:r>
          </w:p>
        </w:tc>
      </w:tr>
      <w:tr w:rsidR="00095F6F" w:rsidRPr="00B07534" w14:paraId="73E36C11"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4C5DA1" w14:textId="77777777" w:rsidR="00A46BF1" w:rsidRPr="00B07534" w:rsidRDefault="00A46BF1" w:rsidP="00B07534">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4B0DE13"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0447105"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CB098CA"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计提比例</w:t>
            </w:r>
          </w:p>
        </w:tc>
      </w:tr>
      <w:tr w:rsidR="00095F6F" w:rsidRPr="00B07534" w14:paraId="36A4254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606E916" w14:textId="77777777" w:rsidR="00A46BF1" w:rsidRPr="00B07534" w:rsidRDefault="00A46BF1" w:rsidP="00B07534">
            <w:pPr>
              <w:spacing w:line="360" w:lineRule="auto"/>
              <w:rPr>
                <w:rFonts w:ascii="Times New Roman" w:eastAsia="宋体" w:hAnsi="Times New Roman" w:cs="Times New Roman"/>
                <w:sz w:val="18"/>
                <w:szCs w:val="18"/>
              </w:rPr>
            </w:pPr>
            <w:r w:rsidRPr="00B07534">
              <w:rPr>
                <w:rFonts w:ascii="Times New Roman" w:eastAsia="宋体" w:hAnsi="Times New Roman" w:cs="Times New Roman"/>
                <w:sz w:val="18"/>
                <w:szCs w:val="18"/>
              </w:rPr>
              <w:t>其他组合</w:t>
            </w:r>
            <w:r w:rsidRPr="00B07534">
              <w:rPr>
                <w:rFonts w:ascii="Times New Roman" w:eastAsia="宋体" w:hAnsi="Times New Roman" w:cs="Times New Roman"/>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2228A73E"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25,069,713.82</w:t>
            </w:r>
          </w:p>
        </w:tc>
        <w:tc>
          <w:tcPr>
            <w:tcW w:w="2410" w:type="dxa"/>
            <w:tcBorders>
              <w:top w:val="single" w:sz="2" w:space="0" w:color="auto"/>
              <w:left w:val="single" w:sz="2" w:space="0" w:color="auto"/>
              <w:bottom w:val="single" w:sz="2" w:space="0" w:color="auto"/>
              <w:right w:val="single" w:sz="2" w:space="0" w:color="auto"/>
            </w:tcBorders>
            <w:vAlign w:val="center"/>
          </w:tcPr>
          <w:p w14:paraId="0CA4BC7C" w14:textId="77777777" w:rsidR="00A46BF1" w:rsidRPr="00B07534" w:rsidRDefault="00A46BF1" w:rsidP="00B07534">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6DF950D" w14:textId="77777777" w:rsidR="00A46BF1" w:rsidRPr="00B07534" w:rsidRDefault="00A46BF1" w:rsidP="00B07534">
            <w:pPr>
              <w:spacing w:line="360" w:lineRule="auto"/>
              <w:jc w:val="right"/>
              <w:rPr>
                <w:rFonts w:ascii="Times New Roman" w:eastAsia="宋体" w:hAnsi="Times New Roman" w:cs="Times New Roman"/>
                <w:sz w:val="18"/>
                <w:szCs w:val="18"/>
              </w:rPr>
            </w:pPr>
          </w:p>
        </w:tc>
      </w:tr>
      <w:tr w:rsidR="00095F6F" w:rsidRPr="00B07534" w14:paraId="04B74DB4"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DEDFD51" w14:textId="77777777" w:rsidR="00A46BF1" w:rsidRPr="00B07534" w:rsidRDefault="00A46BF1" w:rsidP="00B07534">
            <w:pPr>
              <w:spacing w:line="360" w:lineRule="auto"/>
              <w:rPr>
                <w:rFonts w:ascii="Times New Roman" w:eastAsia="宋体" w:hAnsi="Times New Roman" w:cs="Times New Roman"/>
                <w:sz w:val="18"/>
                <w:szCs w:val="18"/>
              </w:rPr>
            </w:pPr>
            <w:r w:rsidRPr="00B07534">
              <w:rPr>
                <w:rFonts w:ascii="Times New Roman" w:eastAsia="宋体" w:hAnsi="Times New Roman" w:cs="Times New Roman"/>
                <w:sz w:val="18"/>
                <w:szCs w:val="18"/>
              </w:rPr>
              <w:t>其他组合</w:t>
            </w:r>
            <w:r w:rsidRPr="00B07534">
              <w:rPr>
                <w:rFonts w:ascii="Times New Roman" w:eastAsia="宋体" w:hAnsi="Times New Roman" w:cs="Times New Roman"/>
                <w:sz w:val="18"/>
                <w:szCs w:val="18"/>
              </w:rPr>
              <w:t>2</w:t>
            </w:r>
          </w:p>
        </w:tc>
        <w:tc>
          <w:tcPr>
            <w:tcW w:w="2410" w:type="dxa"/>
            <w:tcBorders>
              <w:top w:val="single" w:sz="2" w:space="0" w:color="auto"/>
              <w:left w:val="single" w:sz="2" w:space="0" w:color="auto"/>
              <w:bottom w:val="single" w:sz="2" w:space="0" w:color="auto"/>
              <w:right w:val="single" w:sz="2" w:space="0" w:color="auto"/>
            </w:tcBorders>
            <w:vAlign w:val="center"/>
          </w:tcPr>
          <w:p w14:paraId="0E1C03A4"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159,987,161.71</w:t>
            </w:r>
          </w:p>
        </w:tc>
        <w:tc>
          <w:tcPr>
            <w:tcW w:w="2410" w:type="dxa"/>
            <w:tcBorders>
              <w:top w:val="single" w:sz="2" w:space="0" w:color="auto"/>
              <w:left w:val="single" w:sz="2" w:space="0" w:color="auto"/>
              <w:bottom w:val="single" w:sz="2" w:space="0" w:color="auto"/>
              <w:right w:val="single" w:sz="2" w:space="0" w:color="auto"/>
            </w:tcBorders>
            <w:vAlign w:val="center"/>
          </w:tcPr>
          <w:p w14:paraId="63C45DAD"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8,816,020.43</w:t>
            </w:r>
          </w:p>
        </w:tc>
        <w:tc>
          <w:tcPr>
            <w:tcW w:w="2410" w:type="dxa"/>
            <w:tcBorders>
              <w:top w:val="single" w:sz="2" w:space="0" w:color="auto"/>
              <w:left w:val="single" w:sz="2" w:space="0" w:color="auto"/>
              <w:bottom w:val="single" w:sz="2" w:space="0" w:color="auto"/>
              <w:right w:val="single" w:sz="2" w:space="0" w:color="auto"/>
            </w:tcBorders>
            <w:vAlign w:val="center"/>
          </w:tcPr>
          <w:p w14:paraId="7F4AB167"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5.51%</w:t>
            </w:r>
          </w:p>
        </w:tc>
      </w:tr>
      <w:tr w:rsidR="00095F6F" w:rsidRPr="00B07534" w14:paraId="577F4056"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F8A70DC" w14:textId="77777777" w:rsidR="00A46BF1" w:rsidRPr="00B07534" w:rsidRDefault="00A46BF1" w:rsidP="00B07534">
            <w:pPr>
              <w:spacing w:before="40" w:after="40" w:line="360" w:lineRule="auto"/>
              <w:rPr>
                <w:rFonts w:ascii="Times New Roman" w:eastAsia="宋体" w:hAnsi="Times New Roman" w:cs="Times New Roman"/>
                <w:sz w:val="18"/>
                <w:szCs w:val="18"/>
              </w:rPr>
            </w:pPr>
            <w:r w:rsidRPr="00B07534">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D18855C"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185,056,875.53</w:t>
            </w:r>
          </w:p>
        </w:tc>
        <w:tc>
          <w:tcPr>
            <w:tcW w:w="2410" w:type="dxa"/>
            <w:tcBorders>
              <w:top w:val="single" w:sz="2" w:space="0" w:color="auto"/>
              <w:left w:val="single" w:sz="2" w:space="0" w:color="auto"/>
              <w:bottom w:val="single" w:sz="2" w:space="0" w:color="auto"/>
              <w:right w:val="single" w:sz="2" w:space="0" w:color="auto"/>
            </w:tcBorders>
            <w:vAlign w:val="center"/>
          </w:tcPr>
          <w:p w14:paraId="00C0E14F"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8,816,020.43</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29040BC" w14:textId="77777777" w:rsidR="00A46BF1" w:rsidRPr="00B07534" w:rsidRDefault="00A46BF1" w:rsidP="00B07534">
            <w:pPr>
              <w:spacing w:line="360" w:lineRule="auto"/>
              <w:rPr>
                <w:rFonts w:ascii="Times New Roman" w:hAnsi="Times New Roman" w:cs="Times New Roman"/>
              </w:rPr>
            </w:pPr>
          </w:p>
        </w:tc>
      </w:tr>
    </w:tbl>
    <w:p w14:paraId="4D94211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46C6FB39" w14:textId="319AB0F2"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详见本附注“五、</w:t>
      </w:r>
      <w:r w:rsidRPr="00684E6E">
        <w:rPr>
          <w:rFonts w:ascii="Times New Roman" w:hAnsi="Times New Roman" w:cs="Times New Roman" w:hint="eastAsia"/>
          <w:sz w:val="21"/>
          <w:szCs w:val="21"/>
        </w:rPr>
        <w:t>10</w:t>
      </w:r>
      <w:r w:rsidR="00684E6E" w:rsidRPr="00684E6E">
        <w:rPr>
          <w:rFonts w:ascii="Times New Roman" w:hAnsi="Times New Roman" w:cs="Times New Roman" w:hint="eastAsia"/>
          <w:sz w:val="21"/>
          <w:szCs w:val="21"/>
        </w:rPr>
        <w:t>金融工具</w:t>
      </w:r>
      <w:r w:rsidRPr="00684E6E">
        <w:rPr>
          <w:rFonts w:ascii="Times New Roman" w:hAnsi="Times New Roman" w:cs="Times New Roman" w:hint="eastAsia"/>
          <w:sz w:val="21"/>
          <w:szCs w:val="21"/>
        </w:rPr>
        <w:t>”相关内容。</w:t>
      </w:r>
    </w:p>
    <w:p w14:paraId="5AA0A18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w:t>
      </w:r>
    </w:p>
    <w:p w14:paraId="5F62BB5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9BA1B5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本期计提、收回或转回的坏账准备情况</w:t>
      </w:r>
    </w:p>
    <w:p w14:paraId="23B81341"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14:paraId="67C769FF"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2188"/>
        <w:gridCol w:w="1701"/>
        <w:gridCol w:w="1134"/>
        <w:gridCol w:w="1134"/>
        <w:gridCol w:w="1134"/>
        <w:gridCol w:w="1134"/>
        <w:gridCol w:w="1214"/>
      </w:tblGrid>
      <w:tr w:rsidR="00095F6F" w:rsidRPr="00B07534" w14:paraId="2BB4D3E3" w14:textId="77777777" w:rsidTr="009D178C">
        <w:trPr>
          <w:trHeight w:val="240"/>
        </w:trPr>
        <w:tc>
          <w:tcPr>
            <w:tcW w:w="218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83A3D1E"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类别</w:t>
            </w:r>
          </w:p>
        </w:tc>
        <w:tc>
          <w:tcPr>
            <w:tcW w:w="170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D478DCE"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期初余额</w:t>
            </w:r>
          </w:p>
        </w:tc>
        <w:tc>
          <w:tcPr>
            <w:tcW w:w="4536"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D17CC82"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本期变动金额</w:t>
            </w:r>
          </w:p>
        </w:tc>
        <w:tc>
          <w:tcPr>
            <w:tcW w:w="121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50D8BAA"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期末余额</w:t>
            </w:r>
          </w:p>
        </w:tc>
      </w:tr>
      <w:tr w:rsidR="00095F6F" w:rsidRPr="00B07534" w14:paraId="2BF6A87A" w14:textId="77777777" w:rsidTr="009D178C">
        <w:trPr>
          <w:trHeight w:val="240"/>
        </w:trPr>
        <w:tc>
          <w:tcPr>
            <w:tcW w:w="218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62FB77B" w14:textId="77777777" w:rsidR="00A46BF1" w:rsidRPr="00B07534" w:rsidRDefault="00A46BF1" w:rsidP="00B07534">
            <w:pPr>
              <w:spacing w:line="360" w:lineRule="auto"/>
              <w:rPr>
                <w:rFonts w:ascii="Times New Roman" w:hAnsi="Times New Roman" w:cs="Times New Roman"/>
              </w:rPr>
            </w:pPr>
          </w:p>
        </w:tc>
        <w:tc>
          <w:tcPr>
            <w:tcW w:w="170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F9ED0C9" w14:textId="77777777" w:rsidR="00A46BF1" w:rsidRPr="00B07534" w:rsidRDefault="00A46BF1" w:rsidP="00B07534">
            <w:pPr>
              <w:spacing w:line="360" w:lineRule="auto"/>
              <w:rPr>
                <w:rFonts w:ascii="Times New Roman" w:hAnsi="Times New Roman" w:cs="Times New Roman"/>
              </w:rPr>
            </w:pP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ABC8675"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计提</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2D7F35BC"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收回或转回</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043D3143"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核销</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3A978127" w14:textId="77777777" w:rsidR="00A46BF1" w:rsidRPr="00B07534" w:rsidRDefault="00A46BF1" w:rsidP="00B07534">
            <w:pPr>
              <w:spacing w:before="40" w:after="40" w:line="360" w:lineRule="auto"/>
              <w:jc w:val="center"/>
              <w:rPr>
                <w:rFonts w:ascii="Times New Roman" w:eastAsia="宋体" w:hAnsi="Times New Roman" w:cs="Times New Roman"/>
                <w:sz w:val="18"/>
                <w:szCs w:val="18"/>
              </w:rPr>
            </w:pPr>
            <w:r w:rsidRPr="00B07534">
              <w:rPr>
                <w:rFonts w:ascii="Times New Roman" w:eastAsia="宋体" w:hAnsi="Times New Roman" w:cs="Times New Roman"/>
                <w:sz w:val="18"/>
                <w:szCs w:val="18"/>
              </w:rPr>
              <w:t>其他</w:t>
            </w:r>
          </w:p>
        </w:tc>
        <w:tc>
          <w:tcPr>
            <w:tcW w:w="121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1427647" w14:textId="77777777" w:rsidR="00A46BF1" w:rsidRPr="00B07534" w:rsidRDefault="00A46BF1" w:rsidP="00B07534">
            <w:pPr>
              <w:spacing w:line="360" w:lineRule="auto"/>
              <w:rPr>
                <w:rFonts w:ascii="Times New Roman" w:hAnsi="Times New Roman" w:cs="Times New Roman"/>
              </w:rPr>
            </w:pPr>
          </w:p>
        </w:tc>
      </w:tr>
      <w:tr w:rsidR="00095F6F" w:rsidRPr="00B07534" w14:paraId="0A17C478" w14:textId="77777777" w:rsidTr="009D178C">
        <w:trPr>
          <w:trHeight w:val="240"/>
        </w:trPr>
        <w:tc>
          <w:tcPr>
            <w:tcW w:w="2188" w:type="dxa"/>
            <w:tcBorders>
              <w:top w:val="single" w:sz="2" w:space="0" w:color="auto"/>
              <w:left w:val="single" w:sz="2" w:space="0" w:color="auto"/>
              <w:bottom w:val="single" w:sz="2" w:space="0" w:color="auto"/>
              <w:right w:val="single" w:sz="2" w:space="0" w:color="auto"/>
            </w:tcBorders>
            <w:vAlign w:val="center"/>
          </w:tcPr>
          <w:p w14:paraId="6C64CF86" w14:textId="77777777" w:rsidR="00A46BF1" w:rsidRPr="00B07534" w:rsidRDefault="00A46BF1" w:rsidP="00B07534">
            <w:pPr>
              <w:spacing w:line="360" w:lineRule="auto"/>
              <w:rPr>
                <w:rFonts w:ascii="Times New Roman" w:eastAsia="宋体" w:hAnsi="Times New Roman" w:cs="Times New Roman"/>
                <w:sz w:val="18"/>
                <w:szCs w:val="18"/>
              </w:rPr>
            </w:pPr>
            <w:r w:rsidRPr="00B07534">
              <w:rPr>
                <w:rFonts w:ascii="Times New Roman" w:eastAsia="宋体" w:hAnsi="Times New Roman" w:cs="Times New Roman"/>
                <w:sz w:val="18"/>
                <w:szCs w:val="18"/>
              </w:rPr>
              <w:t>按单项计提坏账准备</w:t>
            </w:r>
          </w:p>
        </w:tc>
        <w:tc>
          <w:tcPr>
            <w:tcW w:w="1701" w:type="dxa"/>
            <w:tcBorders>
              <w:top w:val="single" w:sz="2" w:space="0" w:color="auto"/>
              <w:left w:val="single" w:sz="2" w:space="0" w:color="auto"/>
              <w:bottom w:val="single" w:sz="2" w:space="0" w:color="auto"/>
              <w:right w:val="single" w:sz="2" w:space="0" w:color="auto"/>
            </w:tcBorders>
            <w:vAlign w:val="center"/>
          </w:tcPr>
          <w:p w14:paraId="727A33B9"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173,001,040.03</w:t>
            </w:r>
          </w:p>
        </w:tc>
        <w:tc>
          <w:tcPr>
            <w:tcW w:w="1134" w:type="dxa"/>
            <w:tcBorders>
              <w:top w:val="single" w:sz="2" w:space="0" w:color="auto"/>
              <w:left w:val="single" w:sz="2" w:space="0" w:color="auto"/>
              <w:bottom w:val="single" w:sz="2" w:space="0" w:color="auto"/>
              <w:right w:val="single" w:sz="2" w:space="0" w:color="auto"/>
            </w:tcBorders>
            <w:vAlign w:val="center"/>
          </w:tcPr>
          <w:p w14:paraId="551F3DB6"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314,117.07</w:t>
            </w:r>
          </w:p>
        </w:tc>
        <w:tc>
          <w:tcPr>
            <w:tcW w:w="1134" w:type="dxa"/>
            <w:tcBorders>
              <w:top w:val="single" w:sz="2" w:space="0" w:color="auto"/>
              <w:left w:val="single" w:sz="2" w:space="0" w:color="auto"/>
              <w:bottom w:val="single" w:sz="2" w:space="0" w:color="auto"/>
              <w:right w:val="single" w:sz="2" w:space="0" w:color="auto"/>
            </w:tcBorders>
            <w:vAlign w:val="center"/>
          </w:tcPr>
          <w:p w14:paraId="2A8F528C"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20,000.00</w:t>
            </w:r>
          </w:p>
        </w:tc>
        <w:tc>
          <w:tcPr>
            <w:tcW w:w="1134" w:type="dxa"/>
            <w:tcBorders>
              <w:top w:val="single" w:sz="2" w:space="0" w:color="auto"/>
              <w:left w:val="single" w:sz="2" w:space="0" w:color="auto"/>
              <w:bottom w:val="single" w:sz="2" w:space="0" w:color="auto"/>
              <w:right w:val="single" w:sz="2" w:space="0" w:color="auto"/>
            </w:tcBorders>
            <w:vAlign w:val="center"/>
          </w:tcPr>
          <w:p w14:paraId="575EA01F" w14:textId="77777777" w:rsidR="00A46BF1" w:rsidRPr="00B07534" w:rsidRDefault="00A46BF1" w:rsidP="00B07534">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6431A83D"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-2,257,574.48</w:t>
            </w:r>
          </w:p>
        </w:tc>
        <w:tc>
          <w:tcPr>
            <w:tcW w:w="1214" w:type="dxa"/>
            <w:tcBorders>
              <w:top w:val="single" w:sz="2" w:space="0" w:color="auto"/>
              <w:left w:val="single" w:sz="2" w:space="0" w:color="auto"/>
              <w:bottom w:val="single" w:sz="2" w:space="0" w:color="auto"/>
              <w:right w:val="single" w:sz="2" w:space="0" w:color="auto"/>
            </w:tcBorders>
            <w:vAlign w:val="center"/>
          </w:tcPr>
          <w:p w14:paraId="60102A56"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175,552,731.58</w:t>
            </w:r>
          </w:p>
        </w:tc>
      </w:tr>
      <w:tr w:rsidR="00095F6F" w:rsidRPr="00B07534" w14:paraId="36CE43BF" w14:textId="77777777" w:rsidTr="009D178C">
        <w:trPr>
          <w:trHeight w:val="240"/>
        </w:trPr>
        <w:tc>
          <w:tcPr>
            <w:tcW w:w="2188" w:type="dxa"/>
            <w:tcBorders>
              <w:top w:val="single" w:sz="2" w:space="0" w:color="auto"/>
              <w:left w:val="single" w:sz="2" w:space="0" w:color="auto"/>
              <w:bottom w:val="single" w:sz="2" w:space="0" w:color="auto"/>
              <w:right w:val="single" w:sz="2" w:space="0" w:color="auto"/>
            </w:tcBorders>
            <w:vAlign w:val="center"/>
          </w:tcPr>
          <w:p w14:paraId="7C3DDFD8" w14:textId="77777777" w:rsidR="00A46BF1" w:rsidRPr="00B07534" w:rsidRDefault="00A46BF1" w:rsidP="00B07534">
            <w:pPr>
              <w:spacing w:line="360" w:lineRule="auto"/>
              <w:rPr>
                <w:rFonts w:ascii="Times New Roman" w:eastAsia="宋体" w:hAnsi="Times New Roman" w:cs="Times New Roman"/>
                <w:sz w:val="18"/>
                <w:szCs w:val="18"/>
              </w:rPr>
            </w:pPr>
            <w:r w:rsidRPr="00B07534">
              <w:rPr>
                <w:rFonts w:ascii="Times New Roman" w:eastAsia="宋体" w:hAnsi="Times New Roman" w:cs="Times New Roman"/>
                <w:sz w:val="18"/>
                <w:szCs w:val="18"/>
              </w:rPr>
              <w:t>按组合计提坏账准备</w:t>
            </w:r>
          </w:p>
        </w:tc>
        <w:tc>
          <w:tcPr>
            <w:tcW w:w="1701" w:type="dxa"/>
            <w:tcBorders>
              <w:top w:val="single" w:sz="2" w:space="0" w:color="auto"/>
              <w:left w:val="single" w:sz="2" w:space="0" w:color="auto"/>
              <w:bottom w:val="single" w:sz="2" w:space="0" w:color="auto"/>
              <w:right w:val="single" w:sz="2" w:space="0" w:color="auto"/>
            </w:tcBorders>
            <w:vAlign w:val="center"/>
          </w:tcPr>
          <w:p w14:paraId="6CC14BF0"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44,924,087.88</w:t>
            </w:r>
          </w:p>
        </w:tc>
        <w:tc>
          <w:tcPr>
            <w:tcW w:w="1134" w:type="dxa"/>
            <w:tcBorders>
              <w:top w:val="single" w:sz="2" w:space="0" w:color="auto"/>
              <w:left w:val="single" w:sz="2" w:space="0" w:color="auto"/>
              <w:bottom w:val="single" w:sz="2" w:space="0" w:color="auto"/>
              <w:right w:val="single" w:sz="2" w:space="0" w:color="auto"/>
            </w:tcBorders>
            <w:vAlign w:val="center"/>
          </w:tcPr>
          <w:p w14:paraId="4E8B3ABC"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1,598,936.91</w:t>
            </w:r>
          </w:p>
        </w:tc>
        <w:tc>
          <w:tcPr>
            <w:tcW w:w="1134" w:type="dxa"/>
            <w:tcBorders>
              <w:top w:val="single" w:sz="2" w:space="0" w:color="auto"/>
              <w:left w:val="single" w:sz="2" w:space="0" w:color="auto"/>
              <w:bottom w:val="single" w:sz="2" w:space="0" w:color="auto"/>
              <w:right w:val="single" w:sz="2" w:space="0" w:color="auto"/>
            </w:tcBorders>
            <w:vAlign w:val="center"/>
          </w:tcPr>
          <w:p w14:paraId="4E592493"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16,754,052.45</w:t>
            </w:r>
          </w:p>
        </w:tc>
        <w:tc>
          <w:tcPr>
            <w:tcW w:w="1134" w:type="dxa"/>
            <w:tcBorders>
              <w:top w:val="single" w:sz="2" w:space="0" w:color="auto"/>
              <w:left w:val="single" w:sz="2" w:space="0" w:color="auto"/>
              <w:bottom w:val="single" w:sz="2" w:space="0" w:color="auto"/>
              <w:right w:val="single" w:sz="2" w:space="0" w:color="auto"/>
            </w:tcBorders>
            <w:vAlign w:val="center"/>
          </w:tcPr>
          <w:p w14:paraId="4CDCF2EB"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1,125,110.24</w:t>
            </w:r>
          </w:p>
        </w:tc>
        <w:tc>
          <w:tcPr>
            <w:tcW w:w="1134" w:type="dxa"/>
            <w:tcBorders>
              <w:top w:val="single" w:sz="2" w:space="0" w:color="auto"/>
              <w:left w:val="single" w:sz="2" w:space="0" w:color="auto"/>
              <w:bottom w:val="single" w:sz="2" w:space="0" w:color="auto"/>
              <w:right w:val="single" w:sz="2" w:space="0" w:color="auto"/>
            </w:tcBorders>
            <w:vAlign w:val="center"/>
          </w:tcPr>
          <w:p w14:paraId="53600134"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295,118.03</w:t>
            </w:r>
          </w:p>
        </w:tc>
        <w:tc>
          <w:tcPr>
            <w:tcW w:w="1214" w:type="dxa"/>
            <w:tcBorders>
              <w:top w:val="single" w:sz="2" w:space="0" w:color="auto"/>
              <w:left w:val="single" w:sz="2" w:space="0" w:color="auto"/>
              <w:bottom w:val="single" w:sz="2" w:space="0" w:color="auto"/>
              <w:right w:val="single" w:sz="2" w:space="0" w:color="auto"/>
            </w:tcBorders>
            <w:vAlign w:val="center"/>
          </w:tcPr>
          <w:p w14:paraId="251B0DF2"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28,348,744.07</w:t>
            </w:r>
          </w:p>
        </w:tc>
      </w:tr>
      <w:tr w:rsidR="00095F6F" w:rsidRPr="00B07534" w14:paraId="6DF90D91" w14:textId="77777777" w:rsidTr="009D178C">
        <w:trPr>
          <w:trHeight w:val="240"/>
        </w:trPr>
        <w:tc>
          <w:tcPr>
            <w:tcW w:w="2188" w:type="dxa"/>
            <w:tcBorders>
              <w:top w:val="single" w:sz="2" w:space="0" w:color="auto"/>
              <w:left w:val="single" w:sz="2" w:space="0" w:color="auto"/>
              <w:bottom w:val="single" w:sz="2" w:space="0" w:color="auto"/>
              <w:right w:val="single" w:sz="2" w:space="0" w:color="auto"/>
            </w:tcBorders>
            <w:shd w:val="clear" w:color="auto" w:fill="D3D3D3"/>
            <w:vAlign w:val="center"/>
          </w:tcPr>
          <w:p w14:paraId="10AA63E1" w14:textId="77777777" w:rsidR="00A46BF1" w:rsidRPr="00B07534" w:rsidRDefault="00A46BF1" w:rsidP="00B07534">
            <w:pPr>
              <w:spacing w:before="40" w:after="40" w:line="360" w:lineRule="auto"/>
              <w:rPr>
                <w:rFonts w:ascii="Times New Roman" w:eastAsia="宋体" w:hAnsi="Times New Roman" w:cs="Times New Roman"/>
                <w:sz w:val="18"/>
                <w:szCs w:val="18"/>
              </w:rPr>
            </w:pPr>
            <w:r w:rsidRPr="00B07534">
              <w:rPr>
                <w:rFonts w:ascii="Times New Roman" w:eastAsia="宋体" w:hAnsi="Times New Roman" w:cs="Times New Roman"/>
                <w:sz w:val="18"/>
                <w:szCs w:val="18"/>
              </w:rPr>
              <w:t>合计</w:t>
            </w:r>
          </w:p>
        </w:tc>
        <w:tc>
          <w:tcPr>
            <w:tcW w:w="1701" w:type="dxa"/>
            <w:tcBorders>
              <w:top w:val="single" w:sz="2" w:space="0" w:color="auto"/>
              <w:left w:val="single" w:sz="2" w:space="0" w:color="auto"/>
              <w:bottom w:val="single" w:sz="2" w:space="0" w:color="auto"/>
              <w:right w:val="single" w:sz="2" w:space="0" w:color="auto"/>
            </w:tcBorders>
            <w:vAlign w:val="center"/>
          </w:tcPr>
          <w:p w14:paraId="73C66D4D"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217,925,127.91</w:t>
            </w:r>
          </w:p>
        </w:tc>
        <w:tc>
          <w:tcPr>
            <w:tcW w:w="1134" w:type="dxa"/>
            <w:tcBorders>
              <w:top w:val="single" w:sz="2" w:space="0" w:color="auto"/>
              <w:left w:val="single" w:sz="2" w:space="0" w:color="auto"/>
              <w:bottom w:val="single" w:sz="2" w:space="0" w:color="auto"/>
              <w:right w:val="single" w:sz="2" w:space="0" w:color="auto"/>
            </w:tcBorders>
            <w:vAlign w:val="center"/>
          </w:tcPr>
          <w:p w14:paraId="1E5C1684"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1,913,053.98</w:t>
            </w:r>
          </w:p>
        </w:tc>
        <w:tc>
          <w:tcPr>
            <w:tcW w:w="1134" w:type="dxa"/>
            <w:tcBorders>
              <w:top w:val="single" w:sz="2" w:space="0" w:color="auto"/>
              <w:left w:val="single" w:sz="2" w:space="0" w:color="auto"/>
              <w:bottom w:val="single" w:sz="2" w:space="0" w:color="auto"/>
              <w:right w:val="single" w:sz="2" w:space="0" w:color="auto"/>
            </w:tcBorders>
            <w:vAlign w:val="center"/>
          </w:tcPr>
          <w:p w14:paraId="4DD87D06"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16,774,052.45</w:t>
            </w:r>
          </w:p>
        </w:tc>
        <w:tc>
          <w:tcPr>
            <w:tcW w:w="1134" w:type="dxa"/>
            <w:tcBorders>
              <w:top w:val="single" w:sz="2" w:space="0" w:color="auto"/>
              <w:left w:val="single" w:sz="2" w:space="0" w:color="auto"/>
              <w:bottom w:val="single" w:sz="2" w:space="0" w:color="auto"/>
              <w:right w:val="single" w:sz="2" w:space="0" w:color="auto"/>
            </w:tcBorders>
            <w:vAlign w:val="center"/>
          </w:tcPr>
          <w:p w14:paraId="05413C6E"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1,125,110.24</w:t>
            </w:r>
          </w:p>
        </w:tc>
        <w:tc>
          <w:tcPr>
            <w:tcW w:w="1134" w:type="dxa"/>
            <w:tcBorders>
              <w:top w:val="single" w:sz="2" w:space="0" w:color="auto"/>
              <w:left w:val="single" w:sz="2" w:space="0" w:color="auto"/>
              <w:bottom w:val="single" w:sz="2" w:space="0" w:color="auto"/>
              <w:right w:val="single" w:sz="2" w:space="0" w:color="auto"/>
            </w:tcBorders>
            <w:vAlign w:val="center"/>
          </w:tcPr>
          <w:p w14:paraId="32B7F4FE"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-1,962,456.45</w:t>
            </w:r>
          </w:p>
        </w:tc>
        <w:tc>
          <w:tcPr>
            <w:tcW w:w="1214" w:type="dxa"/>
            <w:tcBorders>
              <w:top w:val="single" w:sz="2" w:space="0" w:color="auto"/>
              <w:left w:val="single" w:sz="2" w:space="0" w:color="auto"/>
              <w:bottom w:val="single" w:sz="2" w:space="0" w:color="auto"/>
              <w:right w:val="single" w:sz="2" w:space="0" w:color="auto"/>
            </w:tcBorders>
            <w:vAlign w:val="center"/>
          </w:tcPr>
          <w:p w14:paraId="563E947B" w14:textId="77777777" w:rsidR="00A46BF1" w:rsidRPr="00B07534" w:rsidRDefault="00A46BF1" w:rsidP="00B07534">
            <w:pPr>
              <w:spacing w:line="360" w:lineRule="auto"/>
              <w:jc w:val="right"/>
              <w:rPr>
                <w:rFonts w:ascii="Times New Roman" w:eastAsia="宋体" w:hAnsi="Times New Roman" w:cs="Times New Roman"/>
                <w:sz w:val="18"/>
                <w:szCs w:val="18"/>
              </w:rPr>
            </w:pPr>
            <w:r w:rsidRPr="00B07534">
              <w:rPr>
                <w:rFonts w:ascii="Times New Roman" w:eastAsia="宋体" w:hAnsi="Times New Roman" w:cs="Times New Roman"/>
                <w:sz w:val="18"/>
                <w:szCs w:val="18"/>
              </w:rPr>
              <w:t>203,901,475.65</w:t>
            </w:r>
          </w:p>
        </w:tc>
      </w:tr>
    </w:tbl>
    <w:p w14:paraId="71E1B35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14:paraId="7AAA4B66"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06C624EC" w14:textId="77777777" w:rsidTr="009D178C">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721B81C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44FE8D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8A4900B"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36CD3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6B7AF0"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确定原坏账准备计提比例的依据及其合理性</w:t>
            </w:r>
          </w:p>
        </w:tc>
      </w:tr>
    </w:tbl>
    <w:p w14:paraId="4834918E" w14:textId="77777777" w:rsidR="00A46BF1" w:rsidRPr="009D178C" w:rsidRDefault="00A46BF1" w:rsidP="009D178C">
      <w:pPr>
        <w:spacing w:before="100" w:after="100" w:line="240" w:lineRule="exact"/>
        <w:rPr>
          <w:rFonts w:ascii="宋体" w:eastAsia="宋体" w:hAnsi="宋体" w:cs="宋体"/>
          <w:sz w:val="18"/>
          <w:szCs w:val="18"/>
        </w:rPr>
      </w:pPr>
      <w:r w:rsidRPr="009D178C">
        <w:rPr>
          <w:rFonts w:ascii="宋体" w:eastAsia="宋体" w:hAnsi="宋体" w:cs="宋体" w:hint="eastAsia"/>
          <w:sz w:val="18"/>
          <w:szCs w:val="18"/>
        </w:rPr>
        <w:t>不适用</w:t>
      </w:r>
    </w:p>
    <w:p w14:paraId="23C0D984"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本期实际核销的应收账款情况</w:t>
      </w:r>
    </w:p>
    <w:p w14:paraId="38656A2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820"/>
        <w:gridCol w:w="4819"/>
      </w:tblGrid>
      <w:tr w:rsidR="00095F6F" w14:paraId="5416E454"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5A55147"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22BC9BD"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核销金额</w:t>
            </w:r>
          </w:p>
        </w:tc>
      </w:tr>
      <w:tr w:rsidR="00095F6F" w14:paraId="4142745F"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4A7CA11" w14:textId="77777777" w:rsidR="00A46BF1" w:rsidRPr="009D178C" w:rsidRDefault="00A46BF1" w:rsidP="009D178C">
            <w:pPr>
              <w:spacing w:before="40" w:after="40" w:line="360" w:lineRule="auto"/>
              <w:rPr>
                <w:rFonts w:ascii="Times New Roman" w:eastAsia="宋体" w:hAnsi="Times New Roman" w:cs="Times New Roman"/>
                <w:sz w:val="18"/>
                <w:szCs w:val="18"/>
              </w:rPr>
            </w:pPr>
            <w:r w:rsidRPr="009D178C">
              <w:rPr>
                <w:rFonts w:ascii="Times New Roman" w:eastAsia="宋体" w:hAnsi="Times New Roman" w:cs="Times New Roman"/>
                <w:sz w:val="18"/>
                <w:szCs w:val="18"/>
              </w:rPr>
              <w:t>实际核销的应收账款</w:t>
            </w:r>
          </w:p>
        </w:tc>
        <w:tc>
          <w:tcPr>
            <w:tcW w:w="4820" w:type="dxa"/>
            <w:tcBorders>
              <w:top w:val="single" w:sz="2" w:space="0" w:color="auto"/>
              <w:left w:val="single" w:sz="2" w:space="0" w:color="auto"/>
              <w:bottom w:val="single" w:sz="2" w:space="0" w:color="auto"/>
              <w:right w:val="single" w:sz="2" w:space="0" w:color="auto"/>
            </w:tcBorders>
            <w:vAlign w:val="center"/>
          </w:tcPr>
          <w:p w14:paraId="13FFD7E7" w14:textId="77777777" w:rsidR="00A46BF1" w:rsidRPr="009D178C" w:rsidRDefault="00A46BF1" w:rsidP="009D178C">
            <w:pPr>
              <w:spacing w:line="360" w:lineRule="auto"/>
              <w:jc w:val="right"/>
              <w:rPr>
                <w:rFonts w:ascii="Times New Roman" w:eastAsia="宋体" w:hAnsi="Times New Roman" w:cs="Times New Roman"/>
                <w:sz w:val="18"/>
                <w:szCs w:val="18"/>
              </w:rPr>
            </w:pPr>
            <w:r w:rsidRPr="009D178C">
              <w:rPr>
                <w:rFonts w:ascii="Times New Roman" w:eastAsia="宋体" w:hAnsi="Times New Roman" w:cs="Times New Roman"/>
                <w:sz w:val="18"/>
                <w:szCs w:val="18"/>
              </w:rPr>
              <w:t>1,125,110.24</w:t>
            </w:r>
          </w:p>
        </w:tc>
      </w:tr>
    </w:tbl>
    <w:p w14:paraId="019F3CD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其中重要的应收账款核销情况：</w:t>
      </w:r>
    </w:p>
    <w:p w14:paraId="54EDAEAA"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500C7721" w14:textId="77777777" w:rsidTr="00172A66">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D529031"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3728457"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B4BBD97"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核销金额</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23B54EB5"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核销原因</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7D992B2D"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履行的核销程序</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781A4ABD" w14:textId="77777777" w:rsidR="00A46BF1" w:rsidRPr="009D178C" w:rsidRDefault="00A46BF1" w:rsidP="009D178C">
            <w:pPr>
              <w:spacing w:before="40" w:after="40" w:line="360" w:lineRule="auto"/>
              <w:jc w:val="center"/>
              <w:rPr>
                <w:rFonts w:ascii="Times New Roman" w:eastAsia="宋体" w:hAnsi="Times New Roman" w:cs="Times New Roman"/>
                <w:sz w:val="18"/>
                <w:szCs w:val="18"/>
              </w:rPr>
            </w:pPr>
            <w:r w:rsidRPr="009D178C">
              <w:rPr>
                <w:rFonts w:ascii="Times New Roman" w:eastAsia="宋体" w:hAnsi="Times New Roman" w:cs="Times New Roman"/>
                <w:sz w:val="18"/>
                <w:szCs w:val="18"/>
              </w:rPr>
              <w:t>款项是否由关联交易产生</w:t>
            </w:r>
          </w:p>
        </w:tc>
      </w:tr>
    </w:tbl>
    <w:p w14:paraId="30E6EC1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应收账款核销说明：</w:t>
      </w:r>
    </w:p>
    <w:p w14:paraId="25FD21ED" w14:textId="77777777" w:rsidR="00A46BF1" w:rsidRPr="00172A66" w:rsidRDefault="00A46BF1" w:rsidP="00172A66">
      <w:pPr>
        <w:spacing w:before="100" w:after="100" w:line="240" w:lineRule="exact"/>
        <w:rPr>
          <w:rFonts w:ascii="宋体" w:eastAsia="宋体" w:hAnsi="宋体" w:cs="宋体"/>
          <w:sz w:val="18"/>
          <w:szCs w:val="18"/>
        </w:rPr>
      </w:pPr>
      <w:r w:rsidRPr="00172A66">
        <w:rPr>
          <w:rFonts w:ascii="宋体" w:eastAsia="宋体" w:hAnsi="宋体" w:cs="宋体" w:hint="eastAsia"/>
          <w:sz w:val="18"/>
          <w:szCs w:val="18"/>
        </w:rPr>
        <w:t>不适用</w:t>
      </w:r>
    </w:p>
    <w:p w14:paraId="7B0B5191"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（5） 按欠款方归集的期末余额前五名的应收账款和合同资产情况</w:t>
      </w:r>
    </w:p>
    <w:p w14:paraId="7C452B0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993"/>
        <w:gridCol w:w="1417"/>
        <w:gridCol w:w="992"/>
        <w:gridCol w:w="1560"/>
        <w:gridCol w:w="2268"/>
        <w:gridCol w:w="2409"/>
      </w:tblGrid>
      <w:tr w:rsidR="00095F6F" w14:paraId="407512DE"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4906F0F"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单位名称</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340138E3"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应收账款期末余额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DF03D46"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合同资产期末余额</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746B73FA"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应收账款和合同资产期末余额</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594D3DF2"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占应收账款和合同资产期末余额合计数的比例</w:t>
            </w:r>
          </w:p>
        </w:tc>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34E5E22"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应收账款坏账准备和合同资产减值准备期末余额</w:t>
            </w:r>
          </w:p>
        </w:tc>
      </w:tr>
      <w:tr w:rsidR="00095F6F" w14:paraId="4A394436"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2D56A54D"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A</w:t>
            </w:r>
            <w:r w:rsidRPr="00172A66">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70103BA2"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170,319,481.74</w:t>
            </w:r>
          </w:p>
        </w:tc>
        <w:tc>
          <w:tcPr>
            <w:tcW w:w="992" w:type="dxa"/>
            <w:tcBorders>
              <w:top w:val="single" w:sz="2" w:space="0" w:color="auto"/>
              <w:left w:val="single" w:sz="2" w:space="0" w:color="auto"/>
              <w:bottom w:val="single" w:sz="2" w:space="0" w:color="auto"/>
              <w:right w:val="single" w:sz="2" w:space="0" w:color="auto"/>
            </w:tcBorders>
            <w:vAlign w:val="center"/>
          </w:tcPr>
          <w:p w14:paraId="39CCACB0"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7C09B912"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170,319,481.74</w:t>
            </w:r>
          </w:p>
        </w:tc>
        <w:tc>
          <w:tcPr>
            <w:tcW w:w="2268" w:type="dxa"/>
            <w:tcBorders>
              <w:top w:val="single" w:sz="2" w:space="0" w:color="auto"/>
              <w:left w:val="single" w:sz="2" w:space="0" w:color="auto"/>
              <w:bottom w:val="single" w:sz="2" w:space="0" w:color="auto"/>
              <w:right w:val="single" w:sz="2" w:space="0" w:color="auto"/>
            </w:tcBorders>
            <w:vAlign w:val="center"/>
          </w:tcPr>
          <w:p w14:paraId="1C0DDF47"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23.75%</w:t>
            </w:r>
          </w:p>
        </w:tc>
        <w:tc>
          <w:tcPr>
            <w:tcW w:w="2409" w:type="dxa"/>
            <w:tcBorders>
              <w:top w:val="single" w:sz="2" w:space="0" w:color="auto"/>
              <w:left w:val="single" w:sz="2" w:space="0" w:color="auto"/>
              <w:bottom w:val="single" w:sz="2" w:space="0" w:color="auto"/>
              <w:right w:val="single" w:sz="2" w:space="0" w:color="auto"/>
            </w:tcBorders>
            <w:vAlign w:val="center"/>
          </w:tcPr>
          <w:p w14:paraId="5B3B6475"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170,319,481.74</w:t>
            </w:r>
          </w:p>
        </w:tc>
      </w:tr>
      <w:tr w:rsidR="00095F6F" w14:paraId="5ADD8651"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0F69F2F"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I</w:t>
            </w:r>
            <w:r w:rsidRPr="00172A66">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60458286"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121,126,376.72</w:t>
            </w:r>
          </w:p>
        </w:tc>
        <w:tc>
          <w:tcPr>
            <w:tcW w:w="992" w:type="dxa"/>
            <w:tcBorders>
              <w:top w:val="single" w:sz="2" w:space="0" w:color="auto"/>
              <w:left w:val="single" w:sz="2" w:space="0" w:color="auto"/>
              <w:bottom w:val="single" w:sz="2" w:space="0" w:color="auto"/>
              <w:right w:val="single" w:sz="2" w:space="0" w:color="auto"/>
            </w:tcBorders>
            <w:vAlign w:val="center"/>
          </w:tcPr>
          <w:p w14:paraId="65AD2E36"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FD2BE29"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121,126,376.72</w:t>
            </w:r>
          </w:p>
        </w:tc>
        <w:tc>
          <w:tcPr>
            <w:tcW w:w="2268" w:type="dxa"/>
            <w:tcBorders>
              <w:top w:val="single" w:sz="2" w:space="0" w:color="auto"/>
              <w:left w:val="single" w:sz="2" w:space="0" w:color="auto"/>
              <w:bottom w:val="single" w:sz="2" w:space="0" w:color="auto"/>
              <w:right w:val="single" w:sz="2" w:space="0" w:color="auto"/>
            </w:tcBorders>
            <w:vAlign w:val="center"/>
          </w:tcPr>
          <w:p w14:paraId="12D5FDFE"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16.89%</w:t>
            </w:r>
          </w:p>
        </w:tc>
        <w:tc>
          <w:tcPr>
            <w:tcW w:w="2409" w:type="dxa"/>
            <w:tcBorders>
              <w:top w:val="single" w:sz="2" w:space="0" w:color="auto"/>
              <w:left w:val="single" w:sz="2" w:space="0" w:color="auto"/>
              <w:bottom w:val="single" w:sz="2" w:space="0" w:color="auto"/>
              <w:right w:val="single" w:sz="2" w:space="0" w:color="auto"/>
            </w:tcBorders>
            <w:vAlign w:val="center"/>
          </w:tcPr>
          <w:p w14:paraId="367DBD9C"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6,056,318.84</w:t>
            </w:r>
          </w:p>
        </w:tc>
      </w:tr>
      <w:tr w:rsidR="00095F6F" w14:paraId="08BA28AD"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762E0105"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J</w:t>
            </w:r>
            <w:r w:rsidRPr="00172A66">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5DEA18F9"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76,036,304.88</w:t>
            </w:r>
          </w:p>
        </w:tc>
        <w:tc>
          <w:tcPr>
            <w:tcW w:w="992" w:type="dxa"/>
            <w:tcBorders>
              <w:top w:val="single" w:sz="2" w:space="0" w:color="auto"/>
              <w:left w:val="single" w:sz="2" w:space="0" w:color="auto"/>
              <w:bottom w:val="single" w:sz="2" w:space="0" w:color="auto"/>
              <w:right w:val="single" w:sz="2" w:space="0" w:color="auto"/>
            </w:tcBorders>
            <w:vAlign w:val="center"/>
          </w:tcPr>
          <w:p w14:paraId="78CCE18B"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66F59093"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76,036,304.88</w:t>
            </w:r>
          </w:p>
        </w:tc>
        <w:tc>
          <w:tcPr>
            <w:tcW w:w="2268" w:type="dxa"/>
            <w:tcBorders>
              <w:top w:val="single" w:sz="2" w:space="0" w:color="auto"/>
              <w:left w:val="single" w:sz="2" w:space="0" w:color="auto"/>
              <w:bottom w:val="single" w:sz="2" w:space="0" w:color="auto"/>
              <w:right w:val="single" w:sz="2" w:space="0" w:color="auto"/>
            </w:tcBorders>
            <w:vAlign w:val="center"/>
          </w:tcPr>
          <w:p w14:paraId="75B833A3"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10.60%</w:t>
            </w:r>
          </w:p>
        </w:tc>
        <w:tc>
          <w:tcPr>
            <w:tcW w:w="2409" w:type="dxa"/>
            <w:tcBorders>
              <w:top w:val="single" w:sz="2" w:space="0" w:color="auto"/>
              <w:left w:val="single" w:sz="2" w:space="0" w:color="auto"/>
              <w:bottom w:val="single" w:sz="2" w:space="0" w:color="auto"/>
              <w:right w:val="single" w:sz="2" w:space="0" w:color="auto"/>
            </w:tcBorders>
            <w:vAlign w:val="center"/>
          </w:tcPr>
          <w:p w14:paraId="36A1E50F"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110,705.36</w:t>
            </w:r>
          </w:p>
        </w:tc>
      </w:tr>
      <w:tr w:rsidR="00095F6F" w14:paraId="584A6A87"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70E8680A"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K</w:t>
            </w:r>
            <w:r w:rsidRPr="00172A66">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1EEC340E"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19,685,587.85</w:t>
            </w:r>
          </w:p>
        </w:tc>
        <w:tc>
          <w:tcPr>
            <w:tcW w:w="992" w:type="dxa"/>
            <w:tcBorders>
              <w:top w:val="single" w:sz="2" w:space="0" w:color="auto"/>
              <w:left w:val="single" w:sz="2" w:space="0" w:color="auto"/>
              <w:bottom w:val="single" w:sz="2" w:space="0" w:color="auto"/>
              <w:right w:val="single" w:sz="2" w:space="0" w:color="auto"/>
            </w:tcBorders>
            <w:vAlign w:val="center"/>
          </w:tcPr>
          <w:p w14:paraId="6695D0A1"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1C719EA3"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19,685,587.85</w:t>
            </w:r>
          </w:p>
        </w:tc>
        <w:tc>
          <w:tcPr>
            <w:tcW w:w="2268" w:type="dxa"/>
            <w:tcBorders>
              <w:top w:val="single" w:sz="2" w:space="0" w:color="auto"/>
              <w:left w:val="single" w:sz="2" w:space="0" w:color="auto"/>
              <w:bottom w:val="single" w:sz="2" w:space="0" w:color="auto"/>
              <w:right w:val="single" w:sz="2" w:space="0" w:color="auto"/>
            </w:tcBorders>
            <w:vAlign w:val="center"/>
          </w:tcPr>
          <w:p w14:paraId="4DDF8724"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2.75%</w:t>
            </w:r>
          </w:p>
        </w:tc>
        <w:tc>
          <w:tcPr>
            <w:tcW w:w="2409" w:type="dxa"/>
            <w:tcBorders>
              <w:top w:val="single" w:sz="2" w:space="0" w:color="auto"/>
              <w:left w:val="single" w:sz="2" w:space="0" w:color="auto"/>
              <w:bottom w:val="single" w:sz="2" w:space="0" w:color="auto"/>
              <w:right w:val="single" w:sz="2" w:space="0" w:color="auto"/>
            </w:tcBorders>
            <w:vAlign w:val="center"/>
          </w:tcPr>
          <w:p w14:paraId="13504533"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235,178.38</w:t>
            </w:r>
          </w:p>
        </w:tc>
      </w:tr>
      <w:tr w:rsidR="00095F6F" w14:paraId="37CEAE4B"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60720646"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L</w:t>
            </w:r>
            <w:r w:rsidRPr="00172A66">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1167886B"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17,149,358.19</w:t>
            </w:r>
          </w:p>
        </w:tc>
        <w:tc>
          <w:tcPr>
            <w:tcW w:w="992" w:type="dxa"/>
            <w:tcBorders>
              <w:top w:val="single" w:sz="2" w:space="0" w:color="auto"/>
              <w:left w:val="single" w:sz="2" w:space="0" w:color="auto"/>
              <w:bottom w:val="single" w:sz="2" w:space="0" w:color="auto"/>
              <w:right w:val="single" w:sz="2" w:space="0" w:color="auto"/>
            </w:tcBorders>
            <w:vAlign w:val="center"/>
          </w:tcPr>
          <w:p w14:paraId="4BE9344E"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C888075"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17,149,358.19</w:t>
            </w:r>
          </w:p>
        </w:tc>
        <w:tc>
          <w:tcPr>
            <w:tcW w:w="2268" w:type="dxa"/>
            <w:tcBorders>
              <w:top w:val="single" w:sz="2" w:space="0" w:color="auto"/>
              <w:left w:val="single" w:sz="2" w:space="0" w:color="auto"/>
              <w:bottom w:val="single" w:sz="2" w:space="0" w:color="auto"/>
              <w:right w:val="single" w:sz="2" w:space="0" w:color="auto"/>
            </w:tcBorders>
            <w:vAlign w:val="center"/>
          </w:tcPr>
          <w:p w14:paraId="2BB4E677"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2.39%</w:t>
            </w:r>
          </w:p>
        </w:tc>
        <w:tc>
          <w:tcPr>
            <w:tcW w:w="2409" w:type="dxa"/>
            <w:tcBorders>
              <w:top w:val="single" w:sz="2" w:space="0" w:color="auto"/>
              <w:left w:val="single" w:sz="2" w:space="0" w:color="auto"/>
              <w:bottom w:val="single" w:sz="2" w:space="0" w:color="auto"/>
              <w:right w:val="single" w:sz="2" w:space="0" w:color="auto"/>
            </w:tcBorders>
            <w:vAlign w:val="center"/>
          </w:tcPr>
          <w:p w14:paraId="55FA3487"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857,467.91</w:t>
            </w:r>
          </w:p>
        </w:tc>
      </w:tr>
      <w:tr w:rsidR="00095F6F" w14:paraId="3C9E7D34" w14:textId="77777777" w:rsidTr="00172A66">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6577A278" w14:textId="77777777" w:rsidR="00A46BF1" w:rsidRPr="00172A66" w:rsidRDefault="00A46BF1" w:rsidP="00172A66">
            <w:pPr>
              <w:spacing w:before="40" w:after="40"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合计</w:t>
            </w:r>
          </w:p>
        </w:tc>
        <w:tc>
          <w:tcPr>
            <w:tcW w:w="1417" w:type="dxa"/>
            <w:tcBorders>
              <w:top w:val="single" w:sz="2" w:space="0" w:color="auto"/>
              <w:left w:val="single" w:sz="2" w:space="0" w:color="auto"/>
              <w:bottom w:val="single" w:sz="2" w:space="0" w:color="auto"/>
              <w:right w:val="single" w:sz="2" w:space="0" w:color="auto"/>
            </w:tcBorders>
            <w:vAlign w:val="center"/>
          </w:tcPr>
          <w:p w14:paraId="39A0C5E9"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404,317,109.38</w:t>
            </w:r>
          </w:p>
        </w:tc>
        <w:tc>
          <w:tcPr>
            <w:tcW w:w="992" w:type="dxa"/>
            <w:tcBorders>
              <w:top w:val="single" w:sz="2" w:space="0" w:color="auto"/>
              <w:left w:val="single" w:sz="2" w:space="0" w:color="auto"/>
              <w:bottom w:val="single" w:sz="2" w:space="0" w:color="auto"/>
              <w:right w:val="single" w:sz="2" w:space="0" w:color="auto"/>
            </w:tcBorders>
            <w:vAlign w:val="center"/>
          </w:tcPr>
          <w:p w14:paraId="67D56032"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7FD85539"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404,317,109.38</w:t>
            </w:r>
          </w:p>
        </w:tc>
        <w:tc>
          <w:tcPr>
            <w:tcW w:w="2268" w:type="dxa"/>
            <w:tcBorders>
              <w:top w:val="single" w:sz="2" w:space="0" w:color="auto"/>
              <w:left w:val="single" w:sz="2" w:space="0" w:color="auto"/>
              <w:bottom w:val="single" w:sz="2" w:space="0" w:color="auto"/>
              <w:right w:val="single" w:sz="2" w:space="0" w:color="auto"/>
            </w:tcBorders>
            <w:vAlign w:val="center"/>
          </w:tcPr>
          <w:p w14:paraId="294A5D9A"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56.38%</w:t>
            </w:r>
          </w:p>
        </w:tc>
        <w:tc>
          <w:tcPr>
            <w:tcW w:w="2409" w:type="dxa"/>
            <w:tcBorders>
              <w:top w:val="single" w:sz="2" w:space="0" w:color="auto"/>
              <w:left w:val="single" w:sz="2" w:space="0" w:color="auto"/>
              <w:bottom w:val="single" w:sz="2" w:space="0" w:color="auto"/>
              <w:right w:val="single" w:sz="2" w:space="0" w:color="auto"/>
            </w:tcBorders>
            <w:vAlign w:val="center"/>
          </w:tcPr>
          <w:p w14:paraId="24F59405"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177,579,152.23</w:t>
            </w:r>
          </w:p>
        </w:tc>
      </w:tr>
    </w:tbl>
    <w:p w14:paraId="1F207785" w14:textId="2E966633" w:rsidR="00A46BF1" w:rsidRDefault="00172A66" w:rsidP="00A46BF1">
      <w:pPr>
        <w:pStyle w:val="3"/>
        <w:spacing w:line="280" w:lineRule="exact"/>
        <w:jc w:val="left"/>
        <w:rPr>
          <w:rFonts w:ascii="宋体" w:hAnsi="宋体" w:cs="宋体"/>
          <w:b/>
          <w:bCs/>
        </w:rPr>
      </w:pPr>
      <w:r>
        <w:rPr>
          <w:rFonts w:ascii="宋体" w:hAnsi="宋体" w:cs="宋体"/>
          <w:b/>
          <w:bCs/>
        </w:rPr>
        <w:t>5</w:t>
      </w:r>
      <w:r w:rsidR="00A46BF1">
        <w:rPr>
          <w:rFonts w:ascii="宋体" w:hAnsi="宋体" w:cs="宋体"/>
          <w:b/>
          <w:bCs/>
        </w:rPr>
        <w:t>、合同资产</w:t>
      </w:r>
    </w:p>
    <w:p w14:paraId="3131F88E" w14:textId="77777777" w:rsidR="00172A66" w:rsidRDefault="00172A66" w:rsidP="00172A66">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11E4E87" w14:textId="0A2B79CD" w:rsidR="00A46BF1" w:rsidRDefault="00172A66" w:rsidP="00A46BF1">
      <w:pPr>
        <w:pStyle w:val="3"/>
        <w:spacing w:line="280" w:lineRule="exact"/>
        <w:jc w:val="left"/>
        <w:rPr>
          <w:rFonts w:ascii="宋体" w:hAnsi="宋体" w:cs="宋体"/>
          <w:b/>
          <w:bCs/>
        </w:rPr>
      </w:pPr>
      <w:r>
        <w:rPr>
          <w:rFonts w:ascii="宋体" w:hAnsi="宋体" w:cs="宋体"/>
          <w:b/>
          <w:bCs/>
        </w:rPr>
        <w:t>6</w:t>
      </w:r>
      <w:r w:rsidR="00A46BF1">
        <w:rPr>
          <w:rFonts w:ascii="宋体" w:hAnsi="宋体" w:cs="宋体"/>
          <w:b/>
          <w:bCs/>
        </w:rPr>
        <w:t>、应收款项融资</w:t>
      </w:r>
    </w:p>
    <w:p w14:paraId="52B75E98"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应收款项融资分类列示</w:t>
      </w:r>
    </w:p>
    <w:p w14:paraId="5FB4C6F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021C27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427C40"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A580C2"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4986B1"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期初余额</w:t>
            </w:r>
          </w:p>
        </w:tc>
      </w:tr>
      <w:tr w:rsidR="00095F6F" w14:paraId="788BB16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B2FEFD"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应收票据</w:t>
            </w:r>
          </w:p>
        </w:tc>
        <w:tc>
          <w:tcPr>
            <w:tcW w:w="3213" w:type="dxa"/>
            <w:tcBorders>
              <w:top w:val="single" w:sz="2" w:space="0" w:color="auto"/>
              <w:left w:val="single" w:sz="2" w:space="0" w:color="auto"/>
              <w:bottom w:val="single" w:sz="2" w:space="0" w:color="auto"/>
              <w:right w:val="single" w:sz="2" w:space="0" w:color="auto"/>
            </w:tcBorders>
            <w:vAlign w:val="center"/>
          </w:tcPr>
          <w:p w14:paraId="49ECE88E"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34,732,047.93</w:t>
            </w:r>
          </w:p>
        </w:tc>
        <w:tc>
          <w:tcPr>
            <w:tcW w:w="3213" w:type="dxa"/>
            <w:tcBorders>
              <w:top w:val="single" w:sz="2" w:space="0" w:color="auto"/>
              <w:left w:val="single" w:sz="2" w:space="0" w:color="auto"/>
              <w:bottom w:val="single" w:sz="2" w:space="0" w:color="auto"/>
              <w:right w:val="single" w:sz="2" w:space="0" w:color="auto"/>
            </w:tcBorders>
            <w:vAlign w:val="center"/>
          </w:tcPr>
          <w:p w14:paraId="20A275B7"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30,993,722.23</w:t>
            </w:r>
          </w:p>
        </w:tc>
      </w:tr>
      <w:tr w:rsidR="00095F6F" w14:paraId="6B46864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9DA286" w14:textId="77777777" w:rsidR="00A46BF1" w:rsidRPr="00172A66" w:rsidRDefault="00A46BF1" w:rsidP="00172A66">
            <w:pPr>
              <w:spacing w:before="40" w:after="40"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970D3FB"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34,732,047.93</w:t>
            </w:r>
          </w:p>
        </w:tc>
        <w:tc>
          <w:tcPr>
            <w:tcW w:w="3213" w:type="dxa"/>
            <w:tcBorders>
              <w:top w:val="single" w:sz="2" w:space="0" w:color="auto"/>
              <w:left w:val="single" w:sz="2" w:space="0" w:color="auto"/>
              <w:bottom w:val="single" w:sz="2" w:space="0" w:color="auto"/>
              <w:right w:val="single" w:sz="2" w:space="0" w:color="auto"/>
            </w:tcBorders>
            <w:vAlign w:val="center"/>
          </w:tcPr>
          <w:p w14:paraId="78813433"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30,993,722.23</w:t>
            </w:r>
          </w:p>
        </w:tc>
      </w:tr>
    </w:tbl>
    <w:p w14:paraId="4C46DD2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按坏账计提方法分类披露</w:t>
      </w:r>
    </w:p>
    <w:p w14:paraId="559F877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0" w:type="dxa"/>
          <w:right w:w="0" w:type="dxa"/>
        </w:tblCellMar>
        <w:tblLook w:val="04A0" w:firstRow="1" w:lastRow="0" w:firstColumn="1" w:lastColumn="0" w:noHBand="0" w:noVBand="1"/>
      </w:tblPr>
      <w:tblGrid>
        <w:gridCol w:w="1029"/>
        <w:gridCol w:w="993"/>
        <w:gridCol w:w="850"/>
        <w:gridCol w:w="632"/>
        <w:gridCol w:w="644"/>
        <w:gridCol w:w="1109"/>
        <w:gridCol w:w="1017"/>
        <w:gridCol w:w="992"/>
        <w:gridCol w:w="709"/>
        <w:gridCol w:w="709"/>
        <w:gridCol w:w="955"/>
      </w:tblGrid>
      <w:tr w:rsidR="00095F6F" w:rsidRPr="00172A66" w14:paraId="23971AD4" w14:textId="77777777" w:rsidTr="00172A66">
        <w:trPr>
          <w:trHeight w:val="240"/>
        </w:trPr>
        <w:tc>
          <w:tcPr>
            <w:tcW w:w="102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41DFAE9"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类别</w:t>
            </w:r>
          </w:p>
        </w:tc>
        <w:tc>
          <w:tcPr>
            <w:tcW w:w="4228"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D2FAC6F"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期末余额</w:t>
            </w:r>
          </w:p>
        </w:tc>
        <w:tc>
          <w:tcPr>
            <w:tcW w:w="4382"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58F71ED3"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期初余额</w:t>
            </w:r>
          </w:p>
        </w:tc>
      </w:tr>
      <w:tr w:rsidR="00095F6F" w:rsidRPr="00172A66" w14:paraId="7C84B791" w14:textId="77777777" w:rsidTr="00172A66">
        <w:trPr>
          <w:trHeight w:val="240"/>
        </w:trPr>
        <w:tc>
          <w:tcPr>
            <w:tcW w:w="102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43AB74E" w14:textId="77777777" w:rsidR="00A46BF1" w:rsidRPr="00172A66" w:rsidRDefault="00A46BF1" w:rsidP="00172A66">
            <w:pPr>
              <w:spacing w:line="360" w:lineRule="auto"/>
              <w:rPr>
                <w:rFonts w:ascii="Times New Roman" w:hAnsi="Times New Roman" w:cs="Times New Roman"/>
                <w:sz w:val="15"/>
                <w:szCs w:val="15"/>
              </w:rPr>
            </w:pPr>
          </w:p>
        </w:tc>
        <w:tc>
          <w:tcPr>
            <w:tcW w:w="184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B96F6F1"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账面余额</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98C3998"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坏账准备</w:t>
            </w:r>
          </w:p>
        </w:tc>
        <w:tc>
          <w:tcPr>
            <w:tcW w:w="110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38A3EFA"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账面价值</w:t>
            </w:r>
          </w:p>
        </w:tc>
        <w:tc>
          <w:tcPr>
            <w:tcW w:w="200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99EF6F4"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账面余额</w:t>
            </w:r>
          </w:p>
        </w:tc>
        <w:tc>
          <w:tcPr>
            <w:tcW w:w="141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274CB53"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坏账准备</w:t>
            </w:r>
          </w:p>
        </w:tc>
        <w:tc>
          <w:tcPr>
            <w:tcW w:w="95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5A92372"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账面价值</w:t>
            </w:r>
          </w:p>
        </w:tc>
      </w:tr>
      <w:tr w:rsidR="00095F6F" w:rsidRPr="00172A66" w14:paraId="67B97ED8" w14:textId="77777777" w:rsidTr="00172A66">
        <w:trPr>
          <w:trHeight w:val="240"/>
        </w:trPr>
        <w:tc>
          <w:tcPr>
            <w:tcW w:w="102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CA25B5" w14:textId="77777777" w:rsidR="00A46BF1" w:rsidRPr="00172A66" w:rsidRDefault="00A46BF1" w:rsidP="00172A66">
            <w:pPr>
              <w:spacing w:line="360" w:lineRule="auto"/>
              <w:rPr>
                <w:rFonts w:ascii="Times New Roman"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5F157023"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金额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547BD152"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比例</w:t>
            </w:r>
          </w:p>
        </w:tc>
        <w:tc>
          <w:tcPr>
            <w:tcW w:w="632" w:type="dxa"/>
            <w:tcBorders>
              <w:top w:val="single" w:sz="2" w:space="0" w:color="auto"/>
              <w:left w:val="single" w:sz="2" w:space="0" w:color="auto"/>
              <w:bottom w:val="single" w:sz="2" w:space="0" w:color="auto"/>
              <w:right w:val="single" w:sz="2" w:space="0" w:color="auto"/>
            </w:tcBorders>
            <w:shd w:val="clear" w:color="auto" w:fill="D3D3D3"/>
            <w:vAlign w:val="center"/>
          </w:tcPr>
          <w:p w14:paraId="2D1A1221"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金额</w:t>
            </w:r>
          </w:p>
        </w:tc>
        <w:tc>
          <w:tcPr>
            <w:tcW w:w="644" w:type="dxa"/>
            <w:tcBorders>
              <w:top w:val="single" w:sz="2" w:space="0" w:color="auto"/>
              <w:left w:val="single" w:sz="2" w:space="0" w:color="auto"/>
              <w:bottom w:val="single" w:sz="2" w:space="0" w:color="auto"/>
              <w:right w:val="single" w:sz="2" w:space="0" w:color="auto"/>
            </w:tcBorders>
            <w:shd w:val="clear" w:color="auto" w:fill="D3D3D3"/>
            <w:vAlign w:val="center"/>
          </w:tcPr>
          <w:p w14:paraId="5C363F92"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计提比例</w:t>
            </w:r>
          </w:p>
        </w:tc>
        <w:tc>
          <w:tcPr>
            <w:tcW w:w="110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31BE19" w14:textId="77777777" w:rsidR="00A46BF1" w:rsidRPr="00172A66" w:rsidRDefault="00A46BF1" w:rsidP="00172A66">
            <w:pPr>
              <w:spacing w:line="360" w:lineRule="auto"/>
              <w:rPr>
                <w:rFonts w:ascii="Times New Roman" w:hAnsi="Times New Roman" w:cs="Times New Roman"/>
                <w:sz w:val="15"/>
                <w:szCs w:val="15"/>
              </w:rPr>
            </w:pPr>
          </w:p>
        </w:tc>
        <w:tc>
          <w:tcPr>
            <w:tcW w:w="1017" w:type="dxa"/>
            <w:tcBorders>
              <w:top w:val="single" w:sz="2" w:space="0" w:color="auto"/>
              <w:left w:val="single" w:sz="2" w:space="0" w:color="auto"/>
              <w:bottom w:val="single" w:sz="2" w:space="0" w:color="auto"/>
              <w:right w:val="single" w:sz="2" w:space="0" w:color="auto"/>
            </w:tcBorders>
            <w:shd w:val="clear" w:color="auto" w:fill="D3D3D3"/>
            <w:vAlign w:val="center"/>
          </w:tcPr>
          <w:p w14:paraId="17569ACE"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707D7C84"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比例</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191ED030"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金额</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4E257B35" w14:textId="77777777" w:rsidR="00A46BF1" w:rsidRPr="00172A66" w:rsidRDefault="00A46BF1" w:rsidP="00172A66">
            <w:pPr>
              <w:spacing w:before="40" w:after="40" w:line="360" w:lineRule="auto"/>
              <w:jc w:val="center"/>
              <w:rPr>
                <w:rFonts w:ascii="Times New Roman" w:eastAsia="宋体" w:hAnsi="Times New Roman" w:cs="Times New Roman"/>
                <w:sz w:val="15"/>
                <w:szCs w:val="15"/>
              </w:rPr>
            </w:pPr>
            <w:r w:rsidRPr="00172A66">
              <w:rPr>
                <w:rFonts w:ascii="Times New Roman" w:eastAsia="宋体" w:hAnsi="Times New Roman" w:cs="Times New Roman"/>
                <w:sz w:val="15"/>
                <w:szCs w:val="15"/>
              </w:rPr>
              <w:t>计提比例</w:t>
            </w:r>
          </w:p>
        </w:tc>
        <w:tc>
          <w:tcPr>
            <w:tcW w:w="95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EF47BD2" w14:textId="77777777" w:rsidR="00A46BF1" w:rsidRPr="00172A66" w:rsidRDefault="00A46BF1" w:rsidP="00172A66">
            <w:pPr>
              <w:spacing w:line="360" w:lineRule="auto"/>
              <w:rPr>
                <w:rFonts w:ascii="Times New Roman" w:hAnsi="Times New Roman" w:cs="Times New Roman"/>
                <w:sz w:val="15"/>
                <w:szCs w:val="15"/>
              </w:rPr>
            </w:pPr>
          </w:p>
        </w:tc>
      </w:tr>
      <w:tr w:rsidR="00095F6F" w:rsidRPr="00172A66" w14:paraId="1862AD23" w14:textId="77777777" w:rsidTr="00172A66">
        <w:trPr>
          <w:trHeight w:val="240"/>
        </w:trPr>
        <w:tc>
          <w:tcPr>
            <w:tcW w:w="1029" w:type="dxa"/>
            <w:tcBorders>
              <w:top w:val="single" w:sz="2" w:space="0" w:color="auto"/>
              <w:left w:val="single" w:sz="2" w:space="0" w:color="auto"/>
              <w:bottom w:val="single" w:sz="2" w:space="0" w:color="auto"/>
              <w:right w:val="single" w:sz="2" w:space="0" w:color="auto"/>
            </w:tcBorders>
            <w:shd w:val="clear" w:color="auto" w:fill="D3D3D3"/>
            <w:vAlign w:val="center"/>
          </w:tcPr>
          <w:p w14:paraId="0A27A535" w14:textId="77777777" w:rsidR="00A46BF1" w:rsidRPr="00172A66" w:rsidRDefault="00A46BF1" w:rsidP="00172A66">
            <w:pPr>
              <w:spacing w:before="40" w:after="40" w:line="360" w:lineRule="auto"/>
              <w:rPr>
                <w:rFonts w:ascii="Times New Roman" w:eastAsia="宋体" w:hAnsi="Times New Roman" w:cs="Times New Roman"/>
                <w:sz w:val="15"/>
                <w:szCs w:val="15"/>
              </w:rPr>
            </w:pPr>
            <w:r w:rsidRPr="00172A66">
              <w:rPr>
                <w:rFonts w:ascii="Times New Roman" w:eastAsia="宋体" w:hAnsi="Times New Roman" w:cs="Times New Roman"/>
                <w:sz w:val="15"/>
                <w:szCs w:val="15"/>
              </w:rPr>
              <w:t>其中：</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2DF992BC" w14:textId="77777777" w:rsidR="00A46BF1" w:rsidRPr="00172A66" w:rsidRDefault="00A46BF1" w:rsidP="00172A66">
            <w:pPr>
              <w:spacing w:line="360" w:lineRule="auto"/>
              <w:rPr>
                <w:rFonts w:ascii="Times New Roman" w:hAnsi="Times New Roman" w:cs="Times New Roman"/>
                <w:sz w:val="15"/>
                <w:szCs w:val="15"/>
              </w:rPr>
            </w:pP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5A7EFDC7" w14:textId="77777777" w:rsidR="00A46BF1" w:rsidRPr="00172A66" w:rsidRDefault="00A46BF1" w:rsidP="00172A66">
            <w:pPr>
              <w:spacing w:line="360" w:lineRule="auto"/>
              <w:rPr>
                <w:rFonts w:ascii="Times New Roman" w:hAnsi="Times New Roman" w:cs="Times New Roman"/>
                <w:sz w:val="15"/>
                <w:szCs w:val="15"/>
              </w:rPr>
            </w:pPr>
          </w:p>
        </w:tc>
        <w:tc>
          <w:tcPr>
            <w:tcW w:w="632" w:type="dxa"/>
            <w:tcBorders>
              <w:top w:val="single" w:sz="2" w:space="0" w:color="auto"/>
              <w:left w:val="single" w:sz="2" w:space="0" w:color="auto"/>
              <w:bottom w:val="single" w:sz="2" w:space="0" w:color="auto"/>
              <w:right w:val="single" w:sz="2" w:space="0" w:color="auto"/>
            </w:tcBorders>
            <w:shd w:val="clear" w:color="auto" w:fill="D3D3D3"/>
            <w:vAlign w:val="center"/>
          </w:tcPr>
          <w:p w14:paraId="54DAA012" w14:textId="77777777" w:rsidR="00A46BF1" w:rsidRPr="00172A66" w:rsidRDefault="00A46BF1" w:rsidP="00172A66">
            <w:pPr>
              <w:spacing w:line="360" w:lineRule="auto"/>
              <w:rPr>
                <w:rFonts w:ascii="Times New Roman" w:hAnsi="Times New Roman" w:cs="Times New Roman"/>
                <w:sz w:val="15"/>
                <w:szCs w:val="15"/>
              </w:rPr>
            </w:pPr>
          </w:p>
        </w:tc>
        <w:tc>
          <w:tcPr>
            <w:tcW w:w="644" w:type="dxa"/>
            <w:tcBorders>
              <w:top w:val="single" w:sz="2" w:space="0" w:color="auto"/>
              <w:left w:val="single" w:sz="2" w:space="0" w:color="auto"/>
              <w:bottom w:val="single" w:sz="2" w:space="0" w:color="auto"/>
              <w:right w:val="single" w:sz="2" w:space="0" w:color="auto"/>
            </w:tcBorders>
            <w:shd w:val="clear" w:color="auto" w:fill="D3D3D3"/>
            <w:vAlign w:val="center"/>
          </w:tcPr>
          <w:p w14:paraId="623BB824" w14:textId="77777777" w:rsidR="00A46BF1" w:rsidRPr="00172A66" w:rsidRDefault="00A46BF1" w:rsidP="00172A66">
            <w:pPr>
              <w:spacing w:line="360" w:lineRule="auto"/>
              <w:rPr>
                <w:rFonts w:ascii="Times New Roman" w:hAnsi="Times New Roman" w:cs="Times New Roman"/>
                <w:sz w:val="15"/>
                <w:szCs w:val="15"/>
              </w:rPr>
            </w:pPr>
          </w:p>
        </w:tc>
        <w:tc>
          <w:tcPr>
            <w:tcW w:w="1109" w:type="dxa"/>
            <w:tcBorders>
              <w:top w:val="single" w:sz="2" w:space="0" w:color="auto"/>
              <w:left w:val="single" w:sz="2" w:space="0" w:color="auto"/>
              <w:bottom w:val="single" w:sz="2" w:space="0" w:color="auto"/>
              <w:right w:val="single" w:sz="2" w:space="0" w:color="auto"/>
            </w:tcBorders>
            <w:shd w:val="clear" w:color="auto" w:fill="D3D3D3"/>
            <w:vAlign w:val="center"/>
          </w:tcPr>
          <w:p w14:paraId="2814229C" w14:textId="77777777" w:rsidR="00A46BF1" w:rsidRPr="00172A66" w:rsidRDefault="00A46BF1" w:rsidP="00172A66">
            <w:pPr>
              <w:spacing w:line="360" w:lineRule="auto"/>
              <w:rPr>
                <w:rFonts w:ascii="Times New Roman" w:hAnsi="Times New Roman" w:cs="Times New Roman"/>
                <w:sz w:val="15"/>
                <w:szCs w:val="15"/>
              </w:rPr>
            </w:pPr>
          </w:p>
        </w:tc>
        <w:tc>
          <w:tcPr>
            <w:tcW w:w="1017" w:type="dxa"/>
            <w:tcBorders>
              <w:top w:val="single" w:sz="2" w:space="0" w:color="auto"/>
              <w:left w:val="single" w:sz="2" w:space="0" w:color="auto"/>
              <w:bottom w:val="single" w:sz="2" w:space="0" w:color="auto"/>
              <w:right w:val="single" w:sz="2" w:space="0" w:color="auto"/>
            </w:tcBorders>
            <w:shd w:val="clear" w:color="auto" w:fill="D3D3D3"/>
            <w:vAlign w:val="center"/>
          </w:tcPr>
          <w:p w14:paraId="278072DF" w14:textId="77777777" w:rsidR="00A46BF1" w:rsidRPr="00172A66" w:rsidRDefault="00A46BF1" w:rsidP="00172A66">
            <w:pPr>
              <w:spacing w:line="360" w:lineRule="auto"/>
              <w:rPr>
                <w:rFonts w:ascii="Times New Roman"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5C39155" w14:textId="77777777" w:rsidR="00A46BF1" w:rsidRPr="00172A66" w:rsidRDefault="00A46BF1" w:rsidP="00172A66">
            <w:pPr>
              <w:spacing w:line="360" w:lineRule="auto"/>
              <w:rPr>
                <w:rFonts w:ascii="Times New Roman"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AAB25D2" w14:textId="77777777" w:rsidR="00A46BF1" w:rsidRPr="00172A66" w:rsidRDefault="00A46BF1" w:rsidP="00172A66">
            <w:pPr>
              <w:spacing w:line="360" w:lineRule="auto"/>
              <w:rPr>
                <w:rFonts w:ascii="Times New Roman"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52D6CF1E" w14:textId="77777777" w:rsidR="00A46BF1" w:rsidRPr="00172A66" w:rsidRDefault="00A46BF1" w:rsidP="00172A66">
            <w:pPr>
              <w:spacing w:line="360" w:lineRule="auto"/>
              <w:rPr>
                <w:rFonts w:ascii="Times New Roman" w:hAnsi="Times New Roman" w:cs="Times New Roman"/>
                <w:sz w:val="15"/>
                <w:szCs w:val="15"/>
              </w:rPr>
            </w:pPr>
          </w:p>
        </w:tc>
        <w:tc>
          <w:tcPr>
            <w:tcW w:w="955" w:type="dxa"/>
            <w:tcBorders>
              <w:top w:val="single" w:sz="2" w:space="0" w:color="auto"/>
              <w:left w:val="single" w:sz="2" w:space="0" w:color="auto"/>
              <w:bottom w:val="single" w:sz="2" w:space="0" w:color="auto"/>
              <w:right w:val="single" w:sz="2" w:space="0" w:color="auto"/>
            </w:tcBorders>
            <w:shd w:val="clear" w:color="auto" w:fill="D3D3D3"/>
            <w:vAlign w:val="center"/>
          </w:tcPr>
          <w:p w14:paraId="15D485F9" w14:textId="77777777" w:rsidR="00A46BF1" w:rsidRPr="00172A66" w:rsidRDefault="00A46BF1" w:rsidP="00172A66">
            <w:pPr>
              <w:spacing w:line="360" w:lineRule="auto"/>
              <w:rPr>
                <w:rFonts w:ascii="Times New Roman" w:hAnsi="Times New Roman" w:cs="Times New Roman"/>
                <w:sz w:val="15"/>
                <w:szCs w:val="15"/>
              </w:rPr>
            </w:pPr>
          </w:p>
        </w:tc>
      </w:tr>
      <w:tr w:rsidR="00095F6F" w:rsidRPr="00172A66" w14:paraId="2EE86F41" w14:textId="77777777" w:rsidTr="00172A66">
        <w:trPr>
          <w:trHeight w:val="240"/>
        </w:trPr>
        <w:tc>
          <w:tcPr>
            <w:tcW w:w="1029" w:type="dxa"/>
            <w:tcBorders>
              <w:top w:val="single" w:sz="2" w:space="0" w:color="auto"/>
              <w:left w:val="single" w:sz="2" w:space="0" w:color="auto"/>
              <w:bottom w:val="single" w:sz="2" w:space="0" w:color="auto"/>
              <w:right w:val="single" w:sz="2" w:space="0" w:color="auto"/>
            </w:tcBorders>
            <w:shd w:val="clear" w:color="auto" w:fill="D3D3D3"/>
            <w:vAlign w:val="center"/>
          </w:tcPr>
          <w:p w14:paraId="2CB5F3B0" w14:textId="77777777" w:rsidR="00A46BF1" w:rsidRPr="00172A66" w:rsidRDefault="00A46BF1" w:rsidP="00172A66">
            <w:pPr>
              <w:spacing w:before="40" w:after="40" w:line="360" w:lineRule="auto"/>
              <w:rPr>
                <w:rFonts w:ascii="Times New Roman" w:eastAsia="宋体" w:hAnsi="Times New Roman" w:cs="Times New Roman"/>
                <w:sz w:val="15"/>
                <w:szCs w:val="15"/>
              </w:rPr>
            </w:pPr>
            <w:r w:rsidRPr="00172A66">
              <w:rPr>
                <w:rFonts w:ascii="Times New Roman" w:eastAsia="宋体" w:hAnsi="Times New Roman" w:cs="Times New Roman"/>
                <w:sz w:val="15"/>
                <w:szCs w:val="15"/>
              </w:rPr>
              <w:t>按组合计提坏账准备</w:t>
            </w:r>
          </w:p>
        </w:tc>
        <w:tc>
          <w:tcPr>
            <w:tcW w:w="993" w:type="dxa"/>
            <w:tcBorders>
              <w:top w:val="single" w:sz="2" w:space="0" w:color="auto"/>
              <w:left w:val="single" w:sz="2" w:space="0" w:color="auto"/>
              <w:bottom w:val="single" w:sz="2" w:space="0" w:color="auto"/>
              <w:right w:val="single" w:sz="2" w:space="0" w:color="auto"/>
            </w:tcBorders>
            <w:vAlign w:val="center"/>
          </w:tcPr>
          <w:p w14:paraId="5B527EAD"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34,732,047.93</w:t>
            </w:r>
          </w:p>
        </w:tc>
        <w:tc>
          <w:tcPr>
            <w:tcW w:w="850" w:type="dxa"/>
            <w:tcBorders>
              <w:top w:val="single" w:sz="2" w:space="0" w:color="auto"/>
              <w:left w:val="single" w:sz="2" w:space="0" w:color="auto"/>
              <w:bottom w:val="single" w:sz="2" w:space="0" w:color="auto"/>
              <w:right w:val="single" w:sz="2" w:space="0" w:color="auto"/>
            </w:tcBorders>
            <w:vAlign w:val="center"/>
          </w:tcPr>
          <w:p w14:paraId="06D2A797"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100.00%</w:t>
            </w:r>
          </w:p>
        </w:tc>
        <w:tc>
          <w:tcPr>
            <w:tcW w:w="632" w:type="dxa"/>
            <w:tcBorders>
              <w:top w:val="single" w:sz="2" w:space="0" w:color="auto"/>
              <w:left w:val="single" w:sz="2" w:space="0" w:color="auto"/>
              <w:bottom w:val="single" w:sz="2" w:space="0" w:color="auto"/>
              <w:right w:val="single" w:sz="2" w:space="0" w:color="auto"/>
            </w:tcBorders>
            <w:vAlign w:val="center"/>
          </w:tcPr>
          <w:p w14:paraId="5A73FF2E"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644" w:type="dxa"/>
            <w:tcBorders>
              <w:top w:val="single" w:sz="2" w:space="0" w:color="auto"/>
              <w:left w:val="single" w:sz="2" w:space="0" w:color="auto"/>
              <w:bottom w:val="single" w:sz="2" w:space="0" w:color="auto"/>
              <w:right w:val="single" w:sz="2" w:space="0" w:color="auto"/>
            </w:tcBorders>
            <w:vAlign w:val="center"/>
          </w:tcPr>
          <w:p w14:paraId="2F1171D0"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1109" w:type="dxa"/>
            <w:tcBorders>
              <w:top w:val="single" w:sz="2" w:space="0" w:color="auto"/>
              <w:left w:val="single" w:sz="2" w:space="0" w:color="auto"/>
              <w:bottom w:val="single" w:sz="2" w:space="0" w:color="auto"/>
              <w:right w:val="single" w:sz="2" w:space="0" w:color="auto"/>
            </w:tcBorders>
            <w:vAlign w:val="center"/>
          </w:tcPr>
          <w:p w14:paraId="4B47F3D5"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34,732,047.93</w:t>
            </w:r>
          </w:p>
        </w:tc>
        <w:tc>
          <w:tcPr>
            <w:tcW w:w="1017" w:type="dxa"/>
            <w:tcBorders>
              <w:top w:val="single" w:sz="2" w:space="0" w:color="auto"/>
              <w:left w:val="single" w:sz="2" w:space="0" w:color="auto"/>
              <w:bottom w:val="single" w:sz="2" w:space="0" w:color="auto"/>
              <w:right w:val="single" w:sz="2" w:space="0" w:color="auto"/>
            </w:tcBorders>
            <w:vAlign w:val="center"/>
          </w:tcPr>
          <w:p w14:paraId="2261FFDB"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30,993,722.23</w:t>
            </w:r>
          </w:p>
        </w:tc>
        <w:tc>
          <w:tcPr>
            <w:tcW w:w="992" w:type="dxa"/>
            <w:tcBorders>
              <w:top w:val="single" w:sz="2" w:space="0" w:color="auto"/>
              <w:left w:val="single" w:sz="2" w:space="0" w:color="auto"/>
              <w:bottom w:val="single" w:sz="2" w:space="0" w:color="auto"/>
              <w:right w:val="single" w:sz="2" w:space="0" w:color="auto"/>
            </w:tcBorders>
            <w:vAlign w:val="center"/>
          </w:tcPr>
          <w:p w14:paraId="24A1475B"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100.00%</w:t>
            </w:r>
          </w:p>
        </w:tc>
        <w:tc>
          <w:tcPr>
            <w:tcW w:w="709" w:type="dxa"/>
            <w:tcBorders>
              <w:top w:val="single" w:sz="2" w:space="0" w:color="auto"/>
              <w:left w:val="single" w:sz="2" w:space="0" w:color="auto"/>
              <w:bottom w:val="single" w:sz="2" w:space="0" w:color="auto"/>
              <w:right w:val="single" w:sz="2" w:space="0" w:color="auto"/>
            </w:tcBorders>
            <w:vAlign w:val="center"/>
          </w:tcPr>
          <w:p w14:paraId="5A3B3CE2"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vAlign w:val="center"/>
          </w:tcPr>
          <w:p w14:paraId="2D9B873D"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955" w:type="dxa"/>
            <w:tcBorders>
              <w:top w:val="single" w:sz="2" w:space="0" w:color="auto"/>
              <w:left w:val="single" w:sz="2" w:space="0" w:color="auto"/>
              <w:bottom w:val="single" w:sz="2" w:space="0" w:color="auto"/>
              <w:right w:val="single" w:sz="2" w:space="0" w:color="auto"/>
            </w:tcBorders>
            <w:vAlign w:val="center"/>
          </w:tcPr>
          <w:p w14:paraId="42A00088"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30,993,722.23</w:t>
            </w:r>
          </w:p>
        </w:tc>
      </w:tr>
      <w:tr w:rsidR="00095F6F" w:rsidRPr="00172A66" w14:paraId="0C6B931A" w14:textId="77777777" w:rsidTr="00172A66">
        <w:trPr>
          <w:trHeight w:val="240"/>
        </w:trPr>
        <w:tc>
          <w:tcPr>
            <w:tcW w:w="1029" w:type="dxa"/>
            <w:tcBorders>
              <w:top w:val="single" w:sz="2" w:space="0" w:color="auto"/>
              <w:left w:val="single" w:sz="2" w:space="0" w:color="auto"/>
              <w:bottom w:val="single" w:sz="2" w:space="0" w:color="auto"/>
              <w:right w:val="single" w:sz="2" w:space="0" w:color="auto"/>
            </w:tcBorders>
            <w:shd w:val="clear" w:color="auto" w:fill="D3D3D3"/>
            <w:vAlign w:val="center"/>
          </w:tcPr>
          <w:p w14:paraId="560BE03A" w14:textId="77777777" w:rsidR="00A46BF1" w:rsidRPr="00172A66" w:rsidRDefault="00A46BF1" w:rsidP="00172A66">
            <w:pPr>
              <w:spacing w:before="40" w:after="40" w:line="360" w:lineRule="auto"/>
              <w:rPr>
                <w:rFonts w:ascii="Times New Roman" w:eastAsia="宋体" w:hAnsi="Times New Roman" w:cs="Times New Roman"/>
                <w:sz w:val="15"/>
                <w:szCs w:val="15"/>
              </w:rPr>
            </w:pPr>
            <w:r w:rsidRPr="00172A66">
              <w:rPr>
                <w:rFonts w:ascii="Times New Roman" w:eastAsia="宋体" w:hAnsi="Times New Roman" w:cs="Times New Roman"/>
                <w:sz w:val="15"/>
                <w:szCs w:val="15"/>
              </w:rPr>
              <w:t>其中：</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20A601B1" w14:textId="77777777" w:rsidR="00A46BF1" w:rsidRPr="00172A66" w:rsidRDefault="00A46BF1" w:rsidP="00172A66">
            <w:pPr>
              <w:spacing w:line="360" w:lineRule="auto"/>
              <w:rPr>
                <w:rFonts w:ascii="Times New Roman" w:hAnsi="Times New Roman" w:cs="Times New Roman"/>
                <w:sz w:val="15"/>
                <w:szCs w:val="15"/>
              </w:rPr>
            </w:pP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1B9B9701" w14:textId="77777777" w:rsidR="00A46BF1" w:rsidRPr="00172A66" w:rsidRDefault="00A46BF1" w:rsidP="00172A66">
            <w:pPr>
              <w:spacing w:line="360" w:lineRule="auto"/>
              <w:rPr>
                <w:rFonts w:ascii="Times New Roman" w:hAnsi="Times New Roman" w:cs="Times New Roman"/>
                <w:sz w:val="15"/>
                <w:szCs w:val="15"/>
              </w:rPr>
            </w:pPr>
          </w:p>
        </w:tc>
        <w:tc>
          <w:tcPr>
            <w:tcW w:w="632" w:type="dxa"/>
            <w:tcBorders>
              <w:top w:val="single" w:sz="2" w:space="0" w:color="auto"/>
              <w:left w:val="single" w:sz="2" w:space="0" w:color="auto"/>
              <w:bottom w:val="single" w:sz="2" w:space="0" w:color="auto"/>
              <w:right w:val="single" w:sz="2" w:space="0" w:color="auto"/>
            </w:tcBorders>
            <w:shd w:val="clear" w:color="auto" w:fill="D3D3D3"/>
            <w:vAlign w:val="center"/>
          </w:tcPr>
          <w:p w14:paraId="3AFCC194" w14:textId="77777777" w:rsidR="00A46BF1" w:rsidRPr="00172A66" w:rsidRDefault="00A46BF1" w:rsidP="00172A66">
            <w:pPr>
              <w:spacing w:line="360" w:lineRule="auto"/>
              <w:rPr>
                <w:rFonts w:ascii="Times New Roman" w:hAnsi="Times New Roman" w:cs="Times New Roman"/>
                <w:sz w:val="15"/>
                <w:szCs w:val="15"/>
              </w:rPr>
            </w:pPr>
          </w:p>
        </w:tc>
        <w:tc>
          <w:tcPr>
            <w:tcW w:w="644" w:type="dxa"/>
            <w:tcBorders>
              <w:top w:val="single" w:sz="2" w:space="0" w:color="auto"/>
              <w:left w:val="single" w:sz="2" w:space="0" w:color="auto"/>
              <w:bottom w:val="single" w:sz="2" w:space="0" w:color="auto"/>
              <w:right w:val="single" w:sz="2" w:space="0" w:color="auto"/>
            </w:tcBorders>
            <w:shd w:val="clear" w:color="auto" w:fill="D3D3D3"/>
            <w:vAlign w:val="center"/>
          </w:tcPr>
          <w:p w14:paraId="0D9B17CC" w14:textId="77777777" w:rsidR="00A46BF1" w:rsidRPr="00172A66" w:rsidRDefault="00A46BF1" w:rsidP="00172A66">
            <w:pPr>
              <w:spacing w:line="360" w:lineRule="auto"/>
              <w:rPr>
                <w:rFonts w:ascii="Times New Roman" w:hAnsi="Times New Roman" w:cs="Times New Roman"/>
                <w:sz w:val="15"/>
                <w:szCs w:val="15"/>
              </w:rPr>
            </w:pPr>
          </w:p>
        </w:tc>
        <w:tc>
          <w:tcPr>
            <w:tcW w:w="1109" w:type="dxa"/>
            <w:tcBorders>
              <w:top w:val="single" w:sz="2" w:space="0" w:color="auto"/>
              <w:left w:val="single" w:sz="2" w:space="0" w:color="auto"/>
              <w:bottom w:val="single" w:sz="2" w:space="0" w:color="auto"/>
              <w:right w:val="single" w:sz="2" w:space="0" w:color="auto"/>
            </w:tcBorders>
            <w:shd w:val="clear" w:color="auto" w:fill="D3D3D3"/>
            <w:vAlign w:val="center"/>
          </w:tcPr>
          <w:p w14:paraId="11EC9619" w14:textId="77777777" w:rsidR="00A46BF1" w:rsidRPr="00172A66" w:rsidRDefault="00A46BF1" w:rsidP="00172A66">
            <w:pPr>
              <w:spacing w:line="360" w:lineRule="auto"/>
              <w:rPr>
                <w:rFonts w:ascii="Times New Roman" w:hAnsi="Times New Roman" w:cs="Times New Roman"/>
                <w:sz w:val="15"/>
                <w:szCs w:val="15"/>
              </w:rPr>
            </w:pPr>
          </w:p>
        </w:tc>
        <w:tc>
          <w:tcPr>
            <w:tcW w:w="1017" w:type="dxa"/>
            <w:tcBorders>
              <w:top w:val="single" w:sz="2" w:space="0" w:color="auto"/>
              <w:left w:val="single" w:sz="2" w:space="0" w:color="auto"/>
              <w:bottom w:val="single" w:sz="2" w:space="0" w:color="auto"/>
              <w:right w:val="single" w:sz="2" w:space="0" w:color="auto"/>
            </w:tcBorders>
            <w:shd w:val="clear" w:color="auto" w:fill="D3D3D3"/>
            <w:vAlign w:val="center"/>
          </w:tcPr>
          <w:p w14:paraId="3C46FE45" w14:textId="77777777" w:rsidR="00A46BF1" w:rsidRPr="00172A66" w:rsidRDefault="00A46BF1" w:rsidP="00172A66">
            <w:pPr>
              <w:spacing w:line="360" w:lineRule="auto"/>
              <w:rPr>
                <w:rFonts w:ascii="Times New Roman"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0A9577F5" w14:textId="77777777" w:rsidR="00A46BF1" w:rsidRPr="00172A66" w:rsidRDefault="00A46BF1" w:rsidP="00172A66">
            <w:pPr>
              <w:spacing w:line="360" w:lineRule="auto"/>
              <w:rPr>
                <w:rFonts w:ascii="Times New Roman"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327B225" w14:textId="77777777" w:rsidR="00A46BF1" w:rsidRPr="00172A66" w:rsidRDefault="00A46BF1" w:rsidP="00172A66">
            <w:pPr>
              <w:spacing w:line="360" w:lineRule="auto"/>
              <w:rPr>
                <w:rFonts w:ascii="Times New Roman"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44E9FB80" w14:textId="77777777" w:rsidR="00A46BF1" w:rsidRPr="00172A66" w:rsidRDefault="00A46BF1" w:rsidP="00172A66">
            <w:pPr>
              <w:spacing w:line="360" w:lineRule="auto"/>
              <w:rPr>
                <w:rFonts w:ascii="Times New Roman" w:hAnsi="Times New Roman" w:cs="Times New Roman"/>
                <w:sz w:val="15"/>
                <w:szCs w:val="15"/>
              </w:rPr>
            </w:pPr>
          </w:p>
        </w:tc>
        <w:tc>
          <w:tcPr>
            <w:tcW w:w="955" w:type="dxa"/>
            <w:tcBorders>
              <w:top w:val="single" w:sz="2" w:space="0" w:color="auto"/>
              <w:left w:val="single" w:sz="2" w:space="0" w:color="auto"/>
              <w:bottom w:val="single" w:sz="2" w:space="0" w:color="auto"/>
              <w:right w:val="single" w:sz="2" w:space="0" w:color="auto"/>
            </w:tcBorders>
            <w:shd w:val="clear" w:color="auto" w:fill="D3D3D3"/>
            <w:vAlign w:val="center"/>
          </w:tcPr>
          <w:p w14:paraId="5F6230F8" w14:textId="77777777" w:rsidR="00A46BF1" w:rsidRPr="00172A66" w:rsidRDefault="00A46BF1" w:rsidP="00172A66">
            <w:pPr>
              <w:spacing w:line="360" w:lineRule="auto"/>
              <w:rPr>
                <w:rFonts w:ascii="Times New Roman" w:hAnsi="Times New Roman" w:cs="Times New Roman"/>
                <w:sz w:val="15"/>
                <w:szCs w:val="15"/>
              </w:rPr>
            </w:pPr>
          </w:p>
        </w:tc>
      </w:tr>
      <w:tr w:rsidR="00095F6F" w:rsidRPr="00172A66" w14:paraId="3E3B0420" w14:textId="77777777" w:rsidTr="00172A66">
        <w:trPr>
          <w:trHeight w:val="240"/>
        </w:trPr>
        <w:tc>
          <w:tcPr>
            <w:tcW w:w="1029" w:type="dxa"/>
            <w:tcBorders>
              <w:top w:val="single" w:sz="2" w:space="0" w:color="auto"/>
              <w:left w:val="single" w:sz="2" w:space="0" w:color="auto"/>
              <w:bottom w:val="single" w:sz="2" w:space="0" w:color="auto"/>
              <w:right w:val="single" w:sz="2" w:space="0" w:color="auto"/>
            </w:tcBorders>
            <w:vAlign w:val="center"/>
          </w:tcPr>
          <w:p w14:paraId="1C55127B" w14:textId="77777777" w:rsidR="00A46BF1" w:rsidRPr="00172A66" w:rsidRDefault="00A46BF1" w:rsidP="00172A66">
            <w:pPr>
              <w:spacing w:line="360" w:lineRule="auto"/>
              <w:rPr>
                <w:rFonts w:ascii="Times New Roman" w:eastAsia="宋体" w:hAnsi="Times New Roman" w:cs="Times New Roman"/>
                <w:sz w:val="15"/>
                <w:szCs w:val="15"/>
              </w:rPr>
            </w:pPr>
            <w:r w:rsidRPr="00172A66">
              <w:rPr>
                <w:rFonts w:ascii="Times New Roman" w:eastAsia="宋体" w:hAnsi="Times New Roman" w:cs="Times New Roman"/>
                <w:sz w:val="15"/>
                <w:szCs w:val="15"/>
              </w:rPr>
              <w:t>银行承兑汇票</w:t>
            </w:r>
          </w:p>
        </w:tc>
        <w:tc>
          <w:tcPr>
            <w:tcW w:w="993" w:type="dxa"/>
            <w:tcBorders>
              <w:top w:val="single" w:sz="2" w:space="0" w:color="auto"/>
              <w:left w:val="single" w:sz="2" w:space="0" w:color="auto"/>
              <w:bottom w:val="single" w:sz="2" w:space="0" w:color="auto"/>
              <w:right w:val="single" w:sz="2" w:space="0" w:color="auto"/>
            </w:tcBorders>
            <w:vAlign w:val="center"/>
          </w:tcPr>
          <w:p w14:paraId="06B2A711"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34,732,047.93</w:t>
            </w:r>
          </w:p>
        </w:tc>
        <w:tc>
          <w:tcPr>
            <w:tcW w:w="850" w:type="dxa"/>
            <w:tcBorders>
              <w:top w:val="single" w:sz="2" w:space="0" w:color="auto"/>
              <w:left w:val="single" w:sz="2" w:space="0" w:color="auto"/>
              <w:bottom w:val="single" w:sz="2" w:space="0" w:color="auto"/>
              <w:right w:val="single" w:sz="2" w:space="0" w:color="auto"/>
            </w:tcBorders>
            <w:vAlign w:val="center"/>
          </w:tcPr>
          <w:p w14:paraId="0EBFFB5D"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100.00%</w:t>
            </w:r>
          </w:p>
        </w:tc>
        <w:tc>
          <w:tcPr>
            <w:tcW w:w="632" w:type="dxa"/>
            <w:tcBorders>
              <w:top w:val="single" w:sz="2" w:space="0" w:color="auto"/>
              <w:left w:val="single" w:sz="2" w:space="0" w:color="auto"/>
              <w:bottom w:val="single" w:sz="2" w:space="0" w:color="auto"/>
              <w:right w:val="single" w:sz="2" w:space="0" w:color="auto"/>
            </w:tcBorders>
            <w:vAlign w:val="center"/>
          </w:tcPr>
          <w:p w14:paraId="761ADD7F"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644" w:type="dxa"/>
            <w:tcBorders>
              <w:top w:val="single" w:sz="2" w:space="0" w:color="auto"/>
              <w:left w:val="single" w:sz="2" w:space="0" w:color="auto"/>
              <w:bottom w:val="single" w:sz="2" w:space="0" w:color="auto"/>
              <w:right w:val="single" w:sz="2" w:space="0" w:color="auto"/>
            </w:tcBorders>
            <w:vAlign w:val="center"/>
          </w:tcPr>
          <w:p w14:paraId="7FB0529C"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1109" w:type="dxa"/>
            <w:tcBorders>
              <w:top w:val="single" w:sz="2" w:space="0" w:color="auto"/>
              <w:left w:val="single" w:sz="2" w:space="0" w:color="auto"/>
              <w:bottom w:val="single" w:sz="2" w:space="0" w:color="auto"/>
              <w:right w:val="single" w:sz="2" w:space="0" w:color="auto"/>
            </w:tcBorders>
            <w:vAlign w:val="center"/>
          </w:tcPr>
          <w:p w14:paraId="2A5E2615"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34,732,047.93</w:t>
            </w:r>
          </w:p>
        </w:tc>
        <w:tc>
          <w:tcPr>
            <w:tcW w:w="1017" w:type="dxa"/>
            <w:tcBorders>
              <w:top w:val="single" w:sz="2" w:space="0" w:color="auto"/>
              <w:left w:val="single" w:sz="2" w:space="0" w:color="auto"/>
              <w:bottom w:val="single" w:sz="2" w:space="0" w:color="auto"/>
              <w:right w:val="single" w:sz="2" w:space="0" w:color="auto"/>
            </w:tcBorders>
            <w:vAlign w:val="center"/>
          </w:tcPr>
          <w:p w14:paraId="78E7AD65"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30,993,722.23</w:t>
            </w:r>
          </w:p>
        </w:tc>
        <w:tc>
          <w:tcPr>
            <w:tcW w:w="992" w:type="dxa"/>
            <w:tcBorders>
              <w:top w:val="single" w:sz="2" w:space="0" w:color="auto"/>
              <w:left w:val="single" w:sz="2" w:space="0" w:color="auto"/>
              <w:bottom w:val="single" w:sz="2" w:space="0" w:color="auto"/>
              <w:right w:val="single" w:sz="2" w:space="0" w:color="auto"/>
            </w:tcBorders>
            <w:vAlign w:val="center"/>
          </w:tcPr>
          <w:p w14:paraId="6AF3FD9D"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100.00%</w:t>
            </w:r>
          </w:p>
        </w:tc>
        <w:tc>
          <w:tcPr>
            <w:tcW w:w="709" w:type="dxa"/>
            <w:tcBorders>
              <w:top w:val="single" w:sz="2" w:space="0" w:color="auto"/>
              <w:left w:val="single" w:sz="2" w:space="0" w:color="auto"/>
              <w:bottom w:val="single" w:sz="2" w:space="0" w:color="auto"/>
              <w:right w:val="single" w:sz="2" w:space="0" w:color="auto"/>
            </w:tcBorders>
            <w:vAlign w:val="center"/>
          </w:tcPr>
          <w:p w14:paraId="2D556F0A"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vAlign w:val="center"/>
          </w:tcPr>
          <w:p w14:paraId="4191A7FA"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955" w:type="dxa"/>
            <w:tcBorders>
              <w:top w:val="single" w:sz="2" w:space="0" w:color="auto"/>
              <w:left w:val="single" w:sz="2" w:space="0" w:color="auto"/>
              <w:bottom w:val="single" w:sz="2" w:space="0" w:color="auto"/>
              <w:right w:val="single" w:sz="2" w:space="0" w:color="auto"/>
            </w:tcBorders>
            <w:vAlign w:val="center"/>
          </w:tcPr>
          <w:p w14:paraId="0BE5F764"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30,993,722.23</w:t>
            </w:r>
          </w:p>
        </w:tc>
      </w:tr>
      <w:tr w:rsidR="00095F6F" w:rsidRPr="00172A66" w14:paraId="779DAF6D" w14:textId="77777777" w:rsidTr="00172A66">
        <w:trPr>
          <w:trHeight w:val="240"/>
        </w:trPr>
        <w:tc>
          <w:tcPr>
            <w:tcW w:w="1029" w:type="dxa"/>
            <w:tcBorders>
              <w:top w:val="single" w:sz="2" w:space="0" w:color="auto"/>
              <w:left w:val="single" w:sz="2" w:space="0" w:color="auto"/>
              <w:bottom w:val="single" w:sz="2" w:space="0" w:color="auto"/>
              <w:right w:val="single" w:sz="2" w:space="0" w:color="auto"/>
            </w:tcBorders>
            <w:shd w:val="clear" w:color="auto" w:fill="D3D3D3"/>
            <w:vAlign w:val="center"/>
          </w:tcPr>
          <w:p w14:paraId="7A9C55CB" w14:textId="77777777" w:rsidR="00A46BF1" w:rsidRPr="00172A66" w:rsidRDefault="00A46BF1" w:rsidP="00172A66">
            <w:pPr>
              <w:spacing w:before="40" w:after="40" w:line="360" w:lineRule="auto"/>
              <w:rPr>
                <w:rFonts w:ascii="Times New Roman" w:eastAsia="宋体" w:hAnsi="Times New Roman" w:cs="Times New Roman"/>
                <w:sz w:val="15"/>
                <w:szCs w:val="15"/>
              </w:rPr>
            </w:pPr>
            <w:r w:rsidRPr="00172A66">
              <w:rPr>
                <w:rFonts w:ascii="Times New Roman" w:eastAsia="宋体" w:hAnsi="Times New Roman" w:cs="Times New Roman"/>
                <w:sz w:val="15"/>
                <w:szCs w:val="15"/>
              </w:rPr>
              <w:t>合计</w:t>
            </w:r>
          </w:p>
        </w:tc>
        <w:tc>
          <w:tcPr>
            <w:tcW w:w="993" w:type="dxa"/>
            <w:tcBorders>
              <w:top w:val="single" w:sz="2" w:space="0" w:color="auto"/>
              <w:left w:val="single" w:sz="2" w:space="0" w:color="auto"/>
              <w:bottom w:val="single" w:sz="2" w:space="0" w:color="auto"/>
              <w:right w:val="single" w:sz="2" w:space="0" w:color="auto"/>
            </w:tcBorders>
            <w:vAlign w:val="center"/>
          </w:tcPr>
          <w:p w14:paraId="5A945258"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34,732,047.93</w:t>
            </w:r>
          </w:p>
        </w:tc>
        <w:tc>
          <w:tcPr>
            <w:tcW w:w="850" w:type="dxa"/>
            <w:tcBorders>
              <w:top w:val="single" w:sz="2" w:space="0" w:color="auto"/>
              <w:left w:val="single" w:sz="2" w:space="0" w:color="auto"/>
              <w:bottom w:val="single" w:sz="2" w:space="0" w:color="auto"/>
              <w:right w:val="single" w:sz="2" w:space="0" w:color="auto"/>
            </w:tcBorders>
            <w:vAlign w:val="center"/>
          </w:tcPr>
          <w:p w14:paraId="0727CEB7"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100.00%</w:t>
            </w:r>
          </w:p>
        </w:tc>
        <w:tc>
          <w:tcPr>
            <w:tcW w:w="632" w:type="dxa"/>
            <w:tcBorders>
              <w:top w:val="single" w:sz="2" w:space="0" w:color="auto"/>
              <w:left w:val="single" w:sz="2" w:space="0" w:color="auto"/>
              <w:bottom w:val="single" w:sz="2" w:space="0" w:color="auto"/>
              <w:right w:val="single" w:sz="2" w:space="0" w:color="auto"/>
            </w:tcBorders>
            <w:vAlign w:val="center"/>
          </w:tcPr>
          <w:p w14:paraId="1D3206AB"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644" w:type="dxa"/>
            <w:tcBorders>
              <w:top w:val="single" w:sz="2" w:space="0" w:color="auto"/>
              <w:left w:val="single" w:sz="2" w:space="0" w:color="auto"/>
              <w:bottom w:val="single" w:sz="2" w:space="0" w:color="auto"/>
              <w:right w:val="single" w:sz="2" w:space="0" w:color="auto"/>
            </w:tcBorders>
            <w:vAlign w:val="center"/>
          </w:tcPr>
          <w:p w14:paraId="23368CD7"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1109" w:type="dxa"/>
            <w:tcBorders>
              <w:top w:val="single" w:sz="2" w:space="0" w:color="auto"/>
              <w:left w:val="single" w:sz="2" w:space="0" w:color="auto"/>
              <w:bottom w:val="single" w:sz="2" w:space="0" w:color="auto"/>
              <w:right w:val="single" w:sz="2" w:space="0" w:color="auto"/>
            </w:tcBorders>
            <w:vAlign w:val="center"/>
          </w:tcPr>
          <w:p w14:paraId="7EC5C8DA"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34,732,047.93</w:t>
            </w:r>
          </w:p>
        </w:tc>
        <w:tc>
          <w:tcPr>
            <w:tcW w:w="1017" w:type="dxa"/>
            <w:tcBorders>
              <w:top w:val="single" w:sz="2" w:space="0" w:color="auto"/>
              <w:left w:val="single" w:sz="2" w:space="0" w:color="auto"/>
              <w:bottom w:val="single" w:sz="2" w:space="0" w:color="auto"/>
              <w:right w:val="single" w:sz="2" w:space="0" w:color="auto"/>
            </w:tcBorders>
            <w:vAlign w:val="center"/>
          </w:tcPr>
          <w:p w14:paraId="04B74E9B"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30,993,722.23</w:t>
            </w:r>
          </w:p>
        </w:tc>
        <w:tc>
          <w:tcPr>
            <w:tcW w:w="992" w:type="dxa"/>
            <w:tcBorders>
              <w:top w:val="single" w:sz="2" w:space="0" w:color="auto"/>
              <w:left w:val="single" w:sz="2" w:space="0" w:color="auto"/>
              <w:bottom w:val="single" w:sz="2" w:space="0" w:color="auto"/>
              <w:right w:val="single" w:sz="2" w:space="0" w:color="auto"/>
            </w:tcBorders>
            <w:vAlign w:val="center"/>
          </w:tcPr>
          <w:p w14:paraId="074F4A15"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100.00%</w:t>
            </w:r>
          </w:p>
        </w:tc>
        <w:tc>
          <w:tcPr>
            <w:tcW w:w="709" w:type="dxa"/>
            <w:tcBorders>
              <w:top w:val="single" w:sz="2" w:space="0" w:color="auto"/>
              <w:left w:val="single" w:sz="2" w:space="0" w:color="auto"/>
              <w:bottom w:val="single" w:sz="2" w:space="0" w:color="auto"/>
              <w:right w:val="single" w:sz="2" w:space="0" w:color="auto"/>
            </w:tcBorders>
            <w:vAlign w:val="center"/>
          </w:tcPr>
          <w:p w14:paraId="07D9BCD5"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709" w:type="dxa"/>
            <w:tcBorders>
              <w:top w:val="single" w:sz="2" w:space="0" w:color="auto"/>
              <w:left w:val="single" w:sz="2" w:space="0" w:color="auto"/>
              <w:bottom w:val="single" w:sz="2" w:space="0" w:color="auto"/>
              <w:right w:val="single" w:sz="2" w:space="0" w:color="auto"/>
            </w:tcBorders>
            <w:vAlign w:val="center"/>
          </w:tcPr>
          <w:p w14:paraId="472DE981" w14:textId="77777777" w:rsidR="00A46BF1" w:rsidRPr="00172A66" w:rsidRDefault="00A46BF1" w:rsidP="00172A66">
            <w:pPr>
              <w:spacing w:line="360" w:lineRule="auto"/>
              <w:jc w:val="right"/>
              <w:rPr>
                <w:rFonts w:ascii="Times New Roman" w:eastAsia="宋体" w:hAnsi="Times New Roman" w:cs="Times New Roman"/>
                <w:sz w:val="15"/>
                <w:szCs w:val="15"/>
              </w:rPr>
            </w:pPr>
          </w:p>
        </w:tc>
        <w:tc>
          <w:tcPr>
            <w:tcW w:w="955" w:type="dxa"/>
            <w:tcBorders>
              <w:top w:val="single" w:sz="2" w:space="0" w:color="auto"/>
              <w:left w:val="single" w:sz="2" w:space="0" w:color="auto"/>
              <w:bottom w:val="single" w:sz="2" w:space="0" w:color="auto"/>
              <w:right w:val="single" w:sz="2" w:space="0" w:color="auto"/>
            </w:tcBorders>
            <w:vAlign w:val="center"/>
          </w:tcPr>
          <w:p w14:paraId="4763E78F" w14:textId="77777777" w:rsidR="00A46BF1" w:rsidRPr="00172A66" w:rsidRDefault="00A46BF1" w:rsidP="00172A66">
            <w:pPr>
              <w:spacing w:line="360" w:lineRule="auto"/>
              <w:jc w:val="right"/>
              <w:rPr>
                <w:rFonts w:ascii="Times New Roman" w:eastAsia="宋体" w:hAnsi="Times New Roman" w:cs="Times New Roman"/>
                <w:sz w:val="15"/>
                <w:szCs w:val="15"/>
              </w:rPr>
            </w:pPr>
            <w:r w:rsidRPr="00172A66">
              <w:rPr>
                <w:rFonts w:ascii="Times New Roman" w:eastAsia="宋体" w:hAnsi="Times New Roman" w:cs="Times New Roman"/>
                <w:sz w:val="15"/>
                <w:szCs w:val="15"/>
              </w:rPr>
              <w:t>30,993,722.23</w:t>
            </w:r>
          </w:p>
        </w:tc>
      </w:tr>
    </w:tbl>
    <w:p w14:paraId="34B1463B"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按组合计提坏账准备：账龄组合计提</w:t>
      </w:r>
    </w:p>
    <w:p w14:paraId="0FE003D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rsidRPr="00172A66" w14:paraId="36A94441"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0008170"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E7264DA"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期末余额</w:t>
            </w:r>
          </w:p>
        </w:tc>
      </w:tr>
      <w:tr w:rsidR="00095F6F" w:rsidRPr="00172A66" w14:paraId="685F0F43"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4AF17CB" w14:textId="77777777" w:rsidR="00A46BF1" w:rsidRPr="00172A66" w:rsidRDefault="00A46BF1" w:rsidP="00172A66">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C30A90E"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1D23D8C"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9901E4A" w14:textId="77777777" w:rsidR="00A46BF1" w:rsidRPr="00172A66" w:rsidRDefault="00A46BF1" w:rsidP="00172A66">
            <w:pPr>
              <w:spacing w:before="40" w:after="40" w:line="360" w:lineRule="auto"/>
              <w:jc w:val="center"/>
              <w:rPr>
                <w:rFonts w:ascii="Times New Roman" w:eastAsia="宋体" w:hAnsi="Times New Roman" w:cs="Times New Roman"/>
                <w:sz w:val="18"/>
                <w:szCs w:val="18"/>
              </w:rPr>
            </w:pPr>
            <w:r w:rsidRPr="00172A66">
              <w:rPr>
                <w:rFonts w:ascii="Times New Roman" w:eastAsia="宋体" w:hAnsi="Times New Roman" w:cs="Times New Roman"/>
                <w:sz w:val="18"/>
                <w:szCs w:val="18"/>
              </w:rPr>
              <w:t>计提比例</w:t>
            </w:r>
          </w:p>
        </w:tc>
      </w:tr>
      <w:tr w:rsidR="00095F6F" w:rsidRPr="00172A66" w14:paraId="2D84684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F62D3DC" w14:textId="77777777" w:rsidR="00A46BF1" w:rsidRPr="00172A66" w:rsidRDefault="00A46BF1" w:rsidP="00172A66">
            <w:pPr>
              <w:spacing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1</w:t>
            </w:r>
            <w:r w:rsidRPr="00172A66">
              <w:rPr>
                <w:rFonts w:ascii="Times New Roman" w:eastAsia="宋体" w:hAnsi="Times New Roman" w:cs="Times New Roman"/>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2D66504D"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34,732,047.93</w:t>
            </w:r>
          </w:p>
        </w:tc>
        <w:tc>
          <w:tcPr>
            <w:tcW w:w="2410" w:type="dxa"/>
            <w:tcBorders>
              <w:top w:val="single" w:sz="2" w:space="0" w:color="auto"/>
              <w:left w:val="single" w:sz="2" w:space="0" w:color="auto"/>
              <w:bottom w:val="single" w:sz="2" w:space="0" w:color="auto"/>
              <w:right w:val="single" w:sz="2" w:space="0" w:color="auto"/>
            </w:tcBorders>
            <w:vAlign w:val="center"/>
          </w:tcPr>
          <w:p w14:paraId="49236859"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E66F805" w14:textId="77777777" w:rsidR="00A46BF1" w:rsidRPr="00172A66" w:rsidRDefault="00A46BF1" w:rsidP="00172A66">
            <w:pPr>
              <w:spacing w:line="360" w:lineRule="auto"/>
              <w:jc w:val="right"/>
              <w:rPr>
                <w:rFonts w:ascii="Times New Roman" w:eastAsia="宋体" w:hAnsi="Times New Roman" w:cs="Times New Roman"/>
                <w:sz w:val="18"/>
                <w:szCs w:val="18"/>
              </w:rPr>
            </w:pPr>
          </w:p>
        </w:tc>
      </w:tr>
      <w:tr w:rsidR="00095F6F" w:rsidRPr="00172A66" w14:paraId="673D7FFA"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22D0FA4" w14:textId="77777777" w:rsidR="00A46BF1" w:rsidRPr="00172A66" w:rsidRDefault="00A46BF1" w:rsidP="00172A66">
            <w:pPr>
              <w:spacing w:before="40" w:after="40" w:line="360" w:lineRule="auto"/>
              <w:rPr>
                <w:rFonts w:ascii="Times New Roman" w:eastAsia="宋体" w:hAnsi="Times New Roman" w:cs="Times New Roman"/>
                <w:sz w:val="18"/>
                <w:szCs w:val="18"/>
              </w:rPr>
            </w:pPr>
            <w:r w:rsidRPr="00172A66">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5BDD422" w14:textId="77777777" w:rsidR="00A46BF1" w:rsidRPr="00172A66" w:rsidRDefault="00A46BF1" w:rsidP="00172A66">
            <w:pPr>
              <w:spacing w:line="360" w:lineRule="auto"/>
              <w:jc w:val="right"/>
              <w:rPr>
                <w:rFonts w:ascii="Times New Roman" w:eastAsia="宋体" w:hAnsi="Times New Roman" w:cs="Times New Roman"/>
                <w:sz w:val="18"/>
                <w:szCs w:val="18"/>
              </w:rPr>
            </w:pPr>
            <w:r w:rsidRPr="00172A66">
              <w:rPr>
                <w:rFonts w:ascii="Times New Roman" w:eastAsia="宋体" w:hAnsi="Times New Roman" w:cs="Times New Roman"/>
                <w:sz w:val="18"/>
                <w:szCs w:val="18"/>
              </w:rPr>
              <w:t>34,732,047.93</w:t>
            </w:r>
          </w:p>
        </w:tc>
        <w:tc>
          <w:tcPr>
            <w:tcW w:w="2410" w:type="dxa"/>
            <w:tcBorders>
              <w:top w:val="single" w:sz="2" w:space="0" w:color="auto"/>
              <w:left w:val="single" w:sz="2" w:space="0" w:color="auto"/>
              <w:bottom w:val="single" w:sz="2" w:space="0" w:color="auto"/>
              <w:right w:val="single" w:sz="2" w:space="0" w:color="auto"/>
            </w:tcBorders>
            <w:vAlign w:val="center"/>
          </w:tcPr>
          <w:p w14:paraId="5E7FCFC0" w14:textId="77777777" w:rsidR="00A46BF1" w:rsidRPr="00172A66" w:rsidRDefault="00A46BF1" w:rsidP="00172A66">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51E9D1" w14:textId="77777777" w:rsidR="00A46BF1" w:rsidRPr="00172A66" w:rsidRDefault="00A46BF1" w:rsidP="00172A66">
            <w:pPr>
              <w:spacing w:line="360" w:lineRule="auto"/>
              <w:rPr>
                <w:rFonts w:ascii="Times New Roman" w:hAnsi="Times New Roman" w:cs="Times New Roman"/>
              </w:rPr>
            </w:pPr>
          </w:p>
        </w:tc>
      </w:tr>
    </w:tbl>
    <w:p w14:paraId="41799A8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712A6F67" w14:textId="21EC240C"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详见本附注“五、</w:t>
      </w:r>
      <w:r w:rsidRPr="00684E6E">
        <w:rPr>
          <w:rFonts w:ascii="Times New Roman" w:hAnsi="Times New Roman" w:cs="Times New Roman" w:hint="eastAsia"/>
          <w:sz w:val="21"/>
          <w:szCs w:val="21"/>
        </w:rPr>
        <w:t>10</w:t>
      </w:r>
      <w:r w:rsidR="00684E6E">
        <w:rPr>
          <w:rFonts w:ascii="Times New Roman" w:hAnsi="Times New Roman" w:cs="Times New Roman" w:hint="eastAsia"/>
          <w:sz w:val="21"/>
          <w:szCs w:val="21"/>
        </w:rPr>
        <w:t>金融工具</w:t>
      </w:r>
      <w:r w:rsidRPr="00684E6E">
        <w:rPr>
          <w:rFonts w:ascii="Times New Roman" w:hAnsi="Times New Roman" w:cs="Times New Roman" w:hint="eastAsia"/>
          <w:sz w:val="21"/>
          <w:szCs w:val="21"/>
        </w:rPr>
        <w:t>”相关内容。</w:t>
      </w:r>
    </w:p>
    <w:p w14:paraId="0400C95E"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按预期信用损失一般模型计提坏账准备</w:t>
      </w:r>
    </w:p>
    <w:p w14:paraId="2D39D3D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2DE28ED7" w14:textId="77777777" w:rsidTr="00024F79">
        <w:trPr>
          <w:trHeight w:val="240"/>
        </w:trPr>
        <w:tc>
          <w:tcPr>
            <w:tcW w:w="19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E81D8B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坏账准备</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664DCD8"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第一阶段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7932EC"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第二阶段</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2A3434D"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第三阶段</w:t>
            </w:r>
          </w:p>
        </w:tc>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C59CA53"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合计</w:t>
            </w:r>
          </w:p>
        </w:tc>
      </w:tr>
      <w:tr w:rsidR="00095F6F" w14:paraId="652453B9" w14:textId="77777777" w:rsidTr="00024F79">
        <w:trPr>
          <w:trHeight w:val="240"/>
        </w:trPr>
        <w:tc>
          <w:tcPr>
            <w:tcW w:w="192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53698D" w14:textId="77777777" w:rsidR="00A46BF1" w:rsidRDefault="00A46BF1" w:rsidP="00A46BF1"/>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053BA3"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未来12个月预期信用损失</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CDA7E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整个存续期预期信用损失（未发生信用减值）</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5AEC13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整个存续期预期信用损失（已发生信用减值）</w:t>
            </w:r>
          </w:p>
        </w:tc>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C36A69C" w14:textId="77777777" w:rsidR="00A46BF1" w:rsidRDefault="00A46BF1" w:rsidP="00A46BF1"/>
        </w:tc>
      </w:tr>
    </w:tbl>
    <w:p w14:paraId="28DBBD6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各阶段划分依据和坏账准备计提比例</w:t>
      </w:r>
    </w:p>
    <w:p w14:paraId="10FE8FFC" w14:textId="77777777" w:rsidR="00A46BF1" w:rsidRPr="00024F79" w:rsidRDefault="00A46BF1" w:rsidP="00024F79">
      <w:pPr>
        <w:spacing w:before="100" w:after="100" w:line="240" w:lineRule="exact"/>
        <w:rPr>
          <w:rFonts w:ascii="宋体" w:eastAsia="宋体" w:hAnsi="宋体" w:cs="宋体"/>
          <w:sz w:val="18"/>
          <w:szCs w:val="18"/>
        </w:rPr>
      </w:pPr>
      <w:r w:rsidRPr="00024F79">
        <w:rPr>
          <w:rFonts w:ascii="宋体" w:eastAsia="宋体" w:hAnsi="宋体" w:cs="宋体" w:hint="eastAsia"/>
          <w:sz w:val="18"/>
          <w:szCs w:val="18"/>
        </w:rPr>
        <w:t>不适用</w:t>
      </w:r>
    </w:p>
    <w:p w14:paraId="10E66F6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对本期发生损失准备变动的应收款项融资账面余额显著变动的情况说明：</w:t>
      </w:r>
    </w:p>
    <w:p w14:paraId="734D308A" w14:textId="1D701ED9" w:rsidR="00A46BF1" w:rsidRPr="00024F79" w:rsidRDefault="00024F79" w:rsidP="00024F79">
      <w:pPr>
        <w:spacing w:before="100" w:after="100" w:line="240" w:lineRule="exact"/>
        <w:rPr>
          <w:rFonts w:ascii="宋体" w:eastAsia="宋体" w:hAnsi="宋体" w:cs="宋体"/>
          <w:sz w:val="18"/>
          <w:szCs w:val="18"/>
        </w:rPr>
      </w:pPr>
      <w:r w:rsidRPr="00024F79">
        <w:rPr>
          <w:rFonts w:ascii="宋体" w:eastAsia="宋体" w:hAnsi="宋体" w:cs="宋体" w:hint="eastAsia"/>
          <w:sz w:val="18"/>
          <w:szCs w:val="18"/>
        </w:rPr>
        <w:t>不适用</w:t>
      </w:r>
    </w:p>
    <w:p w14:paraId="734C01B6"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期末公司已背书或贴现且在资产负债表日尚未到期的应收款项融资</w:t>
      </w:r>
    </w:p>
    <w:p w14:paraId="45EA8C6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3D2079E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18BA1C"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A89F96"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期末终止确认金额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FF080B"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期末未终止确认金额</w:t>
            </w:r>
          </w:p>
        </w:tc>
      </w:tr>
      <w:tr w:rsidR="00095F6F" w14:paraId="3467A9A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A63E11"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7FA7EEB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69,492,988.85</w:t>
            </w:r>
          </w:p>
        </w:tc>
        <w:tc>
          <w:tcPr>
            <w:tcW w:w="3213" w:type="dxa"/>
            <w:tcBorders>
              <w:top w:val="single" w:sz="2" w:space="0" w:color="auto"/>
              <w:left w:val="single" w:sz="2" w:space="0" w:color="auto"/>
              <w:bottom w:val="single" w:sz="2" w:space="0" w:color="auto"/>
              <w:right w:val="single" w:sz="2" w:space="0" w:color="auto"/>
            </w:tcBorders>
            <w:vAlign w:val="center"/>
          </w:tcPr>
          <w:p w14:paraId="687DA278" w14:textId="77777777" w:rsidR="00A46BF1" w:rsidRPr="00024F79" w:rsidRDefault="00A46BF1" w:rsidP="00024F79">
            <w:pPr>
              <w:spacing w:line="360" w:lineRule="auto"/>
              <w:jc w:val="right"/>
              <w:rPr>
                <w:rFonts w:ascii="Times New Roman" w:eastAsia="宋体" w:hAnsi="Times New Roman" w:cs="Times New Roman"/>
                <w:sz w:val="18"/>
                <w:szCs w:val="18"/>
              </w:rPr>
            </w:pPr>
          </w:p>
        </w:tc>
      </w:tr>
      <w:tr w:rsidR="00095F6F" w14:paraId="4651CF7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2E4FEB8"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60CB708"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69,492,988.85</w:t>
            </w:r>
          </w:p>
        </w:tc>
        <w:tc>
          <w:tcPr>
            <w:tcW w:w="3213" w:type="dxa"/>
            <w:tcBorders>
              <w:top w:val="single" w:sz="2" w:space="0" w:color="auto"/>
              <w:left w:val="single" w:sz="2" w:space="0" w:color="auto"/>
              <w:bottom w:val="single" w:sz="2" w:space="0" w:color="auto"/>
              <w:right w:val="single" w:sz="2" w:space="0" w:color="auto"/>
            </w:tcBorders>
            <w:vAlign w:val="center"/>
          </w:tcPr>
          <w:p w14:paraId="00D66DC0" w14:textId="77777777" w:rsidR="00A46BF1" w:rsidRPr="00024F79" w:rsidRDefault="00A46BF1" w:rsidP="00024F79">
            <w:pPr>
              <w:spacing w:line="360" w:lineRule="auto"/>
              <w:jc w:val="right"/>
              <w:rPr>
                <w:rFonts w:ascii="Times New Roman" w:eastAsia="宋体" w:hAnsi="Times New Roman" w:cs="Times New Roman"/>
                <w:sz w:val="18"/>
                <w:szCs w:val="18"/>
              </w:rPr>
            </w:pPr>
          </w:p>
        </w:tc>
      </w:tr>
    </w:tbl>
    <w:p w14:paraId="698C9CC7"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其他说明</w:t>
      </w:r>
    </w:p>
    <w:p w14:paraId="52676F6F"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本集团年末无已质押的应收款项融资。</w:t>
      </w:r>
    </w:p>
    <w:p w14:paraId="652AD9CD" w14:textId="0D0ADDF6" w:rsidR="00A46BF1" w:rsidRDefault="00024F79" w:rsidP="00A46BF1">
      <w:pPr>
        <w:pStyle w:val="3"/>
        <w:spacing w:line="280" w:lineRule="exact"/>
        <w:jc w:val="left"/>
        <w:rPr>
          <w:rFonts w:ascii="宋体" w:hAnsi="宋体" w:cs="宋体"/>
          <w:b/>
          <w:bCs/>
        </w:rPr>
      </w:pPr>
      <w:r>
        <w:rPr>
          <w:rFonts w:ascii="宋体" w:hAnsi="宋体" w:cs="宋体"/>
          <w:b/>
          <w:bCs/>
        </w:rPr>
        <w:t>7</w:t>
      </w:r>
      <w:r w:rsidR="00A46BF1">
        <w:rPr>
          <w:rFonts w:ascii="宋体" w:hAnsi="宋体" w:cs="宋体"/>
          <w:b/>
          <w:bCs/>
        </w:rPr>
        <w:t>、其他应收款</w:t>
      </w:r>
    </w:p>
    <w:p w14:paraId="37F27D9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253CEC6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C7F352"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CE9436"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18CC8A"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期初余额</w:t>
            </w:r>
          </w:p>
        </w:tc>
      </w:tr>
      <w:tr w:rsidR="00095F6F" w14:paraId="44E7912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34CD11"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54ABAD5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7,375,631.08</w:t>
            </w:r>
          </w:p>
        </w:tc>
        <w:tc>
          <w:tcPr>
            <w:tcW w:w="3213" w:type="dxa"/>
            <w:tcBorders>
              <w:top w:val="single" w:sz="2" w:space="0" w:color="auto"/>
              <w:left w:val="single" w:sz="2" w:space="0" w:color="auto"/>
              <w:bottom w:val="single" w:sz="2" w:space="0" w:color="auto"/>
              <w:right w:val="single" w:sz="2" w:space="0" w:color="auto"/>
            </w:tcBorders>
            <w:vAlign w:val="center"/>
          </w:tcPr>
          <w:p w14:paraId="5925A3D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10,840,127.86</w:t>
            </w:r>
          </w:p>
        </w:tc>
      </w:tr>
      <w:tr w:rsidR="00095F6F" w14:paraId="4DBB32B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6C003F"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F523751"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7,375,631.08</w:t>
            </w:r>
          </w:p>
        </w:tc>
        <w:tc>
          <w:tcPr>
            <w:tcW w:w="3213" w:type="dxa"/>
            <w:tcBorders>
              <w:top w:val="single" w:sz="2" w:space="0" w:color="auto"/>
              <w:left w:val="single" w:sz="2" w:space="0" w:color="auto"/>
              <w:bottom w:val="single" w:sz="2" w:space="0" w:color="auto"/>
              <w:right w:val="single" w:sz="2" w:space="0" w:color="auto"/>
            </w:tcBorders>
            <w:vAlign w:val="center"/>
          </w:tcPr>
          <w:p w14:paraId="102114B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10,840,127.86</w:t>
            </w:r>
          </w:p>
        </w:tc>
      </w:tr>
    </w:tbl>
    <w:p w14:paraId="1645BC97"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其他应收款</w:t>
      </w:r>
    </w:p>
    <w:p w14:paraId="0C60ABE0" w14:textId="77777777" w:rsidR="00A46BF1" w:rsidRDefault="00A46BF1" w:rsidP="00A46BF1">
      <w:pPr>
        <w:keepNext/>
        <w:keepLines/>
        <w:spacing w:before="300" w:after="300" w:line="280" w:lineRule="exact"/>
        <w:outlineLvl w:val="4"/>
        <w:rPr>
          <w:rFonts w:ascii="宋体" w:eastAsia="宋体" w:hAnsi="宋体" w:cs="宋体"/>
          <w:b/>
          <w:bCs/>
          <w:szCs w:val="21"/>
        </w:rPr>
      </w:pPr>
      <w:r>
        <w:rPr>
          <w:rFonts w:ascii="宋体" w:eastAsia="宋体" w:hAnsi="宋体" w:cs="宋体"/>
          <w:b/>
          <w:bCs/>
          <w:szCs w:val="21"/>
        </w:rPr>
        <w:t>1） 其他应收款按款项性质分类情况</w:t>
      </w:r>
    </w:p>
    <w:p w14:paraId="73AE5AA2"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A17841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D7E3C7"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F4A0490"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59DD5CA"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期初账面余额</w:t>
            </w:r>
          </w:p>
        </w:tc>
      </w:tr>
      <w:tr w:rsidR="00095F6F" w14:paraId="0E5E04E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CEB20D4"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6357695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25,359,415.23</w:t>
            </w:r>
          </w:p>
        </w:tc>
        <w:tc>
          <w:tcPr>
            <w:tcW w:w="3213" w:type="dxa"/>
            <w:tcBorders>
              <w:top w:val="single" w:sz="2" w:space="0" w:color="auto"/>
              <w:left w:val="single" w:sz="2" w:space="0" w:color="auto"/>
              <w:bottom w:val="single" w:sz="2" w:space="0" w:color="auto"/>
              <w:right w:val="single" w:sz="2" w:space="0" w:color="auto"/>
            </w:tcBorders>
            <w:vAlign w:val="center"/>
          </w:tcPr>
          <w:p w14:paraId="2B71000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3,294,246.72</w:t>
            </w:r>
          </w:p>
        </w:tc>
      </w:tr>
      <w:tr w:rsidR="00095F6F" w14:paraId="47F65B6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D1004A1"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押金</w:t>
            </w:r>
          </w:p>
        </w:tc>
        <w:tc>
          <w:tcPr>
            <w:tcW w:w="3213" w:type="dxa"/>
            <w:tcBorders>
              <w:top w:val="single" w:sz="2" w:space="0" w:color="auto"/>
              <w:left w:val="single" w:sz="2" w:space="0" w:color="auto"/>
              <w:bottom w:val="single" w:sz="2" w:space="0" w:color="auto"/>
              <w:right w:val="single" w:sz="2" w:space="0" w:color="auto"/>
            </w:tcBorders>
            <w:vAlign w:val="center"/>
          </w:tcPr>
          <w:p w14:paraId="5A8E5F1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9,282,202.95</w:t>
            </w:r>
          </w:p>
        </w:tc>
        <w:tc>
          <w:tcPr>
            <w:tcW w:w="3213" w:type="dxa"/>
            <w:tcBorders>
              <w:top w:val="single" w:sz="2" w:space="0" w:color="auto"/>
              <w:left w:val="single" w:sz="2" w:space="0" w:color="auto"/>
              <w:bottom w:val="single" w:sz="2" w:space="0" w:color="auto"/>
              <w:right w:val="single" w:sz="2" w:space="0" w:color="auto"/>
            </w:tcBorders>
            <w:vAlign w:val="center"/>
          </w:tcPr>
          <w:p w14:paraId="22E3D871"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9,667,483.31</w:t>
            </w:r>
          </w:p>
        </w:tc>
      </w:tr>
      <w:tr w:rsidR="00095F6F" w14:paraId="651ED1B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2DF6A15"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14:paraId="6FF5655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1,043,612.87</w:t>
            </w:r>
          </w:p>
        </w:tc>
        <w:tc>
          <w:tcPr>
            <w:tcW w:w="3213" w:type="dxa"/>
            <w:tcBorders>
              <w:top w:val="single" w:sz="2" w:space="0" w:color="auto"/>
              <w:left w:val="single" w:sz="2" w:space="0" w:color="auto"/>
              <w:bottom w:val="single" w:sz="2" w:space="0" w:color="auto"/>
              <w:right w:val="single" w:sz="2" w:space="0" w:color="auto"/>
            </w:tcBorders>
            <w:vAlign w:val="center"/>
          </w:tcPr>
          <w:p w14:paraId="343EBAC4"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1,067,944.49</w:t>
            </w:r>
          </w:p>
        </w:tc>
      </w:tr>
      <w:tr w:rsidR="00095F6F" w14:paraId="365F07F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43FE6C7"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3285382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199,089.38</w:t>
            </w:r>
          </w:p>
        </w:tc>
        <w:tc>
          <w:tcPr>
            <w:tcW w:w="3213" w:type="dxa"/>
            <w:tcBorders>
              <w:top w:val="single" w:sz="2" w:space="0" w:color="auto"/>
              <w:left w:val="single" w:sz="2" w:space="0" w:color="auto"/>
              <w:bottom w:val="single" w:sz="2" w:space="0" w:color="auto"/>
              <w:right w:val="single" w:sz="2" w:space="0" w:color="auto"/>
            </w:tcBorders>
            <w:vAlign w:val="center"/>
          </w:tcPr>
          <w:p w14:paraId="3BC93F63"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220,171.31</w:t>
            </w:r>
          </w:p>
        </w:tc>
      </w:tr>
      <w:tr w:rsidR="00095F6F" w14:paraId="5C04D88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77C8FF"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26692D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35,884,320.43</w:t>
            </w:r>
          </w:p>
        </w:tc>
        <w:tc>
          <w:tcPr>
            <w:tcW w:w="3213" w:type="dxa"/>
            <w:tcBorders>
              <w:top w:val="single" w:sz="2" w:space="0" w:color="auto"/>
              <w:left w:val="single" w:sz="2" w:space="0" w:color="auto"/>
              <w:bottom w:val="single" w:sz="2" w:space="0" w:color="auto"/>
              <w:right w:val="single" w:sz="2" w:space="0" w:color="auto"/>
            </w:tcBorders>
            <w:vAlign w:val="center"/>
          </w:tcPr>
          <w:p w14:paraId="441CF2E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14,249,845.83</w:t>
            </w:r>
          </w:p>
        </w:tc>
      </w:tr>
    </w:tbl>
    <w:p w14:paraId="7F36E031" w14:textId="77777777" w:rsidR="00A46BF1" w:rsidRDefault="00A46BF1" w:rsidP="00A46BF1">
      <w:pPr>
        <w:keepNext/>
        <w:keepLines/>
        <w:spacing w:before="300" w:after="300" w:line="280" w:lineRule="exact"/>
        <w:outlineLvl w:val="4"/>
        <w:rPr>
          <w:rFonts w:ascii="宋体" w:eastAsia="宋体" w:hAnsi="宋体" w:cs="宋体"/>
          <w:b/>
          <w:bCs/>
          <w:szCs w:val="21"/>
        </w:rPr>
      </w:pPr>
      <w:r>
        <w:rPr>
          <w:rFonts w:ascii="宋体" w:eastAsia="宋体" w:hAnsi="宋体" w:cs="宋体"/>
          <w:b/>
          <w:bCs/>
          <w:szCs w:val="21"/>
        </w:rPr>
        <w:t>2） 按账龄披露</w:t>
      </w:r>
    </w:p>
    <w:p w14:paraId="7743AD0F"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12FF65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5322FD"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723E91"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D727DA"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期初账面余额</w:t>
            </w:r>
          </w:p>
        </w:tc>
      </w:tr>
      <w:tr w:rsidR="00095F6F" w14:paraId="79A364E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BD730E"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年以内（含</w:t>
            </w: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BF3A44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28,995,253.77</w:t>
            </w:r>
          </w:p>
        </w:tc>
        <w:tc>
          <w:tcPr>
            <w:tcW w:w="3213" w:type="dxa"/>
            <w:tcBorders>
              <w:top w:val="single" w:sz="2" w:space="0" w:color="auto"/>
              <w:left w:val="single" w:sz="2" w:space="0" w:color="auto"/>
              <w:bottom w:val="single" w:sz="2" w:space="0" w:color="auto"/>
              <w:right w:val="single" w:sz="2" w:space="0" w:color="auto"/>
            </w:tcBorders>
            <w:vAlign w:val="center"/>
          </w:tcPr>
          <w:p w14:paraId="2CF1DE8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9,007,470.99</w:t>
            </w:r>
          </w:p>
        </w:tc>
      </w:tr>
      <w:tr w:rsidR="00095F6F" w14:paraId="74BFFF6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F48C27"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2</w:t>
            </w:r>
            <w:r w:rsidRPr="00024F79">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3B18B4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2,351,956.26</w:t>
            </w:r>
          </w:p>
        </w:tc>
        <w:tc>
          <w:tcPr>
            <w:tcW w:w="3213" w:type="dxa"/>
            <w:tcBorders>
              <w:top w:val="single" w:sz="2" w:space="0" w:color="auto"/>
              <w:left w:val="single" w:sz="2" w:space="0" w:color="auto"/>
              <w:bottom w:val="single" w:sz="2" w:space="0" w:color="auto"/>
              <w:right w:val="single" w:sz="2" w:space="0" w:color="auto"/>
            </w:tcBorders>
            <w:vAlign w:val="center"/>
          </w:tcPr>
          <w:p w14:paraId="7D3A390D"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1,334,139.63</w:t>
            </w:r>
          </w:p>
        </w:tc>
      </w:tr>
      <w:tr w:rsidR="00095F6F" w14:paraId="4D364B5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870A27"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2</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3</w:t>
            </w:r>
            <w:r w:rsidRPr="00024F79">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639D76B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1,031,545.72</w:t>
            </w:r>
          </w:p>
        </w:tc>
        <w:tc>
          <w:tcPr>
            <w:tcW w:w="3213" w:type="dxa"/>
            <w:tcBorders>
              <w:top w:val="single" w:sz="2" w:space="0" w:color="auto"/>
              <w:left w:val="single" w:sz="2" w:space="0" w:color="auto"/>
              <w:bottom w:val="single" w:sz="2" w:space="0" w:color="auto"/>
              <w:right w:val="single" w:sz="2" w:space="0" w:color="auto"/>
            </w:tcBorders>
            <w:vAlign w:val="center"/>
          </w:tcPr>
          <w:p w14:paraId="2ADF86A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302,669.80</w:t>
            </w:r>
          </w:p>
        </w:tc>
      </w:tr>
      <w:tr w:rsidR="00095F6F" w14:paraId="0199D27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19514D"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3</w:t>
            </w:r>
            <w:r w:rsidRPr="00024F79">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7550D694"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3,505,564.68</w:t>
            </w:r>
          </w:p>
        </w:tc>
        <w:tc>
          <w:tcPr>
            <w:tcW w:w="3213" w:type="dxa"/>
            <w:tcBorders>
              <w:top w:val="single" w:sz="2" w:space="0" w:color="auto"/>
              <w:left w:val="single" w:sz="2" w:space="0" w:color="auto"/>
              <w:bottom w:val="single" w:sz="2" w:space="0" w:color="auto"/>
              <w:right w:val="single" w:sz="2" w:space="0" w:color="auto"/>
            </w:tcBorders>
            <w:vAlign w:val="center"/>
          </w:tcPr>
          <w:p w14:paraId="3944E347"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3,605,565.41</w:t>
            </w:r>
          </w:p>
        </w:tc>
      </w:tr>
      <w:tr w:rsidR="00095F6F" w14:paraId="5DA3877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4ACF26" w14:textId="77777777" w:rsidR="00A46BF1" w:rsidRPr="00024F79" w:rsidRDefault="00A46BF1" w:rsidP="00024F79">
            <w:pPr>
              <w:spacing w:before="40" w:after="40" w:line="360" w:lineRule="auto"/>
              <w:ind w:firstLineChars="100" w:firstLine="180"/>
              <w:rPr>
                <w:rFonts w:ascii="Times New Roman" w:eastAsia="宋体" w:hAnsi="Times New Roman" w:cs="Times New Roman"/>
                <w:sz w:val="18"/>
                <w:szCs w:val="18"/>
              </w:rPr>
            </w:pPr>
            <w:r w:rsidRPr="00024F79">
              <w:rPr>
                <w:rFonts w:ascii="Times New Roman" w:eastAsia="宋体" w:hAnsi="Times New Roman" w:cs="Times New Roman"/>
                <w:sz w:val="18"/>
                <w:szCs w:val="18"/>
              </w:rPr>
              <w:t>3</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4</w:t>
            </w:r>
            <w:r w:rsidRPr="00024F79">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9F9A9D0"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900,207.33</w:t>
            </w:r>
          </w:p>
        </w:tc>
        <w:tc>
          <w:tcPr>
            <w:tcW w:w="3213" w:type="dxa"/>
            <w:tcBorders>
              <w:top w:val="single" w:sz="2" w:space="0" w:color="auto"/>
              <w:left w:val="single" w:sz="2" w:space="0" w:color="auto"/>
              <w:bottom w:val="single" w:sz="2" w:space="0" w:color="auto"/>
              <w:right w:val="single" w:sz="2" w:space="0" w:color="auto"/>
            </w:tcBorders>
            <w:vAlign w:val="center"/>
          </w:tcPr>
          <w:p w14:paraId="59F47591"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893,913.22</w:t>
            </w:r>
          </w:p>
        </w:tc>
      </w:tr>
      <w:tr w:rsidR="00095F6F" w14:paraId="1167E48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1EC473" w14:textId="77777777" w:rsidR="00A46BF1" w:rsidRPr="00024F79" w:rsidRDefault="00A46BF1" w:rsidP="00024F79">
            <w:pPr>
              <w:spacing w:before="40" w:after="40" w:line="360" w:lineRule="auto"/>
              <w:ind w:firstLineChars="100" w:firstLine="180"/>
              <w:rPr>
                <w:rFonts w:ascii="Times New Roman" w:eastAsia="宋体" w:hAnsi="Times New Roman" w:cs="Times New Roman"/>
                <w:sz w:val="18"/>
                <w:szCs w:val="18"/>
              </w:rPr>
            </w:pPr>
            <w:r w:rsidRPr="00024F79">
              <w:rPr>
                <w:rFonts w:ascii="Times New Roman" w:eastAsia="宋体" w:hAnsi="Times New Roman" w:cs="Times New Roman"/>
                <w:sz w:val="18"/>
                <w:szCs w:val="18"/>
              </w:rPr>
              <w:t>4</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5</w:t>
            </w:r>
            <w:r w:rsidRPr="00024F79">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D6375D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508,078.01</w:t>
            </w:r>
          </w:p>
        </w:tc>
        <w:tc>
          <w:tcPr>
            <w:tcW w:w="3213" w:type="dxa"/>
            <w:tcBorders>
              <w:top w:val="single" w:sz="2" w:space="0" w:color="auto"/>
              <w:left w:val="single" w:sz="2" w:space="0" w:color="auto"/>
              <w:bottom w:val="single" w:sz="2" w:space="0" w:color="auto"/>
              <w:right w:val="single" w:sz="2" w:space="0" w:color="auto"/>
            </w:tcBorders>
            <w:vAlign w:val="center"/>
          </w:tcPr>
          <w:p w14:paraId="6BABF7D7"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972,300.13</w:t>
            </w:r>
          </w:p>
        </w:tc>
      </w:tr>
      <w:tr w:rsidR="00095F6F" w14:paraId="59BA902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053D27" w14:textId="77777777" w:rsidR="00A46BF1" w:rsidRPr="00024F79" w:rsidRDefault="00A46BF1" w:rsidP="00024F79">
            <w:pPr>
              <w:spacing w:before="40" w:after="40" w:line="360" w:lineRule="auto"/>
              <w:ind w:firstLineChars="100" w:firstLine="180"/>
              <w:rPr>
                <w:rFonts w:ascii="Times New Roman" w:eastAsia="宋体" w:hAnsi="Times New Roman" w:cs="Times New Roman"/>
                <w:sz w:val="18"/>
                <w:szCs w:val="18"/>
              </w:rPr>
            </w:pPr>
            <w:r w:rsidRPr="00024F79">
              <w:rPr>
                <w:rFonts w:ascii="Times New Roman" w:eastAsia="宋体" w:hAnsi="Times New Roman" w:cs="Times New Roman"/>
                <w:sz w:val="18"/>
                <w:szCs w:val="18"/>
              </w:rPr>
              <w:t>5</w:t>
            </w:r>
            <w:r w:rsidRPr="00024F79">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7C07F05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2,097,279.34</w:t>
            </w:r>
          </w:p>
        </w:tc>
        <w:tc>
          <w:tcPr>
            <w:tcW w:w="3213" w:type="dxa"/>
            <w:tcBorders>
              <w:top w:val="single" w:sz="2" w:space="0" w:color="auto"/>
              <w:left w:val="single" w:sz="2" w:space="0" w:color="auto"/>
              <w:bottom w:val="single" w:sz="2" w:space="0" w:color="auto"/>
              <w:right w:val="single" w:sz="2" w:space="0" w:color="auto"/>
            </w:tcBorders>
            <w:vAlign w:val="center"/>
          </w:tcPr>
          <w:p w14:paraId="579CE88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1,739,352.06</w:t>
            </w:r>
          </w:p>
        </w:tc>
      </w:tr>
      <w:tr w:rsidR="00095F6F" w14:paraId="498CD3F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0C3C4D"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C72176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35,884,320.43</w:t>
            </w:r>
          </w:p>
        </w:tc>
        <w:tc>
          <w:tcPr>
            <w:tcW w:w="3213" w:type="dxa"/>
            <w:tcBorders>
              <w:top w:val="single" w:sz="2" w:space="0" w:color="auto"/>
              <w:left w:val="single" w:sz="2" w:space="0" w:color="auto"/>
              <w:bottom w:val="single" w:sz="2" w:space="0" w:color="auto"/>
              <w:right w:val="single" w:sz="2" w:space="0" w:color="auto"/>
            </w:tcBorders>
            <w:vAlign w:val="center"/>
          </w:tcPr>
          <w:p w14:paraId="6FF7FA64"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14,249,845.83</w:t>
            </w:r>
          </w:p>
        </w:tc>
      </w:tr>
    </w:tbl>
    <w:p w14:paraId="1F0488A3" w14:textId="77777777" w:rsidR="00A46BF1" w:rsidRDefault="00A46BF1" w:rsidP="00A46BF1">
      <w:pPr>
        <w:keepNext/>
        <w:keepLines/>
        <w:spacing w:before="300" w:after="300" w:line="280" w:lineRule="exact"/>
        <w:outlineLvl w:val="4"/>
        <w:rPr>
          <w:rFonts w:ascii="宋体" w:eastAsia="宋体" w:hAnsi="宋体" w:cs="宋体"/>
          <w:b/>
          <w:bCs/>
          <w:szCs w:val="21"/>
        </w:rPr>
      </w:pPr>
      <w:r>
        <w:rPr>
          <w:rFonts w:ascii="宋体" w:eastAsia="宋体" w:hAnsi="宋体" w:cs="宋体"/>
          <w:b/>
          <w:bCs/>
          <w:szCs w:val="21"/>
        </w:rPr>
        <w:t>3） 按坏账计提方法分类披露</w:t>
      </w:r>
    </w:p>
    <w:p w14:paraId="0BFAA518"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99C2EF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095F6F" w:rsidRPr="00024F79" w14:paraId="19E4F1B7" w14:textId="77777777" w:rsidTr="00024F79">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7C25168"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24B9EBE8"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0B9BF70E"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期初余额</w:t>
            </w:r>
          </w:p>
        </w:tc>
      </w:tr>
      <w:tr w:rsidR="00095F6F" w:rsidRPr="00024F79" w14:paraId="176BE069" w14:textId="77777777" w:rsidTr="00024F79">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E07AC12" w14:textId="77777777" w:rsidR="00A46BF1" w:rsidRPr="00024F79" w:rsidRDefault="00A46BF1" w:rsidP="00024F79">
            <w:pPr>
              <w:spacing w:line="360" w:lineRule="auto"/>
              <w:rPr>
                <w:rFonts w:ascii="Times New Roman" w:hAnsi="Times New Roman" w:cs="Times New Roman"/>
                <w:sz w:val="13"/>
                <w:szCs w:val="13"/>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76104C7"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001491E"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5EE36F"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47E381"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3EF9EF6"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AB207B3"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账面价值</w:t>
            </w:r>
          </w:p>
        </w:tc>
      </w:tr>
      <w:tr w:rsidR="00095F6F" w:rsidRPr="00024F79" w14:paraId="57953AF2" w14:textId="77777777" w:rsidTr="00024F79">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D7E5DE" w14:textId="77777777" w:rsidR="00A46BF1" w:rsidRPr="00024F79" w:rsidRDefault="00A46BF1" w:rsidP="00024F79">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E9A4B70"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04D0711"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614E8ED"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B388618"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27D10D4" w14:textId="77777777" w:rsidR="00A46BF1" w:rsidRPr="00024F79" w:rsidRDefault="00A46BF1" w:rsidP="00024F79">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2FB3AC8"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B0AD31D"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51E2D0"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5773940" w14:textId="77777777" w:rsidR="00A46BF1" w:rsidRPr="00024F79" w:rsidRDefault="00A46BF1" w:rsidP="00024F79">
            <w:pPr>
              <w:spacing w:before="40" w:after="40" w:line="360" w:lineRule="auto"/>
              <w:jc w:val="center"/>
              <w:rPr>
                <w:rFonts w:ascii="Times New Roman" w:eastAsia="宋体" w:hAnsi="Times New Roman" w:cs="Times New Roman"/>
                <w:sz w:val="13"/>
                <w:szCs w:val="13"/>
              </w:rPr>
            </w:pPr>
            <w:r w:rsidRPr="00024F79">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9DC3779" w14:textId="77777777" w:rsidR="00A46BF1" w:rsidRPr="00024F79" w:rsidRDefault="00A46BF1" w:rsidP="00024F79">
            <w:pPr>
              <w:spacing w:line="360" w:lineRule="auto"/>
              <w:rPr>
                <w:rFonts w:ascii="Times New Roman" w:hAnsi="Times New Roman" w:cs="Times New Roman"/>
                <w:sz w:val="13"/>
                <w:szCs w:val="13"/>
              </w:rPr>
            </w:pPr>
          </w:p>
        </w:tc>
      </w:tr>
      <w:tr w:rsidR="00095F6F" w:rsidRPr="00024F79" w14:paraId="7F25EFEF"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9C66691" w14:textId="77777777" w:rsidR="00A46BF1" w:rsidRPr="00024F79" w:rsidRDefault="00A46BF1" w:rsidP="00024F79">
            <w:pPr>
              <w:spacing w:before="40" w:after="40"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按单项计提坏账准备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0B59A12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25,088,775.35</w:t>
            </w:r>
          </w:p>
        </w:tc>
        <w:tc>
          <w:tcPr>
            <w:tcW w:w="876" w:type="dxa"/>
            <w:tcBorders>
              <w:top w:val="single" w:sz="2" w:space="0" w:color="auto"/>
              <w:left w:val="single" w:sz="2" w:space="0" w:color="auto"/>
              <w:bottom w:val="single" w:sz="2" w:space="0" w:color="auto"/>
              <w:right w:val="single" w:sz="2" w:space="0" w:color="auto"/>
            </w:tcBorders>
            <w:vAlign w:val="center"/>
          </w:tcPr>
          <w:p w14:paraId="0888B5F5"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69.92%</w:t>
            </w:r>
          </w:p>
        </w:tc>
        <w:tc>
          <w:tcPr>
            <w:tcW w:w="876" w:type="dxa"/>
            <w:tcBorders>
              <w:top w:val="single" w:sz="2" w:space="0" w:color="auto"/>
              <w:left w:val="single" w:sz="2" w:space="0" w:color="auto"/>
              <w:bottom w:val="single" w:sz="2" w:space="0" w:color="auto"/>
              <w:right w:val="single" w:sz="2" w:space="0" w:color="auto"/>
            </w:tcBorders>
            <w:vAlign w:val="center"/>
          </w:tcPr>
          <w:p w14:paraId="7FB9287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25,088,775.35</w:t>
            </w:r>
          </w:p>
        </w:tc>
        <w:tc>
          <w:tcPr>
            <w:tcW w:w="876" w:type="dxa"/>
            <w:tcBorders>
              <w:top w:val="single" w:sz="2" w:space="0" w:color="auto"/>
              <w:left w:val="single" w:sz="2" w:space="0" w:color="auto"/>
              <w:bottom w:val="single" w:sz="2" w:space="0" w:color="auto"/>
              <w:right w:val="single" w:sz="2" w:space="0" w:color="auto"/>
            </w:tcBorders>
            <w:vAlign w:val="center"/>
          </w:tcPr>
          <w:p w14:paraId="7D52E486"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7015F3F8"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153D64B6"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218,969.37</w:t>
            </w:r>
          </w:p>
        </w:tc>
        <w:tc>
          <w:tcPr>
            <w:tcW w:w="876" w:type="dxa"/>
            <w:tcBorders>
              <w:top w:val="single" w:sz="2" w:space="0" w:color="auto"/>
              <w:left w:val="single" w:sz="2" w:space="0" w:color="auto"/>
              <w:bottom w:val="single" w:sz="2" w:space="0" w:color="auto"/>
              <w:right w:val="single" w:sz="2" w:space="0" w:color="auto"/>
            </w:tcBorders>
            <w:vAlign w:val="center"/>
          </w:tcPr>
          <w:p w14:paraId="6F4D5815"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1.54%</w:t>
            </w:r>
          </w:p>
        </w:tc>
        <w:tc>
          <w:tcPr>
            <w:tcW w:w="876" w:type="dxa"/>
            <w:tcBorders>
              <w:top w:val="single" w:sz="2" w:space="0" w:color="auto"/>
              <w:left w:val="single" w:sz="2" w:space="0" w:color="auto"/>
              <w:bottom w:val="single" w:sz="2" w:space="0" w:color="auto"/>
              <w:right w:val="single" w:sz="2" w:space="0" w:color="auto"/>
            </w:tcBorders>
            <w:vAlign w:val="center"/>
          </w:tcPr>
          <w:p w14:paraId="0538FFCA"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218,969.37</w:t>
            </w:r>
          </w:p>
        </w:tc>
        <w:tc>
          <w:tcPr>
            <w:tcW w:w="876" w:type="dxa"/>
            <w:tcBorders>
              <w:top w:val="single" w:sz="2" w:space="0" w:color="auto"/>
              <w:left w:val="single" w:sz="2" w:space="0" w:color="auto"/>
              <w:bottom w:val="single" w:sz="2" w:space="0" w:color="auto"/>
              <w:right w:val="single" w:sz="2" w:space="0" w:color="auto"/>
            </w:tcBorders>
            <w:vAlign w:val="center"/>
          </w:tcPr>
          <w:p w14:paraId="76B99A0F"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9581BB3" w14:textId="77777777" w:rsidR="00A46BF1" w:rsidRPr="00024F79" w:rsidRDefault="00A46BF1" w:rsidP="00024F79">
            <w:pPr>
              <w:spacing w:line="360" w:lineRule="auto"/>
              <w:jc w:val="right"/>
              <w:rPr>
                <w:rFonts w:ascii="Times New Roman" w:eastAsia="宋体" w:hAnsi="Times New Roman" w:cs="Times New Roman"/>
                <w:sz w:val="13"/>
                <w:szCs w:val="13"/>
              </w:rPr>
            </w:pPr>
          </w:p>
        </w:tc>
      </w:tr>
      <w:tr w:rsidR="00095F6F" w:rsidRPr="00024F79" w14:paraId="605685F2" w14:textId="77777777" w:rsidTr="00024F79">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20C361C6" w14:textId="77777777" w:rsidR="00A46BF1" w:rsidRPr="00024F79" w:rsidRDefault="00A46BF1" w:rsidP="00024F79">
            <w:pPr>
              <w:spacing w:before="40" w:after="40"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其中：</w:t>
            </w:r>
          </w:p>
        </w:tc>
      </w:tr>
      <w:tr w:rsidR="00095F6F" w:rsidRPr="00024F79" w14:paraId="084E92AE"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E312A54" w14:textId="77777777" w:rsidR="00A46BF1" w:rsidRPr="00024F79" w:rsidRDefault="00A46BF1" w:rsidP="00024F79">
            <w:pPr>
              <w:spacing w:before="40" w:after="40"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按组合计提坏账准备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5F31ABC3"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10,795,545.08</w:t>
            </w:r>
          </w:p>
        </w:tc>
        <w:tc>
          <w:tcPr>
            <w:tcW w:w="876" w:type="dxa"/>
            <w:tcBorders>
              <w:top w:val="single" w:sz="2" w:space="0" w:color="auto"/>
              <w:left w:val="single" w:sz="2" w:space="0" w:color="auto"/>
              <w:bottom w:val="single" w:sz="2" w:space="0" w:color="auto"/>
              <w:right w:val="single" w:sz="2" w:space="0" w:color="auto"/>
            </w:tcBorders>
            <w:vAlign w:val="center"/>
          </w:tcPr>
          <w:p w14:paraId="0F97411E"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30.08%</w:t>
            </w:r>
          </w:p>
        </w:tc>
        <w:tc>
          <w:tcPr>
            <w:tcW w:w="876" w:type="dxa"/>
            <w:tcBorders>
              <w:top w:val="single" w:sz="2" w:space="0" w:color="auto"/>
              <w:left w:val="single" w:sz="2" w:space="0" w:color="auto"/>
              <w:bottom w:val="single" w:sz="2" w:space="0" w:color="auto"/>
              <w:right w:val="single" w:sz="2" w:space="0" w:color="auto"/>
            </w:tcBorders>
            <w:vAlign w:val="center"/>
          </w:tcPr>
          <w:p w14:paraId="38A9D73E"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3,419,914.00</w:t>
            </w:r>
          </w:p>
        </w:tc>
        <w:tc>
          <w:tcPr>
            <w:tcW w:w="876" w:type="dxa"/>
            <w:tcBorders>
              <w:top w:val="single" w:sz="2" w:space="0" w:color="auto"/>
              <w:left w:val="single" w:sz="2" w:space="0" w:color="auto"/>
              <w:bottom w:val="single" w:sz="2" w:space="0" w:color="auto"/>
              <w:right w:val="single" w:sz="2" w:space="0" w:color="auto"/>
            </w:tcBorders>
            <w:vAlign w:val="center"/>
          </w:tcPr>
          <w:p w14:paraId="66B339F7"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31.68%</w:t>
            </w:r>
          </w:p>
        </w:tc>
        <w:tc>
          <w:tcPr>
            <w:tcW w:w="876" w:type="dxa"/>
            <w:tcBorders>
              <w:top w:val="single" w:sz="2" w:space="0" w:color="auto"/>
              <w:left w:val="single" w:sz="2" w:space="0" w:color="auto"/>
              <w:bottom w:val="single" w:sz="2" w:space="0" w:color="auto"/>
              <w:right w:val="single" w:sz="2" w:space="0" w:color="auto"/>
            </w:tcBorders>
            <w:vAlign w:val="center"/>
          </w:tcPr>
          <w:p w14:paraId="04C3ADC6"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7,375,631.08</w:t>
            </w:r>
          </w:p>
        </w:tc>
        <w:tc>
          <w:tcPr>
            <w:tcW w:w="876" w:type="dxa"/>
            <w:tcBorders>
              <w:top w:val="single" w:sz="2" w:space="0" w:color="auto"/>
              <w:left w:val="single" w:sz="2" w:space="0" w:color="auto"/>
              <w:bottom w:val="single" w:sz="2" w:space="0" w:color="auto"/>
              <w:right w:val="single" w:sz="2" w:space="0" w:color="auto"/>
            </w:tcBorders>
            <w:vAlign w:val="center"/>
          </w:tcPr>
          <w:p w14:paraId="61EE2DC4"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14,030,876.46</w:t>
            </w:r>
          </w:p>
        </w:tc>
        <w:tc>
          <w:tcPr>
            <w:tcW w:w="876" w:type="dxa"/>
            <w:tcBorders>
              <w:top w:val="single" w:sz="2" w:space="0" w:color="auto"/>
              <w:left w:val="single" w:sz="2" w:space="0" w:color="auto"/>
              <w:bottom w:val="single" w:sz="2" w:space="0" w:color="auto"/>
              <w:right w:val="single" w:sz="2" w:space="0" w:color="auto"/>
            </w:tcBorders>
            <w:vAlign w:val="center"/>
          </w:tcPr>
          <w:p w14:paraId="095E91D2"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98.46%</w:t>
            </w:r>
          </w:p>
        </w:tc>
        <w:tc>
          <w:tcPr>
            <w:tcW w:w="876" w:type="dxa"/>
            <w:tcBorders>
              <w:top w:val="single" w:sz="2" w:space="0" w:color="auto"/>
              <w:left w:val="single" w:sz="2" w:space="0" w:color="auto"/>
              <w:bottom w:val="single" w:sz="2" w:space="0" w:color="auto"/>
              <w:right w:val="single" w:sz="2" w:space="0" w:color="auto"/>
            </w:tcBorders>
            <w:vAlign w:val="center"/>
          </w:tcPr>
          <w:p w14:paraId="0C0CE20F"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3,190,748.60</w:t>
            </w:r>
          </w:p>
        </w:tc>
        <w:tc>
          <w:tcPr>
            <w:tcW w:w="876" w:type="dxa"/>
            <w:tcBorders>
              <w:top w:val="single" w:sz="2" w:space="0" w:color="auto"/>
              <w:left w:val="single" w:sz="2" w:space="0" w:color="auto"/>
              <w:bottom w:val="single" w:sz="2" w:space="0" w:color="auto"/>
              <w:right w:val="single" w:sz="2" w:space="0" w:color="auto"/>
            </w:tcBorders>
            <w:vAlign w:val="center"/>
          </w:tcPr>
          <w:p w14:paraId="654918D6"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22.74%</w:t>
            </w:r>
          </w:p>
        </w:tc>
        <w:tc>
          <w:tcPr>
            <w:tcW w:w="876" w:type="dxa"/>
            <w:tcBorders>
              <w:top w:val="single" w:sz="2" w:space="0" w:color="auto"/>
              <w:left w:val="single" w:sz="2" w:space="0" w:color="auto"/>
              <w:bottom w:val="single" w:sz="2" w:space="0" w:color="auto"/>
              <w:right w:val="single" w:sz="2" w:space="0" w:color="auto"/>
            </w:tcBorders>
            <w:vAlign w:val="center"/>
          </w:tcPr>
          <w:p w14:paraId="404ABD35"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10,840,127.86</w:t>
            </w:r>
          </w:p>
        </w:tc>
      </w:tr>
      <w:tr w:rsidR="00095F6F" w:rsidRPr="00024F79" w14:paraId="31F02105" w14:textId="77777777" w:rsidTr="00024F79">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32707478" w14:textId="77777777" w:rsidR="00A46BF1" w:rsidRPr="00024F79" w:rsidRDefault="00A46BF1" w:rsidP="00024F79">
            <w:pPr>
              <w:spacing w:before="40" w:after="40"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其中：</w:t>
            </w:r>
          </w:p>
        </w:tc>
      </w:tr>
      <w:tr w:rsidR="00095F6F" w:rsidRPr="00024F79" w14:paraId="103AC223"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514868A" w14:textId="77777777" w:rsidR="00A46BF1" w:rsidRPr="00024F79" w:rsidRDefault="00A46BF1" w:rsidP="00024F79">
            <w:pPr>
              <w:spacing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账龄组合</w:t>
            </w:r>
          </w:p>
        </w:tc>
        <w:tc>
          <w:tcPr>
            <w:tcW w:w="876" w:type="dxa"/>
            <w:tcBorders>
              <w:top w:val="single" w:sz="2" w:space="0" w:color="auto"/>
              <w:left w:val="single" w:sz="2" w:space="0" w:color="auto"/>
              <w:bottom w:val="single" w:sz="2" w:space="0" w:color="auto"/>
              <w:right w:val="single" w:sz="2" w:space="0" w:color="auto"/>
            </w:tcBorders>
            <w:vAlign w:val="center"/>
          </w:tcPr>
          <w:p w14:paraId="6F7A33F2"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6,730,277.45</w:t>
            </w:r>
          </w:p>
        </w:tc>
        <w:tc>
          <w:tcPr>
            <w:tcW w:w="876" w:type="dxa"/>
            <w:tcBorders>
              <w:top w:val="single" w:sz="2" w:space="0" w:color="auto"/>
              <w:left w:val="single" w:sz="2" w:space="0" w:color="auto"/>
              <w:bottom w:val="single" w:sz="2" w:space="0" w:color="auto"/>
              <w:right w:val="single" w:sz="2" w:space="0" w:color="auto"/>
            </w:tcBorders>
            <w:vAlign w:val="center"/>
          </w:tcPr>
          <w:p w14:paraId="3E27C69F"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18.76%</w:t>
            </w:r>
          </w:p>
        </w:tc>
        <w:tc>
          <w:tcPr>
            <w:tcW w:w="876" w:type="dxa"/>
            <w:tcBorders>
              <w:top w:val="single" w:sz="2" w:space="0" w:color="auto"/>
              <w:left w:val="single" w:sz="2" w:space="0" w:color="auto"/>
              <w:bottom w:val="single" w:sz="2" w:space="0" w:color="auto"/>
              <w:right w:val="single" w:sz="2" w:space="0" w:color="auto"/>
            </w:tcBorders>
            <w:vAlign w:val="center"/>
          </w:tcPr>
          <w:p w14:paraId="16FB9768"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3,419,914.00</w:t>
            </w:r>
          </w:p>
        </w:tc>
        <w:tc>
          <w:tcPr>
            <w:tcW w:w="876" w:type="dxa"/>
            <w:tcBorders>
              <w:top w:val="single" w:sz="2" w:space="0" w:color="auto"/>
              <w:left w:val="single" w:sz="2" w:space="0" w:color="auto"/>
              <w:bottom w:val="single" w:sz="2" w:space="0" w:color="auto"/>
              <w:right w:val="single" w:sz="2" w:space="0" w:color="auto"/>
            </w:tcBorders>
            <w:vAlign w:val="center"/>
          </w:tcPr>
          <w:p w14:paraId="4CEC3BDC"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50.81%</w:t>
            </w:r>
          </w:p>
        </w:tc>
        <w:tc>
          <w:tcPr>
            <w:tcW w:w="876" w:type="dxa"/>
            <w:tcBorders>
              <w:top w:val="single" w:sz="2" w:space="0" w:color="auto"/>
              <w:left w:val="single" w:sz="2" w:space="0" w:color="auto"/>
              <w:bottom w:val="single" w:sz="2" w:space="0" w:color="auto"/>
              <w:right w:val="single" w:sz="2" w:space="0" w:color="auto"/>
            </w:tcBorders>
            <w:vAlign w:val="center"/>
          </w:tcPr>
          <w:p w14:paraId="1DC140EA"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3,310,363.45</w:t>
            </w:r>
          </w:p>
        </w:tc>
        <w:tc>
          <w:tcPr>
            <w:tcW w:w="876" w:type="dxa"/>
            <w:tcBorders>
              <w:top w:val="single" w:sz="2" w:space="0" w:color="auto"/>
              <w:left w:val="single" w:sz="2" w:space="0" w:color="auto"/>
              <w:bottom w:val="single" w:sz="2" w:space="0" w:color="auto"/>
              <w:right w:val="single" w:sz="2" w:space="0" w:color="auto"/>
            </w:tcBorders>
            <w:vAlign w:val="center"/>
          </w:tcPr>
          <w:p w14:paraId="19E40A41"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7,256,123.68</w:t>
            </w:r>
          </w:p>
        </w:tc>
        <w:tc>
          <w:tcPr>
            <w:tcW w:w="876" w:type="dxa"/>
            <w:tcBorders>
              <w:top w:val="single" w:sz="2" w:space="0" w:color="auto"/>
              <w:left w:val="single" w:sz="2" w:space="0" w:color="auto"/>
              <w:bottom w:val="single" w:sz="2" w:space="0" w:color="auto"/>
              <w:right w:val="single" w:sz="2" w:space="0" w:color="auto"/>
            </w:tcBorders>
            <w:vAlign w:val="center"/>
          </w:tcPr>
          <w:p w14:paraId="5C6A30C2"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50.92%</w:t>
            </w:r>
          </w:p>
        </w:tc>
        <w:tc>
          <w:tcPr>
            <w:tcW w:w="876" w:type="dxa"/>
            <w:tcBorders>
              <w:top w:val="single" w:sz="2" w:space="0" w:color="auto"/>
              <w:left w:val="single" w:sz="2" w:space="0" w:color="auto"/>
              <w:bottom w:val="single" w:sz="2" w:space="0" w:color="auto"/>
              <w:right w:val="single" w:sz="2" w:space="0" w:color="auto"/>
            </w:tcBorders>
            <w:vAlign w:val="center"/>
          </w:tcPr>
          <w:p w14:paraId="70DD77D0"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3,190,748.60</w:t>
            </w:r>
          </w:p>
        </w:tc>
        <w:tc>
          <w:tcPr>
            <w:tcW w:w="876" w:type="dxa"/>
            <w:tcBorders>
              <w:top w:val="single" w:sz="2" w:space="0" w:color="auto"/>
              <w:left w:val="single" w:sz="2" w:space="0" w:color="auto"/>
              <w:bottom w:val="single" w:sz="2" w:space="0" w:color="auto"/>
              <w:right w:val="single" w:sz="2" w:space="0" w:color="auto"/>
            </w:tcBorders>
            <w:vAlign w:val="center"/>
          </w:tcPr>
          <w:p w14:paraId="7B4A51A2"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43.97%</w:t>
            </w:r>
          </w:p>
        </w:tc>
        <w:tc>
          <w:tcPr>
            <w:tcW w:w="876" w:type="dxa"/>
            <w:tcBorders>
              <w:top w:val="single" w:sz="2" w:space="0" w:color="auto"/>
              <w:left w:val="single" w:sz="2" w:space="0" w:color="auto"/>
              <w:bottom w:val="single" w:sz="2" w:space="0" w:color="auto"/>
              <w:right w:val="single" w:sz="2" w:space="0" w:color="auto"/>
            </w:tcBorders>
            <w:vAlign w:val="center"/>
          </w:tcPr>
          <w:p w14:paraId="6D2AA36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4,065,375.08</w:t>
            </w:r>
          </w:p>
        </w:tc>
      </w:tr>
      <w:tr w:rsidR="00095F6F" w:rsidRPr="00024F79" w14:paraId="7AC1445D"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0EAF4E16" w14:textId="77777777" w:rsidR="00A46BF1" w:rsidRPr="00024F79" w:rsidRDefault="00A46BF1" w:rsidP="00024F79">
            <w:pPr>
              <w:spacing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备用金组合</w:t>
            </w:r>
          </w:p>
        </w:tc>
        <w:tc>
          <w:tcPr>
            <w:tcW w:w="876" w:type="dxa"/>
            <w:tcBorders>
              <w:top w:val="single" w:sz="2" w:space="0" w:color="auto"/>
              <w:left w:val="single" w:sz="2" w:space="0" w:color="auto"/>
              <w:bottom w:val="single" w:sz="2" w:space="0" w:color="auto"/>
              <w:right w:val="single" w:sz="2" w:space="0" w:color="auto"/>
            </w:tcBorders>
            <w:vAlign w:val="center"/>
          </w:tcPr>
          <w:p w14:paraId="76536C9E"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1,043,612.87</w:t>
            </w:r>
          </w:p>
        </w:tc>
        <w:tc>
          <w:tcPr>
            <w:tcW w:w="876" w:type="dxa"/>
            <w:tcBorders>
              <w:top w:val="single" w:sz="2" w:space="0" w:color="auto"/>
              <w:left w:val="single" w:sz="2" w:space="0" w:color="auto"/>
              <w:bottom w:val="single" w:sz="2" w:space="0" w:color="auto"/>
              <w:right w:val="single" w:sz="2" w:space="0" w:color="auto"/>
            </w:tcBorders>
            <w:vAlign w:val="center"/>
          </w:tcPr>
          <w:p w14:paraId="797AE64D"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2.91%</w:t>
            </w:r>
          </w:p>
        </w:tc>
        <w:tc>
          <w:tcPr>
            <w:tcW w:w="876" w:type="dxa"/>
            <w:tcBorders>
              <w:top w:val="single" w:sz="2" w:space="0" w:color="auto"/>
              <w:left w:val="single" w:sz="2" w:space="0" w:color="auto"/>
              <w:bottom w:val="single" w:sz="2" w:space="0" w:color="auto"/>
              <w:right w:val="single" w:sz="2" w:space="0" w:color="auto"/>
            </w:tcBorders>
            <w:vAlign w:val="center"/>
          </w:tcPr>
          <w:p w14:paraId="7AE21061"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4D9B558B"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5B2D9C85"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1,043,612.87</w:t>
            </w:r>
          </w:p>
        </w:tc>
        <w:tc>
          <w:tcPr>
            <w:tcW w:w="876" w:type="dxa"/>
            <w:tcBorders>
              <w:top w:val="single" w:sz="2" w:space="0" w:color="auto"/>
              <w:left w:val="single" w:sz="2" w:space="0" w:color="auto"/>
              <w:bottom w:val="single" w:sz="2" w:space="0" w:color="auto"/>
              <w:right w:val="single" w:sz="2" w:space="0" w:color="auto"/>
            </w:tcBorders>
            <w:vAlign w:val="center"/>
          </w:tcPr>
          <w:p w14:paraId="7FDA9126"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1,067,944.49</w:t>
            </w:r>
          </w:p>
        </w:tc>
        <w:tc>
          <w:tcPr>
            <w:tcW w:w="876" w:type="dxa"/>
            <w:tcBorders>
              <w:top w:val="single" w:sz="2" w:space="0" w:color="auto"/>
              <w:left w:val="single" w:sz="2" w:space="0" w:color="auto"/>
              <w:bottom w:val="single" w:sz="2" w:space="0" w:color="auto"/>
              <w:right w:val="single" w:sz="2" w:space="0" w:color="auto"/>
            </w:tcBorders>
            <w:vAlign w:val="center"/>
          </w:tcPr>
          <w:p w14:paraId="7EFF6227"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7.49%</w:t>
            </w:r>
          </w:p>
        </w:tc>
        <w:tc>
          <w:tcPr>
            <w:tcW w:w="876" w:type="dxa"/>
            <w:tcBorders>
              <w:top w:val="single" w:sz="2" w:space="0" w:color="auto"/>
              <w:left w:val="single" w:sz="2" w:space="0" w:color="auto"/>
              <w:bottom w:val="single" w:sz="2" w:space="0" w:color="auto"/>
              <w:right w:val="single" w:sz="2" w:space="0" w:color="auto"/>
            </w:tcBorders>
            <w:vAlign w:val="center"/>
          </w:tcPr>
          <w:p w14:paraId="26655C0B"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1988DECD"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32D818E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1,067,944.49</w:t>
            </w:r>
          </w:p>
        </w:tc>
      </w:tr>
      <w:tr w:rsidR="00095F6F" w:rsidRPr="00024F79" w14:paraId="3D76D48A"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799C837F" w14:textId="77777777" w:rsidR="00A46BF1" w:rsidRPr="00024F79" w:rsidRDefault="00A46BF1" w:rsidP="00024F79">
            <w:pPr>
              <w:spacing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其他组合</w:t>
            </w:r>
            <w:r w:rsidRPr="00024F79">
              <w:rPr>
                <w:rFonts w:ascii="Times New Roman" w:eastAsia="宋体" w:hAnsi="Times New Roman" w:cs="Times New Roman"/>
                <w:sz w:val="13"/>
                <w:szCs w:val="13"/>
              </w:rPr>
              <w:t>1</w:t>
            </w:r>
          </w:p>
        </w:tc>
        <w:tc>
          <w:tcPr>
            <w:tcW w:w="876" w:type="dxa"/>
            <w:tcBorders>
              <w:top w:val="single" w:sz="2" w:space="0" w:color="auto"/>
              <w:left w:val="single" w:sz="2" w:space="0" w:color="auto"/>
              <w:bottom w:val="single" w:sz="2" w:space="0" w:color="auto"/>
              <w:right w:val="single" w:sz="2" w:space="0" w:color="auto"/>
            </w:tcBorders>
            <w:vAlign w:val="center"/>
          </w:tcPr>
          <w:p w14:paraId="046D9035"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813,704.07</w:t>
            </w:r>
          </w:p>
        </w:tc>
        <w:tc>
          <w:tcPr>
            <w:tcW w:w="876" w:type="dxa"/>
            <w:tcBorders>
              <w:top w:val="single" w:sz="2" w:space="0" w:color="auto"/>
              <w:left w:val="single" w:sz="2" w:space="0" w:color="auto"/>
              <w:bottom w:val="single" w:sz="2" w:space="0" w:color="auto"/>
              <w:right w:val="single" w:sz="2" w:space="0" w:color="auto"/>
            </w:tcBorders>
            <w:vAlign w:val="center"/>
          </w:tcPr>
          <w:p w14:paraId="7A41F879"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2.26%</w:t>
            </w:r>
          </w:p>
        </w:tc>
        <w:tc>
          <w:tcPr>
            <w:tcW w:w="876" w:type="dxa"/>
            <w:tcBorders>
              <w:top w:val="single" w:sz="2" w:space="0" w:color="auto"/>
              <w:left w:val="single" w:sz="2" w:space="0" w:color="auto"/>
              <w:bottom w:val="single" w:sz="2" w:space="0" w:color="auto"/>
              <w:right w:val="single" w:sz="2" w:space="0" w:color="auto"/>
            </w:tcBorders>
            <w:vAlign w:val="center"/>
          </w:tcPr>
          <w:p w14:paraId="4FE63523"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4D91713B"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5FB1C564"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813,704.07</w:t>
            </w:r>
          </w:p>
        </w:tc>
        <w:tc>
          <w:tcPr>
            <w:tcW w:w="876" w:type="dxa"/>
            <w:tcBorders>
              <w:top w:val="single" w:sz="2" w:space="0" w:color="auto"/>
              <w:left w:val="single" w:sz="2" w:space="0" w:color="auto"/>
              <w:bottom w:val="single" w:sz="2" w:space="0" w:color="auto"/>
              <w:right w:val="single" w:sz="2" w:space="0" w:color="auto"/>
            </w:tcBorders>
            <w:vAlign w:val="center"/>
          </w:tcPr>
          <w:p w14:paraId="41EE68D1"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608,138.64</w:t>
            </w:r>
          </w:p>
        </w:tc>
        <w:tc>
          <w:tcPr>
            <w:tcW w:w="876" w:type="dxa"/>
            <w:tcBorders>
              <w:top w:val="single" w:sz="2" w:space="0" w:color="auto"/>
              <w:left w:val="single" w:sz="2" w:space="0" w:color="auto"/>
              <w:bottom w:val="single" w:sz="2" w:space="0" w:color="auto"/>
              <w:right w:val="single" w:sz="2" w:space="0" w:color="auto"/>
            </w:tcBorders>
            <w:vAlign w:val="center"/>
          </w:tcPr>
          <w:p w14:paraId="7237EB72"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4.27%</w:t>
            </w:r>
          </w:p>
        </w:tc>
        <w:tc>
          <w:tcPr>
            <w:tcW w:w="876" w:type="dxa"/>
            <w:tcBorders>
              <w:top w:val="single" w:sz="2" w:space="0" w:color="auto"/>
              <w:left w:val="single" w:sz="2" w:space="0" w:color="auto"/>
              <w:bottom w:val="single" w:sz="2" w:space="0" w:color="auto"/>
              <w:right w:val="single" w:sz="2" w:space="0" w:color="auto"/>
            </w:tcBorders>
            <w:vAlign w:val="center"/>
          </w:tcPr>
          <w:p w14:paraId="6650663A"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356EBBFA"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742E37CA"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608,138.64</w:t>
            </w:r>
          </w:p>
        </w:tc>
      </w:tr>
      <w:tr w:rsidR="00095F6F" w:rsidRPr="00024F79" w14:paraId="1B096C4F"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4459DF1F" w14:textId="77777777" w:rsidR="00A46BF1" w:rsidRPr="00024F79" w:rsidRDefault="00A46BF1" w:rsidP="00024F79">
            <w:pPr>
              <w:spacing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其他组合</w:t>
            </w:r>
            <w:r w:rsidRPr="00024F79">
              <w:rPr>
                <w:rFonts w:ascii="Times New Roman" w:eastAsia="宋体" w:hAnsi="Times New Roman" w:cs="Times New Roman"/>
                <w:sz w:val="13"/>
                <w:szCs w:val="13"/>
              </w:rPr>
              <w:t>2</w:t>
            </w:r>
          </w:p>
        </w:tc>
        <w:tc>
          <w:tcPr>
            <w:tcW w:w="876" w:type="dxa"/>
            <w:tcBorders>
              <w:top w:val="single" w:sz="2" w:space="0" w:color="auto"/>
              <w:left w:val="single" w:sz="2" w:space="0" w:color="auto"/>
              <w:bottom w:val="single" w:sz="2" w:space="0" w:color="auto"/>
              <w:right w:val="single" w:sz="2" w:space="0" w:color="auto"/>
            </w:tcBorders>
            <w:vAlign w:val="center"/>
          </w:tcPr>
          <w:p w14:paraId="46D17C7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2,207,950.69</w:t>
            </w:r>
          </w:p>
        </w:tc>
        <w:tc>
          <w:tcPr>
            <w:tcW w:w="876" w:type="dxa"/>
            <w:tcBorders>
              <w:top w:val="single" w:sz="2" w:space="0" w:color="auto"/>
              <w:left w:val="single" w:sz="2" w:space="0" w:color="auto"/>
              <w:bottom w:val="single" w:sz="2" w:space="0" w:color="auto"/>
              <w:right w:val="single" w:sz="2" w:space="0" w:color="auto"/>
            </w:tcBorders>
            <w:vAlign w:val="center"/>
          </w:tcPr>
          <w:p w14:paraId="6DA15AD0"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6.15%</w:t>
            </w:r>
          </w:p>
        </w:tc>
        <w:tc>
          <w:tcPr>
            <w:tcW w:w="876" w:type="dxa"/>
            <w:tcBorders>
              <w:top w:val="single" w:sz="2" w:space="0" w:color="auto"/>
              <w:left w:val="single" w:sz="2" w:space="0" w:color="auto"/>
              <w:bottom w:val="single" w:sz="2" w:space="0" w:color="auto"/>
              <w:right w:val="single" w:sz="2" w:space="0" w:color="auto"/>
            </w:tcBorders>
            <w:vAlign w:val="center"/>
          </w:tcPr>
          <w:p w14:paraId="6225DF7D"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61FB970C"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0BDEA2FF"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2,207,950.69</w:t>
            </w:r>
          </w:p>
        </w:tc>
        <w:tc>
          <w:tcPr>
            <w:tcW w:w="876" w:type="dxa"/>
            <w:tcBorders>
              <w:top w:val="single" w:sz="2" w:space="0" w:color="auto"/>
              <w:left w:val="single" w:sz="2" w:space="0" w:color="auto"/>
              <w:bottom w:val="single" w:sz="2" w:space="0" w:color="auto"/>
              <w:right w:val="single" w:sz="2" w:space="0" w:color="auto"/>
            </w:tcBorders>
            <w:vAlign w:val="center"/>
          </w:tcPr>
          <w:p w14:paraId="771FB8DF"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5,098,669.65</w:t>
            </w:r>
          </w:p>
        </w:tc>
        <w:tc>
          <w:tcPr>
            <w:tcW w:w="876" w:type="dxa"/>
            <w:tcBorders>
              <w:top w:val="single" w:sz="2" w:space="0" w:color="auto"/>
              <w:left w:val="single" w:sz="2" w:space="0" w:color="auto"/>
              <w:bottom w:val="single" w:sz="2" w:space="0" w:color="auto"/>
              <w:right w:val="single" w:sz="2" w:space="0" w:color="auto"/>
            </w:tcBorders>
            <w:vAlign w:val="center"/>
          </w:tcPr>
          <w:p w14:paraId="1704319C"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35.78%</w:t>
            </w:r>
          </w:p>
        </w:tc>
        <w:tc>
          <w:tcPr>
            <w:tcW w:w="876" w:type="dxa"/>
            <w:tcBorders>
              <w:top w:val="single" w:sz="2" w:space="0" w:color="auto"/>
              <w:left w:val="single" w:sz="2" w:space="0" w:color="auto"/>
              <w:bottom w:val="single" w:sz="2" w:space="0" w:color="auto"/>
              <w:right w:val="single" w:sz="2" w:space="0" w:color="auto"/>
            </w:tcBorders>
            <w:vAlign w:val="center"/>
          </w:tcPr>
          <w:p w14:paraId="16EFE50C"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0C32B9C1" w14:textId="77777777" w:rsidR="00A46BF1" w:rsidRPr="00024F79" w:rsidRDefault="00A46BF1" w:rsidP="00024F79">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110CE407"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5,098,669.65</w:t>
            </w:r>
          </w:p>
        </w:tc>
      </w:tr>
      <w:tr w:rsidR="00095F6F" w:rsidRPr="00024F79" w14:paraId="5E97F01B" w14:textId="77777777" w:rsidTr="00024F79">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E2D27E8" w14:textId="77777777" w:rsidR="00A46BF1" w:rsidRPr="00024F79" w:rsidRDefault="00A46BF1" w:rsidP="00024F79">
            <w:pPr>
              <w:spacing w:before="40" w:after="40" w:line="360" w:lineRule="auto"/>
              <w:rPr>
                <w:rFonts w:ascii="Times New Roman" w:eastAsia="宋体" w:hAnsi="Times New Roman" w:cs="Times New Roman"/>
                <w:sz w:val="13"/>
                <w:szCs w:val="13"/>
              </w:rPr>
            </w:pPr>
            <w:r w:rsidRPr="00024F79">
              <w:rPr>
                <w:rFonts w:ascii="Times New Roman" w:eastAsia="宋体" w:hAnsi="Times New Roman" w:cs="Times New Roman"/>
                <w:sz w:val="13"/>
                <w:szCs w:val="13"/>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2560E452"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35,884,320.43</w:t>
            </w:r>
          </w:p>
        </w:tc>
        <w:tc>
          <w:tcPr>
            <w:tcW w:w="876" w:type="dxa"/>
            <w:tcBorders>
              <w:top w:val="single" w:sz="2" w:space="0" w:color="auto"/>
              <w:left w:val="single" w:sz="2" w:space="0" w:color="auto"/>
              <w:bottom w:val="single" w:sz="2" w:space="0" w:color="auto"/>
              <w:right w:val="single" w:sz="2" w:space="0" w:color="auto"/>
            </w:tcBorders>
            <w:vAlign w:val="center"/>
          </w:tcPr>
          <w:p w14:paraId="1123ED24"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A4D3F44"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28,508,689.35</w:t>
            </w:r>
          </w:p>
        </w:tc>
        <w:tc>
          <w:tcPr>
            <w:tcW w:w="876" w:type="dxa"/>
            <w:tcBorders>
              <w:top w:val="single" w:sz="2" w:space="0" w:color="auto"/>
              <w:left w:val="single" w:sz="2" w:space="0" w:color="auto"/>
              <w:bottom w:val="single" w:sz="2" w:space="0" w:color="auto"/>
              <w:right w:val="single" w:sz="2" w:space="0" w:color="auto"/>
            </w:tcBorders>
            <w:vAlign w:val="center"/>
          </w:tcPr>
          <w:p w14:paraId="7080EE97"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79.45%</w:t>
            </w:r>
          </w:p>
        </w:tc>
        <w:tc>
          <w:tcPr>
            <w:tcW w:w="876" w:type="dxa"/>
            <w:tcBorders>
              <w:top w:val="single" w:sz="2" w:space="0" w:color="auto"/>
              <w:left w:val="single" w:sz="2" w:space="0" w:color="auto"/>
              <w:bottom w:val="single" w:sz="2" w:space="0" w:color="auto"/>
              <w:right w:val="single" w:sz="2" w:space="0" w:color="auto"/>
            </w:tcBorders>
            <w:vAlign w:val="center"/>
          </w:tcPr>
          <w:p w14:paraId="1D4DFD5C"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7,375,631.08</w:t>
            </w:r>
          </w:p>
        </w:tc>
        <w:tc>
          <w:tcPr>
            <w:tcW w:w="876" w:type="dxa"/>
            <w:tcBorders>
              <w:top w:val="single" w:sz="2" w:space="0" w:color="auto"/>
              <w:left w:val="single" w:sz="2" w:space="0" w:color="auto"/>
              <w:bottom w:val="single" w:sz="2" w:space="0" w:color="auto"/>
              <w:right w:val="single" w:sz="2" w:space="0" w:color="auto"/>
            </w:tcBorders>
            <w:vAlign w:val="center"/>
          </w:tcPr>
          <w:p w14:paraId="53FD787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14,249,845.83</w:t>
            </w:r>
          </w:p>
        </w:tc>
        <w:tc>
          <w:tcPr>
            <w:tcW w:w="876" w:type="dxa"/>
            <w:tcBorders>
              <w:top w:val="single" w:sz="2" w:space="0" w:color="auto"/>
              <w:left w:val="single" w:sz="2" w:space="0" w:color="auto"/>
              <w:bottom w:val="single" w:sz="2" w:space="0" w:color="auto"/>
              <w:right w:val="single" w:sz="2" w:space="0" w:color="auto"/>
            </w:tcBorders>
            <w:vAlign w:val="center"/>
          </w:tcPr>
          <w:p w14:paraId="3E03DA27"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4D4F158"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3,409,717.97</w:t>
            </w:r>
          </w:p>
        </w:tc>
        <w:tc>
          <w:tcPr>
            <w:tcW w:w="876" w:type="dxa"/>
            <w:tcBorders>
              <w:top w:val="single" w:sz="2" w:space="0" w:color="auto"/>
              <w:left w:val="single" w:sz="2" w:space="0" w:color="auto"/>
              <w:bottom w:val="single" w:sz="2" w:space="0" w:color="auto"/>
              <w:right w:val="single" w:sz="2" w:space="0" w:color="auto"/>
            </w:tcBorders>
            <w:vAlign w:val="center"/>
          </w:tcPr>
          <w:p w14:paraId="683B9B60"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23.93%</w:t>
            </w:r>
          </w:p>
        </w:tc>
        <w:tc>
          <w:tcPr>
            <w:tcW w:w="876" w:type="dxa"/>
            <w:tcBorders>
              <w:top w:val="single" w:sz="2" w:space="0" w:color="auto"/>
              <w:left w:val="single" w:sz="2" w:space="0" w:color="auto"/>
              <w:bottom w:val="single" w:sz="2" w:space="0" w:color="auto"/>
              <w:right w:val="single" w:sz="2" w:space="0" w:color="auto"/>
            </w:tcBorders>
            <w:vAlign w:val="center"/>
          </w:tcPr>
          <w:p w14:paraId="51C4ACFB" w14:textId="77777777" w:rsidR="00A46BF1" w:rsidRPr="00024F79" w:rsidRDefault="00A46BF1" w:rsidP="00024F79">
            <w:pPr>
              <w:spacing w:line="360" w:lineRule="auto"/>
              <w:jc w:val="right"/>
              <w:rPr>
                <w:rFonts w:ascii="Times New Roman" w:eastAsia="宋体" w:hAnsi="Times New Roman" w:cs="Times New Roman"/>
                <w:sz w:val="13"/>
                <w:szCs w:val="13"/>
              </w:rPr>
            </w:pPr>
            <w:r w:rsidRPr="00024F79">
              <w:rPr>
                <w:rFonts w:ascii="Times New Roman" w:eastAsia="宋体" w:hAnsi="Times New Roman" w:cs="Times New Roman"/>
                <w:sz w:val="13"/>
                <w:szCs w:val="13"/>
              </w:rPr>
              <w:t>10,840,127.86</w:t>
            </w:r>
          </w:p>
        </w:tc>
      </w:tr>
    </w:tbl>
    <w:p w14:paraId="36F50203"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按单项计提坏账准备：单项计提</w:t>
      </w:r>
    </w:p>
    <w:p w14:paraId="705B083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rsidRPr="00024F79" w14:paraId="78AA7A75" w14:textId="77777777" w:rsidTr="00A46BF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F569365"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名称</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7618818"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3AEEB0B"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期末余额</w:t>
            </w:r>
          </w:p>
        </w:tc>
      </w:tr>
      <w:tr w:rsidR="00095F6F" w:rsidRPr="00024F79" w14:paraId="1D9D409B" w14:textId="77777777" w:rsidTr="00A46BF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ADBA1A" w14:textId="77777777" w:rsidR="00A46BF1" w:rsidRPr="00024F79" w:rsidRDefault="00A46BF1" w:rsidP="00024F79">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0C92500"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F9D5B9F"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2D0CECE"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F9AB230"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CB2D737"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F75BE2"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计提理由</w:t>
            </w:r>
          </w:p>
        </w:tc>
      </w:tr>
      <w:tr w:rsidR="00095F6F" w:rsidRPr="00024F79" w14:paraId="646DF194"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26DC09B6"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M</w:t>
            </w:r>
            <w:r w:rsidRPr="00024F79">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626D62B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218,969.37</w:t>
            </w:r>
          </w:p>
        </w:tc>
        <w:tc>
          <w:tcPr>
            <w:tcW w:w="1377" w:type="dxa"/>
            <w:tcBorders>
              <w:top w:val="single" w:sz="2" w:space="0" w:color="auto"/>
              <w:left w:val="single" w:sz="2" w:space="0" w:color="auto"/>
              <w:bottom w:val="single" w:sz="2" w:space="0" w:color="auto"/>
              <w:right w:val="single" w:sz="2" w:space="0" w:color="auto"/>
            </w:tcBorders>
            <w:vAlign w:val="center"/>
          </w:tcPr>
          <w:p w14:paraId="1970A08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218,969.37</w:t>
            </w:r>
          </w:p>
        </w:tc>
        <w:tc>
          <w:tcPr>
            <w:tcW w:w="1377" w:type="dxa"/>
            <w:tcBorders>
              <w:top w:val="single" w:sz="2" w:space="0" w:color="auto"/>
              <w:left w:val="single" w:sz="2" w:space="0" w:color="auto"/>
              <w:bottom w:val="single" w:sz="2" w:space="0" w:color="auto"/>
              <w:right w:val="single" w:sz="2" w:space="0" w:color="auto"/>
            </w:tcBorders>
            <w:vAlign w:val="center"/>
          </w:tcPr>
          <w:p w14:paraId="10CC498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214,107.72</w:t>
            </w:r>
          </w:p>
        </w:tc>
        <w:tc>
          <w:tcPr>
            <w:tcW w:w="1377" w:type="dxa"/>
            <w:tcBorders>
              <w:top w:val="single" w:sz="2" w:space="0" w:color="auto"/>
              <w:left w:val="single" w:sz="2" w:space="0" w:color="auto"/>
              <w:bottom w:val="single" w:sz="2" w:space="0" w:color="auto"/>
              <w:right w:val="single" w:sz="2" w:space="0" w:color="auto"/>
            </w:tcBorders>
            <w:vAlign w:val="center"/>
          </w:tcPr>
          <w:p w14:paraId="082D364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214,107.72</w:t>
            </w:r>
          </w:p>
        </w:tc>
        <w:tc>
          <w:tcPr>
            <w:tcW w:w="1377" w:type="dxa"/>
            <w:tcBorders>
              <w:top w:val="single" w:sz="2" w:space="0" w:color="auto"/>
              <w:left w:val="single" w:sz="2" w:space="0" w:color="auto"/>
              <w:bottom w:val="single" w:sz="2" w:space="0" w:color="auto"/>
              <w:right w:val="single" w:sz="2" w:space="0" w:color="auto"/>
            </w:tcBorders>
            <w:vAlign w:val="center"/>
          </w:tcPr>
          <w:p w14:paraId="498910A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A5080A1"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涉诉</w:t>
            </w:r>
          </w:p>
        </w:tc>
      </w:tr>
      <w:tr w:rsidR="00095F6F" w:rsidRPr="00024F79" w14:paraId="01430C29"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ABACCD0"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N</w:t>
            </w:r>
            <w:r w:rsidRPr="00024F79">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0B500CBA" w14:textId="77777777" w:rsidR="00A46BF1" w:rsidRPr="00024F79" w:rsidRDefault="00A46BF1" w:rsidP="00024F79">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904E1C9" w14:textId="77777777" w:rsidR="00A46BF1" w:rsidRPr="00024F79" w:rsidRDefault="00A46BF1" w:rsidP="00024F79">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B56A7E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24,874,667.63</w:t>
            </w:r>
          </w:p>
        </w:tc>
        <w:tc>
          <w:tcPr>
            <w:tcW w:w="1377" w:type="dxa"/>
            <w:tcBorders>
              <w:top w:val="single" w:sz="2" w:space="0" w:color="auto"/>
              <w:left w:val="single" w:sz="2" w:space="0" w:color="auto"/>
              <w:bottom w:val="single" w:sz="2" w:space="0" w:color="auto"/>
              <w:right w:val="single" w:sz="2" w:space="0" w:color="auto"/>
            </w:tcBorders>
            <w:vAlign w:val="center"/>
          </w:tcPr>
          <w:p w14:paraId="7674E2A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24,874,667.63</w:t>
            </w:r>
          </w:p>
        </w:tc>
        <w:tc>
          <w:tcPr>
            <w:tcW w:w="1377" w:type="dxa"/>
            <w:tcBorders>
              <w:top w:val="single" w:sz="2" w:space="0" w:color="auto"/>
              <w:left w:val="single" w:sz="2" w:space="0" w:color="auto"/>
              <w:bottom w:val="single" w:sz="2" w:space="0" w:color="auto"/>
              <w:right w:val="single" w:sz="2" w:space="0" w:color="auto"/>
            </w:tcBorders>
            <w:vAlign w:val="center"/>
          </w:tcPr>
          <w:p w14:paraId="7D27D2F1"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7BD46341"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破产</w:t>
            </w:r>
          </w:p>
        </w:tc>
      </w:tr>
      <w:tr w:rsidR="00095F6F" w:rsidRPr="00024F79" w14:paraId="2FDA02C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5B48EEA"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6ADB87F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218,969.37</w:t>
            </w:r>
          </w:p>
        </w:tc>
        <w:tc>
          <w:tcPr>
            <w:tcW w:w="1377" w:type="dxa"/>
            <w:tcBorders>
              <w:top w:val="single" w:sz="2" w:space="0" w:color="auto"/>
              <w:left w:val="single" w:sz="2" w:space="0" w:color="auto"/>
              <w:bottom w:val="single" w:sz="2" w:space="0" w:color="auto"/>
              <w:right w:val="single" w:sz="2" w:space="0" w:color="auto"/>
            </w:tcBorders>
            <w:vAlign w:val="center"/>
          </w:tcPr>
          <w:p w14:paraId="02FBEA39"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218,969.37</w:t>
            </w:r>
          </w:p>
        </w:tc>
        <w:tc>
          <w:tcPr>
            <w:tcW w:w="1377" w:type="dxa"/>
            <w:tcBorders>
              <w:top w:val="single" w:sz="2" w:space="0" w:color="auto"/>
              <w:left w:val="single" w:sz="2" w:space="0" w:color="auto"/>
              <w:bottom w:val="single" w:sz="2" w:space="0" w:color="auto"/>
              <w:right w:val="single" w:sz="2" w:space="0" w:color="auto"/>
            </w:tcBorders>
            <w:vAlign w:val="center"/>
          </w:tcPr>
          <w:p w14:paraId="155537F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25,088,775.35</w:t>
            </w:r>
          </w:p>
        </w:tc>
        <w:tc>
          <w:tcPr>
            <w:tcW w:w="1377" w:type="dxa"/>
            <w:tcBorders>
              <w:top w:val="single" w:sz="2" w:space="0" w:color="auto"/>
              <w:left w:val="single" w:sz="2" w:space="0" w:color="auto"/>
              <w:bottom w:val="single" w:sz="2" w:space="0" w:color="auto"/>
              <w:right w:val="single" w:sz="2" w:space="0" w:color="auto"/>
            </w:tcBorders>
            <w:vAlign w:val="center"/>
          </w:tcPr>
          <w:p w14:paraId="014FEAF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25,088,775.35</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1F63BCE" w14:textId="77777777" w:rsidR="00A46BF1" w:rsidRPr="00024F79" w:rsidRDefault="00A46BF1" w:rsidP="00024F79">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E613684" w14:textId="77777777" w:rsidR="00A46BF1" w:rsidRPr="00024F79" w:rsidRDefault="00A46BF1" w:rsidP="00024F79">
            <w:pPr>
              <w:spacing w:line="360" w:lineRule="auto"/>
              <w:rPr>
                <w:rFonts w:ascii="Times New Roman" w:hAnsi="Times New Roman" w:cs="Times New Roman"/>
              </w:rPr>
            </w:pPr>
          </w:p>
        </w:tc>
      </w:tr>
    </w:tbl>
    <w:p w14:paraId="21ADDF04"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按组合计提坏账准备：账龄组合计提</w:t>
      </w:r>
    </w:p>
    <w:p w14:paraId="26514F2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rsidRPr="00024F79" w14:paraId="6CA5CFBA"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57706E"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D80E1D5"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期末余额</w:t>
            </w:r>
          </w:p>
        </w:tc>
      </w:tr>
      <w:tr w:rsidR="00095F6F" w:rsidRPr="00024F79" w14:paraId="2E7CDD2A"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256E877" w14:textId="77777777" w:rsidR="00A46BF1" w:rsidRPr="00024F79" w:rsidRDefault="00A46BF1" w:rsidP="00024F79">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B20DF04"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71888BA"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3420D2E"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计提比例</w:t>
            </w:r>
          </w:p>
        </w:tc>
      </w:tr>
      <w:tr w:rsidR="00095F6F" w:rsidRPr="00024F79" w14:paraId="5914B981"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37E9ED7"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4BA053E7"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1,439,828.33</w:t>
            </w:r>
          </w:p>
        </w:tc>
        <w:tc>
          <w:tcPr>
            <w:tcW w:w="2410" w:type="dxa"/>
            <w:tcBorders>
              <w:top w:val="single" w:sz="2" w:space="0" w:color="auto"/>
              <w:left w:val="single" w:sz="2" w:space="0" w:color="auto"/>
              <w:bottom w:val="single" w:sz="2" w:space="0" w:color="auto"/>
              <w:right w:val="single" w:sz="2" w:space="0" w:color="auto"/>
            </w:tcBorders>
            <w:vAlign w:val="center"/>
          </w:tcPr>
          <w:p w14:paraId="60BFAEC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71,991.43</w:t>
            </w:r>
          </w:p>
        </w:tc>
        <w:tc>
          <w:tcPr>
            <w:tcW w:w="2410" w:type="dxa"/>
            <w:tcBorders>
              <w:top w:val="single" w:sz="2" w:space="0" w:color="auto"/>
              <w:left w:val="single" w:sz="2" w:space="0" w:color="auto"/>
              <w:bottom w:val="single" w:sz="2" w:space="0" w:color="auto"/>
              <w:right w:val="single" w:sz="2" w:space="0" w:color="auto"/>
            </w:tcBorders>
            <w:vAlign w:val="center"/>
          </w:tcPr>
          <w:p w14:paraId="34A16E79"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5.00%</w:t>
            </w:r>
          </w:p>
        </w:tc>
      </w:tr>
      <w:tr w:rsidR="00095F6F" w:rsidRPr="00024F79" w14:paraId="04C57CB1"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1A3F0C9"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2</w:t>
            </w:r>
            <w:r w:rsidRPr="00024F79">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2959020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1,917,259.43</w:t>
            </w:r>
          </w:p>
        </w:tc>
        <w:tc>
          <w:tcPr>
            <w:tcW w:w="2410" w:type="dxa"/>
            <w:tcBorders>
              <w:top w:val="single" w:sz="2" w:space="0" w:color="auto"/>
              <w:left w:val="single" w:sz="2" w:space="0" w:color="auto"/>
              <w:bottom w:val="single" w:sz="2" w:space="0" w:color="auto"/>
              <w:right w:val="single" w:sz="2" w:space="0" w:color="auto"/>
            </w:tcBorders>
            <w:vAlign w:val="center"/>
          </w:tcPr>
          <w:p w14:paraId="56B0549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383,451.88</w:t>
            </w:r>
          </w:p>
        </w:tc>
        <w:tc>
          <w:tcPr>
            <w:tcW w:w="2410" w:type="dxa"/>
            <w:tcBorders>
              <w:top w:val="single" w:sz="2" w:space="0" w:color="auto"/>
              <w:left w:val="single" w:sz="2" w:space="0" w:color="auto"/>
              <w:bottom w:val="single" w:sz="2" w:space="0" w:color="auto"/>
              <w:right w:val="single" w:sz="2" w:space="0" w:color="auto"/>
            </w:tcBorders>
            <w:vAlign w:val="center"/>
          </w:tcPr>
          <w:p w14:paraId="45A9CA3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20.00%</w:t>
            </w:r>
          </w:p>
        </w:tc>
      </w:tr>
      <w:tr w:rsidR="00095F6F" w:rsidRPr="00024F79" w14:paraId="5A2758B7"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19B652C"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2</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3</w:t>
            </w:r>
            <w:r w:rsidRPr="00024F79">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4184F724"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817,438.00</w:t>
            </w:r>
          </w:p>
        </w:tc>
        <w:tc>
          <w:tcPr>
            <w:tcW w:w="2410" w:type="dxa"/>
            <w:tcBorders>
              <w:top w:val="single" w:sz="2" w:space="0" w:color="auto"/>
              <w:left w:val="single" w:sz="2" w:space="0" w:color="auto"/>
              <w:bottom w:val="single" w:sz="2" w:space="0" w:color="auto"/>
              <w:right w:val="single" w:sz="2" w:space="0" w:color="auto"/>
            </w:tcBorders>
            <w:vAlign w:val="center"/>
          </w:tcPr>
          <w:p w14:paraId="2509F5B9"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408,719.00</w:t>
            </w:r>
          </w:p>
        </w:tc>
        <w:tc>
          <w:tcPr>
            <w:tcW w:w="2410" w:type="dxa"/>
            <w:tcBorders>
              <w:top w:val="single" w:sz="2" w:space="0" w:color="auto"/>
              <w:left w:val="single" w:sz="2" w:space="0" w:color="auto"/>
              <w:bottom w:val="single" w:sz="2" w:space="0" w:color="auto"/>
              <w:right w:val="single" w:sz="2" w:space="0" w:color="auto"/>
            </w:tcBorders>
            <w:vAlign w:val="center"/>
          </w:tcPr>
          <w:p w14:paraId="0A2490C1"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50.00%</w:t>
            </w:r>
          </w:p>
        </w:tc>
      </w:tr>
      <w:tr w:rsidR="00095F6F" w:rsidRPr="00024F79" w14:paraId="7092FA9B"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AB3731C"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3</w:t>
            </w:r>
            <w:r w:rsidRPr="00024F79">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2153B6E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2,555,751.69</w:t>
            </w:r>
          </w:p>
        </w:tc>
        <w:tc>
          <w:tcPr>
            <w:tcW w:w="2410" w:type="dxa"/>
            <w:tcBorders>
              <w:top w:val="single" w:sz="2" w:space="0" w:color="auto"/>
              <w:left w:val="single" w:sz="2" w:space="0" w:color="auto"/>
              <w:bottom w:val="single" w:sz="2" w:space="0" w:color="auto"/>
              <w:right w:val="single" w:sz="2" w:space="0" w:color="auto"/>
            </w:tcBorders>
            <w:vAlign w:val="center"/>
          </w:tcPr>
          <w:p w14:paraId="239CFC43"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2,555,751.69</w:t>
            </w:r>
          </w:p>
        </w:tc>
        <w:tc>
          <w:tcPr>
            <w:tcW w:w="2410" w:type="dxa"/>
            <w:tcBorders>
              <w:top w:val="single" w:sz="2" w:space="0" w:color="auto"/>
              <w:left w:val="single" w:sz="2" w:space="0" w:color="auto"/>
              <w:bottom w:val="single" w:sz="2" w:space="0" w:color="auto"/>
              <w:right w:val="single" w:sz="2" w:space="0" w:color="auto"/>
            </w:tcBorders>
            <w:vAlign w:val="center"/>
          </w:tcPr>
          <w:p w14:paraId="5886543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100.00%</w:t>
            </w:r>
          </w:p>
        </w:tc>
      </w:tr>
      <w:tr w:rsidR="00095F6F" w:rsidRPr="00024F79" w14:paraId="3FD01E19"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3EE4DC7"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3</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4</w:t>
            </w:r>
            <w:r w:rsidRPr="00024F79">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682A80DD"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252,281.30</w:t>
            </w:r>
          </w:p>
        </w:tc>
        <w:tc>
          <w:tcPr>
            <w:tcW w:w="2410" w:type="dxa"/>
            <w:tcBorders>
              <w:top w:val="single" w:sz="2" w:space="0" w:color="auto"/>
              <w:left w:val="single" w:sz="2" w:space="0" w:color="auto"/>
              <w:bottom w:val="single" w:sz="2" w:space="0" w:color="auto"/>
              <w:right w:val="single" w:sz="2" w:space="0" w:color="auto"/>
            </w:tcBorders>
            <w:vAlign w:val="center"/>
          </w:tcPr>
          <w:p w14:paraId="419E999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252,281.30</w:t>
            </w:r>
          </w:p>
        </w:tc>
        <w:tc>
          <w:tcPr>
            <w:tcW w:w="2410" w:type="dxa"/>
            <w:tcBorders>
              <w:top w:val="single" w:sz="2" w:space="0" w:color="auto"/>
              <w:left w:val="single" w:sz="2" w:space="0" w:color="auto"/>
              <w:bottom w:val="single" w:sz="2" w:space="0" w:color="auto"/>
              <w:right w:val="single" w:sz="2" w:space="0" w:color="auto"/>
            </w:tcBorders>
            <w:vAlign w:val="center"/>
          </w:tcPr>
          <w:p w14:paraId="7C781B7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100.00%</w:t>
            </w:r>
          </w:p>
        </w:tc>
      </w:tr>
      <w:tr w:rsidR="00095F6F" w:rsidRPr="00024F79" w14:paraId="0A158CBF"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0BE9EDD"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4</w:t>
            </w:r>
            <w:r w:rsidRPr="00024F79">
              <w:rPr>
                <w:rFonts w:ascii="Times New Roman" w:eastAsia="宋体" w:hAnsi="Times New Roman" w:cs="Times New Roman"/>
                <w:sz w:val="18"/>
                <w:szCs w:val="18"/>
              </w:rPr>
              <w:t>至</w:t>
            </w:r>
            <w:r w:rsidRPr="00024F79">
              <w:rPr>
                <w:rFonts w:ascii="Times New Roman" w:eastAsia="宋体" w:hAnsi="Times New Roman" w:cs="Times New Roman"/>
                <w:sz w:val="18"/>
                <w:szCs w:val="18"/>
              </w:rPr>
              <w:t>5</w:t>
            </w:r>
            <w:r w:rsidRPr="00024F79">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1BE14EC4"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508,078.01</w:t>
            </w:r>
          </w:p>
        </w:tc>
        <w:tc>
          <w:tcPr>
            <w:tcW w:w="2410" w:type="dxa"/>
            <w:tcBorders>
              <w:top w:val="single" w:sz="2" w:space="0" w:color="auto"/>
              <w:left w:val="single" w:sz="2" w:space="0" w:color="auto"/>
              <w:bottom w:val="single" w:sz="2" w:space="0" w:color="auto"/>
              <w:right w:val="single" w:sz="2" w:space="0" w:color="auto"/>
            </w:tcBorders>
            <w:vAlign w:val="center"/>
          </w:tcPr>
          <w:p w14:paraId="2D977DC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508,078.01</w:t>
            </w:r>
          </w:p>
        </w:tc>
        <w:tc>
          <w:tcPr>
            <w:tcW w:w="2410" w:type="dxa"/>
            <w:tcBorders>
              <w:top w:val="single" w:sz="2" w:space="0" w:color="auto"/>
              <w:left w:val="single" w:sz="2" w:space="0" w:color="auto"/>
              <w:bottom w:val="single" w:sz="2" w:space="0" w:color="auto"/>
              <w:right w:val="single" w:sz="2" w:space="0" w:color="auto"/>
            </w:tcBorders>
            <w:vAlign w:val="center"/>
          </w:tcPr>
          <w:p w14:paraId="27C2486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100.00%</w:t>
            </w:r>
          </w:p>
        </w:tc>
      </w:tr>
      <w:tr w:rsidR="00095F6F" w:rsidRPr="00024F79" w14:paraId="617013CB"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564902E"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5</w:t>
            </w:r>
            <w:r w:rsidRPr="00024F79">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4DFC04C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1,795,392.38</w:t>
            </w:r>
          </w:p>
        </w:tc>
        <w:tc>
          <w:tcPr>
            <w:tcW w:w="2410" w:type="dxa"/>
            <w:tcBorders>
              <w:top w:val="single" w:sz="2" w:space="0" w:color="auto"/>
              <w:left w:val="single" w:sz="2" w:space="0" w:color="auto"/>
              <w:bottom w:val="single" w:sz="2" w:space="0" w:color="auto"/>
              <w:right w:val="single" w:sz="2" w:space="0" w:color="auto"/>
            </w:tcBorders>
            <w:vAlign w:val="center"/>
          </w:tcPr>
          <w:p w14:paraId="585159B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1,795,392.38</w:t>
            </w:r>
          </w:p>
        </w:tc>
        <w:tc>
          <w:tcPr>
            <w:tcW w:w="2410" w:type="dxa"/>
            <w:tcBorders>
              <w:top w:val="single" w:sz="2" w:space="0" w:color="auto"/>
              <w:left w:val="single" w:sz="2" w:space="0" w:color="auto"/>
              <w:bottom w:val="single" w:sz="2" w:space="0" w:color="auto"/>
              <w:right w:val="single" w:sz="2" w:space="0" w:color="auto"/>
            </w:tcBorders>
            <w:vAlign w:val="center"/>
          </w:tcPr>
          <w:p w14:paraId="43EB4CC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100.00%</w:t>
            </w:r>
          </w:p>
        </w:tc>
      </w:tr>
      <w:tr w:rsidR="00095F6F" w:rsidRPr="00024F79" w14:paraId="54E82817"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698CD8"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174CFFB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6,730,277.45</w:t>
            </w:r>
          </w:p>
        </w:tc>
        <w:tc>
          <w:tcPr>
            <w:tcW w:w="2410" w:type="dxa"/>
            <w:tcBorders>
              <w:top w:val="single" w:sz="2" w:space="0" w:color="auto"/>
              <w:left w:val="single" w:sz="2" w:space="0" w:color="auto"/>
              <w:bottom w:val="single" w:sz="2" w:space="0" w:color="auto"/>
              <w:right w:val="single" w:sz="2" w:space="0" w:color="auto"/>
            </w:tcBorders>
            <w:vAlign w:val="center"/>
          </w:tcPr>
          <w:p w14:paraId="7FFA6FE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3,419,914.00</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A511F8" w14:textId="77777777" w:rsidR="00A46BF1" w:rsidRPr="00024F79" w:rsidRDefault="00A46BF1" w:rsidP="00024F79">
            <w:pPr>
              <w:spacing w:line="360" w:lineRule="auto"/>
              <w:rPr>
                <w:rFonts w:ascii="Times New Roman" w:hAnsi="Times New Roman" w:cs="Times New Roman"/>
              </w:rPr>
            </w:pPr>
          </w:p>
        </w:tc>
      </w:tr>
    </w:tbl>
    <w:p w14:paraId="240C117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7E06BAA6" w14:textId="1FCB1FBD"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详见本附注“五、</w:t>
      </w:r>
      <w:r w:rsidRPr="00684E6E">
        <w:rPr>
          <w:rFonts w:ascii="Times New Roman" w:hAnsi="Times New Roman" w:cs="Times New Roman" w:hint="eastAsia"/>
          <w:sz w:val="21"/>
          <w:szCs w:val="21"/>
        </w:rPr>
        <w:t>10</w:t>
      </w:r>
      <w:r w:rsidR="00684E6E">
        <w:rPr>
          <w:rFonts w:ascii="Times New Roman" w:hAnsi="Times New Roman" w:cs="Times New Roman" w:hint="eastAsia"/>
          <w:sz w:val="21"/>
          <w:szCs w:val="21"/>
        </w:rPr>
        <w:t>金融工具</w:t>
      </w:r>
      <w:r w:rsidRPr="00684E6E">
        <w:rPr>
          <w:rFonts w:ascii="Times New Roman" w:hAnsi="Times New Roman" w:cs="Times New Roman" w:hint="eastAsia"/>
          <w:sz w:val="21"/>
          <w:szCs w:val="21"/>
        </w:rPr>
        <w:t>”相关内容。</w:t>
      </w:r>
    </w:p>
    <w:p w14:paraId="633369E3"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按预期信用损失一般模型计提坏账准备：</w:t>
      </w:r>
    </w:p>
    <w:p w14:paraId="467225C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10"/>
        <w:gridCol w:w="1985"/>
        <w:gridCol w:w="1984"/>
        <w:gridCol w:w="1985"/>
        <w:gridCol w:w="1275"/>
      </w:tblGrid>
      <w:tr w:rsidR="00095F6F" w14:paraId="4516FCD1" w14:textId="77777777" w:rsidTr="00024F79">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41FDD85"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坏账准备</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758200D1"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第一阶段</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17665966"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第二阶段</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4C80611D"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第三阶段</w:t>
            </w:r>
          </w:p>
        </w:tc>
        <w:tc>
          <w:tcPr>
            <w:tcW w:w="127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1A852D"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r>
      <w:tr w:rsidR="00095F6F" w14:paraId="42EC34AB" w14:textId="77777777" w:rsidTr="00024F79">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57A3D81" w14:textId="77777777" w:rsidR="00A46BF1" w:rsidRPr="00024F79" w:rsidRDefault="00A46BF1" w:rsidP="00024F79">
            <w:pPr>
              <w:spacing w:line="360" w:lineRule="auto"/>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4D96735A"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未来</w:t>
            </w:r>
            <w:r w:rsidRPr="00024F79">
              <w:rPr>
                <w:rFonts w:ascii="Times New Roman" w:eastAsia="宋体" w:hAnsi="Times New Roman" w:cs="Times New Roman"/>
                <w:sz w:val="18"/>
                <w:szCs w:val="18"/>
              </w:rPr>
              <w:t>12</w:t>
            </w:r>
            <w:r w:rsidRPr="00024F79">
              <w:rPr>
                <w:rFonts w:ascii="Times New Roman" w:eastAsia="宋体" w:hAnsi="Times New Roman" w:cs="Times New Roman"/>
                <w:sz w:val="18"/>
                <w:szCs w:val="18"/>
              </w:rPr>
              <w:t>个月预期信用损失</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1FD41658"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整个存续期预期信用损失</w:t>
            </w:r>
            <w:r w:rsidRPr="00024F79">
              <w:rPr>
                <w:rFonts w:ascii="Times New Roman" w:eastAsia="宋体" w:hAnsi="Times New Roman" w:cs="Times New Roman"/>
                <w:sz w:val="18"/>
                <w:szCs w:val="18"/>
              </w:rPr>
              <w:t>(</w:t>
            </w:r>
            <w:r w:rsidRPr="00024F79">
              <w:rPr>
                <w:rFonts w:ascii="Times New Roman" w:eastAsia="宋体" w:hAnsi="Times New Roman" w:cs="Times New Roman"/>
                <w:sz w:val="18"/>
                <w:szCs w:val="18"/>
              </w:rPr>
              <w:t>未发生信用减值</w:t>
            </w:r>
            <w:r w:rsidRPr="00024F79">
              <w:rPr>
                <w:rFonts w:ascii="Times New Roman" w:eastAsia="宋体" w:hAnsi="Times New Roman" w:cs="Times New Roman"/>
                <w:sz w:val="18"/>
                <w:szCs w:val="18"/>
              </w:rPr>
              <w:t>)</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2669EEDC"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整个存续期预期信用损失</w:t>
            </w:r>
            <w:r w:rsidRPr="00024F79">
              <w:rPr>
                <w:rFonts w:ascii="Times New Roman" w:eastAsia="宋体" w:hAnsi="Times New Roman" w:cs="Times New Roman"/>
                <w:sz w:val="18"/>
                <w:szCs w:val="18"/>
              </w:rPr>
              <w:t>(</w:t>
            </w:r>
            <w:r w:rsidRPr="00024F79">
              <w:rPr>
                <w:rFonts w:ascii="Times New Roman" w:eastAsia="宋体" w:hAnsi="Times New Roman" w:cs="Times New Roman"/>
                <w:sz w:val="18"/>
                <w:szCs w:val="18"/>
              </w:rPr>
              <w:t>已发生信用减值</w:t>
            </w:r>
            <w:r w:rsidRPr="00024F79">
              <w:rPr>
                <w:rFonts w:ascii="Times New Roman" w:eastAsia="宋体" w:hAnsi="Times New Roman" w:cs="Times New Roman"/>
                <w:sz w:val="18"/>
                <w:szCs w:val="18"/>
              </w:rPr>
              <w:t>)</w:t>
            </w:r>
          </w:p>
        </w:tc>
        <w:tc>
          <w:tcPr>
            <w:tcW w:w="12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8FD2CF0" w14:textId="77777777" w:rsidR="00A46BF1" w:rsidRPr="00024F79" w:rsidRDefault="00A46BF1" w:rsidP="00024F79">
            <w:pPr>
              <w:spacing w:line="360" w:lineRule="auto"/>
              <w:rPr>
                <w:rFonts w:ascii="Times New Roman" w:hAnsi="Times New Roman" w:cs="Times New Roman"/>
              </w:rPr>
            </w:pPr>
          </w:p>
        </w:tc>
      </w:tr>
      <w:tr w:rsidR="00095F6F" w14:paraId="69A9A4A3"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5B1C71F"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2025</w:t>
            </w:r>
            <w:r w:rsidRPr="00024F79">
              <w:rPr>
                <w:rFonts w:ascii="Times New Roman" w:eastAsia="宋体" w:hAnsi="Times New Roman" w:cs="Times New Roman"/>
                <w:sz w:val="18"/>
                <w:szCs w:val="18"/>
              </w:rPr>
              <w:t>年</w:t>
            </w: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月</w:t>
            </w: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日余额</w:t>
            </w:r>
          </w:p>
        </w:tc>
        <w:tc>
          <w:tcPr>
            <w:tcW w:w="1985" w:type="dxa"/>
            <w:tcBorders>
              <w:top w:val="single" w:sz="2" w:space="0" w:color="auto"/>
              <w:left w:val="single" w:sz="2" w:space="0" w:color="auto"/>
              <w:bottom w:val="single" w:sz="2" w:space="0" w:color="auto"/>
              <w:right w:val="single" w:sz="2" w:space="0" w:color="auto"/>
            </w:tcBorders>
            <w:vAlign w:val="center"/>
          </w:tcPr>
          <w:p w14:paraId="5030D1D1"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159,047.59</w:t>
            </w:r>
          </w:p>
        </w:tc>
        <w:tc>
          <w:tcPr>
            <w:tcW w:w="1984" w:type="dxa"/>
            <w:tcBorders>
              <w:top w:val="single" w:sz="2" w:space="0" w:color="auto"/>
              <w:left w:val="single" w:sz="2" w:space="0" w:color="auto"/>
              <w:bottom w:val="single" w:sz="2" w:space="0" w:color="auto"/>
              <w:right w:val="single" w:sz="2" w:space="0" w:color="auto"/>
            </w:tcBorders>
            <w:vAlign w:val="center"/>
          </w:tcPr>
          <w:p w14:paraId="7BEE2BC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374,368.95</w:t>
            </w:r>
          </w:p>
        </w:tc>
        <w:tc>
          <w:tcPr>
            <w:tcW w:w="1985" w:type="dxa"/>
            <w:tcBorders>
              <w:top w:val="single" w:sz="2" w:space="0" w:color="auto"/>
              <w:left w:val="single" w:sz="2" w:space="0" w:color="auto"/>
              <w:bottom w:val="single" w:sz="2" w:space="0" w:color="auto"/>
              <w:right w:val="single" w:sz="2" w:space="0" w:color="auto"/>
            </w:tcBorders>
            <w:vAlign w:val="center"/>
          </w:tcPr>
          <w:p w14:paraId="7B13080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2,876,301.43</w:t>
            </w:r>
          </w:p>
        </w:tc>
        <w:tc>
          <w:tcPr>
            <w:tcW w:w="1275" w:type="dxa"/>
            <w:tcBorders>
              <w:top w:val="single" w:sz="2" w:space="0" w:color="auto"/>
              <w:left w:val="single" w:sz="2" w:space="0" w:color="auto"/>
              <w:bottom w:val="single" w:sz="2" w:space="0" w:color="auto"/>
              <w:right w:val="single" w:sz="2" w:space="0" w:color="auto"/>
            </w:tcBorders>
            <w:vAlign w:val="center"/>
          </w:tcPr>
          <w:p w14:paraId="2427C2FF"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3,409,717.97</w:t>
            </w:r>
          </w:p>
        </w:tc>
      </w:tr>
      <w:tr w:rsidR="00095F6F" w14:paraId="15713FD3"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C5F250"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2025</w:t>
            </w:r>
            <w:r w:rsidRPr="00024F79">
              <w:rPr>
                <w:rFonts w:ascii="Times New Roman" w:eastAsia="宋体" w:hAnsi="Times New Roman" w:cs="Times New Roman"/>
                <w:sz w:val="18"/>
                <w:szCs w:val="18"/>
              </w:rPr>
              <w:t>年</w:t>
            </w: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月</w:t>
            </w:r>
            <w:r w:rsidRPr="00024F79">
              <w:rPr>
                <w:rFonts w:ascii="Times New Roman" w:eastAsia="宋体" w:hAnsi="Times New Roman" w:cs="Times New Roman"/>
                <w:sz w:val="18"/>
                <w:szCs w:val="18"/>
              </w:rPr>
              <w:t>1</w:t>
            </w:r>
            <w:r w:rsidRPr="00024F79">
              <w:rPr>
                <w:rFonts w:ascii="Times New Roman" w:eastAsia="宋体" w:hAnsi="Times New Roman" w:cs="Times New Roman"/>
                <w:sz w:val="18"/>
                <w:szCs w:val="18"/>
              </w:rPr>
              <w:t>日余额在本期</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4FED9E95" w14:textId="77777777" w:rsidR="00A46BF1" w:rsidRPr="00024F79" w:rsidRDefault="00A46BF1" w:rsidP="00024F79">
            <w:pPr>
              <w:spacing w:line="360" w:lineRule="auto"/>
              <w:rPr>
                <w:rFonts w:ascii="Times New Roman" w:hAnsi="Times New Roman" w:cs="Times New Roman"/>
              </w:rPr>
            </w:pP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69E9AAD2" w14:textId="77777777" w:rsidR="00A46BF1" w:rsidRPr="00024F79" w:rsidRDefault="00A46BF1" w:rsidP="00024F79">
            <w:pPr>
              <w:spacing w:line="360" w:lineRule="auto"/>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444B1B52" w14:textId="77777777" w:rsidR="00A46BF1" w:rsidRPr="00024F79" w:rsidRDefault="00A46BF1" w:rsidP="00024F79">
            <w:pPr>
              <w:spacing w:line="360" w:lineRule="auto"/>
              <w:rPr>
                <w:rFonts w:ascii="Times New Roman" w:hAnsi="Times New Roman" w:cs="Times New Roman"/>
              </w:rPr>
            </w:pP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1063FB40" w14:textId="77777777" w:rsidR="00A46BF1" w:rsidRPr="00024F79" w:rsidRDefault="00A46BF1" w:rsidP="00024F79">
            <w:pPr>
              <w:spacing w:line="360" w:lineRule="auto"/>
              <w:rPr>
                <w:rFonts w:ascii="Times New Roman" w:hAnsi="Times New Roman" w:cs="Times New Roman"/>
              </w:rPr>
            </w:pPr>
          </w:p>
        </w:tc>
      </w:tr>
      <w:tr w:rsidR="00095F6F" w14:paraId="7FFBCDB6"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32F7BB6"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w:t>
            </w:r>
            <w:r w:rsidRPr="00024F79">
              <w:rPr>
                <w:rFonts w:ascii="Times New Roman" w:eastAsia="宋体" w:hAnsi="Times New Roman" w:cs="Times New Roman"/>
                <w:sz w:val="18"/>
                <w:szCs w:val="18"/>
              </w:rPr>
              <w:t>转入第二阶段</w:t>
            </w:r>
          </w:p>
        </w:tc>
        <w:tc>
          <w:tcPr>
            <w:tcW w:w="1985" w:type="dxa"/>
            <w:tcBorders>
              <w:top w:val="single" w:sz="2" w:space="0" w:color="auto"/>
              <w:left w:val="single" w:sz="2" w:space="0" w:color="auto"/>
              <w:bottom w:val="single" w:sz="2" w:space="0" w:color="auto"/>
              <w:right w:val="single" w:sz="2" w:space="0" w:color="auto"/>
            </w:tcBorders>
            <w:vAlign w:val="center"/>
          </w:tcPr>
          <w:p w14:paraId="3FA9C810"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-243,572.06</w:t>
            </w:r>
          </w:p>
        </w:tc>
        <w:tc>
          <w:tcPr>
            <w:tcW w:w="1984" w:type="dxa"/>
            <w:tcBorders>
              <w:top w:val="single" w:sz="2" w:space="0" w:color="auto"/>
              <w:left w:val="single" w:sz="2" w:space="0" w:color="auto"/>
              <w:bottom w:val="single" w:sz="2" w:space="0" w:color="auto"/>
              <w:right w:val="single" w:sz="2" w:space="0" w:color="auto"/>
            </w:tcBorders>
            <w:vAlign w:val="center"/>
          </w:tcPr>
          <w:p w14:paraId="6F6CEA9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243,572.06</w:t>
            </w:r>
          </w:p>
        </w:tc>
        <w:tc>
          <w:tcPr>
            <w:tcW w:w="1985" w:type="dxa"/>
            <w:tcBorders>
              <w:top w:val="single" w:sz="2" w:space="0" w:color="auto"/>
              <w:left w:val="single" w:sz="2" w:space="0" w:color="auto"/>
              <w:bottom w:val="single" w:sz="2" w:space="0" w:color="auto"/>
              <w:right w:val="single" w:sz="2" w:space="0" w:color="auto"/>
            </w:tcBorders>
            <w:vAlign w:val="center"/>
          </w:tcPr>
          <w:p w14:paraId="406FDE4C" w14:textId="77777777" w:rsidR="00A46BF1" w:rsidRPr="00024F79" w:rsidRDefault="00A46BF1" w:rsidP="00024F79">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1EAFDBCF" w14:textId="77777777" w:rsidR="00A46BF1" w:rsidRPr="00024F79" w:rsidRDefault="00A46BF1" w:rsidP="00024F79">
            <w:pPr>
              <w:spacing w:line="360" w:lineRule="auto"/>
              <w:jc w:val="right"/>
              <w:rPr>
                <w:rFonts w:ascii="Times New Roman" w:eastAsia="宋体" w:hAnsi="Times New Roman" w:cs="Times New Roman"/>
                <w:sz w:val="18"/>
                <w:szCs w:val="18"/>
              </w:rPr>
            </w:pPr>
          </w:p>
        </w:tc>
      </w:tr>
      <w:tr w:rsidR="00095F6F" w14:paraId="46571F20"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A98D852"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w:t>
            </w:r>
            <w:r w:rsidRPr="00024F79">
              <w:rPr>
                <w:rFonts w:ascii="Times New Roman" w:eastAsia="宋体" w:hAnsi="Times New Roman" w:cs="Times New Roman"/>
                <w:sz w:val="18"/>
                <w:szCs w:val="18"/>
              </w:rPr>
              <w:t>转入第三阶段</w:t>
            </w:r>
          </w:p>
        </w:tc>
        <w:tc>
          <w:tcPr>
            <w:tcW w:w="1985" w:type="dxa"/>
            <w:tcBorders>
              <w:top w:val="single" w:sz="2" w:space="0" w:color="auto"/>
              <w:left w:val="single" w:sz="2" w:space="0" w:color="auto"/>
              <w:bottom w:val="single" w:sz="2" w:space="0" w:color="auto"/>
              <w:right w:val="single" w:sz="2" w:space="0" w:color="auto"/>
            </w:tcBorders>
            <w:vAlign w:val="center"/>
          </w:tcPr>
          <w:p w14:paraId="64AF902A" w14:textId="77777777" w:rsidR="00A46BF1" w:rsidRPr="00024F79" w:rsidRDefault="00A46BF1" w:rsidP="00024F79">
            <w:pPr>
              <w:spacing w:line="360" w:lineRule="auto"/>
              <w:jc w:val="right"/>
              <w:rPr>
                <w:rFonts w:ascii="Times New Roman" w:eastAsia="宋体" w:hAnsi="Times New Roman" w:cs="Times New Roman"/>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3E3A74F3"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-148,426.65</w:t>
            </w:r>
          </w:p>
        </w:tc>
        <w:tc>
          <w:tcPr>
            <w:tcW w:w="1985" w:type="dxa"/>
            <w:tcBorders>
              <w:top w:val="single" w:sz="2" w:space="0" w:color="auto"/>
              <w:left w:val="single" w:sz="2" w:space="0" w:color="auto"/>
              <w:bottom w:val="single" w:sz="2" w:space="0" w:color="auto"/>
              <w:right w:val="single" w:sz="2" w:space="0" w:color="auto"/>
            </w:tcBorders>
            <w:vAlign w:val="center"/>
          </w:tcPr>
          <w:p w14:paraId="63A55203"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148,426.65</w:t>
            </w:r>
          </w:p>
        </w:tc>
        <w:tc>
          <w:tcPr>
            <w:tcW w:w="1275" w:type="dxa"/>
            <w:tcBorders>
              <w:top w:val="single" w:sz="2" w:space="0" w:color="auto"/>
              <w:left w:val="single" w:sz="2" w:space="0" w:color="auto"/>
              <w:bottom w:val="single" w:sz="2" w:space="0" w:color="auto"/>
              <w:right w:val="single" w:sz="2" w:space="0" w:color="auto"/>
            </w:tcBorders>
            <w:vAlign w:val="center"/>
          </w:tcPr>
          <w:p w14:paraId="58481EB8" w14:textId="77777777" w:rsidR="00A46BF1" w:rsidRPr="00024F79" w:rsidRDefault="00A46BF1" w:rsidP="00024F79">
            <w:pPr>
              <w:spacing w:line="360" w:lineRule="auto"/>
              <w:jc w:val="right"/>
              <w:rPr>
                <w:rFonts w:ascii="Times New Roman" w:eastAsia="宋体" w:hAnsi="Times New Roman" w:cs="Times New Roman"/>
                <w:sz w:val="18"/>
                <w:szCs w:val="18"/>
              </w:rPr>
            </w:pPr>
          </w:p>
        </w:tc>
      </w:tr>
      <w:tr w:rsidR="00095F6F" w14:paraId="3DB45EDE"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D89485E"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本期计提</w:t>
            </w:r>
          </w:p>
        </w:tc>
        <w:tc>
          <w:tcPr>
            <w:tcW w:w="1985" w:type="dxa"/>
            <w:tcBorders>
              <w:top w:val="single" w:sz="2" w:space="0" w:color="auto"/>
              <w:left w:val="single" w:sz="2" w:space="0" w:color="auto"/>
              <w:bottom w:val="single" w:sz="2" w:space="0" w:color="auto"/>
              <w:right w:val="single" w:sz="2" w:space="0" w:color="auto"/>
            </w:tcBorders>
            <w:vAlign w:val="center"/>
          </w:tcPr>
          <w:p w14:paraId="46AA335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169,663.48</w:t>
            </w:r>
          </w:p>
        </w:tc>
        <w:tc>
          <w:tcPr>
            <w:tcW w:w="1984" w:type="dxa"/>
            <w:tcBorders>
              <w:top w:val="single" w:sz="2" w:space="0" w:color="auto"/>
              <w:left w:val="single" w:sz="2" w:space="0" w:color="auto"/>
              <w:bottom w:val="single" w:sz="2" w:space="0" w:color="auto"/>
              <w:right w:val="single" w:sz="2" w:space="0" w:color="auto"/>
            </w:tcBorders>
            <w:vAlign w:val="center"/>
          </w:tcPr>
          <w:p w14:paraId="0A80476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355,923.38</w:t>
            </w:r>
          </w:p>
        </w:tc>
        <w:tc>
          <w:tcPr>
            <w:tcW w:w="1985" w:type="dxa"/>
            <w:tcBorders>
              <w:top w:val="single" w:sz="2" w:space="0" w:color="auto"/>
              <w:left w:val="single" w:sz="2" w:space="0" w:color="auto"/>
              <w:bottom w:val="single" w:sz="2" w:space="0" w:color="auto"/>
              <w:right w:val="single" w:sz="2" w:space="0" w:color="auto"/>
            </w:tcBorders>
            <w:vAlign w:val="center"/>
          </w:tcPr>
          <w:p w14:paraId="763F259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25,371,774.31</w:t>
            </w:r>
          </w:p>
        </w:tc>
        <w:tc>
          <w:tcPr>
            <w:tcW w:w="1275" w:type="dxa"/>
            <w:tcBorders>
              <w:top w:val="single" w:sz="2" w:space="0" w:color="auto"/>
              <w:left w:val="single" w:sz="2" w:space="0" w:color="auto"/>
              <w:bottom w:val="single" w:sz="2" w:space="0" w:color="auto"/>
              <w:right w:val="single" w:sz="2" w:space="0" w:color="auto"/>
            </w:tcBorders>
            <w:vAlign w:val="center"/>
          </w:tcPr>
          <w:p w14:paraId="6F92B58C"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25,897,361.17</w:t>
            </w:r>
          </w:p>
        </w:tc>
      </w:tr>
      <w:tr w:rsidR="00095F6F" w14:paraId="0F6F9712"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383B05"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本期转回</w:t>
            </w:r>
          </w:p>
        </w:tc>
        <w:tc>
          <w:tcPr>
            <w:tcW w:w="1985" w:type="dxa"/>
            <w:tcBorders>
              <w:top w:val="single" w:sz="2" w:space="0" w:color="auto"/>
              <w:left w:val="single" w:sz="2" w:space="0" w:color="auto"/>
              <w:bottom w:val="single" w:sz="2" w:space="0" w:color="auto"/>
              <w:right w:val="single" w:sz="2" w:space="0" w:color="auto"/>
            </w:tcBorders>
            <w:vAlign w:val="center"/>
          </w:tcPr>
          <w:p w14:paraId="433D3217"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12,517.31</w:t>
            </w:r>
          </w:p>
        </w:tc>
        <w:tc>
          <w:tcPr>
            <w:tcW w:w="1984" w:type="dxa"/>
            <w:tcBorders>
              <w:top w:val="single" w:sz="2" w:space="0" w:color="auto"/>
              <w:left w:val="single" w:sz="2" w:space="0" w:color="auto"/>
              <w:bottom w:val="single" w:sz="2" w:space="0" w:color="auto"/>
              <w:right w:val="single" w:sz="2" w:space="0" w:color="auto"/>
            </w:tcBorders>
            <w:vAlign w:val="center"/>
          </w:tcPr>
          <w:p w14:paraId="1DB77F30"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33,557.80</w:t>
            </w:r>
          </w:p>
        </w:tc>
        <w:tc>
          <w:tcPr>
            <w:tcW w:w="1985" w:type="dxa"/>
            <w:tcBorders>
              <w:top w:val="single" w:sz="2" w:space="0" w:color="auto"/>
              <w:left w:val="single" w:sz="2" w:space="0" w:color="auto"/>
              <w:bottom w:val="single" w:sz="2" w:space="0" w:color="auto"/>
              <w:right w:val="single" w:sz="2" w:space="0" w:color="auto"/>
            </w:tcBorders>
            <w:vAlign w:val="center"/>
          </w:tcPr>
          <w:p w14:paraId="23971E5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232,557.35</w:t>
            </w:r>
          </w:p>
        </w:tc>
        <w:tc>
          <w:tcPr>
            <w:tcW w:w="1275" w:type="dxa"/>
            <w:tcBorders>
              <w:top w:val="single" w:sz="2" w:space="0" w:color="auto"/>
              <w:left w:val="single" w:sz="2" w:space="0" w:color="auto"/>
              <w:bottom w:val="single" w:sz="2" w:space="0" w:color="auto"/>
              <w:right w:val="single" w:sz="2" w:space="0" w:color="auto"/>
            </w:tcBorders>
            <w:vAlign w:val="center"/>
          </w:tcPr>
          <w:p w14:paraId="7772E70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278,632.46</w:t>
            </w:r>
          </w:p>
        </w:tc>
      </w:tr>
      <w:tr w:rsidR="00095F6F" w14:paraId="6451F792"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E4EDFCC"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本期核销</w:t>
            </w:r>
          </w:p>
        </w:tc>
        <w:tc>
          <w:tcPr>
            <w:tcW w:w="1985" w:type="dxa"/>
            <w:tcBorders>
              <w:top w:val="single" w:sz="2" w:space="0" w:color="auto"/>
              <w:left w:val="single" w:sz="2" w:space="0" w:color="auto"/>
              <w:bottom w:val="single" w:sz="2" w:space="0" w:color="auto"/>
              <w:right w:val="single" w:sz="2" w:space="0" w:color="auto"/>
            </w:tcBorders>
            <w:vAlign w:val="center"/>
          </w:tcPr>
          <w:p w14:paraId="12EC7612" w14:textId="77777777" w:rsidR="00A46BF1" w:rsidRPr="00024F79" w:rsidRDefault="00A46BF1" w:rsidP="00024F79">
            <w:pPr>
              <w:spacing w:line="360" w:lineRule="auto"/>
              <w:jc w:val="right"/>
              <w:rPr>
                <w:rFonts w:ascii="Times New Roman" w:eastAsia="宋体" w:hAnsi="Times New Roman" w:cs="Times New Roman"/>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147A45AB" w14:textId="77777777" w:rsidR="00A46BF1" w:rsidRPr="00024F79" w:rsidRDefault="00A46BF1" w:rsidP="00024F79">
            <w:pPr>
              <w:spacing w:line="360" w:lineRule="auto"/>
              <w:jc w:val="right"/>
              <w:rPr>
                <w:rFonts w:ascii="Times New Roman" w:eastAsia="宋体" w:hAnsi="Times New Roman" w:cs="Times New Roman"/>
                <w:sz w:val="18"/>
                <w:szCs w:val="18"/>
              </w:rPr>
            </w:pPr>
          </w:p>
        </w:tc>
        <w:tc>
          <w:tcPr>
            <w:tcW w:w="1985" w:type="dxa"/>
            <w:tcBorders>
              <w:top w:val="single" w:sz="2" w:space="0" w:color="auto"/>
              <w:left w:val="single" w:sz="2" w:space="0" w:color="auto"/>
              <w:bottom w:val="single" w:sz="2" w:space="0" w:color="auto"/>
              <w:right w:val="single" w:sz="2" w:space="0" w:color="auto"/>
            </w:tcBorders>
            <w:vAlign w:val="center"/>
          </w:tcPr>
          <w:p w14:paraId="31CF5C48"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170,435.35</w:t>
            </w:r>
          </w:p>
        </w:tc>
        <w:tc>
          <w:tcPr>
            <w:tcW w:w="1275" w:type="dxa"/>
            <w:tcBorders>
              <w:top w:val="single" w:sz="2" w:space="0" w:color="auto"/>
              <w:left w:val="single" w:sz="2" w:space="0" w:color="auto"/>
              <w:bottom w:val="single" w:sz="2" w:space="0" w:color="auto"/>
              <w:right w:val="single" w:sz="2" w:space="0" w:color="auto"/>
            </w:tcBorders>
            <w:vAlign w:val="center"/>
          </w:tcPr>
          <w:p w14:paraId="7B14019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170,435.35</w:t>
            </w:r>
          </w:p>
        </w:tc>
      </w:tr>
      <w:tr w:rsidR="00095F6F" w14:paraId="307CBAA2"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DD5F43A"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其他变动</w:t>
            </w:r>
          </w:p>
        </w:tc>
        <w:tc>
          <w:tcPr>
            <w:tcW w:w="1985" w:type="dxa"/>
            <w:tcBorders>
              <w:top w:val="single" w:sz="2" w:space="0" w:color="auto"/>
              <w:left w:val="single" w:sz="2" w:space="0" w:color="auto"/>
              <w:bottom w:val="single" w:sz="2" w:space="0" w:color="auto"/>
              <w:right w:val="single" w:sz="2" w:space="0" w:color="auto"/>
            </w:tcBorders>
            <w:vAlign w:val="center"/>
          </w:tcPr>
          <w:p w14:paraId="14075C65"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-630.27</w:t>
            </w:r>
          </w:p>
        </w:tc>
        <w:tc>
          <w:tcPr>
            <w:tcW w:w="1984" w:type="dxa"/>
            <w:tcBorders>
              <w:top w:val="single" w:sz="2" w:space="0" w:color="auto"/>
              <w:left w:val="single" w:sz="2" w:space="0" w:color="auto"/>
              <w:bottom w:val="single" w:sz="2" w:space="0" w:color="auto"/>
              <w:right w:val="single" w:sz="2" w:space="0" w:color="auto"/>
            </w:tcBorders>
            <w:vAlign w:val="center"/>
          </w:tcPr>
          <w:p w14:paraId="797043F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290.94</w:t>
            </w:r>
          </w:p>
        </w:tc>
        <w:tc>
          <w:tcPr>
            <w:tcW w:w="1985" w:type="dxa"/>
            <w:tcBorders>
              <w:top w:val="single" w:sz="2" w:space="0" w:color="auto"/>
              <w:left w:val="single" w:sz="2" w:space="0" w:color="auto"/>
              <w:bottom w:val="single" w:sz="2" w:space="0" w:color="auto"/>
              <w:right w:val="single" w:sz="2" w:space="0" w:color="auto"/>
            </w:tcBorders>
            <w:vAlign w:val="center"/>
          </w:tcPr>
          <w:p w14:paraId="62EC3A30"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-348,982.65</w:t>
            </w:r>
          </w:p>
        </w:tc>
        <w:tc>
          <w:tcPr>
            <w:tcW w:w="1275" w:type="dxa"/>
            <w:tcBorders>
              <w:top w:val="single" w:sz="2" w:space="0" w:color="auto"/>
              <w:left w:val="single" w:sz="2" w:space="0" w:color="auto"/>
              <w:bottom w:val="single" w:sz="2" w:space="0" w:color="auto"/>
              <w:right w:val="single" w:sz="2" w:space="0" w:color="auto"/>
            </w:tcBorders>
            <w:vAlign w:val="center"/>
          </w:tcPr>
          <w:p w14:paraId="1B812D2A"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-349,321.98</w:t>
            </w:r>
          </w:p>
        </w:tc>
      </w:tr>
      <w:tr w:rsidR="00095F6F" w14:paraId="66F789BB" w14:textId="77777777" w:rsidTr="00024F7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E1AA571"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2025</w:t>
            </w:r>
            <w:r w:rsidRPr="00024F79">
              <w:rPr>
                <w:rFonts w:ascii="Times New Roman" w:eastAsia="宋体" w:hAnsi="Times New Roman" w:cs="Times New Roman"/>
                <w:sz w:val="18"/>
                <w:szCs w:val="18"/>
              </w:rPr>
              <w:t>年</w:t>
            </w:r>
            <w:r w:rsidRPr="00024F79">
              <w:rPr>
                <w:rFonts w:ascii="Times New Roman" w:eastAsia="宋体" w:hAnsi="Times New Roman" w:cs="Times New Roman"/>
                <w:sz w:val="18"/>
                <w:szCs w:val="18"/>
              </w:rPr>
              <w:t>12</w:t>
            </w:r>
            <w:r w:rsidRPr="00024F79">
              <w:rPr>
                <w:rFonts w:ascii="Times New Roman" w:eastAsia="宋体" w:hAnsi="Times New Roman" w:cs="Times New Roman"/>
                <w:sz w:val="18"/>
                <w:szCs w:val="18"/>
              </w:rPr>
              <w:t>月</w:t>
            </w:r>
            <w:r w:rsidRPr="00024F79">
              <w:rPr>
                <w:rFonts w:ascii="Times New Roman" w:eastAsia="宋体" w:hAnsi="Times New Roman" w:cs="Times New Roman"/>
                <w:sz w:val="18"/>
                <w:szCs w:val="18"/>
              </w:rPr>
              <w:t>31</w:t>
            </w:r>
            <w:r w:rsidRPr="00024F79">
              <w:rPr>
                <w:rFonts w:ascii="Times New Roman" w:eastAsia="宋体" w:hAnsi="Times New Roman" w:cs="Times New Roman"/>
                <w:sz w:val="18"/>
                <w:szCs w:val="18"/>
              </w:rPr>
              <w:t>日余额</w:t>
            </w:r>
          </w:p>
        </w:tc>
        <w:tc>
          <w:tcPr>
            <w:tcW w:w="1985" w:type="dxa"/>
            <w:tcBorders>
              <w:top w:val="single" w:sz="2" w:space="0" w:color="auto"/>
              <w:left w:val="single" w:sz="2" w:space="0" w:color="auto"/>
              <w:bottom w:val="single" w:sz="2" w:space="0" w:color="auto"/>
              <w:right w:val="single" w:sz="2" w:space="0" w:color="auto"/>
            </w:tcBorders>
            <w:vAlign w:val="center"/>
          </w:tcPr>
          <w:p w14:paraId="6F49B0F9"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71,991.43</w:t>
            </w:r>
          </w:p>
        </w:tc>
        <w:tc>
          <w:tcPr>
            <w:tcW w:w="1984" w:type="dxa"/>
            <w:tcBorders>
              <w:top w:val="single" w:sz="2" w:space="0" w:color="auto"/>
              <w:left w:val="single" w:sz="2" w:space="0" w:color="auto"/>
              <w:bottom w:val="single" w:sz="2" w:space="0" w:color="auto"/>
              <w:right w:val="single" w:sz="2" w:space="0" w:color="auto"/>
            </w:tcBorders>
            <w:vAlign w:val="center"/>
          </w:tcPr>
          <w:p w14:paraId="791720E3"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792,170.88</w:t>
            </w:r>
          </w:p>
        </w:tc>
        <w:tc>
          <w:tcPr>
            <w:tcW w:w="1985" w:type="dxa"/>
            <w:tcBorders>
              <w:top w:val="single" w:sz="2" w:space="0" w:color="auto"/>
              <w:left w:val="single" w:sz="2" w:space="0" w:color="auto"/>
              <w:bottom w:val="single" w:sz="2" w:space="0" w:color="auto"/>
              <w:right w:val="single" w:sz="2" w:space="0" w:color="auto"/>
            </w:tcBorders>
            <w:vAlign w:val="center"/>
          </w:tcPr>
          <w:p w14:paraId="07559BF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27,644,527.04</w:t>
            </w:r>
          </w:p>
        </w:tc>
        <w:tc>
          <w:tcPr>
            <w:tcW w:w="1275" w:type="dxa"/>
            <w:tcBorders>
              <w:top w:val="single" w:sz="2" w:space="0" w:color="auto"/>
              <w:left w:val="single" w:sz="2" w:space="0" w:color="auto"/>
              <w:bottom w:val="single" w:sz="2" w:space="0" w:color="auto"/>
              <w:right w:val="single" w:sz="2" w:space="0" w:color="auto"/>
            </w:tcBorders>
            <w:vAlign w:val="center"/>
          </w:tcPr>
          <w:p w14:paraId="7A4D94D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28,508,689.35</w:t>
            </w:r>
          </w:p>
        </w:tc>
      </w:tr>
    </w:tbl>
    <w:p w14:paraId="10221D7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各阶段划分依据和坏账准备计提比例</w:t>
      </w:r>
    </w:p>
    <w:p w14:paraId="07D10473"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详见本附注“五、</w:t>
      </w:r>
      <w:r w:rsidRPr="00684E6E">
        <w:rPr>
          <w:rFonts w:ascii="Times New Roman" w:hAnsi="Times New Roman" w:cs="Times New Roman" w:hint="eastAsia"/>
          <w:sz w:val="21"/>
          <w:szCs w:val="21"/>
        </w:rPr>
        <w:t xml:space="preserve">10 </w:t>
      </w:r>
      <w:r w:rsidRPr="00684E6E">
        <w:rPr>
          <w:rFonts w:ascii="Times New Roman" w:hAnsi="Times New Roman" w:cs="Times New Roman" w:hint="eastAsia"/>
          <w:sz w:val="21"/>
          <w:szCs w:val="21"/>
        </w:rPr>
        <w:t>金融工具”相关内容。</w:t>
      </w:r>
      <w:r w:rsidRPr="00684E6E">
        <w:rPr>
          <w:rFonts w:ascii="Times New Roman" w:hAnsi="Times New Roman" w:cs="Times New Roman" w:hint="eastAsia"/>
          <w:sz w:val="21"/>
          <w:szCs w:val="21"/>
        </w:rPr>
        <w:t> </w:t>
      </w:r>
    </w:p>
    <w:p w14:paraId="78A45550"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14:paraId="5369DE5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F83883F" w14:textId="77777777" w:rsidR="00A46BF1" w:rsidRDefault="00A46BF1" w:rsidP="00A46BF1">
      <w:pPr>
        <w:keepNext/>
        <w:keepLines/>
        <w:spacing w:before="300" w:after="300" w:line="280" w:lineRule="exact"/>
        <w:outlineLvl w:val="4"/>
        <w:rPr>
          <w:rFonts w:ascii="宋体" w:eastAsia="宋体" w:hAnsi="宋体" w:cs="宋体"/>
          <w:b/>
          <w:bCs/>
          <w:szCs w:val="21"/>
        </w:rPr>
      </w:pPr>
      <w:r>
        <w:rPr>
          <w:rFonts w:ascii="宋体" w:eastAsia="宋体" w:hAnsi="宋体" w:cs="宋体"/>
          <w:b/>
          <w:bCs/>
          <w:szCs w:val="21"/>
        </w:rPr>
        <w:t>4） 本期计提、收回或转回的坏账准备情况</w:t>
      </w:r>
    </w:p>
    <w:p w14:paraId="140EAE2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本期计提坏账准备情况：</w:t>
      </w:r>
    </w:p>
    <w:p w14:paraId="123C0322"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85"/>
        <w:gridCol w:w="1276"/>
        <w:gridCol w:w="1275"/>
        <w:gridCol w:w="1276"/>
        <w:gridCol w:w="1276"/>
        <w:gridCol w:w="1174"/>
        <w:gridCol w:w="1377"/>
      </w:tblGrid>
      <w:tr w:rsidR="00095F6F" w:rsidRPr="00024F79" w14:paraId="5C1B34E4" w14:textId="77777777" w:rsidTr="00B23068">
        <w:trPr>
          <w:trHeight w:val="240"/>
        </w:trPr>
        <w:tc>
          <w:tcPr>
            <w:tcW w:w="198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50F796"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类别</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36ECDD"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期初余额</w:t>
            </w:r>
          </w:p>
        </w:tc>
        <w:tc>
          <w:tcPr>
            <w:tcW w:w="500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7A29BD0A"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E46120F"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期末余额</w:t>
            </w:r>
          </w:p>
        </w:tc>
      </w:tr>
      <w:tr w:rsidR="00095F6F" w:rsidRPr="00024F79" w14:paraId="2961B07C" w14:textId="77777777" w:rsidTr="00B23068">
        <w:trPr>
          <w:trHeight w:val="240"/>
        </w:trPr>
        <w:tc>
          <w:tcPr>
            <w:tcW w:w="198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1FBC02" w14:textId="77777777" w:rsidR="00A46BF1" w:rsidRPr="00024F79" w:rsidRDefault="00A46BF1" w:rsidP="00024F79">
            <w:pPr>
              <w:spacing w:line="360" w:lineRule="auto"/>
              <w:rPr>
                <w:rFonts w:ascii="Times New Roman" w:hAnsi="Times New Roman" w:cs="Times New Roman"/>
              </w:rPr>
            </w:pPr>
          </w:p>
        </w:tc>
        <w:tc>
          <w:tcPr>
            <w:tcW w:w="12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7C6408" w14:textId="77777777" w:rsidR="00A46BF1" w:rsidRPr="00024F79" w:rsidRDefault="00A46BF1" w:rsidP="00024F79">
            <w:pPr>
              <w:spacing w:line="360" w:lineRule="auto"/>
              <w:rPr>
                <w:rFonts w:ascii="Times New Roman" w:hAnsi="Times New Roman" w:cs="Times New Roman"/>
              </w:rPr>
            </w:pP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5C164F6F"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计提</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5EF24EEE"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收回或转回</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0CAF919"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转销或核销</w:t>
            </w:r>
          </w:p>
        </w:tc>
        <w:tc>
          <w:tcPr>
            <w:tcW w:w="1174" w:type="dxa"/>
            <w:tcBorders>
              <w:top w:val="single" w:sz="2" w:space="0" w:color="auto"/>
              <w:left w:val="single" w:sz="2" w:space="0" w:color="auto"/>
              <w:bottom w:val="single" w:sz="2" w:space="0" w:color="auto"/>
              <w:right w:val="single" w:sz="2" w:space="0" w:color="auto"/>
            </w:tcBorders>
            <w:shd w:val="clear" w:color="auto" w:fill="D3D3D3"/>
            <w:vAlign w:val="center"/>
          </w:tcPr>
          <w:p w14:paraId="55C2F87E" w14:textId="77777777" w:rsidR="00A46BF1" w:rsidRPr="00024F79" w:rsidRDefault="00A46BF1" w:rsidP="00024F79">
            <w:pPr>
              <w:spacing w:before="40" w:after="40" w:line="360" w:lineRule="auto"/>
              <w:jc w:val="center"/>
              <w:rPr>
                <w:rFonts w:ascii="Times New Roman" w:eastAsia="宋体" w:hAnsi="Times New Roman" w:cs="Times New Roman"/>
                <w:sz w:val="18"/>
                <w:szCs w:val="18"/>
              </w:rPr>
            </w:pPr>
            <w:r w:rsidRPr="00024F79">
              <w:rPr>
                <w:rFonts w:ascii="Times New Roman" w:eastAsia="宋体" w:hAnsi="Times New Roman" w:cs="Times New Roman"/>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C3CD65" w14:textId="77777777" w:rsidR="00A46BF1" w:rsidRPr="00024F79" w:rsidRDefault="00A46BF1" w:rsidP="00024F79">
            <w:pPr>
              <w:spacing w:line="360" w:lineRule="auto"/>
              <w:rPr>
                <w:rFonts w:ascii="Times New Roman" w:hAnsi="Times New Roman" w:cs="Times New Roman"/>
              </w:rPr>
            </w:pPr>
          </w:p>
        </w:tc>
      </w:tr>
      <w:tr w:rsidR="00095F6F" w:rsidRPr="00024F79" w14:paraId="0846ED8B" w14:textId="77777777" w:rsidTr="00B23068">
        <w:trPr>
          <w:trHeight w:val="240"/>
        </w:trPr>
        <w:tc>
          <w:tcPr>
            <w:tcW w:w="1985" w:type="dxa"/>
            <w:tcBorders>
              <w:top w:val="single" w:sz="2" w:space="0" w:color="auto"/>
              <w:left w:val="single" w:sz="2" w:space="0" w:color="auto"/>
              <w:bottom w:val="single" w:sz="2" w:space="0" w:color="auto"/>
              <w:right w:val="single" w:sz="2" w:space="0" w:color="auto"/>
            </w:tcBorders>
            <w:vAlign w:val="center"/>
          </w:tcPr>
          <w:p w14:paraId="401F4738" w14:textId="77777777" w:rsidR="00A46BF1" w:rsidRPr="00024F79" w:rsidRDefault="00A46BF1" w:rsidP="00024F79">
            <w:pPr>
              <w:spacing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其他应收款</w:t>
            </w:r>
            <w:r w:rsidRPr="00024F79">
              <w:rPr>
                <w:rFonts w:ascii="Times New Roman" w:eastAsia="宋体" w:hAnsi="Times New Roman" w:cs="Times New Roman"/>
                <w:sz w:val="18"/>
                <w:szCs w:val="18"/>
              </w:rPr>
              <w:t>-</w:t>
            </w:r>
            <w:r w:rsidRPr="00024F79">
              <w:rPr>
                <w:rFonts w:ascii="Times New Roman" w:eastAsia="宋体" w:hAnsi="Times New Roman" w:cs="Times New Roman"/>
                <w:sz w:val="18"/>
                <w:szCs w:val="18"/>
              </w:rPr>
              <w:t>坏账准备</w:t>
            </w:r>
          </w:p>
        </w:tc>
        <w:tc>
          <w:tcPr>
            <w:tcW w:w="1276" w:type="dxa"/>
            <w:tcBorders>
              <w:top w:val="single" w:sz="2" w:space="0" w:color="auto"/>
              <w:left w:val="single" w:sz="2" w:space="0" w:color="auto"/>
              <w:bottom w:val="single" w:sz="2" w:space="0" w:color="auto"/>
              <w:right w:val="single" w:sz="2" w:space="0" w:color="auto"/>
            </w:tcBorders>
            <w:vAlign w:val="center"/>
          </w:tcPr>
          <w:p w14:paraId="0AFC04F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3,409,717.97</w:t>
            </w:r>
          </w:p>
        </w:tc>
        <w:tc>
          <w:tcPr>
            <w:tcW w:w="1275" w:type="dxa"/>
            <w:tcBorders>
              <w:top w:val="single" w:sz="2" w:space="0" w:color="auto"/>
              <w:left w:val="single" w:sz="2" w:space="0" w:color="auto"/>
              <w:bottom w:val="single" w:sz="2" w:space="0" w:color="auto"/>
              <w:right w:val="single" w:sz="2" w:space="0" w:color="auto"/>
            </w:tcBorders>
            <w:vAlign w:val="center"/>
          </w:tcPr>
          <w:p w14:paraId="015828F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25,897,361.17</w:t>
            </w:r>
          </w:p>
        </w:tc>
        <w:tc>
          <w:tcPr>
            <w:tcW w:w="1276" w:type="dxa"/>
            <w:tcBorders>
              <w:top w:val="single" w:sz="2" w:space="0" w:color="auto"/>
              <w:left w:val="single" w:sz="2" w:space="0" w:color="auto"/>
              <w:bottom w:val="single" w:sz="2" w:space="0" w:color="auto"/>
              <w:right w:val="single" w:sz="2" w:space="0" w:color="auto"/>
            </w:tcBorders>
            <w:vAlign w:val="center"/>
          </w:tcPr>
          <w:p w14:paraId="2E294BE7"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278,632.46</w:t>
            </w:r>
          </w:p>
        </w:tc>
        <w:tc>
          <w:tcPr>
            <w:tcW w:w="1276" w:type="dxa"/>
            <w:tcBorders>
              <w:top w:val="single" w:sz="2" w:space="0" w:color="auto"/>
              <w:left w:val="single" w:sz="2" w:space="0" w:color="auto"/>
              <w:bottom w:val="single" w:sz="2" w:space="0" w:color="auto"/>
              <w:right w:val="single" w:sz="2" w:space="0" w:color="auto"/>
            </w:tcBorders>
            <w:vAlign w:val="center"/>
          </w:tcPr>
          <w:p w14:paraId="0151962B"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170,435.35</w:t>
            </w:r>
          </w:p>
        </w:tc>
        <w:tc>
          <w:tcPr>
            <w:tcW w:w="1174" w:type="dxa"/>
            <w:tcBorders>
              <w:top w:val="single" w:sz="2" w:space="0" w:color="auto"/>
              <w:left w:val="single" w:sz="2" w:space="0" w:color="auto"/>
              <w:bottom w:val="single" w:sz="2" w:space="0" w:color="auto"/>
              <w:right w:val="single" w:sz="2" w:space="0" w:color="auto"/>
            </w:tcBorders>
            <w:vAlign w:val="center"/>
          </w:tcPr>
          <w:p w14:paraId="31FAA5E8"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349,321.98</w:t>
            </w:r>
          </w:p>
        </w:tc>
        <w:tc>
          <w:tcPr>
            <w:tcW w:w="1377" w:type="dxa"/>
            <w:tcBorders>
              <w:top w:val="single" w:sz="2" w:space="0" w:color="auto"/>
              <w:left w:val="single" w:sz="2" w:space="0" w:color="auto"/>
              <w:bottom w:val="single" w:sz="2" w:space="0" w:color="auto"/>
              <w:right w:val="single" w:sz="2" w:space="0" w:color="auto"/>
            </w:tcBorders>
            <w:vAlign w:val="center"/>
          </w:tcPr>
          <w:p w14:paraId="77BB92E7"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28,508,689.35</w:t>
            </w:r>
          </w:p>
        </w:tc>
      </w:tr>
      <w:tr w:rsidR="00095F6F" w:rsidRPr="00024F79" w14:paraId="2035C094" w14:textId="77777777" w:rsidTr="00B23068">
        <w:trPr>
          <w:trHeight w:val="240"/>
        </w:trPr>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767FEED6" w14:textId="77777777" w:rsidR="00A46BF1" w:rsidRPr="00024F79" w:rsidRDefault="00A46BF1" w:rsidP="00024F79">
            <w:pPr>
              <w:spacing w:before="40" w:after="40" w:line="360" w:lineRule="auto"/>
              <w:rPr>
                <w:rFonts w:ascii="Times New Roman" w:eastAsia="宋体" w:hAnsi="Times New Roman" w:cs="Times New Roman"/>
                <w:sz w:val="18"/>
                <w:szCs w:val="18"/>
              </w:rPr>
            </w:pPr>
            <w:r w:rsidRPr="00024F79">
              <w:rPr>
                <w:rFonts w:ascii="Times New Roman" w:eastAsia="宋体" w:hAnsi="Times New Roman" w:cs="Times New Roman"/>
                <w:sz w:val="18"/>
                <w:szCs w:val="18"/>
              </w:rPr>
              <w:t>合计</w:t>
            </w:r>
          </w:p>
        </w:tc>
        <w:tc>
          <w:tcPr>
            <w:tcW w:w="1276" w:type="dxa"/>
            <w:tcBorders>
              <w:top w:val="single" w:sz="2" w:space="0" w:color="auto"/>
              <w:left w:val="single" w:sz="2" w:space="0" w:color="auto"/>
              <w:bottom w:val="single" w:sz="2" w:space="0" w:color="auto"/>
              <w:right w:val="single" w:sz="2" w:space="0" w:color="auto"/>
            </w:tcBorders>
            <w:vAlign w:val="center"/>
          </w:tcPr>
          <w:p w14:paraId="24FA8FBD"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3,409,717.97</w:t>
            </w:r>
          </w:p>
        </w:tc>
        <w:tc>
          <w:tcPr>
            <w:tcW w:w="1275" w:type="dxa"/>
            <w:tcBorders>
              <w:top w:val="single" w:sz="2" w:space="0" w:color="auto"/>
              <w:left w:val="single" w:sz="2" w:space="0" w:color="auto"/>
              <w:bottom w:val="single" w:sz="2" w:space="0" w:color="auto"/>
              <w:right w:val="single" w:sz="2" w:space="0" w:color="auto"/>
            </w:tcBorders>
            <w:vAlign w:val="center"/>
          </w:tcPr>
          <w:p w14:paraId="3B691336"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25,897,361.17</w:t>
            </w:r>
          </w:p>
        </w:tc>
        <w:tc>
          <w:tcPr>
            <w:tcW w:w="1276" w:type="dxa"/>
            <w:tcBorders>
              <w:top w:val="single" w:sz="2" w:space="0" w:color="auto"/>
              <w:left w:val="single" w:sz="2" w:space="0" w:color="auto"/>
              <w:bottom w:val="single" w:sz="2" w:space="0" w:color="auto"/>
              <w:right w:val="single" w:sz="2" w:space="0" w:color="auto"/>
            </w:tcBorders>
            <w:vAlign w:val="center"/>
          </w:tcPr>
          <w:p w14:paraId="4912D862"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278,632.46</w:t>
            </w:r>
          </w:p>
        </w:tc>
        <w:tc>
          <w:tcPr>
            <w:tcW w:w="1276" w:type="dxa"/>
            <w:tcBorders>
              <w:top w:val="single" w:sz="2" w:space="0" w:color="auto"/>
              <w:left w:val="single" w:sz="2" w:space="0" w:color="auto"/>
              <w:bottom w:val="single" w:sz="2" w:space="0" w:color="auto"/>
              <w:right w:val="single" w:sz="2" w:space="0" w:color="auto"/>
            </w:tcBorders>
            <w:vAlign w:val="center"/>
          </w:tcPr>
          <w:p w14:paraId="7303F24D"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170,435.35</w:t>
            </w:r>
          </w:p>
        </w:tc>
        <w:tc>
          <w:tcPr>
            <w:tcW w:w="1174" w:type="dxa"/>
            <w:tcBorders>
              <w:top w:val="single" w:sz="2" w:space="0" w:color="auto"/>
              <w:left w:val="single" w:sz="2" w:space="0" w:color="auto"/>
              <w:bottom w:val="single" w:sz="2" w:space="0" w:color="auto"/>
              <w:right w:val="single" w:sz="2" w:space="0" w:color="auto"/>
            </w:tcBorders>
            <w:vAlign w:val="center"/>
          </w:tcPr>
          <w:p w14:paraId="797377D8"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349,321.98</w:t>
            </w:r>
          </w:p>
        </w:tc>
        <w:tc>
          <w:tcPr>
            <w:tcW w:w="1377" w:type="dxa"/>
            <w:tcBorders>
              <w:top w:val="single" w:sz="2" w:space="0" w:color="auto"/>
              <w:left w:val="single" w:sz="2" w:space="0" w:color="auto"/>
              <w:bottom w:val="single" w:sz="2" w:space="0" w:color="auto"/>
              <w:right w:val="single" w:sz="2" w:space="0" w:color="auto"/>
            </w:tcBorders>
            <w:vAlign w:val="center"/>
          </w:tcPr>
          <w:p w14:paraId="5DC98DAE" w14:textId="77777777" w:rsidR="00A46BF1" w:rsidRPr="00024F79" w:rsidRDefault="00A46BF1" w:rsidP="00024F79">
            <w:pPr>
              <w:spacing w:line="360" w:lineRule="auto"/>
              <w:jc w:val="right"/>
              <w:rPr>
                <w:rFonts w:ascii="Times New Roman" w:eastAsia="宋体" w:hAnsi="Times New Roman" w:cs="Times New Roman"/>
                <w:sz w:val="18"/>
                <w:szCs w:val="18"/>
              </w:rPr>
            </w:pPr>
            <w:r w:rsidRPr="00024F79">
              <w:rPr>
                <w:rFonts w:ascii="Times New Roman" w:eastAsia="宋体" w:hAnsi="Times New Roman" w:cs="Times New Roman"/>
                <w:sz w:val="18"/>
                <w:szCs w:val="18"/>
              </w:rPr>
              <w:t>28,508,689.35</w:t>
            </w:r>
          </w:p>
        </w:tc>
      </w:tr>
    </w:tbl>
    <w:p w14:paraId="4283E56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14:paraId="5904AD48"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6120AAE5" w14:textId="77777777" w:rsidTr="00B23068">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23788F9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328F43C"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52E88F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54996D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2D976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确定原坏账准备计提比例的依据及其合理性</w:t>
            </w:r>
          </w:p>
        </w:tc>
      </w:tr>
    </w:tbl>
    <w:p w14:paraId="093D6058" w14:textId="1C44C008" w:rsidR="00A46BF1" w:rsidRPr="00B23068" w:rsidRDefault="00B23068" w:rsidP="00B23068">
      <w:pPr>
        <w:spacing w:before="100" w:after="100" w:line="240" w:lineRule="exact"/>
        <w:rPr>
          <w:rFonts w:ascii="宋体" w:eastAsia="宋体" w:hAnsi="宋体" w:cs="宋体"/>
          <w:sz w:val="18"/>
          <w:szCs w:val="18"/>
        </w:rPr>
      </w:pPr>
      <w:r w:rsidRPr="00B23068">
        <w:rPr>
          <w:rFonts w:ascii="宋体" w:eastAsia="宋体" w:hAnsi="宋体" w:cs="宋体" w:hint="eastAsia"/>
          <w:sz w:val="18"/>
          <w:szCs w:val="18"/>
        </w:rPr>
        <w:t>无</w:t>
      </w:r>
    </w:p>
    <w:p w14:paraId="12A5D26F" w14:textId="77777777" w:rsidR="00A46BF1" w:rsidRDefault="00A46BF1" w:rsidP="00A46BF1">
      <w:pPr>
        <w:keepNext/>
        <w:keepLines/>
        <w:spacing w:before="300" w:after="300" w:line="280" w:lineRule="exact"/>
        <w:outlineLvl w:val="4"/>
        <w:rPr>
          <w:rFonts w:ascii="宋体" w:eastAsia="宋体" w:hAnsi="宋体" w:cs="宋体"/>
          <w:b/>
          <w:bCs/>
          <w:szCs w:val="21"/>
        </w:rPr>
      </w:pPr>
      <w:r>
        <w:rPr>
          <w:rFonts w:ascii="宋体" w:eastAsia="宋体" w:hAnsi="宋体" w:cs="宋体"/>
          <w:b/>
          <w:bCs/>
          <w:szCs w:val="21"/>
        </w:rPr>
        <w:t>5） 本期实际核销的其他应收款情况</w:t>
      </w:r>
    </w:p>
    <w:p w14:paraId="7E86AFB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820"/>
        <w:gridCol w:w="4819"/>
      </w:tblGrid>
      <w:tr w:rsidR="00095F6F" w14:paraId="407553E9"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01021AA" w14:textId="77777777" w:rsidR="00A46BF1" w:rsidRPr="00B23068" w:rsidRDefault="00A46BF1" w:rsidP="00B23068">
            <w:pPr>
              <w:spacing w:before="40" w:after="40" w:line="360" w:lineRule="auto"/>
              <w:jc w:val="center"/>
              <w:rPr>
                <w:rFonts w:ascii="Times New Roman" w:eastAsia="宋体" w:hAnsi="Times New Roman" w:cs="Times New Roman"/>
                <w:sz w:val="18"/>
                <w:szCs w:val="18"/>
              </w:rPr>
            </w:pPr>
            <w:r w:rsidRPr="00B23068">
              <w:rPr>
                <w:rFonts w:ascii="Times New Roman" w:eastAsia="宋体" w:hAnsi="Times New Roman" w:cs="Times New Roman"/>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5E843B5" w14:textId="77777777" w:rsidR="00A46BF1" w:rsidRPr="00B23068" w:rsidRDefault="00A46BF1" w:rsidP="00B23068">
            <w:pPr>
              <w:spacing w:before="40" w:after="40" w:line="360" w:lineRule="auto"/>
              <w:jc w:val="center"/>
              <w:rPr>
                <w:rFonts w:ascii="Times New Roman" w:eastAsia="宋体" w:hAnsi="Times New Roman" w:cs="Times New Roman"/>
                <w:sz w:val="18"/>
                <w:szCs w:val="18"/>
              </w:rPr>
            </w:pPr>
            <w:r w:rsidRPr="00B23068">
              <w:rPr>
                <w:rFonts w:ascii="Times New Roman" w:eastAsia="宋体" w:hAnsi="Times New Roman" w:cs="Times New Roman"/>
                <w:sz w:val="18"/>
                <w:szCs w:val="18"/>
              </w:rPr>
              <w:t>核销金额</w:t>
            </w:r>
          </w:p>
        </w:tc>
      </w:tr>
      <w:tr w:rsidR="00095F6F" w14:paraId="38085BF7"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494A4CF" w14:textId="77777777" w:rsidR="00A46BF1" w:rsidRPr="00B23068" w:rsidRDefault="00A46BF1" w:rsidP="00B23068">
            <w:pPr>
              <w:spacing w:line="360" w:lineRule="auto"/>
              <w:rPr>
                <w:rFonts w:ascii="Times New Roman" w:eastAsia="宋体" w:hAnsi="Times New Roman" w:cs="Times New Roman"/>
                <w:sz w:val="18"/>
                <w:szCs w:val="18"/>
              </w:rPr>
            </w:pPr>
            <w:r w:rsidRPr="00B23068">
              <w:rPr>
                <w:rFonts w:ascii="Times New Roman" w:eastAsia="宋体" w:hAnsi="Times New Roman" w:cs="Times New Roman"/>
                <w:sz w:val="18"/>
                <w:szCs w:val="18"/>
              </w:rPr>
              <w:t>实际核销的其他应收账款</w:t>
            </w:r>
          </w:p>
        </w:tc>
        <w:tc>
          <w:tcPr>
            <w:tcW w:w="4820" w:type="dxa"/>
            <w:tcBorders>
              <w:top w:val="single" w:sz="2" w:space="0" w:color="auto"/>
              <w:left w:val="single" w:sz="2" w:space="0" w:color="auto"/>
              <w:bottom w:val="single" w:sz="2" w:space="0" w:color="auto"/>
              <w:right w:val="single" w:sz="2" w:space="0" w:color="auto"/>
            </w:tcBorders>
            <w:vAlign w:val="center"/>
          </w:tcPr>
          <w:p w14:paraId="658373B6" w14:textId="77777777" w:rsidR="00A46BF1" w:rsidRPr="00B23068" w:rsidRDefault="00A46BF1" w:rsidP="00B23068">
            <w:pPr>
              <w:spacing w:line="360" w:lineRule="auto"/>
              <w:jc w:val="right"/>
              <w:rPr>
                <w:rFonts w:ascii="Times New Roman" w:eastAsia="宋体" w:hAnsi="Times New Roman" w:cs="Times New Roman"/>
                <w:sz w:val="18"/>
                <w:szCs w:val="18"/>
              </w:rPr>
            </w:pPr>
            <w:r w:rsidRPr="00B23068">
              <w:rPr>
                <w:rFonts w:ascii="Times New Roman" w:eastAsia="宋体" w:hAnsi="Times New Roman" w:cs="Times New Roman"/>
                <w:sz w:val="18"/>
                <w:szCs w:val="18"/>
              </w:rPr>
              <w:t>170,435.35</w:t>
            </w:r>
          </w:p>
        </w:tc>
      </w:tr>
    </w:tbl>
    <w:p w14:paraId="7CE7FAB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其中重要的其他应收款核销情况：</w:t>
      </w:r>
    </w:p>
    <w:p w14:paraId="6A8B1CC5"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6EBE91E3" w14:textId="77777777" w:rsidTr="0087539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5DB91FF" w14:textId="77777777" w:rsidR="00A46BF1" w:rsidRDefault="00A46BF1" w:rsidP="00875391">
            <w:pPr>
              <w:spacing w:before="40" w:after="40" w:line="360" w:lineRule="auto"/>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37CDB14" w14:textId="77777777" w:rsidR="00A46BF1" w:rsidRDefault="00A46BF1" w:rsidP="00875391">
            <w:pPr>
              <w:spacing w:before="40" w:after="40" w:line="360" w:lineRule="auto"/>
              <w:jc w:val="center"/>
              <w:rPr>
                <w:rFonts w:ascii="宋体" w:eastAsia="宋体" w:hAnsi="宋体" w:cs="宋体"/>
                <w:sz w:val="18"/>
                <w:szCs w:val="18"/>
              </w:rPr>
            </w:pPr>
            <w:r>
              <w:rPr>
                <w:rFonts w:ascii="宋体" w:eastAsia="宋体" w:hAnsi="宋体" w:cs="宋体"/>
                <w:sz w:val="18"/>
                <w:szCs w:val="18"/>
              </w:rPr>
              <w:t>其他应收款性质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7ED300E" w14:textId="77777777" w:rsidR="00A46BF1" w:rsidRDefault="00A46BF1" w:rsidP="00875391">
            <w:pPr>
              <w:spacing w:before="40" w:after="40" w:line="360" w:lineRule="auto"/>
              <w:jc w:val="center"/>
              <w:rPr>
                <w:rFonts w:ascii="宋体" w:eastAsia="宋体" w:hAnsi="宋体" w:cs="宋体"/>
                <w:sz w:val="18"/>
                <w:szCs w:val="18"/>
              </w:rPr>
            </w:pPr>
            <w:r>
              <w:rPr>
                <w:rFonts w:ascii="宋体" w:eastAsia="宋体" w:hAnsi="宋体" w:cs="宋体"/>
                <w:sz w:val="18"/>
                <w:szCs w:val="18"/>
              </w:rPr>
              <w:t>核销金额</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11598638" w14:textId="77777777" w:rsidR="00A46BF1" w:rsidRDefault="00A46BF1" w:rsidP="00875391">
            <w:pPr>
              <w:spacing w:before="40" w:after="40" w:line="360" w:lineRule="auto"/>
              <w:jc w:val="center"/>
              <w:rPr>
                <w:rFonts w:ascii="宋体" w:eastAsia="宋体" w:hAnsi="宋体" w:cs="宋体"/>
                <w:sz w:val="18"/>
                <w:szCs w:val="18"/>
              </w:rPr>
            </w:pPr>
            <w:r>
              <w:rPr>
                <w:rFonts w:ascii="宋体" w:eastAsia="宋体" w:hAnsi="宋体" w:cs="宋体"/>
                <w:sz w:val="18"/>
                <w:szCs w:val="18"/>
              </w:rPr>
              <w:t>核销原因</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327ED2DC" w14:textId="77777777" w:rsidR="00A46BF1" w:rsidRDefault="00A46BF1" w:rsidP="00875391">
            <w:pPr>
              <w:spacing w:before="40" w:after="40" w:line="360" w:lineRule="auto"/>
              <w:jc w:val="center"/>
              <w:rPr>
                <w:rFonts w:ascii="宋体" w:eastAsia="宋体" w:hAnsi="宋体" w:cs="宋体"/>
                <w:sz w:val="18"/>
                <w:szCs w:val="18"/>
              </w:rPr>
            </w:pPr>
            <w:r>
              <w:rPr>
                <w:rFonts w:ascii="宋体" w:eastAsia="宋体" w:hAnsi="宋体" w:cs="宋体"/>
                <w:sz w:val="18"/>
                <w:szCs w:val="18"/>
              </w:rPr>
              <w:t>履行的核销程序</w:t>
            </w:r>
          </w:p>
        </w:tc>
        <w:tc>
          <w:tcPr>
            <w:tcW w:w="1607" w:type="dxa"/>
            <w:tcBorders>
              <w:top w:val="single" w:sz="2" w:space="0" w:color="auto"/>
              <w:left w:val="single" w:sz="2" w:space="0" w:color="auto"/>
              <w:bottom w:val="single" w:sz="2" w:space="0" w:color="auto"/>
              <w:right w:val="single" w:sz="2" w:space="0" w:color="auto"/>
            </w:tcBorders>
            <w:shd w:val="clear" w:color="auto" w:fill="D3D3D3"/>
            <w:vAlign w:val="center"/>
          </w:tcPr>
          <w:p w14:paraId="466C0475" w14:textId="77777777" w:rsidR="00A46BF1" w:rsidRDefault="00A46BF1" w:rsidP="00875391">
            <w:pPr>
              <w:spacing w:before="40" w:after="40" w:line="360" w:lineRule="auto"/>
              <w:jc w:val="center"/>
              <w:rPr>
                <w:rFonts w:ascii="宋体" w:eastAsia="宋体" w:hAnsi="宋体" w:cs="宋体"/>
                <w:sz w:val="18"/>
                <w:szCs w:val="18"/>
              </w:rPr>
            </w:pPr>
            <w:r>
              <w:rPr>
                <w:rFonts w:ascii="宋体" w:eastAsia="宋体" w:hAnsi="宋体" w:cs="宋体"/>
                <w:sz w:val="18"/>
                <w:szCs w:val="18"/>
              </w:rPr>
              <w:t>款项是否由关联交易产生</w:t>
            </w:r>
          </w:p>
        </w:tc>
      </w:tr>
    </w:tbl>
    <w:p w14:paraId="6865860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其他应收款核销说明：</w:t>
      </w:r>
    </w:p>
    <w:p w14:paraId="19D345EF" w14:textId="77777777" w:rsidR="00A46BF1" w:rsidRPr="00B23068" w:rsidRDefault="00A46BF1" w:rsidP="00B23068">
      <w:pPr>
        <w:spacing w:before="100" w:after="100" w:line="240" w:lineRule="exact"/>
        <w:rPr>
          <w:rFonts w:ascii="宋体" w:eastAsia="宋体" w:hAnsi="宋体" w:cs="宋体"/>
          <w:sz w:val="18"/>
          <w:szCs w:val="18"/>
        </w:rPr>
      </w:pPr>
      <w:r w:rsidRPr="00B23068">
        <w:rPr>
          <w:rFonts w:ascii="宋体" w:eastAsia="宋体" w:hAnsi="宋体" w:cs="宋体" w:hint="eastAsia"/>
          <w:sz w:val="18"/>
          <w:szCs w:val="18"/>
        </w:rPr>
        <w:t>无</w:t>
      </w:r>
    </w:p>
    <w:p w14:paraId="592EACAD" w14:textId="77777777" w:rsidR="00A46BF1" w:rsidRDefault="00A46BF1" w:rsidP="00A46BF1">
      <w:pPr>
        <w:keepNext/>
        <w:keepLines/>
        <w:spacing w:before="300" w:after="300" w:line="280" w:lineRule="exact"/>
        <w:outlineLvl w:val="4"/>
        <w:rPr>
          <w:rFonts w:ascii="宋体" w:eastAsia="宋体" w:hAnsi="宋体" w:cs="宋体"/>
          <w:b/>
          <w:bCs/>
          <w:szCs w:val="21"/>
        </w:rPr>
      </w:pPr>
      <w:r>
        <w:rPr>
          <w:rFonts w:ascii="宋体" w:eastAsia="宋体" w:hAnsi="宋体" w:cs="宋体"/>
          <w:b/>
          <w:bCs/>
          <w:szCs w:val="21"/>
        </w:rPr>
        <w:t>6） 按欠款方归集的期末余额前五名的其他应收款情况</w:t>
      </w:r>
    </w:p>
    <w:p w14:paraId="6EA3544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993"/>
        <w:gridCol w:w="1134"/>
        <w:gridCol w:w="1559"/>
        <w:gridCol w:w="2410"/>
        <w:gridCol w:w="2126"/>
        <w:gridCol w:w="1417"/>
      </w:tblGrid>
      <w:tr w:rsidR="00095F6F" w14:paraId="5FD98382"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AE5AD39"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单位名称</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28330D72"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款项的性质</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4997888F"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期末余额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55EADFD"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账龄</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2C45AD29"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占其他应收款期末余额合计数的比例</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0810C71A"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坏账准备期末余额</w:t>
            </w:r>
          </w:p>
        </w:tc>
      </w:tr>
      <w:tr w:rsidR="00095F6F" w14:paraId="5669BFAB"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A87E7C2"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N</w:t>
            </w:r>
            <w:r w:rsidRPr="00875391">
              <w:rPr>
                <w:rFonts w:ascii="Times New Roman" w:eastAsia="宋体" w:hAnsi="Times New Roman" w:cs="Times New Roman"/>
                <w:sz w:val="18"/>
                <w:szCs w:val="18"/>
              </w:rPr>
              <w:t>公司</w:t>
            </w:r>
          </w:p>
        </w:tc>
        <w:tc>
          <w:tcPr>
            <w:tcW w:w="1134" w:type="dxa"/>
            <w:tcBorders>
              <w:top w:val="single" w:sz="2" w:space="0" w:color="auto"/>
              <w:left w:val="single" w:sz="2" w:space="0" w:color="auto"/>
              <w:bottom w:val="single" w:sz="2" w:space="0" w:color="auto"/>
              <w:right w:val="single" w:sz="2" w:space="0" w:color="auto"/>
            </w:tcBorders>
            <w:vAlign w:val="center"/>
          </w:tcPr>
          <w:p w14:paraId="6AD2C541" w14:textId="77777777" w:rsidR="00A46BF1" w:rsidRPr="00875391" w:rsidRDefault="00A46BF1" w:rsidP="00875391">
            <w:pPr>
              <w:spacing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往来款</w:t>
            </w:r>
          </w:p>
        </w:tc>
        <w:tc>
          <w:tcPr>
            <w:tcW w:w="1559" w:type="dxa"/>
            <w:tcBorders>
              <w:top w:val="single" w:sz="2" w:space="0" w:color="auto"/>
              <w:left w:val="single" w:sz="2" w:space="0" w:color="auto"/>
              <w:bottom w:val="single" w:sz="2" w:space="0" w:color="auto"/>
              <w:right w:val="single" w:sz="2" w:space="0" w:color="auto"/>
            </w:tcBorders>
            <w:vAlign w:val="center"/>
          </w:tcPr>
          <w:p w14:paraId="32E64F44"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24,874,667.63</w:t>
            </w:r>
          </w:p>
        </w:tc>
        <w:tc>
          <w:tcPr>
            <w:tcW w:w="2410" w:type="dxa"/>
            <w:tcBorders>
              <w:top w:val="single" w:sz="2" w:space="0" w:color="auto"/>
              <w:left w:val="single" w:sz="2" w:space="0" w:color="auto"/>
              <w:bottom w:val="single" w:sz="2" w:space="0" w:color="auto"/>
              <w:right w:val="single" w:sz="2" w:space="0" w:color="auto"/>
            </w:tcBorders>
            <w:vAlign w:val="center"/>
          </w:tcPr>
          <w:p w14:paraId="487BB8E5"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1</w:t>
            </w:r>
            <w:r w:rsidRPr="00875391">
              <w:rPr>
                <w:rFonts w:ascii="Times New Roman" w:eastAsia="宋体" w:hAnsi="Times New Roman" w:cs="Times New Roman"/>
                <w:sz w:val="18"/>
                <w:szCs w:val="18"/>
              </w:rPr>
              <w:t>年以内</w:t>
            </w:r>
          </w:p>
        </w:tc>
        <w:tc>
          <w:tcPr>
            <w:tcW w:w="2126" w:type="dxa"/>
            <w:tcBorders>
              <w:top w:val="single" w:sz="2" w:space="0" w:color="auto"/>
              <w:left w:val="single" w:sz="2" w:space="0" w:color="auto"/>
              <w:bottom w:val="single" w:sz="2" w:space="0" w:color="auto"/>
              <w:right w:val="single" w:sz="2" w:space="0" w:color="auto"/>
            </w:tcBorders>
            <w:vAlign w:val="center"/>
          </w:tcPr>
          <w:p w14:paraId="4D711730"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69.32%</w:t>
            </w:r>
          </w:p>
        </w:tc>
        <w:tc>
          <w:tcPr>
            <w:tcW w:w="1417" w:type="dxa"/>
            <w:tcBorders>
              <w:top w:val="single" w:sz="2" w:space="0" w:color="auto"/>
              <w:left w:val="single" w:sz="2" w:space="0" w:color="auto"/>
              <w:bottom w:val="single" w:sz="2" w:space="0" w:color="auto"/>
              <w:right w:val="single" w:sz="2" w:space="0" w:color="auto"/>
            </w:tcBorders>
            <w:vAlign w:val="center"/>
          </w:tcPr>
          <w:p w14:paraId="069358CB"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24,874,667.63</w:t>
            </w:r>
          </w:p>
        </w:tc>
      </w:tr>
      <w:tr w:rsidR="00095F6F" w14:paraId="192606CF"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7A88D14C"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O</w:t>
            </w:r>
            <w:r w:rsidRPr="00875391">
              <w:rPr>
                <w:rFonts w:ascii="Times New Roman" w:eastAsia="宋体" w:hAnsi="Times New Roman" w:cs="Times New Roman"/>
                <w:sz w:val="18"/>
                <w:szCs w:val="18"/>
              </w:rPr>
              <w:t>公司</w:t>
            </w:r>
          </w:p>
        </w:tc>
        <w:tc>
          <w:tcPr>
            <w:tcW w:w="1134" w:type="dxa"/>
            <w:tcBorders>
              <w:top w:val="single" w:sz="2" w:space="0" w:color="auto"/>
              <w:left w:val="single" w:sz="2" w:space="0" w:color="auto"/>
              <w:bottom w:val="single" w:sz="2" w:space="0" w:color="auto"/>
              <w:right w:val="single" w:sz="2" w:space="0" w:color="auto"/>
            </w:tcBorders>
            <w:vAlign w:val="center"/>
          </w:tcPr>
          <w:p w14:paraId="6DD24E7D" w14:textId="77777777" w:rsidR="00A46BF1" w:rsidRPr="00875391" w:rsidRDefault="00A46BF1" w:rsidP="00875391">
            <w:pPr>
              <w:spacing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押金</w:t>
            </w:r>
          </w:p>
        </w:tc>
        <w:tc>
          <w:tcPr>
            <w:tcW w:w="1559" w:type="dxa"/>
            <w:tcBorders>
              <w:top w:val="single" w:sz="2" w:space="0" w:color="auto"/>
              <w:left w:val="single" w:sz="2" w:space="0" w:color="auto"/>
              <w:bottom w:val="single" w:sz="2" w:space="0" w:color="auto"/>
              <w:right w:val="single" w:sz="2" w:space="0" w:color="auto"/>
            </w:tcBorders>
            <w:vAlign w:val="center"/>
          </w:tcPr>
          <w:p w14:paraId="3819F13F"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1,311,443.06</w:t>
            </w:r>
          </w:p>
        </w:tc>
        <w:tc>
          <w:tcPr>
            <w:tcW w:w="2410" w:type="dxa"/>
            <w:tcBorders>
              <w:top w:val="single" w:sz="2" w:space="0" w:color="auto"/>
              <w:left w:val="single" w:sz="2" w:space="0" w:color="auto"/>
              <w:bottom w:val="single" w:sz="2" w:space="0" w:color="auto"/>
              <w:right w:val="single" w:sz="2" w:space="0" w:color="auto"/>
            </w:tcBorders>
            <w:vAlign w:val="center"/>
          </w:tcPr>
          <w:p w14:paraId="5648BDA6"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3</w:t>
            </w:r>
            <w:r w:rsidRPr="00875391">
              <w:rPr>
                <w:rFonts w:ascii="Times New Roman" w:eastAsia="宋体" w:hAnsi="Times New Roman" w:cs="Times New Roman"/>
                <w:sz w:val="18"/>
                <w:szCs w:val="18"/>
              </w:rPr>
              <w:t>年以上</w:t>
            </w:r>
          </w:p>
        </w:tc>
        <w:tc>
          <w:tcPr>
            <w:tcW w:w="2126" w:type="dxa"/>
            <w:tcBorders>
              <w:top w:val="single" w:sz="2" w:space="0" w:color="auto"/>
              <w:left w:val="single" w:sz="2" w:space="0" w:color="auto"/>
              <w:bottom w:val="single" w:sz="2" w:space="0" w:color="auto"/>
              <w:right w:val="single" w:sz="2" w:space="0" w:color="auto"/>
            </w:tcBorders>
            <w:vAlign w:val="center"/>
          </w:tcPr>
          <w:p w14:paraId="3FA0793F"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3.65%</w:t>
            </w:r>
          </w:p>
        </w:tc>
        <w:tc>
          <w:tcPr>
            <w:tcW w:w="1417" w:type="dxa"/>
            <w:tcBorders>
              <w:top w:val="single" w:sz="2" w:space="0" w:color="auto"/>
              <w:left w:val="single" w:sz="2" w:space="0" w:color="auto"/>
              <w:bottom w:val="single" w:sz="2" w:space="0" w:color="auto"/>
              <w:right w:val="single" w:sz="2" w:space="0" w:color="auto"/>
            </w:tcBorders>
            <w:vAlign w:val="center"/>
          </w:tcPr>
          <w:p w14:paraId="0A584DF7" w14:textId="77777777" w:rsidR="00A46BF1" w:rsidRPr="00875391" w:rsidRDefault="00A46BF1" w:rsidP="00875391">
            <w:pPr>
              <w:spacing w:line="360" w:lineRule="auto"/>
              <w:jc w:val="right"/>
              <w:rPr>
                <w:rFonts w:ascii="Times New Roman" w:eastAsia="宋体" w:hAnsi="Times New Roman" w:cs="Times New Roman"/>
                <w:sz w:val="18"/>
                <w:szCs w:val="18"/>
              </w:rPr>
            </w:pPr>
          </w:p>
        </w:tc>
      </w:tr>
      <w:tr w:rsidR="00095F6F" w14:paraId="470539F4"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22337F24"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P</w:t>
            </w:r>
            <w:r w:rsidRPr="00875391">
              <w:rPr>
                <w:rFonts w:ascii="Times New Roman" w:eastAsia="宋体" w:hAnsi="Times New Roman" w:cs="Times New Roman"/>
                <w:sz w:val="18"/>
                <w:szCs w:val="18"/>
              </w:rPr>
              <w:t>公司</w:t>
            </w:r>
          </w:p>
        </w:tc>
        <w:tc>
          <w:tcPr>
            <w:tcW w:w="1134" w:type="dxa"/>
            <w:tcBorders>
              <w:top w:val="single" w:sz="2" w:space="0" w:color="auto"/>
              <w:left w:val="single" w:sz="2" w:space="0" w:color="auto"/>
              <w:bottom w:val="single" w:sz="2" w:space="0" w:color="auto"/>
              <w:right w:val="single" w:sz="2" w:space="0" w:color="auto"/>
            </w:tcBorders>
            <w:vAlign w:val="center"/>
          </w:tcPr>
          <w:p w14:paraId="2CA150D6" w14:textId="77777777" w:rsidR="00A46BF1" w:rsidRPr="00875391" w:rsidRDefault="00A46BF1" w:rsidP="00875391">
            <w:pPr>
              <w:spacing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押金</w:t>
            </w:r>
          </w:p>
        </w:tc>
        <w:tc>
          <w:tcPr>
            <w:tcW w:w="1559" w:type="dxa"/>
            <w:tcBorders>
              <w:top w:val="single" w:sz="2" w:space="0" w:color="auto"/>
              <w:left w:val="single" w:sz="2" w:space="0" w:color="auto"/>
              <w:bottom w:val="single" w:sz="2" w:space="0" w:color="auto"/>
              <w:right w:val="single" w:sz="2" w:space="0" w:color="auto"/>
            </w:tcBorders>
            <w:vAlign w:val="center"/>
          </w:tcPr>
          <w:p w14:paraId="43A6E388"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1,000,000.00</w:t>
            </w:r>
          </w:p>
        </w:tc>
        <w:tc>
          <w:tcPr>
            <w:tcW w:w="2410" w:type="dxa"/>
            <w:tcBorders>
              <w:top w:val="single" w:sz="2" w:space="0" w:color="auto"/>
              <w:left w:val="single" w:sz="2" w:space="0" w:color="auto"/>
              <w:bottom w:val="single" w:sz="2" w:space="0" w:color="auto"/>
              <w:right w:val="single" w:sz="2" w:space="0" w:color="auto"/>
            </w:tcBorders>
            <w:vAlign w:val="center"/>
          </w:tcPr>
          <w:p w14:paraId="74739E50"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1-2</w:t>
            </w:r>
            <w:r w:rsidRPr="00875391">
              <w:rPr>
                <w:rFonts w:ascii="Times New Roman" w:eastAsia="宋体" w:hAnsi="Times New Roman" w:cs="Times New Roman"/>
                <w:sz w:val="18"/>
                <w:szCs w:val="18"/>
              </w:rPr>
              <w:t>年</w:t>
            </w:r>
          </w:p>
        </w:tc>
        <w:tc>
          <w:tcPr>
            <w:tcW w:w="2126" w:type="dxa"/>
            <w:tcBorders>
              <w:top w:val="single" w:sz="2" w:space="0" w:color="auto"/>
              <w:left w:val="single" w:sz="2" w:space="0" w:color="auto"/>
              <w:bottom w:val="single" w:sz="2" w:space="0" w:color="auto"/>
              <w:right w:val="single" w:sz="2" w:space="0" w:color="auto"/>
            </w:tcBorders>
            <w:vAlign w:val="center"/>
          </w:tcPr>
          <w:p w14:paraId="128D4EF6"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2.79%</w:t>
            </w:r>
          </w:p>
        </w:tc>
        <w:tc>
          <w:tcPr>
            <w:tcW w:w="1417" w:type="dxa"/>
            <w:tcBorders>
              <w:top w:val="single" w:sz="2" w:space="0" w:color="auto"/>
              <w:left w:val="single" w:sz="2" w:space="0" w:color="auto"/>
              <w:bottom w:val="single" w:sz="2" w:space="0" w:color="auto"/>
              <w:right w:val="single" w:sz="2" w:space="0" w:color="auto"/>
            </w:tcBorders>
            <w:vAlign w:val="center"/>
          </w:tcPr>
          <w:p w14:paraId="521AFC6C"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200,000.00</w:t>
            </w:r>
          </w:p>
        </w:tc>
      </w:tr>
      <w:tr w:rsidR="00095F6F" w14:paraId="76E96442"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2BC064FB"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Q</w:t>
            </w:r>
            <w:r w:rsidRPr="00875391">
              <w:rPr>
                <w:rFonts w:ascii="Times New Roman" w:eastAsia="宋体" w:hAnsi="Times New Roman" w:cs="Times New Roman"/>
                <w:sz w:val="18"/>
                <w:szCs w:val="18"/>
              </w:rPr>
              <w:t>公司</w:t>
            </w:r>
          </w:p>
        </w:tc>
        <w:tc>
          <w:tcPr>
            <w:tcW w:w="1134" w:type="dxa"/>
            <w:tcBorders>
              <w:top w:val="single" w:sz="2" w:space="0" w:color="auto"/>
              <w:left w:val="single" w:sz="2" w:space="0" w:color="auto"/>
              <w:bottom w:val="single" w:sz="2" w:space="0" w:color="auto"/>
              <w:right w:val="single" w:sz="2" w:space="0" w:color="auto"/>
            </w:tcBorders>
            <w:vAlign w:val="center"/>
          </w:tcPr>
          <w:p w14:paraId="0EEEB84B" w14:textId="77777777" w:rsidR="00A46BF1" w:rsidRPr="00875391" w:rsidRDefault="00A46BF1" w:rsidP="00875391">
            <w:pPr>
              <w:spacing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押金</w:t>
            </w:r>
          </w:p>
        </w:tc>
        <w:tc>
          <w:tcPr>
            <w:tcW w:w="1559" w:type="dxa"/>
            <w:tcBorders>
              <w:top w:val="single" w:sz="2" w:space="0" w:color="auto"/>
              <w:left w:val="single" w:sz="2" w:space="0" w:color="auto"/>
              <w:bottom w:val="single" w:sz="2" w:space="0" w:color="auto"/>
              <w:right w:val="single" w:sz="2" w:space="0" w:color="auto"/>
            </w:tcBorders>
            <w:vAlign w:val="center"/>
          </w:tcPr>
          <w:p w14:paraId="7720D72E"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600,000.00</w:t>
            </w:r>
          </w:p>
        </w:tc>
        <w:tc>
          <w:tcPr>
            <w:tcW w:w="2410" w:type="dxa"/>
            <w:tcBorders>
              <w:top w:val="single" w:sz="2" w:space="0" w:color="auto"/>
              <w:left w:val="single" w:sz="2" w:space="0" w:color="auto"/>
              <w:bottom w:val="single" w:sz="2" w:space="0" w:color="auto"/>
              <w:right w:val="single" w:sz="2" w:space="0" w:color="auto"/>
            </w:tcBorders>
            <w:vAlign w:val="center"/>
          </w:tcPr>
          <w:p w14:paraId="41EBF9EB"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1</w:t>
            </w:r>
            <w:r w:rsidRPr="00875391">
              <w:rPr>
                <w:rFonts w:ascii="Times New Roman" w:eastAsia="宋体" w:hAnsi="Times New Roman" w:cs="Times New Roman"/>
                <w:sz w:val="18"/>
                <w:szCs w:val="18"/>
              </w:rPr>
              <w:t>年以内、</w:t>
            </w:r>
            <w:r w:rsidRPr="00875391">
              <w:rPr>
                <w:rFonts w:ascii="Times New Roman" w:eastAsia="宋体" w:hAnsi="Times New Roman" w:cs="Times New Roman"/>
                <w:sz w:val="18"/>
                <w:szCs w:val="18"/>
              </w:rPr>
              <w:t>3</w:t>
            </w:r>
            <w:r w:rsidRPr="00875391">
              <w:rPr>
                <w:rFonts w:ascii="Times New Roman" w:eastAsia="宋体" w:hAnsi="Times New Roman" w:cs="Times New Roman"/>
                <w:sz w:val="18"/>
                <w:szCs w:val="18"/>
              </w:rPr>
              <w:t>年以上</w:t>
            </w:r>
          </w:p>
        </w:tc>
        <w:tc>
          <w:tcPr>
            <w:tcW w:w="2126" w:type="dxa"/>
            <w:tcBorders>
              <w:top w:val="single" w:sz="2" w:space="0" w:color="auto"/>
              <w:left w:val="single" w:sz="2" w:space="0" w:color="auto"/>
              <w:bottom w:val="single" w:sz="2" w:space="0" w:color="auto"/>
              <w:right w:val="single" w:sz="2" w:space="0" w:color="auto"/>
            </w:tcBorders>
            <w:vAlign w:val="center"/>
          </w:tcPr>
          <w:p w14:paraId="14DF901B"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1.67%</w:t>
            </w:r>
          </w:p>
        </w:tc>
        <w:tc>
          <w:tcPr>
            <w:tcW w:w="1417" w:type="dxa"/>
            <w:tcBorders>
              <w:top w:val="single" w:sz="2" w:space="0" w:color="auto"/>
              <w:left w:val="single" w:sz="2" w:space="0" w:color="auto"/>
              <w:bottom w:val="single" w:sz="2" w:space="0" w:color="auto"/>
              <w:right w:val="single" w:sz="2" w:space="0" w:color="auto"/>
            </w:tcBorders>
            <w:vAlign w:val="center"/>
          </w:tcPr>
          <w:p w14:paraId="5FA80637"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125,000.00</w:t>
            </w:r>
          </w:p>
        </w:tc>
      </w:tr>
      <w:tr w:rsidR="00095F6F" w14:paraId="1ED1BFBC"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3940656C"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R</w:t>
            </w:r>
            <w:r w:rsidRPr="00875391">
              <w:rPr>
                <w:rFonts w:ascii="Times New Roman" w:eastAsia="宋体" w:hAnsi="Times New Roman" w:cs="Times New Roman"/>
                <w:sz w:val="18"/>
                <w:szCs w:val="18"/>
              </w:rPr>
              <w:t>公司</w:t>
            </w:r>
          </w:p>
        </w:tc>
        <w:tc>
          <w:tcPr>
            <w:tcW w:w="1134" w:type="dxa"/>
            <w:tcBorders>
              <w:top w:val="single" w:sz="2" w:space="0" w:color="auto"/>
              <w:left w:val="single" w:sz="2" w:space="0" w:color="auto"/>
              <w:bottom w:val="single" w:sz="2" w:space="0" w:color="auto"/>
              <w:right w:val="single" w:sz="2" w:space="0" w:color="auto"/>
            </w:tcBorders>
            <w:vAlign w:val="center"/>
          </w:tcPr>
          <w:p w14:paraId="767FA77D" w14:textId="77777777" w:rsidR="00A46BF1" w:rsidRPr="00875391" w:rsidRDefault="00A46BF1" w:rsidP="00875391">
            <w:pPr>
              <w:spacing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押金</w:t>
            </w:r>
          </w:p>
        </w:tc>
        <w:tc>
          <w:tcPr>
            <w:tcW w:w="1559" w:type="dxa"/>
            <w:tcBorders>
              <w:top w:val="single" w:sz="2" w:space="0" w:color="auto"/>
              <w:left w:val="single" w:sz="2" w:space="0" w:color="auto"/>
              <w:bottom w:val="single" w:sz="2" w:space="0" w:color="auto"/>
              <w:right w:val="single" w:sz="2" w:space="0" w:color="auto"/>
            </w:tcBorders>
            <w:vAlign w:val="center"/>
          </w:tcPr>
          <w:p w14:paraId="1A495CA6"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587,114.20</w:t>
            </w:r>
          </w:p>
        </w:tc>
        <w:tc>
          <w:tcPr>
            <w:tcW w:w="2410" w:type="dxa"/>
            <w:tcBorders>
              <w:top w:val="single" w:sz="2" w:space="0" w:color="auto"/>
              <w:left w:val="single" w:sz="2" w:space="0" w:color="auto"/>
              <w:bottom w:val="single" w:sz="2" w:space="0" w:color="auto"/>
              <w:right w:val="single" w:sz="2" w:space="0" w:color="auto"/>
            </w:tcBorders>
            <w:vAlign w:val="center"/>
          </w:tcPr>
          <w:p w14:paraId="0B741810" w14:textId="77777777" w:rsidR="00A46BF1" w:rsidRPr="00875391" w:rsidRDefault="00A46BF1" w:rsidP="00875391">
            <w:pPr>
              <w:spacing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1-2</w:t>
            </w:r>
            <w:r w:rsidRPr="00875391">
              <w:rPr>
                <w:rFonts w:ascii="Times New Roman" w:eastAsia="宋体" w:hAnsi="Times New Roman" w:cs="Times New Roman"/>
                <w:sz w:val="18"/>
                <w:szCs w:val="18"/>
              </w:rPr>
              <w:t>年、</w:t>
            </w:r>
            <w:r w:rsidRPr="00875391">
              <w:rPr>
                <w:rFonts w:ascii="Times New Roman" w:eastAsia="宋体" w:hAnsi="Times New Roman" w:cs="Times New Roman"/>
                <w:sz w:val="18"/>
                <w:szCs w:val="18"/>
              </w:rPr>
              <w:t>2-3</w:t>
            </w:r>
            <w:r w:rsidRPr="00875391">
              <w:rPr>
                <w:rFonts w:ascii="Times New Roman" w:eastAsia="宋体" w:hAnsi="Times New Roman" w:cs="Times New Roman"/>
                <w:sz w:val="18"/>
                <w:szCs w:val="18"/>
              </w:rPr>
              <w:t>年、</w:t>
            </w:r>
            <w:r w:rsidRPr="00875391">
              <w:rPr>
                <w:rFonts w:ascii="Times New Roman" w:eastAsia="宋体" w:hAnsi="Times New Roman" w:cs="Times New Roman"/>
                <w:sz w:val="18"/>
                <w:szCs w:val="18"/>
              </w:rPr>
              <w:t>3</w:t>
            </w:r>
            <w:r w:rsidRPr="00875391">
              <w:rPr>
                <w:rFonts w:ascii="Times New Roman" w:eastAsia="宋体" w:hAnsi="Times New Roman" w:cs="Times New Roman"/>
                <w:sz w:val="18"/>
                <w:szCs w:val="18"/>
              </w:rPr>
              <w:t>年以上</w:t>
            </w:r>
          </w:p>
        </w:tc>
        <w:tc>
          <w:tcPr>
            <w:tcW w:w="2126" w:type="dxa"/>
            <w:tcBorders>
              <w:top w:val="single" w:sz="2" w:space="0" w:color="auto"/>
              <w:left w:val="single" w:sz="2" w:space="0" w:color="auto"/>
              <w:bottom w:val="single" w:sz="2" w:space="0" w:color="auto"/>
              <w:right w:val="single" w:sz="2" w:space="0" w:color="auto"/>
            </w:tcBorders>
            <w:vAlign w:val="center"/>
          </w:tcPr>
          <w:p w14:paraId="7FCBC36C"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1.64%</w:t>
            </w:r>
          </w:p>
        </w:tc>
        <w:tc>
          <w:tcPr>
            <w:tcW w:w="1417" w:type="dxa"/>
            <w:tcBorders>
              <w:top w:val="single" w:sz="2" w:space="0" w:color="auto"/>
              <w:left w:val="single" w:sz="2" w:space="0" w:color="auto"/>
              <w:bottom w:val="single" w:sz="2" w:space="0" w:color="auto"/>
              <w:right w:val="single" w:sz="2" w:space="0" w:color="auto"/>
            </w:tcBorders>
            <w:vAlign w:val="center"/>
          </w:tcPr>
          <w:p w14:paraId="47150D7B"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470,611.30</w:t>
            </w:r>
          </w:p>
        </w:tc>
      </w:tr>
      <w:tr w:rsidR="00095F6F" w14:paraId="1B7E4D2F" w14:textId="77777777" w:rsidTr="00875391">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26850C68" w14:textId="77777777" w:rsidR="00A46BF1" w:rsidRPr="00875391" w:rsidRDefault="00A46BF1" w:rsidP="00875391">
            <w:pPr>
              <w:spacing w:before="40" w:after="40"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合计</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5939B8BD" w14:textId="77777777" w:rsidR="00A46BF1" w:rsidRPr="00875391" w:rsidRDefault="00A46BF1" w:rsidP="00875391">
            <w:pPr>
              <w:spacing w:line="360" w:lineRule="auto"/>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vAlign w:val="center"/>
          </w:tcPr>
          <w:p w14:paraId="16710507"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28,373,224.89</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8DA9345" w14:textId="77777777" w:rsidR="00A46BF1" w:rsidRPr="00875391" w:rsidRDefault="00A46BF1" w:rsidP="00875391">
            <w:pPr>
              <w:spacing w:line="360" w:lineRule="auto"/>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vAlign w:val="center"/>
          </w:tcPr>
          <w:p w14:paraId="44507A9C"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79.07%</w:t>
            </w:r>
          </w:p>
        </w:tc>
        <w:tc>
          <w:tcPr>
            <w:tcW w:w="1417" w:type="dxa"/>
            <w:tcBorders>
              <w:top w:val="single" w:sz="2" w:space="0" w:color="auto"/>
              <w:left w:val="single" w:sz="2" w:space="0" w:color="auto"/>
              <w:bottom w:val="single" w:sz="2" w:space="0" w:color="auto"/>
              <w:right w:val="single" w:sz="2" w:space="0" w:color="auto"/>
            </w:tcBorders>
            <w:vAlign w:val="center"/>
          </w:tcPr>
          <w:p w14:paraId="5E7C8385"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25,670,278.93</w:t>
            </w:r>
          </w:p>
        </w:tc>
      </w:tr>
    </w:tbl>
    <w:p w14:paraId="2D16F3DA" w14:textId="4F18B04B" w:rsidR="00A46BF1" w:rsidRDefault="00875391" w:rsidP="00A46BF1">
      <w:pPr>
        <w:pStyle w:val="3"/>
        <w:spacing w:line="280" w:lineRule="exact"/>
        <w:jc w:val="left"/>
        <w:rPr>
          <w:rFonts w:ascii="宋体" w:hAnsi="宋体" w:cs="宋体"/>
          <w:b/>
          <w:bCs/>
        </w:rPr>
      </w:pPr>
      <w:r>
        <w:rPr>
          <w:rFonts w:ascii="宋体" w:hAnsi="宋体" w:cs="宋体"/>
          <w:b/>
          <w:bCs/>
        </w:rPr>
        <w:t>8</w:t>
      </w:r>
      <w:r w:rsidR="00A46BF1">
        <w:rPr>
          <w:rFonts w:ascii="宋体" w:hAnsi="宋体" w:cs="宋体"/>
          <w:b/>
          <w:bCs/>
        </w:rPr>
        <w:t>、预付款项</w:t>
      </w:r>
    </w:p>
    <w:p w14:paraId="6495B9D3"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预付款项按账龄列示</w:t>
      </w:r>
    </w:p>
    <w:p w14:paraId="5F06C65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rsidRPr="00875391" w14:paraId="2BE0BBB8" w14:textId="77777777" w:rsidTr="00A46BF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1F4E183"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账龄</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A7C1E81"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期末余额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6AB1262"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期初余额</w:t>
            </w:r>
          </w:p>
        </w:tc>
      </w:tr>
      <w:tr w:rsidR="00095F6F" w:rsidRPr="00875391" w14:paraId="57668807" w14:textId="77777777" w:rsidTr="00A46BF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C35DF98" w14:textId="77777777" w:rsidR="00A46BF1" w:rsidRPr="00875391" w:rsidRDefault="00A46BF1" w:rsidP="00875391">
            <w:pPr>
              <w:spacing w:line="360" w:lineRule="auto"/>
              <w:rPr>
                <w:rFonts w:ascii="Times New Roman" w:hAnsi="Times New Roman" w:cs="Times New Roman"/>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CF8CD5"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A5A8D35"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比例</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EE8358B"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5B091D" w14:textId="77777777" w:rsidR="00A46BF1" w:rsidRPr="00875391" w:rsidRDefault="00A46BF1" w:rsidP="00875391">
            <w:pPr>
              <w:spacing w:before="40" w:after="40" w:line="360" w:lineRule="auto"/>
              <w:jc w:val="center"/>
              <w:rPr>
                <w:rFonts w:ascii="Times New Roman" w:eastAsia="宋体" w:hAnsi="Times New Roman" w:cs="Times New Roman"/>
                <w:sz w:val="18"/>
                <w:szCs w:val="18"/>
              </w:rPr>
            </w:pPr>
            <w:r w:rsidRPr="00875391">
              <w:rPr>
                <w:rFonts w:ascii="Times New Roman" w:eastAsia="宋体" w:hAnsi="Times New Roman" w:cs="Times New Roman"/>
                <w:sz w:val="18"/>
                <w:szCs w:val="18"/>
              </w:rPr>
              <w:t>比例</w:t>
            </w:r>
          </w:p>
        </w:tc>
      </w:tr>
      <w:tr w:rsidR="00095F6F" w:rsidRPr="00875391" w14:paraId="494BD63D"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2B81FA9" w14:textId="77777777" w:rsidR="00A46BF1" w:rsidRPr="00875391" w:rsidRDefault="00A46BF1" w:rsidP="00875391">
            <w:pPr>
              <w:spacing w:before="40" w:after="40"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1</w:t>
            </w:r>
            <w:r w:rsidRPr="00875391">
              <w:rPr>
                <w:rFonts w:ascii="Times New Roman" w:eastAsia="宋体" w:hAnsi="Times New Roman" w:cs="Times New Roman"/>
                <w:sz w:val="18"/>
                <w:szCs w:val="18"/>
              </w:rPr>
              <w:t>年以内</w:t>
            </w:r>
          </w:p>
        </w:tc>
        <w:tc>
          <w:tcPr>
            <w:tcW w:w="1928" w:type="dxa"/>
            <w:tcBorders>
              <w:top w:val="single" w:sz="2" w:space="0" w:color="auto"/>
              <w:left w:val="single" w:sz="2" w:space="0" w:color="auto"/>
              <w:bottom w:val="single" w:sz="2" w:space="0" w:color="auto"/>
              <w:right w:val="single" w:sz="2" w:space="0" w:color="auto"/>
            </w:tcBorders>
            <w:vAlign w:val="center"/>
          </w:tcPr>
          <w:p w14:paraId="6CA347EB"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48,680,039.97</w:t>
            </w:r>
          </w:p>
        </w:tc>
        <w:tc>
          <w:tcPr>
            <w:tcW w:w="1928" w:type="dxa"/>
            <w:tcBorders>
              <w:top w:val="single" w:sz="2" w:space="0" w:color="auto"/>
              <w:left w:val="single" w:sz="2" w:space="0" w:color="auto"/>
              <w:bottom w:val="single" w:sz="2" w:space="0" w:color="auto"/>
              <w:right w:val="single" w:sz="2" w:space="0" w:color="auto"/>
            </w:tcBorders>
            <w:vAlign w:val="center"/>
          </w:tcPr>
          <w:p w14:paraId="4F0B050C"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97.26%</w:t>
            </w:r>
          </w:p>
        </w:tc>
        <w:tc>
          <w:tcPr>
            <w:tcW w:w="1928" w:type="dxa"/>
            <w:tcBorders>
              <w:top w:val="single" w:sz="2" w:space="0" w:color="auto"/>
              <w:left w:val="single" w:sz="2" w:space="0" w:color="auto"/>
              <w:bottom w:val="single" w:sz="2" w:space="0" w:color="auto"/>
              <w:right w:val="single" w:sz="2" w:space="0" w:color="auto"/>
            </w:tcBorders>
            <w:vAlign w:val="center"/>
          </w:tcPr>
          <w:p w14:paraId="74CD85E2"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45,039,904.82</w:t>
            </w:r>
          </w:p>
        </w:tc>
        <w:tc>
          <w:tcPr>
            <w:tcW w:w="1928" w:type="dxa"/>
            <w:tcBorders>
              <w:top w:val="single" w:sz="2" w:space="0" w:color="auto"/>
              <w:left w:val="single" w:sz="2" w:space="0" w:color="auto"/>
              <w:bottom w:val="single" w:sz="2" w:space="0" w:color="auto"/>
              <w:right w:val="single" w:sz="2" w:space="0" w:color="auto"/>
            </w:tcBorders>
            <w:vAlign w:val="center"/>
          </w:tcPr>
          <w:p w14:paraId="0B9617DB"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95.56%</w:t>
            </w:r>
          </w:p>
        </w:tc>
      </w:tr>
      <w:tr w:rsidR="00095F6F" w:rsidRPr="00875391" w14:paraId="6A04D522"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CC8F14" w14:textId="77777777" w:rsidR="00A46BF1" w:rsidRPr="00875391" w:rsidRDefault="00A46BF1" w:rsidP="00875391">
            <w:pPr>
              <w:spacing w:before="40" w:after="40"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1</w:t>
            </w:r>
            <w:r w:rsidRPr="00875391">
              <w:rPr>
                <w:rFonts w:ascii="Times New Roman" w:eastAsia="宋体" w:hAnsi="Times New Roman" w:cs="Times New Roman"/>
                <w:sz w:val="18"/>
                <w:szCs w:val="18"/>
              </w:rPr>
              <w:t>至</w:t>
            </w:r>
            <w:r w:rsidRPr="00875391">
              <w:rPr>
                <w:rFonts w:ascii="Times New Roman" w:eastAsia="宋体" w:hAnsi="Times New Roman" w:cs="Times New Roman"/>
                <w:sz w:val="18"/>
                <w:szCs w:val="18"/>
              </w:rPr>
              <w:t>2</w:t>
            </w:r>
            <w:r w:rsidRPr="00875391">
              <w:rPr>
                <w:rFonts w:ascii="Times New Roman" w:eastAsia="宋体" w:hAnsi="Times New Roman" w:cs="Times New Roman"/>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14:paraId="5E99DC70"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1,336,432.36</w:t>
            </w:r>
          </w:p>
        </w:tc>
        <w:tc>
          <w:tcPr>
            <w:tcW w:w="1928" w:type="dxa"/>
            <w:tcBorders>
              <w:top w:val="single" w:sz="2" w:space="0" w:color="auto"/>
              <w:left w:val="single" w:sz="2" w:space="0" w:color="auto"/>
              <w:bottom w:val="single" w:sz="2" w:space="0" w:color="auto"/>
              <w:right w:val="single" w:sz="2" w:space="0" w:color="auto"/>
            </w:tcBorders>
            <w:vAlign w:val="center"/>
          </w:tcPr>
          <w:p w14:paraId="4FAA9D49"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2.67%</w:t>
            </w:r>
          </w:p>
        </w:tc>
        <w:tc>
          <w:tcPr>
            <w:tcW w:w="1928" w:type="dxa"/>
            <w:tcBorders>
              <w:top w:val="single" w:sz="2" w:space="0" w:color="auto"/>
              <w:left w:val="single" w:sz="2" w:space="0" w:color="auto"/>
              <w:bottom w:val="single" w:sz="2" w:space="0" w:color="auto"/>
              <w:right w:val="single" w:sz="2" w:space="0" w:color="auto"/>
            </w:tcBorders>
            <w:vAlign w:val="center"/>
          </w:tcPr>
          <w:p w14:paraId="5F60E93C"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1,996,592.05</w:t>
            </w:r>
          </w:p>
        </w:tc>
        <w:tc>
          <w:tcPr>
            <w:tcW w:w="1928" w:type="dxa"/>
            <w:tcBorders>
              <w:top w:val="single" w:sz="2" w:space="0" w:color="auto"/>
              <w:left w:val="single" w:sz="2" w:space="0" w:color="auto"/>
              <w:bottom w:val="single" w:sz="2" w:space="0" w:color="auto"/>
              <w:right w:val="single" w:sz="2" w:space="0" w:color="auto"/>
            </w:tcBorders>
            <w:vAlign w:val="center"/>
          </w:tcPr>
          <w:p w14:paraId="23E09C55"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4.24%</w:t>
            </w:r>
          </w:p>
        </w:tc>
      </w:tr>
      <w:tr w:rsidR="00095F6F" w:rsidRPr="00875391" w14:paraId="59BB94FB"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010B79B" w14:textId="77777777" w:rsidR="00A46BF1" w:rsidRPr="00875391" w:rsidRDefault="00A46BF1" w:rsidP="00875391">
            <w:pPr>
              <w:spacing w:before="40" w:after="40"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2</w:t>
            </w:r>
            <w:r w:rsidRPr="00875391">
              <w:rPr>
                <w:rFonts w:ascii="Times New Roman" w:eastAsia="宋体" w:hAnsi="Times New Roman" w:cs="Times New Roman"/>
                <w:sz w:val="18"/>
                <w:szCs w:val="18"/>
              </w:rPr>
              <w:t>至</w:t>
            </w:r>
            <w:r w:rsidRPr="00875391">
              <w:rPr>
                <w:rFonts w:ascii="Times New Roman" w:eastAsia="宋体" w:hAnsi="Times New Roman" w:cs="Times New Roman"/>
                <w:sz w:val="18"/>
                <w:szCs w:val="18"/>
              </w:rPr>
              <w:t>3</w:t>
            </w:r>
            <w:r w:rsidRPr="00875391">
              <w:rPr>
                <w:rFonts w:ascii="Times New Roman" w:eastAsia="宋体" w:hAnsi="Times New Roman" w:cs="Times New Roman"/>
                <w:sz w:val="18"/>
                <w:szCs w:val="18"/>
              </w:rPr>
              <w:t>年</w:t>
            </w:r>
          </w:p>
        </w:tc>
        <w:tc>
          <w:tcPr>
            <w:tcW w:w="1928" w:type="dxa"/>
            <w:tcBorders>
              <w:top w:val="single" w:sz="2" w:space="0" w:color="auto"/>
              <w:left w:val="single" w:sz="2" w:space="0" w:color="auto"/>
              <w:bottom w:val="single" w:sz="2" w:space="0" w:color="auto"/>
              <w:right w:val="single" w:sz="2" w:space="0" w:color="auto"/>
            </w:tcBorders>
            <w:vAlign w:val="center"/>
          </w:tcPr>
          <w:p w14:paraId="3C60888E"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17,871.62</w:t>
            </w:r>
          </w:p>
        </w:tc>
        <w:tc>
          <w:tcPr>
            <w:tcW w:w="1928" w:type="dxa"/>
            <w:tcBorders>
              <w:top w:val="single" w:sz="2" w:space="0" w:color="auto"/>
              <w:left w:val="single" w:sz="2" w:space="0" w:color="auto"/>
              <w:bottom w:val="single" w:sz="2" w:space="0" w:color="auto"/>
              <w:right w:val="single" w:sz="2" w:space="0" w:color="auto"/>
            </w:tcBorders>
            <w:vAlign w:val="center"/>
          </w:tcPr>
          <w:p w14:paraId="5E6381DB"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0.04%</w:t>
            </w:r>
          </w:p>
        </w:tc>
        <w:tc>
          <w:tcPr>
            <w:tcW w:w="1928" w:type="dxa"/>
            <w:tcBorders>
              <w:top w:val="single" w:sz="2" w:space="0" w:color="auto"/>
              <w:left w:val="single" w:sz="2" w:space="0" w:color="auto"/>
              <w:bottom w:val="single" w:sz="2" w:space="0" w:color="auto"/>
              <w:right w:val="single" w:sz="2" w:space="0" w:color="auto"/>
            </w:tcBorders>
            <w:vAlign w:val="center"/>
          </w:tcPr>
          <w:p w14:paraId="2A799955"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8,250.99</w:t>
            </w:r>
          </w:p>
        </w:tc>
        <w:tc>
          <w:tcPr>
            <w:tcW w:w="1928" w:type="dxa"/>
            <w:tcBorders>
              <w:top w:val="single" w:sz="2" w:space="0" w:color="auto"/>
              <w:left w:val="single" w:sz="2" w:space="0" w:color="auto"/>
              <w:bottom w:val="single" w:sz="2" w:space="0" w:color="auto"/>
              <w:right w:val="single" w:sz="2" w:space="0" w:color="auto"/>
            </w:tcBorders>
            <w:vAlign w:val="center"/>
          </w:tcPr>
          <w:p w14:paraId="15FC2580"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0.02%</w:t>
            </w:r>
          </w:p>
        </w:tc>
      </w:tr>
      <w:tr w:rsidR="00095F6F" w:rsidRPr="00875391" w14:paraId="59E540D4"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8D636B" w14:textId="77777777" w:rsidR="00A46BF1" w:rsidRPr="00875391" w:rsidRDefault="00A46BF1" w:rsidP="00875391">
            <w:pPr>
              <w:spacing w:before="40" w:after="40"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3</w:t>
            </w:r>
            <w:r w:rsidRPr="00875391">
              <w:rPr>
                <w:rFonts w:ascii="Times New Roman" w:eastAsia="宋体" w:hAnsi="Times New Roman" w:cs="Times New Roman"/>
                <w:sz w:val="18"/>
                <w:szCs w:val="18"/>
              </w:rPr>
              <w:t>年以上</w:t>
            </w:r>
          </w:p>
        </w:tc>
        <w:tc>
          <w:tcPr>
            <w:tcW w:w="1928" w:type="dxa"/>
            <w:tcBorders>
              <w:top w:val="single" w:sz="2" w:space="0" w:color="auto"/>
              <w:left w:val="single" w:sz="2" w:space="0" w:color="auto"/>
              <w:bottom w:val="single" w:sz="2" w:space="0" w:color="auto"/>
              <w:right w:val="single" w:sz="2" w:space="0" w:color="auto"/>
            </w:tcBorders>
            <w:vAlign w:val="center"/>
          </w:tcPr>
          <w:p w14:paraId="5D2BD55D"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18,000.00</w:t>
            </w:r>
          </w:p>
        </w:tc>
        <w:tc>
          <w:tcPr>
            <w:tcW w:w="1928" w:type="dxa"/>
            <w:tcBorders>
              <w:top w:val="single" w:sz="2" w:space="0" w:color="auto"/>
              <w:left w:val="single" w:sz="2" w:space="0" w:color="auto"/>
              <w:bottom w:val="single" w:sz="2" w:space="0" w:color="auto"/>
              <w:right w:val="single" w:sz="2" w:space="0" w:color="auto"/>
            </w:tcBorders>
            <w:vAlign w:val="center"/>
          </w:tcPr>
          <w:p w14:paraId="75A53449"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0.03%</w:t>
            </w:r>
          </w:p>
        </w:tc>
        <w:tc>
          <w:tcPr>
            <w:tcW w:w="1928" w:type="dxa"/>
            <w:tcBorders>
              <w:top w:val="single" w:sz="2" w:space="0" w:color="auto"/>
              <w:left w:val="single" w:sz="2" w:space="0" w:color="auto"/>
              <w:bottom w:val="single" w:sz="2" w:space="0" w:color="auto"/>
              <w:right w:val="single" w:sz="2" w:space="0" w:color="auto"/>
            </w:tcBorders>
            <w:vAlign w:val="center"/>
          </w:tcPr>
          <w:p w14:paraId="5DD3DD1D"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83,525.39</w:t>
            </w:r>
          </w:p>
        </w:tc>
        <w:tc>
          <w:tcPr>
            <w:tcW w:w="1928" w:type="dxa"/>
            <w:tcBorders>
              <w:top w:val="single" w:sz="2" w:space="0" w:color="auto"/>
              <w:left w:val="single" w:sz="2" w:space="0" w:color="auto"/>
              <w:bottom w:val="single" w:sz="2" w:space="0" w:color="auto"/>
              <w:right w:val="single" w:sz="2" w:space="0" w:color="auto"/>
            </w:tcBorders>
            <w:vAlign w:val="center"/>
          </w:tcPr>
          <w:p w14:paraId="23D68079"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0.18%</w:t>
            </w:r>
          </w:p>
        </w:tc>
      </w:tr>
      <w:tr w:rsidR="00095F6F" w:rsidRPr="00875391" w14:paraId="316C2E55"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A56BD1" w14:textId="77777777" w:rsidR="00A46BF1" w:rsidRPr="00875391" w:rsidRDefault="00A46BF1" w:rsidP="00875391">
            <w:pPr>
              <w:spacing w:before="40" w:after="40" w:line="360" w:lineRule="auto"/>
              <w:rPr>
                <w:rFonts w:ascii="Times New Roman" w:eastAsia="宋体" w:hAnsi="Times New Roman" w:cs="Times New Roman"/>
                <w:sz w:val="18"/>
                <w:szCs w:val="18"/>
              </w:rPr>
            </w:pPr>
            <w:r w:rsidRPr="00875391">
              <w:rPr>
                <w:rFonts w:ascii="Times New Roman" w:eastAsia="宋体" w:hAnsi="Times New Roman" w:cs="Times New Roman"/>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A25F257"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50,052,343.95</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CCEBD0A" w14:textId="77777777" w:rsidR="00A46BF1" w:rsidRPr="00875391" w:rsidRDefault="00A46BF1" w:rsidP="00875391">
            <w:pPr>
              <w:spacing w:line="360" w:lineRule="auto"/>
              <w:rPr>
                <w:rFonts w:ascii="Times New Roman" w:hAnsi="Times New Roman" w:cs="Times New Roman"/>
              </w:rPr>
            </w:pPr>
          </w:p>
        </w:tc>
        <w:tc>
          <w:tcPr>
            <w:tcW w:w="1928" w:type="dxa"/>
            <w:tcBorders>
              <w:top w:val="single" w:sz="2" w:space="0" w:color="auto"/>
              <w:left w:val="single" w:sz="2" w:space="0" w:color="auto"/>
              <w:bottom w:val="single" w:sz="2" w:space="0" w:color="auto"/>
              <w:right w:val="single" w:sz="2" w:space="0" w:color="auto"/>
            </w:tcBorders>
            <w:vAlign w:val="center"/>
          </w:tcPr>
          <w:p w14:paraId="7236DC68" w14:textId="77777777" w:rsidR="00A46BF1" w:rsidRPr="00875391" w:rsidRDefault="00A46BF1" w:rsidP="00875391">
            <w:pPr>
              <w:spacing w:line="360" w:lineRule="auto"/>
              <w:jc w:val="right"/>
              <w:rPr>
                <w:rFonts w:ascii="Times New Roman" w:eastAsia="宋体" w:hAnsi="Times New Roman" w:cs="Times New Roman"/>
                <w:sz w:val="18"/>
                <w:szCs w:val="18"/>
              </w:rPr>
            </w:pPr>
            <w:r w:rsidRPr="00875391">
              <w:rPr>
                <w:rFonts w:ascii="Times New Roman" w:eastAsia="宋体" w:hAnsi="Times New Roman" w:cs="Times New Roman"/>
                <w:sz w:val="18"/>
                <w:szCs w:val="18"/>
              </w:rPr>
              <w:t>47,128,273.25</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DB26F54" w14:textId="77777777" w:rsidR="00A46BF1" w:rsidRPr="00875391" w:rsidRDefault="00A46BF1" w:rsidP="00875391">
            <w:pPr>
              <w:spacing w:line="360" w:lineRule="auto"/>
              <w:rPr>
                <w:rFonts w:ascii="Times New Roman" w:hAnsi="Times New Roman" w:cs="Times New Roman"/>
              </w:rPr>
            </w:pPr>
          </w:p>
        </w:tc>
      </w:tr>
    </w:tbl>
    <w:p w14:paraId="358068B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账龄超过1年且金额重要的预付款项未及时结算原因的说明：</w:t>
      </w:r>
    </w:p>
    <w:p w14:paraId="1A3D76D1" w14:textId="77777777" w:rsidR="00A46BF1" w:rsidRPr="00875391" w:rsidRDefault="00A46BF1" w:rsidP="00875391">
      <w:pPr>
        <w:spacing w:before="100" w:after="100" w:line="240" w:lineRule="exact"/>
        <w:rPr>
          <w:rFonts w:ascii="宋体" w:eastAsia="宋体" w:hAnsi="宋体" w:cs="宋体"/>
          <w:sz w:val="18"/>
          <w:szCs w:val="18"/>
        </w:rPr>
      </w:pPr>
      <w:r w:rsidRPr="00875391">
        <w:rPr>
          <w:rFonts w:ascii="宋体" w:eastAsia="宋体" w:hAnsi="宋体" w:cs="宋体" w:hint="eastAsia"/>
          <w:sz w:val="18"/>
          <w:szCs w:val="18"/>
        </w:rPr>
        <w:t>不适用</w:t>
      </w:r>
    </w:p>
    <w:p w14:paraId="4304026C"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按预付对象归集的期末余额前五名的预付款情况</w:t>
      </w:r>
    </w:p>
    <w:tbl>
      <w:tblPr>
        <w:tblW w:w="5000" w:type="pct"/>
        <w:jc w:val="center"/>
        <w:tblCellMar>
          <w:left w:w="0" w:type="dxa"/>
          <w:right w:w="0" w:type="dxa"/>
        </w:tblCellMar>
        <w:tblLook w:val="04A0" w:firstRow="1" w:lastRow="0" w:firstColumn="1" w:lastColumn="0" w:noHBand="0" w:noVBand="1"/>
      </w:tblPr>
      <w:tblGrid>
        <w:gridCol w:w="1809"/>
        <w:gridCol w:w="2552"/>
        <w:gridCol w:w="2126"/>
        <w:gridCol w:w="3366"/>
      </w:tblGrid>
      <w:tr w:rsidR="00A46BF1" w14:paraId="0F5752A1" w14:textId="77777777" w:rsidTr="00875391">
        <w:trPr>
          <w:trHeight w:val="340"/>
          <w:tblHeader/>
          <w:jc w:val="center"/>
        </w:trPr>
        <w:tc>
          <w:tcPr>
            <w:tcW w:w="91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DDC28D" w14:textId="77777777" w:rsidR="00A46BF1" w:rsidRPr="00875391" w:rsidRDefault="00A46BF1" w:rsidP="00875391">
            <w:pPr>
              <w:pStyle w:val="a9"/>
              <w:spacing w:before="0" w:beforeAutospacing="0" w:after="0" w:afterAutospacing="0" w:line="360" w:lineRule="auto"/>
              <w:jc w:val="both"/>
              <w:rPr>
                <w:rFonts w:ascii="Times New Roman" w:hAnsi="Times New Roman" w:cs="Times New Roman"/>
                <w:sz w:val="18"/>
                <w:szCs w:val="18"/>
              </w:rPr>
            </w:pPr>
            <w:r w:rsidRPr="00875391">
              <w:rPr>
                <w:rStyle w:val="aa"/>
                <w:rFonts w:ascii="Times New Roman" w:hAnsi="Times New Roman" w:cs="Times New Roman"/>
                <w:sz w:val="18"/>
                <w:szCs w:val="18"/>
              </w:rPr>
              <w:t>单位名称</w:t>
            </w:r>
          </w:p>
        </w:tc>
        <w:tc>
          <w:tcPr>
            <w:tcW w:w="129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7D627A" w14:textId="77777777" w:rsidR="00A46BF1" w:rsidRPr="00875391" w:rsidRDefault="00A46BF1" w:rsidP="00875391">
            <w:pPr>
              <w:pStyle w:val="a9"/>
              <w:spacing w:before="0" w:beforeAutospacing="0" w:after="0" w:afterAutospacing="0" w:line="360" w:lineRule="auto"/>
              <w:jc w:val="center"/>
              <w:rPr>
                <w:rFonts w:ascii="Times New Roman" w:hAnsi="Times New Roman" w:cs="Times New Roman"/>
                <w:sz w:val="18"/>
                <w:szCs w:val="18"/>
              </w:rPr>
            </w:pPr>
            <w:r w:rsidRPr="00875391">
              <w:rPr>
                <w:rStyle w:val="aa"/>
                <w:rFonts w:ascii="Times New Roman" w:hAnsi="Times New Roman" w:cs="Times New Roman"/>
                <w:sz w:val="18"/>
                <w:szCs w:val="18"/>
              </w:rPr>
              <w:t>年末余额</w:t>
            </w:r>
          </w:p>
        </w:tc>
        <w:tc>
          <w:tcPr>
            <w:tcW w:w="107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37D88F" w14:textId="77777777" w:rsidR="00A46BF1" w:rsidRPr="00875391" w:rsidRDefault="00A46BF1" w:rsidP="00875391">
            <w:pPr>
              <w:pStyle w:val="a9"/>
              <w:spacing w:before="0" w:beforeAutospacing="0" w:after="0" w:afterAutospacing="0" w:line="360" w:lineRule="auto"/>
              <w:jc w:val="center"/>
              <w:rPr>
                <w:rFonts w:ascii="Times New Roman" w:hAnsi="Times New Roman" w:cs="Times New Roman"/>
                <w:sz w:val="18"/>
                <w:szCs w:val="18"/>
              </w:rPr>
            </w:pPr>
            <w:r w:rsidRPr="00875391">
              <w:rPr>
                <w:rStyle w:val="aa"/>
                <w:rFonts w:ascii="Times New Roman" w:hAnsi="Times New Roman" w:cs="Times New Roman"/>
                <w:sz w:val="18"/>
                <w:szCs w:val="18"/>
              </w:rPr>
              <w:t>账龄</w:t>
            </w:r>
          </w:p>
        </w:tc>
        <w:tc>
          <w:tcPr>
            <w:tcW w:w="17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7BB18D" w14:textId="77777777" w:rsidR="00A46BF1" w:rsidRPr="00875391" w:rsidRDefault="00A46BF1" w:rsidP="00875391">
            <w:pPr>
              <w:pStyle w:val="a9"/>
              <w:spacing w:before="0" w:beforeAutospacing="0" w:after="0" w:afterAutospacing="0" w:line="360" w:lineRule="auto"/>
              <w:jc w:val="center"/>
              <w:rPr>
                <w:rFonts w:ascii="Times New Roman" w:hAnsi="Times New Roman" w:cs="Times New Roman"/>
                <w:sz w:val="18"/>
                <w:szCs w:val="18"/>
              </w:rPr>
            </w:pPr>
            <w:r w:rsidRPr="00875391">
              <w:rPr>
                <w:rStyle w:val="aa"/>
                <w:rFonts w:ascii="Times New Roman" w:hAnsi="Times New Roman" w:cs="Times New Roman"/>
                <w:sz w:val="18"/>
                <w:szCs w:val="18"/>
              </w:rPr>
              <w:t>占预付款项年末余额合计数的比例</w:t>
            </w:r>
            <w:r w:rsidRPr="00875391">
              <w:rPr>
                <w:rStyle w:val="aa"/>
                <w:rFonts w:ascii="Times New Roman" w:hAnsi="Times New Roman" w:cs="Times New Roman"/>
                <w:sz w:val="18"/>
                <w:szCs w:val="18"/>
              </w:rPr>
              <w:t>(%)</w:t>
            </w:r>
          </w:p>
        </w:tc>
      </w:tr>
      <w:tr w:rsidR="00A46BF1" w14:paraId="154845A1" w14:textId="77777777" w:rsidTr="00875391">
        <w:trPr>
          <w:trHeight w:val="340"/>
          <w:jc w:val="center"/>
        </w:trPr>
        <w:tc>
          <w:tcPr>
            <w:tcW w:w="9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9AD40" w14:textId="1DE1319D" w:rsidR="00A46BF1" w:rsidRPr="00875391" w:rsidRDefault="00A46BF1" w:rsidP="00875391">
            <w:pPr>
              <w:pStyle w:val="a9"/>
              <w:spacing w:before="0" w:beforeAutospacing="0" w:after="0" w:afterAutospacing="0" w:line="360" w:lineRule="auto"/>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Q</w:t>
            </w:r>
            <w:r w:rsidRPr="00875391">
              <w:rPr>
                <w:rFonts w:ascii="Times New Roman" w:hAnsi="Times New Roman" w:cs="Times New Roman"/>
                <w:color w:val="000000"/>
                <w:sz w:val="18"/>
                <w:szCs w:val="18"/>
              </w:rPr>
              <w:t>公司</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484406" w14:textId="633908B5" w:rsidR="00A46BF1" w:rsidRPr="00875391" w:rsidRDefault="00A46BF1" w:rsidP="00875391">
            <w:pPr>
              <w:pStyle w:val="a9"/>
              <w:spacing w:before="0" w:beforeAutospacing="0" w:after="0" w:afterAutospacing="0" w:line="360" w:lineRule="auto"/>
              <w:jc w:val="right"/>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5,869,198.17</w:t>
            </w:r>
          </w:p>
        </w:tc>
        <w:tc>
          <w:tcPr>
            <w:tcW w:w="10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65081"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w:t>
            </w:r>
            <w:r w:rsidRPr="00875391">
              <w:rPr>
                <w:rFonts w:ascii="Times New Roman" w:hAnsi="Times New Roman" w:cs="Times New Roman"/>
                <w:color w:val="000000"/>
                <w:sz w:val="18"/>
                <w:szCs w:val="18"/>
              </w:rPr>
              <w:t>年以内</w:t>
            </w:r>
          </w:p>
        </w:tc>
        <w:tc>
          <w:tcPr>
            <w:tcW w:w="17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2B32C9"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11.73</w:t>
            </w:r>
          </w:p>
        </w:tc>
      </w:tr>
      <w:tr w:rsidR="00A46BF1" w14:paraId="5842C681" w14:textId="77777777" w:rsidTr="00875391">
        <w:trPr>
          <w:trHeight w:val="340"/>
          <w:jc w:val="center"/>
        </w:trPr>
        <w:tc>
          <w:tcPr>
            <w:tcW w:w="9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A3E7AA" w14:textId="77777777" w:rsidR="00A46BF1" w:rsidRPr="00875391" w:rsidRDefault="00A46BF1" w:rsidP="00875391">
            <w:pPr>
              <w:pStyle w:val="a9"/>
              <w:spacing w:before="0" w:beforeAutospacing="0" w:after="0" w:afterAutospacing="0" w:line="360" w:lineRule="auto"/>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S</w:t>
            </w:r>
            <w:r w:rsidRPr="00875391">
              <w:rPr>
                <w:rFonts w:ascii="Times New Roman" w:hAnsi="Times New Roman" w:cs="Times New Roman"/>
                <w:color w:val="000000"/>
                <w:sz w:val="18"/>
                <w:szCs w:val="18"/>
              </w:rPr>
              <w:t>公司</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FB24BE" w14:textId="1E0FFC32" w:rsidR="00A46BF1" w:rsidRPr="00875391" w:rsidRDefault="00A46BF1" w:rsidP="00875391">
            <w:pPr>
              <w:pStyle w:val="a9"/>
              <w:spacing w:before="0" w:beforeAutospacing="0" w:after="0" w:afterAutospacing="0" w:line="360" w:lineRule="auto"/>
              <w:jc w:val="right"/>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5,036,444.47</w:t>
            </w:r>
          </w:p>
        </w:tc>
        <w:tc>
          <w:tcPr>
            <w:tcW w:w="10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BD91E0"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w:t>
            </w:r>
            <w:r w:rsidRPr="00875391">
              <w:rPr>
                <w:rFonts w:ascii="Times New Roman" w:hAnsi="Times New Roman" w:cs="Times New Roman"/>
                <w:color w:val="000000"/>
                <w:sz w:val="18"/>
                <w:szCs w:val="18"/>
              </w:rPr>
              <w:t>年以内</w:t>
            </w:r>
          </w:p>
        </w:tc>
        <w:tc>
          <w:tcPr>
            <w:tcW w:w="17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91F3CC"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10.06</w:t>
            </w:r>
          </w:p>
        </w:tc>
      </w:tr>
      <w:tr w:rsidR="00A46BF1" w14:paraId="32F24A8D" w14:textId="77777777" w:rsidTr="00875391">
        <w:trPr>
          <w:trHeight w:val="340"/>
          <w:jc w:val="center"/>
        </w:trPr>
        <w:tc>
          <w:tcPr>
            <w:tcW w:w="9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C62433" w14:textId="77777777" w:rsidR="00A46BF1" w:rsidRPr="00875391" w:rsidRDefault="00A46BF1" w:rsidP="00875391">
            <w:pPr>
              <w:pStyle w:val="a9"/>
              <w:spacing w:before="0" w:beforeAutospacing="0" w:after="0" w:afterAutospacing="0" w:line="360" w:lineRule="auto"/>
              <w:textAlignment w:val="center"/>
              <w:rPr>
                <w:rFonts w:ascii="Times New Roman" w:hAnsi="Times New Roman" w:cs="Times New Roman"/>
                <w:sz w:val="18"/>
                <w:szCs w:val="18"/>
              </w:rPr>
            </w:pPr>
            <w:r w:rsidRPr="00875391">
              <w:rPr>
                <w:rFonts w:ascii="Times New Roman" w:hAnsi="Times New Roman" w:cs="Times New Roman"/>
                <w:sz w:val="18"/>
                <w:szCs w:val="18"/>
              </w:rPr>
              <w:t>T</w:t>
            </w:r>
            <w:r w:rsidRPr="00875391">
              <w:rPr>
                <w:rFonts w:ascii="Times New Roman" w:hAnsi="Times New Roman" w:cs="Times New Roman"/>
                <w:sz w:val="18"/>
                <w:szCs w:val="18"/>
              </w:rPr>
              <w:t>公司</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676A22" w14:textId="664AC7FA" w:rsidR="00A46BF1" w:rsidRPr="00875391" w:rsidRDefault="00A46BF1" w:rsidP="00875391">
            <w:pPr>
              <w:pStyle w:val="a9"/>
              <w:spacing w:before="0" w:beforeAutospacing="0" w:after="0" w:afterAutospacing="0" w:line="360" w:lineRule="auto"/>
              <w:jc w:val="right"/>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4,491,063.62</w:t>
            </w:r>
          </w:p>
        </w:tc>
        <w:tc>
          <w:tcPr>
            <w:tcW w:w="10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5F5744"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w:t>
            </w:r>
            <w:r w:rsidRPr="00875391">
              <w:rPr>
                <w:rFonts w:ascii="Times New Roman" w:hAnsi="Times New Roman" w:cs="Times New Roman"/>
                <w:color w:val="000000"/>
                <w:sz w:val="18"/>
                <w:szCs w:val="18"/>
              </w:rPr>
              <w:t>年以内</w:t>
            </w:r>
          </w:p>
        </w:tc>
        <w:tc>
          <w:tcPr>
            <w:tcW w:w="17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A3BF64"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8.97</w:t>
            </w:r>
          </w:p>
        </w:tc>
      </w:tr>
      <w:tr w:rsidR="00A46BF1" w14:paraId="4C7D181B" w14:textId="77777777" w:rsidTr="00875391">
        <w:trPr>
          <w:trHeight w:val="340"/>
          <w:jc w:val="center"/>
        </w:trPr>
        <w:tc>
          <w:tcPr>
            <w:tcW w:w="9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2DA4B" w14:textId="77777777" w:rsidR="00A46BF1" w:rsidRPr="00875391" w:rsidRDefault="00A46BF1" w:rsidP="00875391">
            <w:pPr>
              <w:pStyle w:val="a9"/>
              <w:spacing w:before="0" w:beforeAutospacing="0" w:after="0" w:afterAutospacing="0" w:line="360" w:lineRule="auto"/>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U</w:t>
            </w:r>
            <w:r w:rsidRPr="00875391">
              <w:rPr>
                <w:rFonts w:ascii="Times New Roman" w:hAnsi="Times New Roman" w:cs="Times New Roman"/>
                <w:color w:val="000000"/>
                <w:sz w:val="18"/>
                <w:szCs w:val="18"/>
              </w:rPr>
              <w:t>公司</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1D2546" w14:textId="5DE6BC67" w:rsidR="00A46BF1" w:rsidRPr="00875391" w:rsidRDefault="00A46BF1" w:rsidP="00875391">
            <w:pPr>
              <w:pStyle w:val="a9"/>
              <w:spacing w:before="0" w:beforeAutospacing="0" w:after="0" w:afterAutospacing="0" w:line="360" w:lineRule="auto"/>
              <w:jc w:val="right"/>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2,018,206.57</w:t>
            </w:r>
          </w:p>
        </w:tc>
        <w:tc>
          <w:tcPr>
            <w:tcW w:w="10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BA07C" w14:textId="77777777" w:rsidR="00A46BF1" w:rsidRPr="00875391" w:rsidRDefault="00A46BF1" w:rsidP="00875391">
            <w:pPr>
              <w:pStyle w:val="a9"/>
              <w:spacing w:before="0" w:beforeAutospacing="0" w:after="0" w:afterAutospacing="0" w:line="360" w:lineRule="auto"/>
              <w:ind w:left="-100" w:right="-100"/>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w:t>
            </w:r>
            <w:r w:rsidRPr="00875391">
              <w:rPr>
                <w:rFonts w:ascii="Times New Roman" w:hAnsi="Times New Roman" w:cs="Times New Roman"/>
                <w:color w:val="000000"/>
                <w:sz w:val="18"/>
                <w:szCs w:val="18"/>
              </w:rPr>
              <w:t>年以内、</w:t>
            </w:r>
            <w:r w:rsidRPr="00875391">
              <w:rPr>
                <w:rFonts w:ascii="Times New Roman" w:hAnsi="Times New Roman" w:cs="Times New Roman"/>
                <w:color w:val="000000"/>
                <w:sz w:val="18"/>
                <w:szCs w:val="18"/>
              </w:rPr>
              <w:t>1-2</w:t>
            </w:r>
            <w:r w:rsidRPr="00875391">
              <w:rPr>
                <w:rFonts w:ascii="Times New Roman" w:hAnsi="Times New Roman" w:cs="Times New Roman"/>
                <w:color w:val="000000"/>
                <w:sz w:val="18"/>
                <w:szCs w:val="18"/>
              </w:rPr>
              <w:t>年</w:t>
            </w:r>
          </w:p>
        </w:tc>
        <w:tc>
          <w:tcPr>
            <w:tcW w:w="17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B87568"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4.03</w:t>
            </w:r>
          </w:p>
        </w:tc>
      </w:tr>
      <w:tr w:rsidR="00A46BF1" w14:paraId="4D1FBA6B" w14:textId="77777777" w:rsidTr="00875391">
        <w:trPr>
          <w:trHeight w:val="340"/>
          <w:jc w:val="center"/>
        </w:trPr>
        <w:tc>
          <w:tcPr>
            <w:tcW w:w="9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12B16D" w14:textId="77777777" w:rsidR="00A46BF1" w:rsidRPr="00875391" w:rsidRDefault="00A46BF1" w:rsidP="00875391">
            <w:pPr>
              <w:pStyle w:val="a9"/>
              <w:spacing w:before="0" w:beforeAutospacing="0" w:after="0" w:afterAutospacing="0" w:line="360" w:lineRule="auto"/>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V</w:t>
            </w:r>
            <w:r w:rsidRPr="00875391">
              <w:rPr>
                <w:rFonts w:ascii="Times New Roman" w:hAnsi="Times New Roman" w:cs="Times New Roman"/>
                <w:color w:val="000000"/>
                <w:sz w:val="18"/>
                <w:szCs w:val="18"/>
              </w:rPr>
              <w:t>公司</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D98D6" w14:textId="77D69B8C" w:rsidR="00A46BF1" w:rsidRPr="00875391" w:rsidRDefault="00A46BF1" w:rsidP="00875391">
            <w:pPr>
              <w:pStyle w:val="a9"/>
              <w:spacing w:before="0" w:beforeAutospacing="0" w:after="0" w:afterAutospacing="0" w:line="360" w:lineRule="auto"/>
              <w:jc w:val="right"/>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1,276,076.07</w:t>
            </w:r>
          </w:p>
        </w:tc>
        <w:tc>
          <w:tcPr>
            <w:tcW w:w="10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D157E"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1</w:t>
            </w:r>
            <w:r w:rsidRPr="00875391">
              <w:rPr>
                <w:rFonts w:ascii="Times New Roman" w:hAnsi="Times New Roman" w:cs="Times New Roman"/>
                <w:color w:val="000000"/>
                <w:sz w:val="18"/>
                <w:szCs w:val="18"/>
              </w:rPr>
              <w:t>年以内</w:t>
            </w:r>
          </w:p>
        </w:tc>
        <w:tc>
          <w:tcPr>
            <w:tcW w:w="17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3E751D"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Fonts w:ascii="Times New Roman" w:hAnsi="Times New Roman" w:cs="Times New Roman"/>
                <w:color w:val="000000"/>
                <w:sz w:val="18"/>
                <w:szCs w:val="18"/>
              </w:rPr>
              <w:t>2.55</w:t>
            </w:r>
          </w:p>
        </w:tc>
      </w:tr>
      <w:tr w:rsidR="00A46BF1" w14:paraId="6C41D5D3" w14:textId="77777777" w:rsidTr="00875391">
        <w:trPr>
          <w:trHeight w:val="340"/>
          <w:jc w:val="center"/>
        </w:trPr>
        <w:tc>
          <w:tcPr>
            <w:tcW w:w="9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3F6F64" w14:textId="77777777" w:rsidR="00A46BF1" w:rsidRPr="00875391" w:rsidRDefault="00A46BF1" w:rsidP="00875391">
            <w:pPr>
              <w:pStyle w:val="a9"/>
              <w:spacing w:before="0" w:beforeAutospacing="0" w:after="0" w:afterAutospacing="0" w:line="360" w:lineRule="auto"/>
              <w:textAlignment w:val="center"/>
              <w:rPr>
                <w:rFonts w:ascii="Times New Roman" w:hAnsi="Times New Roman" w:cs="Times New Roman"/>
                <w:sz w:val="18"/>
                <w:szCs w:val="18"/>
              </w:rPr>
            </w:pPr>
            <w:r w:rsidRPr="00875391">
              <w:rPr>
                <w:rStyle w:val="aa"/>
                <w:rFonts w:ascii="Times New Roman" w:hAnsi="Times New Roman" w:cs="Times New Roman"/>
                <w:color w:val="000000"/>
                <w:sz w:val="18"/>
                <w:szCs w:val="18"/>
              </w:rPr>
              <w:t>合计</w:t>
            </w:r>
          </w:p>
        </w:tc>
        <w:tc>
          <w:tcPr>
            <w:tcW w:w="12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124F8" w14:textId="7F1A4BC8" w:rsidR="00A46BF1" w:rsidRPr="00875391" w:rsidRDefault="00A46BF1" w:rsidP="00875391">
            <w:pPr>
              <w:pStyle w:val="a9"/>
              <w:spacing w:before="0" w:beforeAutospacing="0" w:after="0" w:afterAutospacing="0" w:line="360" w:lineRule="auto"/>
              <w:jc w:val="right"/>
              <w:textAlignment w:val="center"/>
              <w:rPr>
                <w:rFonts w:ascii="Times New Roman" w:hAnsi="Times New Roman" w:cs="Times New Roman"/>
                <w:sz w:val="18"/>
                <w:szCs w:val="18"/>
              </w:rPr>
            </w:pPr>
            <w:r w:rsidRPr="00875391">
              <w:rPr>
                <w:rStyle w:val="aa"/>
                <w:rFonts w:ascii="Times New Roman" w:hAnsi="Times New Roman" w:cs="Times New Roman"/>
                <w:color w:val="000000"/>
                <w:sz w:val="18"/>
                <w:szCs w:val="18"/>
              </w:rPr>
              <w:t>18,690,988.90</w:t>
            </w:r>
          </w:p>
        </w:tc>
        <w:tc>
          <w:tcPr>
            <w:tcW w:w="107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142F89"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Style w:val="aa"/>
                <w:rFonts w:ascii="Times New Roman" w:hAnsi="Times New Roman" w:cs="Times New Roman"/>
                <w:color w:val="000000"/>
                <w:sz w:val="18"/>
                <w:szCs w:val="18"/>
              </w:rPr>
              <w:t>—</w:t>
            </w:r>
          </w:p>
        </w:tc>
        <w:tc>
          <w:tcPr>
            <w:tcW w:w="17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074E8" w14:textId="77777777" w:rsidR="00A46BF1" w:rsidRPr="00875391" w:rsidRDefault="00A46BF1" w:rsidP="00875391">
            <w:pPr>
              <w:pStyle w:val="a9"/>
              <w:spacing w:before="0" w:beforeAutospacing="0" w:after="0" w:afterAutospacing="0" w:line="360" w:lineRule="auto"/>
              <w:jc w:val="center"/>
              <w:textAlignment w:val="center"/>
              <w:rPr>
                <w:rFonts w:ascii="Times New Roman" w:hAnsi="Times New Roman" w:cs="Times New Roman"/>
                <w:sz w:val="18"/>
                <w:szCs w:val="18"/>
              </w:rPr>
            </w:pPr>
            <w:r w:rsidRPr="00875391">
              <w:rPr>
                <w:rStyle w:val="aa"/>
                <w:rFonts w:ascii="Times New Roman" w:hAnsi="Times New Roman" w:cs="Times New Roman"/>
                <w:color w:val="000000"/>
                <w:sz w:val="18"/>
                <w:szCs w:val="18"/>
              </w:rPr>
              <w:t>37.34</w:t>
            </w:r>
          </w:p>
        </w:tc>
      </w:tr>
    </w:tbl>
    <w:p w14:paraId="1C3EA38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A148368" w14:textId="77777777" w:rsidR="00A46BF1" w:rsidRPr="00875391" w:rsidRDefault="00A46BF1" w:rsidP="00875391">
      <w:pPr>
        <w:spacing w:before="100" w:after="100" w:line="240" w:lineRule="exact"/>
        <w:rPr>
          <w:rFonts w:ascii="宋体" w:eastAsia="宋体" w:hAnsi="宋体" w:cs="宋体"/>
          <w:sz w:val="18"/>
          <w:szCs w:val="18"/>
        </w:rPr>
      </w:pPr>
      <w:r w:rsidRPr="00875391">
        <w:rPr>
          <w:rFonts w:ascii="宋体" w:eastAsia="宋体" w:hAnsi="宋体" w:cs="宋体" w:hint="eastAsia"/>
          <w:sz w:val="18"/>
          <w:szCs w:val="18"/>
        </w:rPr>
        <w:t>无</w:t>
      </w:r>
    </w:p>
    <w:p w14:paraId="7001EEF1" w14:textId="51E7EC3F" w:rsidR="00A46BF1" w:rsidRDefault="00875391" w:rsidP="00A46BF1">
      <w:pPr>
        <w:pStyle w:val="3"/>
        <w:spacing w:line="280" w:lineRule="exact"/>
        <w:jc w:val="left"/>
        <w:rPr>
          <w:rFonts w:ascii="宋体" w:hAnsi="宋体" w:cs="宋体"/>
          <w:b/>
          <w:bCs/>
        </w:rPr>
      </w:pPr>
      <w:r>
        <w:rPr>
          <w:rFonts w:ascii="宋体" w:hAnsi="宋体" w:cs="宋体"/>
          <w:b/>
          <w:bCs/>
        </w:rPr>
        <w:t>9</w:t>
      </w:r>
      <w:r w:rsidR="00A46BF1">
        <w:rPr>
          <w:rFonts w:ascii="宋体" w:hAnsi="宋体" w:cs="宋体"/>
          <w:b/>
          <w:bCs/>
        </w:rPr>
        <w:t>、存货</w:t>
      </w:r>
    </w:p>
    <w:p w14:paraId="15387C4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公司是否需要遵守房地产行业的披露要求</w:t>
      </w:r>
    </w:p>
    <w:p w14:paraId="33056D6A"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否</w:t>
      </w:r>
    </w:p>
    <w:p w14:paraId="7243545F"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存货分类</w:t>
      </w:r>
    </w:p>
    <w:p w14:paraId="1C08AAB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rsidRPr="00BD5837" w14:paraId="3B92D80E" w14:textId="77777777" w:rsidTr="00A46BF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388E441"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项目</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5A93B94"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期末余额</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85F4574"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期初余额</w:t>
            </w:r>
          </w:p>
        </w:tc>
      </w:tr>
      <w:tr w:rsidR="00095F6F" w:rsidRPr="00BD5837" w14:paraId="7CA77649" w14:textId="77777777" w:rsidTr="00A46BF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8EC34D" w14:textId="77777777" w:rsidR="00A46BF1" w:rsidRPr="00BD5837" w:rsidRDefault="00A46BF1" w:rsidP="00BD5837">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6E71F9C"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BB49E2E"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B2523E0"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账面价值</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ADE2810"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7B39FA5"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存货跌价准备或合同履约成本减值准备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1002867"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账面价值</w:t>
            </w:r>
          </w:p>
        </w:tc>
      </w:tr>
      <w:tr w:rsidR="00095F6F" w:rsidRPr="00BD5837" w14:paraId="0E088A74"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2204D95"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14:paraId="5C4D3FFE"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260,847,755.14</w:t>
            </w:r>
          </w:p>
        </w:tc>
        <w:tc>
          <w:tcPr>
            <w:tcW w:w="1377" w:type="dxa"/>
            <w:tcBorders>
              <w:top w:val="single" w:sz="2" w:space="0" w:color="auto"/>
              <w:left w:val="single" w:sz="2" w:space="0" w:color="auto"/>
              <w:bottom w:val="single" w:sz="2" w:space="0" w:color="auto"/>
              <w:right w:val="single" w:sz="2" w:space="0" w:color="auto"/>
            </w:tcBorders>
            <w:vAlign w:val="center"/>
          </w:tcPr>
          <w:p w14:paraId="1A9CDEA6"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19,189,586.74</w:t>
            </w:r>
          </w:p>
        </w:tc>
        <w:tc>
          <w:tcPr>
            <w:tcW w:w="1377" w:type="dxa"/>
            <w:tcBorders>
              <w:top w:val="single" w:sz="2" w:space="0" w:color="auto"/>
              <w:left w:val="single" w:sz="2" w:space="0" w:color="auto"/>
              <w:bottom w:val="single" w:sz="2" w:space="0" w:color="auto"/>
              <w:right w:val="single" w:sz="2" w:space="0" w:color="auto"/>
            </w:tcBorders>
            <w:vAlign w:val="center"/>
          </w:tcPr>
          <w:p w14:paraId="0F1644F3"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241,658,168.40</w:t>
            </w:r>
          </w:p>
        </w:tc>
        <w:tc>
          <w:tcPr>
            <w:tcW w:w="1377" w:type="dxa"/>
            <w:tcBorders>
              <w:top w:val="single" w:sz="2" w:space="0" w:color="auto"/>
              <w:left w:val="single" w:sz="2" w:space="0" w:color="auto"/>
              <w:bottom w:val="single" w:sz="2" w:space="0" w:color="auto"/>
              <w:right w:val="single" w:sz="2" w:space="0" w:color="auto"/>
            </w:tcBorders>
            <w:vAlign w:val="center"/>
          </w:tcPr>
          <w:p w14:paraId="645FCC0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242,678,380.69</w:t>
            </w:r>
          </w:p>
        </w:tc>
        <w:tc>
          <w:tcPr>
            <w:tcW w:w="1377" w:type="dxa"/>
            <w:tcBorders>
              <w:top w:val="single" w:sz="2" w:space="0" w:color="auto"/>
              <w:left w:val="single" w:sz="2" w:space="0" w:color="auto"/>
              <w:bottom w:val="single" w:sz="2" w:space="0" w:color="auto"/>
              <w:right w:val="single" w:sz="2" w:space="0" w:color="auto"/>
            </w:tcBorders>
            <w:vAlign w:val="center"/>
          </w:tcPr>
          <w:p w14:paraId="4A24349D"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28,959,752.21</w:t>
            </w:r>
          </w:p>
        </w:tc>
        <w:tc>
          <w:tcPr>
            <w:tcW w:w="1377" w:type="dxa"/>
            <w:tcBorders>
              <w:top w:val="single" w:sz="2" w:space="0" w:color="auto"/>
              <w:left w:val="single" w:sz="2" w:space="0" w:color="auto"/>
              <w:bottom w:val="single" w:sz="2" w:space="0" w:color="auto"/>
              <w:right w:val="single" w:sz="2" w:space="0" w:color="auto"/>
            </w:tcBorders>
            <w:vAlign w:val="center"/>
          </w:tcPr>
          <w:p w14:paraId="6A034AB7"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213,718,628.48</w:t>
            </w:r>
          </w:p>
        </w:tc>
      </w:tr>
      <w:tr w:rsidR="00095F6F" w:rsidRPr="00BD5837" w14:paraId="3786BA63"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8D34438"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14:paraId="3BED03CB"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169,423,634.26</w:t>
            </w:r>
          </w:p>
        </w:tc>
        <w:tc>
          <w:tcPr>
            <w:tcW w:w="1377" w:type="dxa"/>
            <w:tcBorders>
              <w:top w:val="single" w:sz="2" w:space="0" w:color="auto"/>
              <w:left w:val="single" w:sz="2" w:space="0" w:color="auto"/>
              <w:bottom w:val="single" w:sz="2" w:space="0" w:color="auto"/>
              <w:right w:val="single" w:sz="2" w:space="0" w:color="auto"/>
            </w:tcBorders>
            <w:vAlign w:val="center"/>
          </w:tcPr>
          <w:p w14:paraId="0EB7485C"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10,333,406.04</w:t>
            </w:r>
          </w:p>
        </w:tc>
        <w:tc>
          <w:tcPr>
            <w:tcW w:w="1377" w:type="dxa"/>
            <w:tcBorders>
              <w:top w:val="single" w:sz="2" w:space="0" w:color="auto"/>
              <w:left w:val="single" w:sz="2" w:space="0" w:color="auto"/>
              <w:bottom w:val="single" w:sz="2" w:space="0" w:color="auto"/>
              <w:right w:val="single" w:sz="2" w:space="0" w:color="auto"/>
            </w:tcBorders>
            <w:vAlign w:val="center"/>
          </w:tcPr>
          <w:p w14:paraId="285F9B15"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159,090,228.22</w:t>
            </w:r>
          </w:p>
        </w:tc>
        <w:tc>
          <w:tcPr>
            <w:tcW w:w="1377" w:type="dxa"/>
            <w:tcBorders>
              <w:top w:val="single" w:sz="2" w:space="0" w:color="auto"/>
              <w:left w:val="single" w:sz="2" w:space="0" w:color="auto"/>
              <w:bottom w:val="single" w:sz="2" w:space="0" w:color="auto"/>
              <w:right w:val="single" w:sz="2" w:space="0" w:color="auto"/>
            </w:tcBorders>
            <w:vAlign w:val="center"/>
          </w:tcPr>
          <w:p w14:paraId="76CD4E2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144,723,557.72</w:t>
            </w:r>
          </w:p>
        </w:tc>
        <w:tc>
          <w:tcPr>
            <w:tcW w:w="1377" w:type="dxa"/>
            <w:tcBorders>
              <w:top w:val="single" w:sz="2" w:space="0" w:color="auto"/>
              <w:left w:val="single" w:sz="2" w:space="0" w:color="auto"/>
              <w:bottom w:val="single" w:sz="2" w:space="0" w:color="auto"/>
              <w:right w:val="single" w:sz="2" w:space="0" w:color="auto"/>
            </w:tcBorders>
            <w:vAlign w:val="center"/>
          </w:tcPr>
          <w:p w14:paraId="3D3CA3C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930,976.28</w:t>
            </w:r>
          </w:p>
        </w:tc>
        <w:tc>
          <w:tcPr>
            <w:tcW w:w="1377" w:type="dxa"/>
            <w:tcBorders>
              <w:top w:val="single" w:sz="2" w:space="0" w:color="auto"/>
              <w:left w:val="single" w:sz="2" w:space="0" w:color="auto"/>
              <w:bottom w:val="single" w:sz="2" w:space="0" w:color="auto"/>
              <w:right w:val="single" w:sz="2" w:space="0" w:color="auto"/>
            </w:tcBorders>
            <w:vAlign w:val="center"/>
          </w:tcPr>
          <w:p w14:paraId="5A6419AE"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143,792,581.44</w:t>
            </w:r>
          </w:p>
        </w:tc>
      </w:tr>
      <w:tr w:rsidR="00095F6F" w:rsidRPr="00BD5837" w14:paraId="646B633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58D1CF9"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519D4EE1"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287,516,136.53</w:t>
            </w:r>
          </w:p>
        </w:tc>
        <w:tc>
          <w:tcPr>
            <w:tcW w:w="1377" w:type="dxa"/>
            <w:tcBorders>
              <w:top w:val="single" w:sz="2" w:space="0" w:color="auto"/>
              <w:left w:val="single" w:sz="2" w:space="0" w:color="auto"/>
              <w:bottom w:val="single" w:sz="2" w:space="0" w:color="auto"/>
              <w:right w:val="single" w:sz="2" w:space="0" w:color="auto"/>
            </w:tcBorders>
            <w:vAlign w:val="center"/>
          </w:tcPr>
          <w:p w14:paraId="1AE7E016"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20,228,474.04</w:t>
            </w:r>
          </w:p>
        </w:tc>
        <w:tc>
          <w:tcPr>
            <w:tcW w:w="1377" w:type="dxa"/>
            <w:tcBorders>
              <w:top w:val="single" w:sz="2" w:space="0" w:color="auto"/>
              <w:left w:val="single" w:sz="2" w:space="0" w:color="auto"/>
              <w:bottom w:val="single" w:sz="2" w:space="0" w:color="auto"/>
              <w:right w:val="single" w:sz="2" w:space="0" w:color="auto"/>
            </w:tcBorders>
            <w:vAlign w:val="center"/>
          </w:tcPr>
          <w:p w14:paraId="4C8C775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267,287,662.49</w:t>
            </w:r>
          </w:p>
        </w:tc>
        <w:tc>
          <w:tcPr>
            <w:tcW w:w="1377" w:type="dxa"/>
            <w:tcBorders>
              <w:top w:val="single" w:sz="2" w:space="0" w:color="auto"/>
              <w:left w:val="single" w:sz="2" w:space="0" w:color="auto"/>
              <w:bottom w:val="single" w:sz="2" w:space="0" w:color="auto"/>
              <w:right w:val="single" w:sz="2" w:space="0" w:color="auto"/>
            </w:tcBorders>
            <w:vAlign w:val="center"/>
          </w:tcPr>
          <w:p w14:paraId="43CC4703"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239,632,417.25</w:t>
            </w:r>
          </w:p>
        </w:tc>
        <w:tc>
          <w:tcPr>
            <w:tcW w:w="1377" w:type="dxa"/>
            <w:tcBorders>
              <w:top w:val="single" w:sz="2" w:space="0" w:color="auto"/>
              <w:left w:val="single" w:sz="2" w:space="0" w:color="auto"/>
              <w:bottom w:val="single" w:sz="2" w:space="0" w:color="auto"/>
              <w:right w:val="single" w:sz="2" w:space="0" w:color="auto"/>
            </w:tcBorders>
            <w:vAlign w:val="center"/>
          </w:tcPr>
          <w:p w14:paraId="0ECD0D38"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9,843,310.13</w:t>
            </w:r>
          </w:p>
        </w:tc>
        <w:tc>
          <w:tcPr>
            <w:tcW w:w="1377" w:type="dxa"/>
            <w:tcBorders>
              <w:top w:val="single" w:sz="2" w:space="0" w:color="auto"/>
              <w:left w:val="single" w:sz="2" w:space="0" w:color="auto"/>
              <w:bottom w:val="single" w:sz="2" w:space="0" w:color="auto"/>
              <w:right w:val="single" w:sz="2" w:space="0" w:color="auto"/>
            </w:tcBorders>
            <w:vAlign w:val="center"/>
          </w:tcPr>
          <w:p w14:paraId="6B80C9A0"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229,789,107.12</w:t>
            </w:r>
          </w:p>
        </w:tc>
      </w:tr>
      <w:tr w:rsidR="00095F6F" w:rsidRPr="00BD5837" w14:paraId="2D99D28F"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469D667"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发出商品</w:t>
            </w:r>
          </w:p>
        </w:tc>
        <w:tc>
          <w:tcPr>
            <w:tcW w:w="1377" w:type="dxa"/>
            <w:tcBorders>
              <w:top w:val="single" w:sz="2" w:space="0" w:color="auto"/>
              <w:left w:val="single" w:sz="2" w:space="0" w:color="auto"/>
              <w:bottom w:val="single" w:sz="2" w:space="0" w:color="auto"/>
              <w:right w:val="single" w:sz="2" w:space="0" w:color="auto"/>
            </w:tcBorders>
            <w:vAlign w:val="center"/>
          </w:tcPr>
          <w:p w14:paraId="4B530BF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32,993,291.10</w:t>
            </w:r>
          </w:p>
        </w:tc>
        <w:tc>
          <w:tcPr>
            <w:tcW w:w="1377" w:type="dxa"/>
            <w:tcBorders>
              <w:top w:val="single" w:sz="2" w:space="0" w:color="auto"/>
              <w:left w:val="single" w:sz="2" w:space="0" w:color="auto"/>
              <w:bottom w:val="single" w:sz="2" w:space="0" w:color="auto"/>
              <w:right w:val="single" w:sz="2" w:space="0" w:color="auto"/>
            </w:tcBorders>
            <w:vAlign w:val="center"/>
          </w:tcPr>
          <w:p w14:paraId="4BFF5880"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DF308C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32,993,291.10</w:t>
            </w:r>
          </w:p>
        </w:tc>
        <w:tc>
          <w:tcPr>
            <w:tcW w:w="1377" w:type="dxa"/>
            <w:tcBorders>
              <w:top w:val="single" w:sz="2" w:space="0" w:color="auto"/>
              <w:left w:val="single" w:sz="2" w:space="0" w:color="auto"/>
              <w:bottom w:val="single" w:sz="2" w:space="0" w:color="auto"/>
              <w:right w:val="single" w:sz="2" w:space="0" w:color="auto"/>
            </w:tcBorders>
            <w:vAlign w:val="center"/>
          </w:tcPr>
          <w:p w14:paraId="0FA5ACAB"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21,870,999.61</w:t>
            </w:r>
          </w:p>
        </w:tc>
        <w:tc>
          <w:tcPr>
            <w:tcW w:w="1377" w:type="dxa"/>
            <w:tcBorders>
              <w:top w:val="single" w:sz="2" w:space="0" w:color="auto"/>
              <w:left w:val="single" w:sz="2" w:space="0" w:color="auto"/>
              <w:bottom w:val="single" w:sz="2" w:space="0" w:color="auto"/>
              <w:right w:val="single" w:sz="2" w:space="0" w:color="auto"/>
            </w:tcBorders>
            <w:vAlign w:val="center"/>
          </w:tcPr>
          <w:p w14:paraId="61DDC9D3"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4949C37"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21,870,999.61</w:t>
            </w:r>
          </w:p>
        </w:tc>
      </w:tr>
      <w:tr w:rsidR="00095F6F" w:rsidRPr="00BD5837" w14:paraId="19494070"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52D8B1F9"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在途物资</w:t>
            </w:r>
          </w:p>
        </w:tc>
        <w:tc>
          <w:tcPr>
            <w:tcW w:w="1377" w:type="dxa"/>
            <w:tcBorders>
              <w:top w:val="single" w:sz="2" w:space="0" w:color="auto"/>
              <w:left w:val="single" w:sz="2" w:space="0" w:color="auto"/>
              <w:bottom w:val="single" w:sz="2" w:space="0" w:color="auto"/>
              <w:right w:val="single" w:sz="2" w:space="0" w:color="auto"/>
            </w:tcBorders>
            <w:vAlign w:val="center"/>
          </w:tcPr>
          <w:p w14:paraId="5E309232"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34,921,523.66</w:t>
            </w:r>
          </w:p>
        </w:tc>
        <w:tc>
          <w:tcPr>
            <w:tcW w:w="1377" w:type="dxa"/>
            <w:tcBorders>
              <w:top w:val="single" w:sz="2" w:space="0" w:color="auto"/>
              <w:left w:val="single" w:sz="2" w:space="0" w:color="auto"/>
              <w:bottom w:val="single" w:sz="2" w:space="0" w:color="auto"/>
              <w:right w:val="single" w:sz="2" w:space="0" w:color="auto"/>
            </w:tcBorders>
            <w:vAlign w:val="center"/>
          </w:tcPr>
          <w:p w14:paraId="086561DB"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1,601,249.35</w:t>
            </w:r>
          </w:p>
        </w:tc>
        <w:tc>
          <w:tcPr>
            <w:tcW w:w="1377" w:type="dxa"/>
            <w:tcBorders>
              <w:top w:val="single" w:sz="2" w:space="0" w:color="auto"/>
              <w:left w:val="single" w:sz="2" w:space="0" w:color="auto"/>
              <w:bottom w:val="single" w:sz="2" w:space="0" w:color="auto"/>
              <w:right w:val="single" w:sz="2" w:space="0" w:color="auto"/>
            </w:tcBorders>
            <w:vAlign w:val="center"/>
          </w:tcPr>
          <w:p w14:paraId="3467D24B"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33,320,274.31</w:t>
            </w:r>
          </w:p>
        </w:tc>
        <w:tc>
          <w:tcPr>
            <w:tcW w:w="1377" w:type="dxa"/>
            <w:tcBorders>
              <w:top w:val="single" w:sz="2" w:space="0" w:color="auto"/>
              <w:left w:val="single" w:sz="2" w:space="0" w:color="auto"/>
              <w:bottom w:val="single" w:sz="2" w:space="0" w:color="auto"/>
              <w:right w:val="single" w:sz="2" w:space="0" w:color="auto"/>
            </w:tcBorders>
            <w:vAlign w:val="center"/>
          </w:tcPr>
          <w:p w14:paraId="0DFB68E2"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31,480,918.57</w:t>
            </w:r>
          </w:p>
        </w:tc>
        <w:tc>
          <w:tcPr>
            <w:tcW w:w="1377" w:type="dxa"/>
            <w:tcBorders>
              <w:top w:val="single" w:sz="2" w:space="0" w:color="auto"/>
              <w:left w:val="single" w:sz="2" w:space="0" w:color="auto"/>
              <w:bottom w:val="single" w:sz="2" w:space="0" w:color="auto"/>
              <w:right w:val="single" w:sz="2" w:space="0" w:color="auto"/>
            </w:tcBorders>
            <w:vAlign w:val="center"/>
          </w:tcPr>
          <w:p w14:paraId="00F34D38"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0E609C8"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31,480,918.57</w:t>
            </w:r>
          </w:p>
        </w:tc>
      </w:tr>
      <w:tr w:rsidR="00095F6F" w:rsidRPr="00BD5837" w14:paraId="03D7B5BA"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1DB5F58A"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委托加工物资</w:t>
            </w:r>
          </w:p>
        </w:tc>
        <w:tc>
          <w:tcPr>
            <w:tcW w:w="1377" w:type="dxa"/>
            <w:tcBorders>
              <w:top w:val="single" w:sz="2" w:space="0" w:color="auto"/>
              <w:left w:val="single" w:sz="2" w:space="0" w:color="auto"/>
              <w:bottom w:val="single" w:sz="2" w:space="0" w:color="auto"/>
              <w:right w:val="single" w:sz="2" w:space="0" w:color="auto"/>
            </w:tcBorders>
            <w:vAlign w:val="center"/>
          </w:tcPr>
          <w:p w14:paraId="689968D3"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25,834,530.46</w:t>
            </w:r>
          </w:p>
        </w:tc>
        <w:tc>
          <w:tcPr>
            <w:tcW w:w="1377" w:type="dxa"/>
            <w:tcBorders>
              <w:top w:val="single" w:sz="2" w:space="0" w:color="auto"/>
              <w:left w:val="single" w:sz="2" w:space="0" w:color="auto"/>
              <w:bottom w:val="single" w:sz="2" w:space="0" w:color="auto"/>
              <w:right w:val="single" w:sz="2" w:space="0" w:color="auto"/>
            </w:tcBorders>
            <w:vAlign w:val="center"/>
          </w:tcPr>
          <w:p w14:paraId="6057619C"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3487A4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25,834,530.46</w:t>
            </w:r>
          </w:p>
        </w:tc>
        <w:tc>
          <w:tcPr>
            <w:tcW w:w="1377" w:type="dxa"/>
            <w:tcBorders>
              <w:top w:val="single" w:sz="2" w:space="0" w:color="auto"/>
              <w:left w:val="single" w:sz="2" w:space="0" w:color="auto"/>
              <w:bottom w:val="single" w:sz="2" w:space="0" w:color="auto"/>
              <w:right w:val="single" w:sz="2" w:space="0" w:color="auto"/>
            </w:tcBorders>
            <w:vAlign w:val="center"/>
          </w:tcPr>
          <w:p w14:paraId="5E88097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22,191,431.65</w:t>
            </w:r>
          </w:p>
        </w:tc>
        <w:tc>
          <w:tcPr>
            <w:tcW w:w="1377" w:type="dxa"/>
            <w:tcBorders>
              <w:top w:val="single" w:sz="2" w:space="0" w:color="auto"/>
              <w:left w:val="single" w:sz="2" w:space="0" w:color="auto"/>
              <w:bottom w:val="single" w:sz="2" w:space="0" w:color="auto"/>
              <w:right w:val="single" w:sz="2" w:space="0" w:color="auto"/>
            </w:tcBorders>
            <w:vAlign w:val="center"/>
          </w:tcPr>
          <w:p w14:paraId="23E067B0"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2F680A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22,191,431.65</w:t>
            </w:r>
          </w:p>
        </w:tc>
      </w:tr>
      <w:tr w:rsidR="00095F6F" w:rsidRPr="00BD5837" w14:paraId="512A149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40878D2"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340FE9D4"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811,536,871.15</w:t>
            </w:r>
          </w:p>
        </w:tc>
        <w:tc>
          <w:tcPr>
            <w:tcW w:w="1377" w:type="dxa"/>
            <w:tcBorders>
              <w:top w:val="single" w:sz="2" w:space="0" w:color="auto"/>
              <w:left w:val="single" w:sz="2" w:space="0" w:color="auto"/>
              <w:bottom w:val="single" w:sz="2" w:space="0" w:color="auto"/>
              <w:right w:val="single" w:sz="2" w:space="0" w:color="auto"/>
            </w:tcBorders>
            <w:vAlign w:val="center"/>
          </w:tcPr>
          <w:p w14:paraId="618A462D"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51,352,716.17</w:t>
            </w:r>
          </w:p>
        </w:tc>
        <w:tc>
          <w:tcPr>
            <w:tcW w:w="1377" w:type="dxa"/>
            <w:tcBorders>
              <w:top w:val="single" w:sz="2" w:space="0" w:color="auto"/>
              <w:left w:val="single" w:sz="2" w:space="0" w:color="auto"/>
              <w:bottom w:val="single" w:sz="2" w:space="0" w:color="auto"/>
              <w:right w:val="single" w:sz="2" w:space="0" w:color="auto"/>
            </w:tcBorders>
            <w:vAlign w:val="center"/>
          </w:tcPr>
          <w:p w14:paraId="10B3163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760,184,154.98</w:t>
            </w:r>
          </w:p>
        </w:tc>
        <w:tc>
          <w:tcPr>
            <w:tcW w:w="1377" w:type="dxa"/>
            <w:tcBorders>
              <w:top w:val="single" w:sz="2" w:space="0" w:color="auto"/>
              <w:left w:val="single" w:sz="2" w:space="0" w:color="auto"/>
              <w:bottom w:val="single" w:sz="2" w:space="0" w:color="auto"/>
              <w:right w:val="single" w:sz="2" w:space="0" w:color="auto"/>
            </w:tcBorders>
            <w:vAlign w:val="center"/>
          </w:tcPr>
          <w:p w14:paraId="4168556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702,577,705.49</w:t>
            </w:r>
          </w:p>
        </w:tc>
        <w:tc>
          <w:tcPr>
            <w:tcW w:w="1377" w:type="dxa"/>
            <w:tcBorders>
              <w:top w:val="single" w:sz="2" w:space="0" w:color="auto"/>
              <w:left w:val="single" w:sz="2" w:space="0" w:color="auto"/>
              <w:bottom w:val="single" w:sz="2" w:space="0" w:color="auto"/>
              <w:right w:val="single" w:sz="2" w:space="0" w:color="auto"/>
            </w:tcBorders>
            <w:vAlign w:val="center"/>
          </w:tcPr>
          <w:p w14:paraId="5AA25D2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39,734,038.62</w:t>
            </w:r>
          </w:p>
        </w:tc>
        <w:tc>
          <w:tcPr>
            <w:tcW w:w="1377" w:type="dxa"/>
            <w:tcBorders>
              <w:top w:val="single" w:sz="2" w:space="0" w:color="auto"/>
              <w:left w:val="single" w:sz="2" w:space="0" w:color="auto"/>
              <w:bottom w:val="single" w:sz="2" w:space="0" w:color="auto"/>
              <w:right w:val="single" w:sz="2" w:space="0" w:color="auto"/>
            </w:tcBorders>
            <w:vAlign w:val="center"/>
          </w:tcPr>
          <w:p w14:paraId="21DCE5E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662,843,666.87</w:t>
            </w:r>
          </w:p>
        </w:tc>
      </w:tr>
    </w:tbl>
    <w:p w14:paraId="35BFDD6C"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存货跌价准备和合同履约成本减值准备</w:t>
      </w:r>
    </w:p>
    <w:p w14:paraId="1C9E43F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14:paraId="0EFC8601" w14:textId="77777777" w:rsidTr="00A46BF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EA30CE2"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项目</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0324159"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期初余额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301C7ED"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本期增加金额</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65FABB5"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本期减少金额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4B2C12"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期末余额</w:t>
            </w:r>
          </w:p>
        </w:tc>
      </w:tr>
      <w:tr w:rsidR="00095F6F" w14:paraId="06353E47" w14:textId="77777777" w:rsidTr="00A46BF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9DE9FF2" w14:textId="77777777" w:rsidR="00A46BF1" w:rsidRPr="00BD5837" w:rsidRDefault="00A46BF1" w:rsidP="00BD5837">
            <w:pPr>
              <w:spacing w:line="360" w:lineRule="auto"/>
              <w:rPr>
                <w:rFonts w:ascii="Times New Roman" w:hAnsi="Times New Roman" w:cs="Times New Roman"/>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CAAAB08" w14:textId="77777777" w:rsidR="00A46BF1" w:rsidRPr="00BD5837" w:rsidRDefault="00A46BF1" w:rsidP="00BD5837">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A703181"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D280A17"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其他</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417E14F"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转回或转销</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32B5C14"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17856F1" w14:textId="77777777" w:rsidR="00A46BF1" w:rsidRPr="00BD5837" w:rsidRDefault="00A46BF1" w:rsidP="00BD5837">
            <w:pPr>
              <w:spacing w:line="360" w:lineRule="auto"/>
              <w:rPr>
                <w:rFonts w:ascii="Times New Roman" w:hAnsi="Times New Roman" w:cs="Times New Roman"/>
              </w:rPr>
            </w:pPr>
          </w:p>
        </w:tc>
      </w:tr>
      <w:tr w:rsidR="00095F6F" w14:paraId="5BC45E14"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3E3300C"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原材料</w:t>
            </w:r>
          </w:p>
        </w:tc>
        <w:tc>
          <w:tcPr>
            <w:tcW w:w="1377" w:type="dxa"/>
            <w:tcBorders>
              <w:top w:val="single" w:sz="2" w:space="0" w:color="auto"/>
              <w:left w:val="single" w:sz="2" w:space="0" w:color="auto"/>
              <w:bottom w:val="single" w:sz="2" w:space="0" w:color="auto"/>
              <w:right w:val="single" w:sz="2" w:space="0" w:color="auto"/>
            </w:tcBorders>
            <w:vAlign w:val="center"/>
          </w:tcPr>
          <w:p w14:paraId="6DB73D62"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28,959,752.21</w:t>
            </w:r>
          </w:p>
        </w:tc>
        <w:tc>
          <w:tcPr>
            <w:tcW w:w="1377" w:type="dxa"/>
            <w:tcBorders>
              <w:top w:val="single" w:sz="2" w:space="0" w:color="auto"/>
              <w:left w:val="single" w:sz="2" w:space="0" w:color="auto"/>
              <w:bottom w:val="single" w:sz="2" w:space="0" w:color="auto"/>
              <w:right w:val="single" w:sz="2" w:space="0" w:color="auto"/>
            </w:tcBorders>
            <w:vAlign w:val="center"/>
          </w:tcPr>
          <w:p w14:paraId="29BAD0B7"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5,786,187.24</w:t>
            </w:r>
          </w:p>
        </w:tc>
        <w:tc>
          <w:tcPr>
            <w:tcW w:w="1377" w:type="dxa"/>
            <w:tcBorders>
              <w:top w:val="single" w:sz="2" w:space="0" w:color="auto"/>
              <w:left w:val="single" w:sz="2" w:space="0" w:color="auto"/>
              <w:bottom w:val="single" w:sz="2" w:space="0" w:color="auto"/>
              <w:right w:val="single" w:sz="2" w:space="0" w:color="auto"/>
            </w:tcBorders>
            <w:vAlign w:val="center"/>
          </w:tcPr>
          <w:p w14:paraId="7EE5B68C"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4D99104B"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15,130,789.39</w:t>
            </w:r>
          </w:p>
        </w:tc>
        <w:tc>
          <w:tcPr>
            <w:tcW w:w="1377" w:type="dxa"/>
            <w:tcBorders>
              <w:top w:val="single" w:sz="2" w:space="0" w:color="auto"/>
              <w:left w:val="single" w:sz="2" w:space="0" w:color="auto"/>
              <w:bottom w:val="single" w:sz="2" w:space="0" w:color="auto"/>
              <w:right w:val="single" w:sz="2" w:space="0" w:color="auto"/>
            </w:tcBorders>
            <w:vAlign w:val="center"/>
          </w:tcPr>
          <w:p w14:paraId="0412FBC5"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425,563.32</w:t>
            </w:r>
          </w:p>
        </w:tc>
        <w:tc>
          <w:tcPr>
            <w:tcW w:w="1377" w:type="dxa"/>
            <w:tcBorders>
              <w:top w:val="single" w:sz="2" w:space="0" w:color="auto"/>
              <w:left w:val="single" w:sz="2" w:space="0" w:color="auto"/>
              <w:bottom w:val="single" w:sz="2" w:space="0" w:color="auto"/>
              <w:right w:val="single" w:sz="2" w:space="0" w:color="auto"/>
            </w:tcBorders>
            <w:vAlign w:val="center"/>
          </w:tcPr>
          <w:p w14:paraId="675164F8"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19,189,586.74</w:t>
            </w:r>
          </w:p>
        </w:tc>
      </w:tr>
      <w:tr w:rsidR="00095F6F" w14:paraId="766814C4"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C7D66FE"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在产品</w:t>
            </w:r>
          </w:p>
        </w:tc>
        <w:tc>
          <w:tcPr>
            <w:tcW w:w="1377" w:type="dxa"/>
            <w:tcBorders>
              <w:top w:val="single" w:sz="2" w:space="0" w:color="auto"/>
              <w:left w:val="single" w:sz="2" w:space="0" w:color="auto"/>
              <w:bottom w:val="single" w:sz="2" w:space="0" w:color="auto"/>
              <w:right w:val="single" w:sz="2" w:space="0" w:color="auto"/>
            </w:tcBorders>
            <w:vAlign w:val="center"/>
          </w:tcPr>
          <w:p w14:paraId="31E50381"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930,976.28</w:t>
            </w:r>
          </w:p>
        </w:tc>
        <w:tc>
          <w:tcPr>
            <w:tcW w:w="1377" w:type="dxa"/>
            <w:tcBorders>
              <w:top w:val="single" w:sz="2" w:space="0" w:color="auto"/>
              <w:left w:val="single" w:sz="2" w:space="0" w:color="auto"/>
              <w:bottom w:val="single" w:sz="2" w:space="0" w:color="auto"/>
              <w:right w:val="single" w:sz="2" w:space="0" w:color="auto"/>
            </w:tcBorders>
            <w:vAlign w:val="center"/>
          </w:tcPr>
          <w:p w14:paraId="39C42E8D"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10,948,671.38</w:t>
            </w:r>
          </w:p>
        </w:tc>
        <w:tc>
          <w:tcPr>
            <w:tcW w:w="1377" w:type="dxa"/>
            <w:tcBorders>
              <w:top w:val="single" w:sz="2" w:space="0" w:color="auto"/>
              <w:left w:val="single" w:sz="2" w:space="0" w:color="auto"/>
              <w:bottom w:val="single" w:sz="2" w:space="0" w:color="auto"/>
              <w:right w:val="single" w:sz="2" w:space="0" w:color="auto"/>
            </w:tcBorders>
            <w:vAlign w:val="center"/>
          </w:tcPr>
          <w:p w14:paraId="363AA406"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02B35AFE"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1,435,051.31</w:t>
            </w:r>
          </w:p>
        </w:tc>
        <w:tc>
          <w:tcPr>
            <w:tcW w:w="1377" w:type="dxa"/>
            <w:tcBorders>
              <w:top w:val="single" w:sz="2" w:space="0" w:color="auto"/>
              <w:left w:val="single" w:sz="2" w:space="0" w:color="auto"/>
              <w:bottom w:val="single" w:sz="2" w:space="0" w:color="auto"/>
              <w:right w:val="single" w:sz="2" w:space="0" w:color="auto"/>
            </w:tcBorders>
            <w:vAlign w:val="center"/>
          </w:tcPr>
          <w:p w14:paraId="35B66976"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111,190.31</w:t>
            </w:r>
          </w:p>
        </w:tc>
        <w:tc>
          <w:tcPr>
            <w:tcW w:w="1377" w:type="dxa"/>
            <w:tcBorders>
              <w:top w:val="single" w:sz="2" w:space="0" w:color="auto"/>
              <w:left w:val="single" w:sz="2" w:space="0" w:color="auto"/>
              <w:bottom w:val="single" w:sz="2" w:space="0" w:color="auto"/>
              <w:right w:val="single" w:sz="2" w:space="0" w:color="auto"/>
            </w:tcBorders>
            <w:vAlign w:val="center"/>
          </w:tcPr>
          <w:p w14:paraId="31F8ADA3"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10,333,406.04</w:t>
            </w:r>
          </w:p>
        </w:tc>
      </w:tr>
      <w:tr w:rsidR="00095F6F" w14:paraId="7C3F33B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28A9F64"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库存商品</w:t>
            </w:r>
          </w:p>
        </w:tc>
        <w:tc>
          <w:tcPr>
            <w:tcW w:w="1377" w:type="dxa"/>
            <w:tcBorders>
              <w:top w:val="single" w:sz="2" w:space="0" w:color="auto"/>
              <w:left w:val="single" w:sz="2" w:space="0" w:color="auto"/>
              <w:bottom w:val="single" w:sz="2" w:space="0" w:color="auto"/>
              <w:right w:val="single" w:sz="2" w:space="0" w:color="auto"/>
            </w:tcBorders>
            <w:vAlign w:val="center"/>
          </w:tcPr>
          <w:p w14:paraId="7B11B45D"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9,843,310.13</w:t>
            </w:r>
          </w:p>
        </w:tc>
        <w:tc>
          <w:tcPr>
            <w:tcW w:w="1377" w:type="dxa"/>
            <w:tcBorders>
              <w:top w:val="single" w:sz="2" w:space="0" w:color="auto"/>
              <w:left w:val="single" w:sz="2" w:space="0" w:color="auto"/>
              <w:bottom w:val="single" w:sz="2" w:space="0" w:color="auto"/>
              <w:right w:val="single" w:sz="2" w:space="0" w:color="auto"/>
            </w:tcBorders>
            <w:vAlign w:val="center"/>
          </w:tcPr>
          <w:p w14:paraId="71414958"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18,199,594.52</w:t>
            </w:r>
          </w:p>
        </w:tc>
        <w:tc>
          <w:tcPr>
            <w:tcW w:w="1377" w:type="dxa"/>
            <w:tcBorders>
              <w:top w:val="single" w:sz="2" w:space="0" w:color="auto"/>
              <w:left w:val="single" w:sz="2" w:space="0" w:color="auto"/>
              <w:bottom w:val="single" w:sz="2" w:space="0" w:color="auto"/>
              <w:right w:val="single" w:sz="2" w:space="0" w:color="auto"/>
            </w:tcBorders>
            <w:vAlign w:val="center"/>
          </w:tcPr>
          <w:p w14:paraId="70A7B505"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CD86AFD"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7,615,038.01</w:t>
            </w:r>
          </w:p>
        </w:tc>
        <w:tc>
          <w:tcPr>
            <w:tcW w:w="1377" w:type="dxa"/>
            <w:tcBorders>
              <w:top w:val="single" w:sz="2" w:space="0" w:color="auto"/>
              <w:left w:val="single" w:sz="2" w:space="0" w:color="auto"/>
              <w:bottom w:val="single" w:sz="2" w:space="0" w:color="auto"/>
              <w:right w:val="single" w:sz="2" w:space="0" w:color="auto"/>
            </w:tcBorders>
            <w:vAlign w:val="center"/>
          </w:tcPr>
          <w:p w14:paraId="458D5496"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199,392.60</w:t>
            </w:r>
          </w:p>
        </w:tc>
        <w:tc>
          <w:tcPr>
            <w:tcW w:w="1377" w:type="dxa"/>
            <w:tcBorders>
              <w:top w:val="single" w:sz="2" w:space="0" w:color="auto"/>
              <w:left w:val="single" w:sz="2" w:space="0" w:color="auto"/>
              <w:bottom w:val="single" w:sz="2" w:space="0" w:color="auto"/>
              <w:right w:val="single" w:sz="2" w:space="0" w:color="auto"/>
            </w:tcBorders>
            <w:vAlign w:val="center"/>
          </w:tcPr>
          <w:p w14:paraId="59F2CEE4"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20,228,474.04</w:t>
            </w:r>
          </w:p>
        </w:tc>
      </w:tr>
      <w:tr w:rsidR="00095F6F" w14:paraId="57A9B56B"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8FA0A64"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在途物资</w:t>
            </w:r>
          </w:p>
        </w:tc>
        <w:tc>
          <w:tcPr>
            <w:tcW w:w="1377" w:type="dxa"/>
            <w:tcBorders>
              <w:top w:val="single" w:sz="2" w:space="0" w:color="auto"/>
              <w:left w:val="single" w:sz="2" w:space="0" w:color="auto"/>
              <w:bottom w:val="single" w:sz="2" w:space="0" w:color="auto"/>
              <w:right w:val="single" w:sz="2" w:space="0" w:color="auto"/>
            </w:tcBorders>
            <w:vAlign w:val="center"/>
          </w:tcPr>
          <w:p w14:paraId="7B6D63B5"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2E971E9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1,626,969.41</w:t>
            </w:r>
          </w:p>
        </w:tc>
        <w:tc>
          <w:tcPr>
            <w:tcW w:w="1377" w:type="dxa"/>
            <w:tcBorders>
              <w:top w:val="single" w:sz="2" w:space="0" w:color="auto"/>
              <w:left w:val="single" w:sz="2" w:space="0" w:color="auto"/>
              <w:bottom w:val="single" w:sz="2" w:space="0" w:color="auto"/>
              <w:right w:val="single" w:sz="2" w:space="0" w:color="auto"/>
            </w:tcBorders>
            <w:vAlign w:val="center"/>
          </w:tcPr>
          <w:p w14:paraId="767DB98E"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04484F4"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6FAD74F5"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25,720.06</w:t>
            </w:r>
          </w:p>
        </w:tc>
        <w:tc>
          <w:tcPr>
            <w:tcW w:w="1377" w:type="dxa"/>
            <w:tcBorders>
              <w:top w:val="single" w:sz="2" w:space="0" w:color="auto"/>
              <w:left w:val="single" w:sz="2" w:space="0" w:color="auto"/>
              <w:bottom w:val="single" w:sz="2" w:space="0" w:color="auto"/>
              <w:right w:val="single" w:sz="2" w:space="0" w:color="auto"/>
            </w:tcBorders>
            <w:vAlign w:val="center"/>
          </w:tcPr>
          <w:p w14:paraId="6C6CBF8E"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1,601,249.35</w:t>
            </w:r>
          </w:p>
        </w:tc>
      </w:tr>
      <w:tr w:rsidR="00095F6F" w14:paraId="686B6AC7"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734E8A5"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43CE0477"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39,734,038.62</w:t>
            </w:r>
          </w:p>
        </w:tc>
        <w:tc>
          <w:tcPr>
            <w:tcW w:w="1377" w:type="dxa"/>
            <w:tcBorders>
              <w:top w:val="single" w:sz="2" w:space="0" w:color="auto"/>
              <w:left w:val="single" w:sz="2" w:space="0" w:color="auto"/>
              <w:bottom w:val="single" w:sz="2" w:space="0" w:color="auto"/>
              <w:right w:val="single" w:sz="2" w:space="0" w:color="auto"/>
            </w:tcBorders>
            <w:vAlign w:val="center"/>
          </w:tcPr>
          <w:p w14:paraId="518E3341"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36,561,422.55</w:t>
            </w:r>
          </w:p>
        </w:tc>
        <w:tc>
          <w:tcPr>
            <w:tcW w:w="1377" w:type="dxa"/>
            <w:tcBorders>
              <w:top w:val="single" w:sz="2" w:space="0" w:color="auto"/>
              <w:left w:val="single" w:sz="2" w:space="0" w:color="auto"/>
              <w:bottom w:val="single" w:sz="2" w:space="0" w:color="auto"/>
              <w:right w:val="single" w:sz="2" w:space="0" w:color="auto"/>
            </w:tcBorders>
            <w:vAlign w:val="center"/>
          </w:tcPr>
          <w:p w14:paraId="57511F47"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5E29B863"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24,180,878.71</w:t>
            </w:r>
          </w:p>
        </w:tc>
        <w:tc>
          <w:tcPr>
            <w:tcW w:w="1377" w:type="dxa"/>
            <w:tcBorders>
              <w:top w:val="single" w:sz="2" w:space="0" w:color="auto"/>
              <w:left w:val="single" w:sz="2" w:space="0" w:color="auto"/>
              <w:bottom w:val="single" w:sz="2" w:space="0" w:color="auto"/>
              <w:right w:val="single" w:sz="2" w:space="0" w:color="auto"/>
            </w:tcBorders>
            <w:vAlign w:val="center"/>
          </w:tcPr>
          <w:p w14:paraId="0193A6C1"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761,866.29</w:t>
            </w:r>
          </w:p>
        </w:tc>
        <w:tc>
          <w:tcPr>
            <w:tcW w:w="1377" w:type="dxa"/>
            <w:tcBorders>
              <w:top w:val="single" w:sz="2" w:space="0" w:color="auto"/>
              <w:left w:val="single" w:sz="2" w:space="0" w:color="auto"/>
              <w:bottom w:val="single" w:sz="2" w:space="0" w:color="auto"/>
              <w:right w:val="single" w:sz="2" w:space="0" w:color="auto"/>
            </w:tcBorders>
            <w:vAlign w:val="center"/>
          </w:tcPr>
          <w:p w14:paraId="1870E61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51,352,716.17</w:t>
            </w:r>
          </w:p>
        </w:tc>
      </w:tr>
    </w:tbl>
    <w:p w14:paraId="32E3D53B"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按组合计提存货跌价准备</w:t>
      </w:r>
    </w:p>
    <w:p w14:paraId="6977F73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14:paraId="327B5471" w14:textId="77777777" w:rsidTr="00A46BF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A5427C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组合名称</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987414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期末</w:t>
            </w:r>
          </w:p>
        </w:tc>
        <w:tc>
          <w:tcPr>
            <w:tcW w:w="4131"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4E12DC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期初</w:t>
            </w:r>
          </w:p>
        </w:tc>
      </w:tr>
      <w:tr w:rsidR="00095F6F" w14:paraId="3B532678" w14:textId="77777777" w:rsidTr="00A46BF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84FEE96" w14:textId="77777777" w:rsidR="00A46BF1" w:rsidRDefault="00A46BF1" w:rsidP="00A46BF1"/>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D80B953"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E526DE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跌价准备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B4F456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跌价准备计提比例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B27793B"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462B85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跌价准备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A465DE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跌价准备计提比例</w:t>
            </w:r>
          </w:p>
        </w:tc>
      </w:tr>
    </w:tbl>
    <w:p w14:paraId="2A3DCB2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按组合计提存货跌价准备的计提标准</w:t>
      </w:r>
    </w:p>
    <w:p w14:paraId="1FA6AC3F" w14:textId="77777777" w:rsidR="00A46BF1" w:rsidRPr="00BD5837" w:rsidRDefault="00A46BF1" w:rsidP="00BD5837">
      <w:pPr>
        <w:spacing w:before="100" w:after="100" w:line="240" w:lineRule="exact"/>
        <w:rPr>
          <w:rFonts w:ascii="宋体" w:eastAsia="宋体" w:hAnsi="宋体" w:cs="宋体"/>
          <w:sz w:val="18"/>
          <w:szCs w:val="18"/>
        </w:rPr>
      </w:pPr>
      <w:r w:rsidRPr="00BD5837">
        <w:rPr>
          <w:rFonts w:ascii="宋体" w:eastAsia="宋体" w:hAnsi="宋体" w:cs="宋体" w:hint="eastAsia"/>
          <w:sz w:val="18"/>
          <w:szCs w:val="18"/>
        </w:rPr>
        <w:t>不适用</w:t>
      </w:r>
    </w:p>
    <w:p w14:paraId="582ABF0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存货期末余额含有借款费用资本化金额的说明</w:t>
      </w:r>
    </w:p>
    <w:p w14:paraId="7AEE8C8F"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本集团存货年末余额中不包含借款费用资本化金额。</w:t>
      </w:r>
    </w:p>
    <w:p w14:paraId="2C934C2D" w14:textId="4AF3A867" w:rsidR="00A46BF1" w:rsidRDefault="00A46BF1" w:rsidP="00A46BF1">
      <w:pPr>
        <w:pStyle w:val="3"/>
        <w:spacing w:line="280" w:lineRule="exact"/>
        <w:jc w:val="left"/>
        <w:rPr>
          <w:rFonts w:ascii="宋体" w:hAnsi="宋体" w:cs="宋体"/>
          <w:b/>
          <w:bCs/>
        </w:rPr>
      </w:pPr>
      <w:r>
        <w:rPr>
          <w:rFonts w:ascii="宋体" w:hAnsi="宋体" w:cs="宋体"/>
          <w:b/>
          <w:bCs/>
        </w:rPr>
        <w:t>1</w:t>
      </w:r>
      <w:r w:rsidR="00BD5837">
        <w:rPr>
          <w:rFonts w:ascii="宋体" w:hAnsi="宋体" w:cs="宋体"/>
          <w:b/>
          <w:bCs/>
        </w:rPr>
        <w:t>0</w:t>
      </w:r>
      <w:r>
        <w:rPr>
          <w:rFonts w:ascii="宋体" w:hAnsi="宋体" w:cs="宋体"/>
          <w:b/>
          <w:bCs/>
        </w:rPr>
        <w:t>、一年内到期的非流动资产</w:t>
      </w:r>
    </w:p>
    <w:p w14:paraId="29DE288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1955A3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AC47B49"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BA6F9E"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58E0E9"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期初余额</w:t>
            </w:r>
          </w:p>
        </w:tc>
      </w:tr>
      <w:tr w:rsidR="00095F6F" w14:paraId="1232E46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8B4C00A"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一年内到期的长期应收款</w:t>
            </w:r>
          </w:p>
        </w:tc>
        <w:tc>
          <w:tcPr>
            <w:tcW w:w="3213" w:type="dxa"/>
            <w:tcBorders>
              <w:top w:val="single" w:sz="2" w:space="0" w:color="auto"/>
              <w:left w:val="single" w:sz="2" w:space="0" w:color="auto"/>
              <w:bottom w:val="single" w:sz="2" w:space="0" w:color="auto"/>
              <w:right w:val="single" w:sz="2" w:space="0" w:color="auto"/>
            </w:tcBorders>
            <w:vAlign w:val="center"/>
          </w:tcPr>
          <w:p w14:paraId="2938144E"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380,592.09</w:t>
            </w:r>
          </w:p>
        </w:tc>
        <w:tc>
          <w:tcPr>
            <w:tcW w:w="3213" w:type="dxa"/>
            <w:tcBorders>
              <w:top w:val="single" w:sz="2" w:space="0" w:color="auto"/>
              <w:left w:val="single" w:sz="2" w:space="0" w:color="auto"/>
              <w:bottom w:val="single" w:sz="2" w:space="0" w:color="auto"/>
              <w:right w:val="single" w:sz="2" w:space="0" w:color="auto"/>
            </w:tcBorders>
            <w:vAlign w:val="center"/>
          </w:tcPr>
          <w:p w14:paraId="676FB18D"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400,274.26</w:t>
            </w:r>
          </w:p>
        </w:tc>
      </w:tr>
      <w:tr w:rsidR="00095F6F" w14:paraId="320BC8E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55A4F9"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3A6BD05"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380,592.09</w:t>
            </w:r>
          </w:p>
        </w:tc>
        <w:tc>
          <w:tcPr>
            <w:tcW w:w="3213" w:type="dxa"/>
            <w:tcBorders>
              <w:top w:val="single" w:sz="2" w:space="0" w:color="auto"/>
              <w:left w:val="single" w:sz="2" w:space="0" w:color="auto"/>
              <w:bottom w:val="single" w:sz="2" w:space="0" w:color="auto"/>
              <w:right w:val="single" w:sz="2" w:space="0" w:color="auto"/>
            </w:tcBorders>
            <w:vAlign w:val="center"/>
          </w:tcPr>
          <w:p w14:paraId="3EAE5D7B"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400,274.26</w:t>
            </w:r>
          </w:p>
        </w:tc>
      </w:tr>
    </w:tbl>
    <w:p w14:paraId="6DACFFA3"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一年内到期的债权投资</w:t>
      </w:r>
    </w:p>
    <w:p w14:paraId="20D7F17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757801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一年内到期的其他债权投资</w:t>
      </w:r>
    </w:p>
    <w:p w14:paraId="12DA5AC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DD995BA" w14:textId="79403769" w:rsidR="00A46BF1" w:rsidRDefault="00A46BF1" w:rsidP="00A46BF1">
      <w:pPr>
        <w:pStyle w:val="3"/>
        <w:spacing w:line="280" w:lineRule="exact"/>
        <w:jc w:val="left"/>
        <w:rPr>
          <w:rFonts w:ascii="宋体" w:hAnsi="宋体" w:cs="宋体"/>
          <w:b/>
          <w:bCs/>
        </w:rPr>
      </w:pPr>
      <w:r>
        <w:rPr>
          <w:rFonts w:ascii="宋体" w:hAnsi="宋体" w:cs="宋体"/>
          <w:b/>
          <w:bCs/>
        </w:rPr>
        <w:t>1</w:t>
      </w:r>
      <w:r w:rsidR="00BD5837">
        <w:rPr>
          <w:rFonts w:ascii="宋体" w:hAnsi="宋体" w:cs="宋体"/>
          <w:b/>
          <w:bCs/>
        </w:rPr>
        <w:t>1</w:t>
      </w:r>
      <w:r>
        <w:rPr>
          <w:rFonts w:ascii="宋体" w:hAnsi="宋体" w:cs="宋体"/>
          <w:b/>
          <w:bCs/>
        </w:rPr>
        <w:t>、其他流动资产</w:t>
      </w:r>
    </w:p>
    <w:p w14:paraId="7F51F00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1663D1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737A72"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2D18CB"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1CF21E"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期初余额</w:t>
            </w:r>
          </w:p>
        </w:tc>
      </w:tr>
      <w:tr w:rsidR="00095F6F" w14:paraId="59BA877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3A41C74"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应收退货成本</w:t>
            </w:r>
          </w:p>
        </w:tc>
        <w:tc>
          <w:tcPr>
            <w:tcW w:w="3213" w:type="dxa"/>
            <w:tcBorders>
              <w:top w:val="single" w:sz="2" w:space="0" w:color="auto"/>
              <w:left w:val="single" w:sz="2" w:space="0" w:color="auto"/>
              <w:bottom w:val="single" w:sz="2" w:space="0" w:color="auto"/>
              <w:right w:val="single" w:sz="2" w:space="0" w:color="auto"/>
            </w:tcBorders>
            <w:vAlign w:val="center"/>
          </w:tcPr>
          <w:p w14:paraId="39E45061"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10,824,255.41</w:t>
            </w:r>
          </w:p>
        </w:tc>
        <w:tc>
          <w:tcPr>
            <w:tcW w:w="3213" w:type="dxa"/>
            <w:tcBorders>
              <w:top w:val="single" w:sz="2" w:space="0" w:color="auto"/>
              <w:left w:val="single" w:sz="2" w:space="0" w:color="auto"/>
              <w:bottom w:val="single" w:sz="2" w:space="0" w:color="auto"/>
              <w:right w:val="single" w:sz="2" w:space="0" w:color="auto"/>
            </w:tcBorders>
            <w:vAlign w:val="center"/>
          </w:tcPr>
          <w:p w14:paraId="06EC629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10,728,206.69</w:t>
            </w:r>
          </w:p>
        </w:tc>
      </w:tr>
      <w:tr w:rsidR="00095F6F" w14:paraId="537683B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D9ABA1"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待取得抵扣凭证的进项税额</w:t>
            </w:r>
          </w:p>
        </w:tc>
        <w:tc>
          <w:tcPr>
            <w:tcW w:w="3213" w:type="dxa"/>
            <w:tcBorders>
              <w:top w:val="single" w:sz="2" w:space="0" w:color="auto"/>
              <w:left w:val="single" w:sz="2" w:space="0" w:color="auto"/>
              <w:bottom w:val="single" w:sz="2" w:space="0" w:color="auto"/>
              <w:right w:val="single" w:sz="2" w:space="0" w:color="auto"/>
            </w:tcBorders>
            <w:vAlign w:val="center"/>
          </w:tcPr>
          <w:p w14:paraId="269A2E62"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24,678,647.81</w:t>
            </w:r>
          </w:p>
        </w:tc>
        <w:tc>
          <w:tcPr>
            <w:tcW w:w="3213" w:type="dxa"/>
            <w:tcBorders>
              <w:top w:val="single" w:sz="2" w:space="0" w:color="auto"/>
              <w:left w:val="single" w:sz="2" w:space="0" w:color="auto"/>
              <w:bottom w:val="single" w:sz="2" w:space="0" w:color="auto"/>
              <w:right w:val="single" w:sz="2" w:space="0" w:color="auto"/>
            </w:tcBorders>
            <w:vAlign w:val="center"/>
          </w:tcPr>
          <w:p w14:paraId="03F238D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12,333,704.26</w:t>
            </w:r>
          </w:p>
        </w:tc>
      </w:tr>
      <w:tr w:rsidR="00095F6F" w14:paraId="2F4E1BC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9F96337"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预缴税费</w:t>
            </w:r>
          </w:p>
        </w:tc>
        <w:tc>
          <w:tcPr>
            <w:tcW w:w="3213" w:type="dxa"/>
            <w:tcBorders>
              <w:top w:val="single" w:sz="2" w:space="0" w:color="auto"/>
              <w:left w:val="single" w:sz="2" w:space="0" w:color="auto"/>
              <w:bottom w:val="single" w:sz="2" w:space="0" w:color="auto"/>
              <w:right w:val="single" w:sz="2" w:space="0" w:color="auto"/>
            </w:tcBorders>
            <w:vAlign w:val="center"/>
          </w:tcPr>
          <w:p w14:paraId="1F602F0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7,773,226.64</w:t>
            </w:r>
          </w:p>
        </w:tc>
        <w:tc>
          <w:tcPr>
            <w:tcW w:w="3213" w:type="dxa"/>
            <w:tcBorders>
              <w:top w:val="single" w:sz="2" w:space="0" w:color="auto"/>
              <w:left w:val="single" w:sz="2" w:space="0" w:color="auto"/>
              <w:bottom w:val="single" w:sz="2" w:space="0" w:color="auto"/>
              <w:right w:val="single" w:sz="2" w:space="0" w:color="auto"/>
            </w:tcBorders>
            <w:vAlign w:val="center"/>
          </w:tcPr>
          <w:p w14:paraId="47F9685A"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10,288,860.94</w:t>
            </w:r>
          </w:p>
        </w:tc>
      </w:tr>
      <w:tr w:rsidR="00095F6F" w14:paraId="22BB255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7E64CE5"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增值税留抵额</w:t>
            </w:r>
          </w:p>
        </w:tc>
        <w:tc>
          <w:tcPr>
            <w:tcW w:w="3213" w:type="dxa"/>
            <w:tcBorders>
              <w:top w:val="single" w:sz="2" w:space="0" w:color="auto"/>
              <w:left w:val="single" w:sz="2" w:space="0" w:color="auto"/>
              <w:bottom w:val="single" w:sz="2" w:space="0" w:color="auto"/>
              <w:right w:val="single" w:sz="2" w:space="0" w:color="auto"/>
            </w:tcBorders>
            <w:vAlign w:val="center"/>
          </w:tcPr>
          <w:p w14:paraId="7920A6C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32,134,383.38</w:t>
            </w:r>
          </w:p>
        </w:tc>
        <w:tc>
          <w:tcPr>
            <w:tcW w:w="3213" w:type="dxa"/>
            <w:tcBorders>
              <w:top w:val="single" w:sz="2" w:space="0" w:color="auto"/>
              <w:left w:val="single" w:sz="2" w:space="0" w:color="auto"/>
              <w:bottom w:val="single" w:sz="2" w:space="0" w:color="auto"/>
              <w:right w:val="single" w:sz="2" w:space="0" w:color="auto"/>
            </w:tcBorders>
            <w:vAlign w:val="center"/>
          </w:tcPr>
          <w:p w14:paraId="74AC472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21,369,890.32</w:t>
            </w:r>
          </w:p>
        </w:tc>
      </w:tr>
      <w:tr w:rsidR="00095F6F" w14:paraId="4D65A81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B8A7A5" w14:textId="77777777" w:rsidR="00A46BF1" w:rsidRPr="00BD5837" w:rsidRDefault="00A46BF1" w:rsidP="00BD5837">
            <w:pPr>
              <w:spacing w:before="40" w:after="40"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704236F"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75,410,513.24</w:t>
            </w:r>
          </w:p>
        </w:tc>
        <w:tc>
          <w:tcPr>
            <w:tcW w:w="3213" w:type="dxa"/>
            <w:tcBorders>
              <w:top w:val="single" w:sz="2" w:space="0" w:color="auto"/>
              <w:left w:val="single" w:sz="2" w:space="0" w:color="auto"/>
              <w:bottom w:val="single" w:sz="2" w:space="0" w:color="auto"/>
              <w:right w:val="single" w:sz="2" w:space="0" w:color="auto"/>
            </w:tcBorders>
            <w:vAlign w:val="center"/>
          </w:tcPr>
          <w:p w14:paraId="34D01F88"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54,720,662.21</w:t>
            </w:r>
          </w:p>
        </w:tc>
      </w:tr>
    </w:tbl>
    <w:p w14:paraId="25585B80"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9BAF64C" w14:textId="77777777" w:rsidR="00A46BF1" w:rsidRPr="00BD5837" w:rsidRDefault="00A46BF1" w:rsidP="00BD5837">
      <w:pPr>
        <w:spacing w:before="100" w:after="100" w:line="240" w:lineRule="exact"/>
        <w:rPr>
          <w:rFonts w:ascii="宋体" w:eastAsia="宋体" w:hAnsi="宋体" w:cs="宋体"/>
          <w:sz w:val="18"/>
          <w:szCs w:val="18"/>
        </w:rPr>
      </w:pPr>
      <w:r w:rsidRPr="00BD5837">
        <w:rPr>
          <w:rFonts w:ascii="宋体" w:eastAsia="宋体" w:hAnsi="宋体" w:cs="宋体" w:hint="eastAsia"/>
          <w:sz w:val="18"/>
          <w:szCs w:val="18"/>
        </w:rPr>
        <w:t>无</w:t>
      </w:r>
    </w:p>
    <w:p w14:paraId="24878F50" w14:textId="3406AE9D" w:rsidR="00A46BF1" w:rsidRDefault="00A46BF1" w:rsidP="00A46BF1">
      <w:pPr>
        <w:pStyle w:val="3"/>
        <w:spacing w:line="280" w:lineRule="exact"/>
        <w:jc w:val="left"/>
        <w:rPr>
          <w:rFonts w:ascii="宋体" w:hAnsi="宋体" w:cs="宋体"/>
          <w:b/>
          <w:bCs/>
        </w:rPr>
      </w:pPr>
      <w:r>
        <w:rPr>
          <w:rFonts w:ascii="宋体" w:hAnsi="宋体" w:cs="宋体"/>
          <w:b/>
          <w:bCs/>
        </w:rPr>
        <w:t>1</w:t>
      </w:r>
      <w:r w:rsidR="00BD5837">
        <w:rPr>
          <w:rFonts w:ascii="宋体" w:hAnsi="宋体" w:cs="宋体"/>
          <w:b/>
          <w:bCs/>
        </w:rPr>
        <w:t>2</w:t>
      </w:r>
      <w:r>
        <w:rPr>
          <w:rFonts w:ascii="宋体" w:hAnsi="宋体" w:cs="宋体"/>
          <w:b/>
          <w:bCs/>
        </w:rPr>
        <w:t>、其他权益工具投资</w:t>
      </w:r>
    </w:p>
    <w:p w14:paraId="7F91B16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1071"/>
        <w:gridCol w:w="1071"/>
        <w:gridCol w:w="1071"/>
        <w:gridCol w:w="1071"/>
        <w:gridCol w:w="1071"/>
        <w:gridCol w:w="1071"/>
        <w:gridCol w:w="1071"/>
        <w:gridCol w:w="1071"/>
        <w:gridCol w:w="1071"/>
      </w:tblGrid>
      <w:tr w:rsidR="00095F6F" w14:paraId="69ACBB80"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34F7EE2"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项目名称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BC35C12"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期末余额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0B012AE"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期初余额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DC965AB"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本期计入其他综合收益的利得</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24E1D65"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本期计入其他综合收益的损失</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9CAA873"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本期末累计计入其他综合收益的利得</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EAD07E3"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本期末累计计入其他综合收益的损失</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F146D93"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本期确认的股利收入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DBC7FA4" w14:textId="77777777" w:rsidR="00A46BF1" w:rsidRPr="00BD5837" w:rsidRDefault="00A46BF1" w:rsidP="00BD5837">
            <w:pPr>
              <w:spacing w:before="40" w:after="40" w:line="360" w:lineRule="auto"/>
              <w:jc w:val="center"/>
              <w:rPr>
                <w:rFonts w:ascii="Times New Roman" w:eastAsia="宋体" w:hAnsi="Times New Roman" w:cs="Times New Roman"/>
                <w:sz w:val="13"/>
                <w:szCs w:val="13"/>
              </w:rPr>
            </w:pPr>
            <w:r w:rsidRPr="00BD5837">
              <w:rPr>
                <w:rFonts w:ascii="Times New Roman" w:eastAsia="宋体" w:hAnsi="Times New Roman" w:cs="Times New Roman"/>
                <w:sz w:val="13"/>
                <w:szCs w:val="13"/>
              </w:rPr>
              <w:t>指定为以公允价值计量且其变动计入其他综合收益的原因</w:t>
            </w:r>
          </w:p>
        </w:tc>
      </w:tr>
      <w:tr w:rsidR="00095F6F" w14:paraId="3D0D3A16"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32015AF"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成都斯马特科技有限公司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70EC9D68"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405F9FE2"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34,452,466.02</w:t>
            </w:r>
          </w:p>
        </w:tc>
        <w:tc>
          <w:tcPr>
            <w:tcW w:w="1071" w:type="dxa"/>
            <w:tcBorders>
              <w:top w:val="single" w:sz="2" w:space="0" w:color="auto"/>
              <w:left w:val="single" w:sz="2" w:space="0" w:color="auto"/>
              <w:bottom w:val="single" w:sz="2" w:space="0" w:color="auto"/>
              <w:right w:val="single" w:sz="2" w:space="0" w:color="auto"/>
            </w:tcBorders>
            <w:vAlign w:val="center"/>
          </w:tcPr>
          <w:p w14:paraId="2F8579BE"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E9C434B"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3BCE62D9"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7B2E70F"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5572E8D"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1CA193B1"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根据管理层判断</w:t>
            </w:r>
          </w:p>
        </w:tc>
      </w:tr>
      <w:tr w:rsidR="00095F6F" w14:paraId="4C445481"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3F9F3D4C"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晶准生物医药集团有限公司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5AFF6180"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71,199,703.58</w:t>
            </w:r>
          </w:p>
        </w:tc>
        <w:tc>
          <w:tcPr>
            <w:tcW w:w="1071" w:type="dxa"/>
            <w:tcBorders>
              <w:top w:val="single" w:sz="2" w:space="0" w:color="auto"/>
              <w:left w:val="single" w:sz="2" w:space="0" w:color="auto"/>
              <w:bottom w:val="single" w:sz="2" w:space="0" w:color="auto"/>
              <w:right w:val="single" w:sz="2" w:space="0" w:color="auto"/>
            </w:tcBorders>
            <w:vAlign w:val="center"/>
          </w:tcPr>
          <w:p w14:paraId="124C63FD"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72,998,575.65</w:t>
            </w:r>
          </w:p>
        </w:tc>
        <w:tc>
          <w:tcPr>
            <w:tcW w:w="1071" w:type="dxa"/>
            <w:tcBorders>
              <w:top w:val="single" w:sz="2" w:space="0" w:color="auto"/>
              <w:left w:val="single" w:sz="2" w:space="0" w:color="auto"/>
              <w:bottom w:val="single" w:sz="2" w:space="0" w:color="auto"/>
              <w:right w:val="single" w:sz="2" w:space="0" w:color="auto"/>
            </w:tcBorders>
            <w:vAlign w:val="center"/>
          </w:tcPr>
          <w:p w14:paraId="17A49763"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0506677"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1,798,872.07</w:t>
            </w:r>
          </w:p>
        </w:tc>
        <w:tc>
          <w:tcPr>
            <w:tcW w:w="1071" w:type="dxa"/>
            <w:tcBorders>
              <w:top w:val="single" w:sz="2" w:space="0" w:color="auto"/>
              <w:left w:val="single" w:sz="2" w:space="0" w:color="auto"/>
              <w:bottom w:val="single" w:sz="2" w:space="0" w:color="auto"/>
              <w:right w:val="single" w:sz="2" w:space="0" w:color="auto"/>
            </w:tcBorders>
            <w:vAlign w:val="center"/>
          </w:tcPr>
          <w:p w14:paraId="4777B13B"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42,994,968.76</w:t>
            </w:r>
          </w:p>
        </w:tc>
        <w:tc>
          <w:tcPr>
            <w:tcW w:w="1071" w:type="dxa"/>
            <w:tcBorders>
              <w:top w:val="single" w:sz="2" w:space="0" w:color="auto"/>
              <w:left w:val="single" w:sz="2" w:space="0" w:color="auto"/>
              <w:bottom w:val="single" w:sz="2" w:space="0" w:color="auto"/>
              <w:right w:val="single" w:sz="2" w:space="0" w:color="auto"/>
            </w:tcBorders>
            <w:vAlign w:val="center"/>
          </w:tcPr>
          <w:p w14:paraId="55D701A5"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3466EF48"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6BF67CEA"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根据管理层判断</w:t>
            </w:r>
          </w:p>
        </w:tc>
      </w:tr>
      <w:tr w:rsidR="00095F6F" w14:paraId="3A28CE27"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B2DEB86"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湖南乐准生物科技有限公司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0BB16679"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3,900,000.00</w:t>
            </w:r>
          </w:p>
        </w:tc>
        <w:tc>
          <w:tcPr>
            <w:tcW w:w="1071" w:type="dxa"/>
            <w:tcBorders>
              <w:top w:val="single" w:sz="2" w:space="0" w:color="auto"/>
              <w:left w:val="single" w:sz="2" w:space="0" w:color="auto"/>
              <w:bottom w:val="single" w:sz="2" w:space="0" w:color="auto"/>
              <w:right w:val="single" w:sz="2" w:space="0" w:color="auto"/>
            </w:tcBorders>
            <w:vAlign w:val="center"/>
          </w:tcPr>
          <w:p w14:paraId="2FB4EDED"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3,770,000.00</w:t>
            </w:r>
          </w:p>
        </w:tc>
        <w:tc>
          <w:tcPr>
            <w:tcW w:w="1071" w:type="dxa"/>
            <w:tcBorders>
              <w:top w:val="single" w:sz="2" w:space="0" w:color="auto"/>
              <w:left w:val="single" w:sz="2" w:space="0" w:color="auto"/>
              <w:bottom w:val="single" w:sz="2" w:space="0" w:color="auto"/>
              <w:right w:val="single" w:sz="2" w:space="0" w:color="auto"/>
            </w:tcBorders>
            <w:vAlign w:val="center"/>
          </w:tcPr>
          <w:p w14:paraId="4B1858E4"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130,000.00</w:t>
            </w:r>
          </w:p>
        </w:tc>
        <w:tc>
          <w:tcPr>
            <w:tcW w:w="1071" w:type="dxa"/>
            <w:tcBorders>
              <w:top w:val="single" w:sz="2" w:space="0" w:color="auto"/>
              <w:left w:val="single" w:sz="2" w:space="0" w:color="auto"/>
              <w:bottom w:val="single" w:sz="2" w:space="0" w:color="auto"/>
              <w:right w:val="single" w:sz="2" w:space="0" w:color="auto"/>
            </w:tcBorders>
            <w:vAlign w:val="center"/>
          </w:tcPr>
          <w:p w14:paraId="0016FAB9"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0C9D4129"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07D96CFC"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11,100,000.00</w:t>
            </w:r>
          </w:p>
        </w:tc>
        <w:tc>
          <w:tcPr>
            <w:tcW w:w="1071" w:type="dxa"/>
            <w:tcBorders>
              <w:top w:val="single" w:sz="2" w:space="0" w:color="auto"/>
              <w:left w:val="single" w:sz="2" w:space="0" w:color="auto"/>
              <w:bottom w:val="single" w:sz="2" w:space="0" w:color="auto"/>
              <w:right w:val="single" w:sz="2" w:space="0" w:color="auto"/>
            </w:tcBorders>
            <w:vAlign w:val="center"/>
          </w:tcPr>
          <w:p w14:paraId="3B36AB53"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3B576424"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根据管理层判断</w:t>
            </w:r>
          </w:p>
        </w:tc>
      </w:tr>
      <w:tr w:rsidR="00095F6F" w14:paraId="326691C8"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5D2B81EA"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EOFLOW CO., LTD</w:t>
            </w:r>
          </w:p>
        </w:tc>
        <w:tc>
          <w:tcPr>
            <w:tcW w:w="1071" w:type="dxa"/>
            <w:tcBorders>
              <w:top w:val="single" w:sz="2" w:space="0" w:color="auto"/>
              <w:left w:val="single" w:sz="2" w:space="0" w:color="auto"/>
              <w:bottom w:val="single" w:sz="2" w:space="0" w:color="auto"/>
              <w:right w:val="single" w:sz="2" w:space="0" w:color="auto"/>
            </w:tcBorders>
            <w:vAlign w:val="center"/>
          </w:tcPr>
          <w:p w14:paraId="6923D4F5"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1EADAAE0"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5,497,784.32</w:t>
            </w:r>
          </w:p>
        </w:tc>
        <w:tc>
          <w:tcPr>
            <w:tcW w:w="1071" w:type="dxa"/>
            <w:tcBorders>
              <w:top w:val="single" w:sz="2" w:space="0" w:color="auto"/>
              <w:left w:val="single" w:sz="2" w:space="0" w:color="auto"/>
              <w:bottom w:val="single" w:sz="2" w:space="0" w:color="auto"/>
              <w:right w:val="single" w:sz="2" w:space="0" w:color="auto"/>
            </w:tcBorders>
            <w:vAlign w:val="center"/>
          </w:tcPr>
          <w:p w14:paraId="07810E1F"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D077E52"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5,497,784.32</w:t>
            </w:r>
          </w:p>
        </w:tc>
        <w:tc>
          <w:tcPr>
            <w:tcW w:w="1071" w:type="dxa"/>
            <w:tcBorders>
              <w:top w:val="single" w:sz="2" w:space="0" w:color="auto"/>
              <w:left w:val="single" w:sz="2" w:space="0" w:color="auto"/>
              <w:bottom w:val="single" w:sz="2" w:space="0" w:color="auto"/>
              <w:right w:val="single" w:sz="2" w:space="0" w:color="auto"/>
            </w:tcBorders>
            <w:vAlign w:val="center"/>
          </w:tcPr>
          <w:p w14:paraId="2385FF6F"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66A511AD"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49,902,698.43</w:t>
            </w:r>
          </w:p>
        </w:tc>
        <w:tc>
          <w:tcPr>
            <w:tcW w:w="1071" w:type="dxa"/>
            <w:tcBorders>
              <w:top w:val="single" w:sz="2" w:space="0" w:color="auto"/>
              <w:left w:val="single" w:sz="2" w:space="0" w:color="auto"/>
              <w:bottom w:val="single" w:sz="2" w:space="0" w:color="auto"/>
              <w:right w:val="single" w:sz="2" w:space="0" w:color="auto"/>
            </w:tcBorders>
            <w:vAlign w:val="center"/>
          </w:tcPr>
          <w:p w14:paraId="65A3F735"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5E4F9288"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根据管理层判断</w:t>
            </w:r>
          </w:p>
        </w:tc>
      </w:tr>
      <w:tr w:rsidR="00095F6F" w14:paraId="4C38E1CC"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vAlign w:val="center"/>
          </w:tcPr>
          <w:p w14:paraId="1DD53792"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上海医药大健康云商股份有限公司</w:t>
            </w:r>
          </w:p>
        </w:tc>
        <w:tc>
          <w:tcPr>
            <w:tcW w:w="1071" w:type="dxa"/>
            <w:tcBorders>
              <w:top w:val="single" w:sz="2" w:space="0" w:color="auto"/>
              <w:left w:val="single" w:sz="2" w:space="0" w:color="auto"/>
              <w:bottom w:val="single" w:sz="2" w:space="0" w:color="auto"/>
              <w:right w:val="single" w:sz="2" w:space="0" w:color="auto"/>
            </w:tcBorders>
            <w:vAlign w:val="center"/>
          </w:tcPr>
          <w:p w14:paraId="17C19BBB"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180,000,000.00</w:t>
            </w:r>
          </w:p>
        </w:tc>
        <w:tc>
          <w:tcPr>
            <w:tcW w:w="1071" w:type="dxa"/>
            <w:tcBorders>
              <w:top w:val="single" w:sz="2" w:space="0" w:color="auto"/>
              <w:left w:val="single" w:sz="2" w:space="0" w:color="auto"/>
              <w:bottom w:val="single" w:sz="2" w:space="0" w:color="auto"/>
              <w:right w:val="single" w:sz="2" w:space="0" w:color="auto"/>
            </w:tcBorders>
            <w:vAlign w:val="center"/>
          </w:tcPr>
          <w:p w14:paraId="7980178B"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182,000,000.00</w:t>
            </w:r>
          </w:p>
        </w:tc>
        <w:tc>
          <w:tcPr>
            <w:tcW w:w="1071" w:type="dxa"/>
            <w:tcBorders>
              <w:top w:val="single" w:sz="2" w:space="0" w:color="auto"/>
              <w:left w:val="single" w:sz="2" w:space="0" w:color="auto"/>
              <w:bottom w:val="single" w:sz="2" w:space="0" w:color="auto"/>
              <w:right w:val="single" w:sz="2" w:space="0" w:color="auto"/>
            </w:tcBorders>
            <w:vAlign w:val="center"/>
          </w:tcPr>
          <w:p w14:paraId="42141BB1"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18773A3B"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2,000,000.00</w:t>
            </w:r>
          </w:p>
        </w:tc>
        <w:tc>
          <w:tcPr>
            <w:tcW w:w="1071" w:type="dxa"/>
            <w:tcBorders>
              <w:top w:val="single" w:sz="2" w:space="0" w:color="auto"/>
              <w:left w:val="single" w:sz="2" w:space="0" w:color="auto"/>
              <w:bottom w:val="single" w:sz="2" w:space="0" w:color="auto"/>
              <w:right w:val="single" w:sz="2" w:space="0" w:color="auto"/>
            </w:tcBorders>
            <w:vAlign w:val="center"/>
          </w:tcPr>
          <w:p w14:paraId="3101B69C"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30,000,000.00</w:t>
            </w:r>
          </w:p>
        </w:tc>
        <w:tc>
          <w:tcPr>
            <w:tcW w:w="1071" w:type="dxa"/>
            <w:tcBorders>
              <w:top w:val="single" w:sz="2" w:space="0" w:color="auto"/>
              <w:left w:val="single" w:sz="2" w:space="0" w:color="auto"/>
              <w:bottom w:val="single" w:sz="2" w:space="0" w:color="auto"/>
              <w:right w:val="single" w:sz="2" w:space="0" w:color="auto"/>
            </w:tcBorders>
            <w:vAlign w:val="center"/>
          </w:tcPr>
          <w:p w14:paraId="29C75BF6"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601FA550"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3915C9B3" w14:textId="77777777" w:rsidR="00A46BF1" w:rsidRPr="00BD5837" w:rsidRDefault="00A46BF1" w:rsidP="00BD5837">
            <w:pPr>
              <w:spacing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根据管理层判断</w:t>
            </w:r>
          </w:p>
        </w:tc>
      </w:tr>
      <w:tr w:rsidR="00095F6F" w14:paraId="1FF55717" w14:textId="77777777" w:rsidTr="00BD5837">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B76F99F" w14:textId="77777777" w:rsidR="00A46BF1" w:rsidRPr="00BD5837" w:rsidRDefault="00A46BF1" w:rsidP="00BD5837">
            <w:pPr>
              <w:spacing w:before="40" w:after="40" w:line="360" w:lineRule="auto"/>
              <w:rPr>
                <w:rFonts w:ascii="Times New Roman" w:eastAsia="宋体" w:hAnsi="Times New Roman" w:cs="Times New Roman"/>
                <w:sz w:val="13"/>
                <w:szCs w:val="13"/>
              </w:rPr>
            </w:pPr>
            <w:r w:rsidRPr="00BD5837">
              <w:rPr>
                <w:rFonts w:ascii="Times New Roman" w:eastAsia="宋体" w:hAnsi="Times New Roman" w:cs="Times New Roman"/>
                <w:sz w:val="13"/>
                <w:szCs w:val="13"/>
              </w:rPr>
              <w:t>合计</w:t>
            </w:r>
          </w:p>
        </w:tc>
        <w:tc>
          <w:tcPr>
            <w:tcW w:w="1071" w:type="dxa"/>
            <w:tcBorders>
              <w:top w:val="single" w:sz="2" w:space="0" w:color="auto"/>
              <w:left w:val="single" w:sz="2" w:space="0" w:color="auto"/>
              <w:bottom w:val="single" w:sz="2" w:space="0" w:color="auto"/>
              <w:right w:val="single" w:sz="2" w:space="0" w:color="auto"/>
            </w:tcBorders>
            <w:vAlign w:val="center"/>
          </w:tcPr>
          <w:p w14:paraId="5E531FFA"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255,099,703.58</w:t>
            </w:r>
          </w:p>
        </w:tc>
        <w:tc>
          <w:tcPr>
            <w:tcW w:w="1071" w:type="dxa"/>
            <w:tcBorders>
              <w:top w:val="single" w:sz="2" w:space="0" w:color="auto"/>
              <w:left w:val="single" w:sz="2" w:space="0" w:color="auto"/>
              <w:bottom w:val="single" w:sz="2" w:space="0" w:color="auto"/>
              <w:right w:val="single" w:sz="2" w:space="0" w:color="auto"/>
            </w:tcBorders>
            <w:vAlign w:val="center"/>
          </w:tcPr>
          <w:p w14:paraId="35FEA425"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298,718,825.99</w:t>
            </w:r>
          </w:p>
        </w:tc>
        <w:tc>
          <w:tcPr>
            <w:tcW w:w="1071" w:type="dxa"/>
            <w:tcBorders>
              <w:top w:val="single" w:sz="2" w:space="0" w:color="auto"/>
              <w:left w:val="single" w:sz="2" w:space="0" w:color="auto"/>
              <w:bottom w:val="single" w:sz="2" w:space="0" w:color="auto"/>
              <w:right w:val="single" w:sz="2" w:space="0" w:color="auto"/>
            </w:tcBorders>
            <w:vAlign w:val="center"/>
          </w:tcPr>
          <w:p w14:paraId="04EBEF9E"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130,000.00</w:t>
            </w:r>
          </w:p>
        </w:tc>
        <w:tc>
          <w:tcPr>
            <w:tcW w:w="1071" w:type="dxa"/>
            <w:tcBorders>
              <w:top w:val="single" w:sz="2" w:space="0" w:color="auto"/>
              <w:left w:val="single" w:sz="2" w:space="0" w:color="auto"/>
              <w:bottom w:val="single" w:sz="2" w:space="0" w:color="auto"/>
              <w:right w:val="single" w:sz="2" w:space="0" w:color="auto"/>
            </w:tcBorders>
            <w:vAlign w:val="center"/>
          </w:tcPr>
          <w:p w14:paraId="6A544182"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9,296,656.39</w:t>
            </w:r>
          </w:p>
        </w:tc>
        <w:tc>
          <w:tcPr>
            <w:tcW w:w="1071" w:type="dxa"/>
            <w:tcBorders>
              <w:top w:val="single" w:sz="2" w:space="0" w:color="auto"/>
              <w:left w:val="single" w:sz="2" w:space="0" w:color="auto"/>
              <w:bottom w:val="single" w:sz="2" w:space="0" w:color="auto"/>
              <w:right w:val="single" w:sz="2" w:space="0" w:color="auto"/>
            </w:tcBorders>
            <w:vAlign w:val="center"/>
          </w:tcPr>
          <w:p w14:paraId="3D621283"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72,994,968.76</w:t>
            </w:r>
          </w:p>
        </w:tc>
        <w:tc>
          <w:tcPr>
            <w:tcW w:w="1071" w:type="dxa"/>
            <w:tcBorders>
              <w:top w:val="single" w:sz="2" w:space="0" w:color="auto"/>
              <w:left w:val="single" w:sz="2" w:space="0" w:color="auto"/>
              <w:bottom w:val="single" w:sz="2" w:space="0" w:color="auto"/>
              <w:right w:val="single" w:sz="2" w:space="0" w:color="auto"/>
            </w:tcBorders>
            <w:vAlign w:val="center"/>
          </w:tcPr>
          <w:p w14:paraId="766CEFD9" w14:textId="77777777" w:rsidR="00A46BF1" w:rsidRPr="00BD5837" w:rsidRDefault="00A46BF1" w:rsidP="00BD5837">
            <w:pPr>
              <w:spacing w:line="360" w:lineRule="auto"/>
              <w:jc w:val="right"/>
              <w:rPr>
                <w:rFonts w:ascii="Times New Roman" w:eastAsia="宋体" w:hAnsi="Times New Roman" w:cs="Times New Roman"/>
                <w:sz w:val="13"/>
                <w:szCs w:val="13"/>
              </w:rPr>
            </w:pPr>
            <w:r w:rsidRPr="00BD5837">
              <w:rPr>
                <w:rFonts w:ascii="Times New Roman" w:eastAsia="宋体" w:hAnsi="Times New Roman" w:cs="Times New Roman"/>
                <w:sz w:val="13"/>
                <w:szCs w:val="13"/>
              </w:rPr>
              <w:t>61,002,698.43</w:t>
            </w:r>
          </w:p>
        </w:tc>
        <w:tc>
          <w:tcPr>
            <w:tcW w:w="1071" w:type="dxa"/>
            <w:tcBorders>
              <w:top w:val="single" w:sz="2" w:space="0" w:color="auto"/>
              <w:left w:val="single" w:sz="2" w:space="0" w:color="auto"/>
              <w:bottom w:val="single" w:sz="2" w:space="0" w:color="auto"/>
              <w:right w:val="single" w:sz="2" w:space="0" w:color="auto"/>
            </w:tcBorders>
            <w:vAlign w:val="center"/>
          </w:tcPr>
          <w:p w14:paraId="4C3A43E1" w14:textId="77777777" w:rsidR="00A46BF1" w:rsidRPr="00BD5837" w:rsidRDefault="00A46BF1" w:rsidP="00BD5837">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24AE5E1" w14:textId="77777777" w:rsidR="00A46BF1" w:rsidRPr="00BD5837" w:rsidRDefault="00A46BF1" w:rsidP="00BD5837">
            <w:pPr>
              <w:spacing w:line="360" w:lineRule="auto"/>
              <w:rPr>
                <w:rFonts w:ascii="Times New Roman" w:hAnsi="Times New Roman" w:cs="Times New Roman"/>
                <w:sz w:val="13"/>
                <w:szCs w:val="13"/>
              </w:rPr>
            </w:pPr>
          </w:p>
        </w:tc>
      </w:tr>
    </w:tbl>
    <w:p w14:paraId="48DF892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本期存在终止确认</w:t>
      </w:r>
    </w:p>
    <w:p w14:paraId="429DDEEF"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7C7D8255"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D7E4606"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0512DCC"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转入留存收益的累计利得</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556A7E1"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转入留存收益的累计损失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8732220" w14:textId="77777777" w:rsidR="00A46BF1" w:rsidRPr="00BD5837" w:rsidRDefault="00A46BF1" w:rsidP="00BD5837">
            <w:pPr>
              <w:spacing w:before="40" w:after="40" w:line="360" w:lineRule="auto"/>
              <w:jc w:val="center"/>
              <w:rPr>
                <w:rFonts w:ascii="Times New Roman" w:eastAsia="宋体" w:hAnsi="Times New Roman" w:cs="Times New Roman"/>
                <w:sz w:val="18"/>
                <w:szCs w:val="18"/>
              </w:rPr>
            </w:pPr>
            <w:r w:rsidRPr="00BD5837">
              <w:rPr>
                <w:rFonts w:ascii="Times New Roman" w:eastAsia="宋体" w:hAnsi="Times New Roman" w:cs="Times New Roman"/>
                <w:sz w:val="18"/>
                <w:szCs w:val="18"/>
              </w:rPr>
              <w:t>终止确认的原因</w:t>
            </w:r>
          </w:p>
        </w:tc>
      </w:tr>
      <w:tr w:rsidR="00095F6F" w14:paraId="2C3EA3E5"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35C5DAC"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成都斯马特科技有限公司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698272E9" w14:textId="77777777" w:rsidR="00A46BF1" w:rsidRPr="00BD5837" w:rsidRDefault="00A46BF1" w:rsidP="00BD5837">
            <w:pPr>
              <w:spacing w:line="360" w:lineRule="auto"/>
              <w:jc w:val="right"/>
              <w:rPr>
                <w:rFonts w:ascii="Times New Roman" w:eastAsia="宋体" w:hAnsi="Times New Roman" w:cs="Times New Roman"/>
                <w:sz w:val="18"/>
                <w:szCs w:val="18"/>
              </w:rPr>
            </w:pPr>
            <w:r w:rsidRPr="00BD5837">
              <w:rPr>
                <w:rFonts w:ascii="Times New Roman" w:eastAsia="宋体" w:hAnsi="Times New Roman" w:cs="Times New Roman"/>
                <w:sz w:val="18"/>
                <w:szCs w:val="18"/>
              </w:rPr>
              <w:t>27,522,548.73</w:t>
            </w:r>
          </w:p>
        </w:tc>
        <w:tc>
          <w:tcPr>
            <w:tcW w:w="2410" w:type="dxa"/>
            <w:tcBorders>
              <w:top w:val="single" w:sz="2" w:space="0" w:color="auto"/>
              <w:left w:val="single" w:sz="2" w:space="0" w:color="auto"/>
              <w:bottom w:val="single" w:sz="2" w:space="0" w:color="auto"/>
              <w:right w:val="single" w:sz="2" w:space="0" w:color="auto"/>
            </w:tcBorders>
            <w:vAlign w:val="center"/>
          </w:tcPr>
          <w:p w14:paraId="4C7F5645" w14:textId="77777777" w:rsidR="00A46BF1" w:rsidRPr="00BD5837" w:rsidRDefault="00A46BF1" w:rsidP="00BD5837">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C1D780C" w14:textId="77777777" w:rsidR="00A46BF1" w:rsidRPr="00BD5837" w:rsidRDefault="00A46BF1" w:rsidP="00BD5837">
            <w:pPr>
              <w:spacing w:line="360" w:lineRule="auto"/>
              <w:rPr>
                <w:rFonts w:ascii="Times New Roman" w:eastAsia="宋体" w:hAnsi="Times New Roman" w:cs="Times New Roman"/>
                <w:sz w:val="18"/>
                <w:szCs w:val="18"/>
              </w:rPr>
            </w:pPr>
            <w:r w:rsidRPr="00BD5837">
              <w:rPr>
                <w:rFonts w:ascii="Times New Roman" w:eastAsia="宋体" w:hAnsi="Times New Roman" w:cs="Times New Roman"/>
                <w:sz w:val="18"/>
                <w:szCs w:val="18"/>
              </w:rPr>
              <w:t>出售</w:t>
            </w:r>
          </w:p>
        </w:tc>
      </w:tr>
    </w:tbl>
    <w:p w14:paraId="28785FB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分项披露本期非交易性权益工具投资</w:t>
      </w:r>
    </w:p>
    <w:p w14:paraId="2CFBDEDF"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14:paraId="0F26D77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55A1D51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项目名称</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C79E45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确认的股利收入</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B3AEFB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累计利得</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F0C470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累计损失</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50EC7A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其他综合收益转入留存收益的金额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030EADF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指定为以公允价值计量且其变动计入其他综合收益的原因</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5346ABD"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其他综合收益转入留存收益的原因</w:t>
            </w:r>
          </w:p>
        </w:tc>
      </w:tr>
    </w:tbl>
    <w:p w14:paraId="5BF0E67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3C6BD59" w14:textId="77777777" w:rsidR="00A46BF1" w:rsidRPr="000A46A2" w:rsidRDefault="00A46BF1" w:rsidP="000A46A2">
      <w:pPr>
        <w:spacing w:before="100" w:after="100" w:line="240" w:lineRule="exact"/>
        <w:rPr>
          <w:rFonts w:ascii="宋体" w:eastAsia="宋体" w:hAnsi="宋体" w:cs="宋体"/>
          <w:sz w:val="18"/>
          <w:szCs w:val="18"/>
        </w:rPr>
      </w:pPr>
      <w:r w:rsidRPr="000A46A2">
        <w:rPr>
          <w:rFonts w:ascii="宋体" w:eastAsia="宋体" w:hAnsi="宋体" w:cs="宋体" w:hint="eastAsia"/>
          <w:sz w:val="18"/>
          <w:szCs w:val="18"/>
        </w:rPr>
        <w:t>无</w:t>
      </w:r>
    </w:p>
    <w:p w14:paraId="3A5ACFCE" w14:textId="1EBC89AD" w:rsidR="00A46BF1" w:rsidRDefault="00A46BF1" w:rsidP="00A46BF1">
      <w:pPr>
        <w:pStyle w:val="3"/>
        <w:spacing w:line="280" w:lineRule="exact"/>
        <w:jc w:val="left"/>
        <w:rPr>
          <w:rFonts w:ascii="宋体" w:hAnsi="宋体" w:cs="宋体"/>
          <w:b/>
          <w:bCs/>
        </w:rPr>
      </w:pPr>
      <w:r>
        <w:rPr>
          <w:rFonts w:ascii="宋体" w:hAnsi="宋体" w:cs="宋体"/>
          <w:b/>
          <w:bCs/>
        </w:rPr>
        <w:t>1</w:t>
      </w:r>
      <w:r w:rsidR="000A46A2">
        <w:rPr>
          <w:rFonts w:ascii="宋体" w:hAnsi="宋体" w:cs="宋体"/>
          <w:b/>
          <w:bCs/>
        </w:rPr>
        <w:t>3</w:t>
      </w:r>
      <w:r>
        <w:rPr>
          <w:rFonts w:ascii="宋体" w:hAnsi="宋体" w:cs="宋体"/>
          <w:b/>
          <w:bCs/>
        </w:rPr>
        <w:t>、长期应收款</w:t>
      </w:r>
    </w:p>
    <w:p w14:paraId="48E2EED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长期应收款情况</w:t>
      </w:r>
    </w:p>
    <w:p w14:paraId="44F0D81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10"/>
        <w:gridCol w:w="1134"/>
        <w:gridCol w:w="992"/>
        <w:gridCol w:w="993"/>
        <w:gridCol w:w="1134"/>
        <w:gridCol w:w="992"/>
        <w:gridCol w:w="1134"/>
        <w:gridCol w:w="850"/>
      </w:tblGrid>
      <w:tr w:rsidR="00095F6F" w:rsidRPr="000A46A2" w14:paraId="6F7437FB" w14:textId="77777777" w:rsidTr="000A46A2">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69EB01D"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项目</w:t>
            </w:r>
          </w:p>
        </w:tc>
        <w:tc>
          <w:tcPr>
            <w:tcW w:w="311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0D7267E"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期末余额</w:t>
            </w:r>
          </w:p>
        </w:tc>
        <w:tc>
          <w:tcPr>
            <w:tcW w:w="326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8ECA770"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期初余额</w:t>
            </w:r>
          </w:p>
        </w:tc>
        <w:tc>
          <w:tcPr>
            <w:tcW w:w="85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9E02A4F"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折现率区间</w:t>
            </w:r>
          </w:p>
        </w:tc>
      </w:tr>
      <w:tr w:rsidR="00095F6F" w:rsidRPr="000A46A2" w14:paraId="54DDFFC9" w14:textId="77777777" w:rsidTr="000A46A2">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A0AE43" w14:textId="77777777" w:rsidR="00A46BF1" w:rsidRPr="000A46A2" w:rsidRDefault="00A46BF1" w:rsidP="000A46A2">
            <w:pPr>
              <w:spacing w:line="360" w:lineRule="auto"/>
              <w:rPr>
                <w:rFonts w:ascii="Times New Roman" w:hAnsi="Times New Roman" w:cs="Times New Roman"/>
              </w:rPr>
            </w:pP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2049F7F0"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账面余额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0B9837C"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坏账准备</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77F608F4"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账面价值</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34C281D6"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账面余额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24FBB8B3"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坏账准备</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7E96937" w14:textId="77777777" w:rsidR="00A46BF1" w:rsidRPr="000A46A2" w:rsidRDefault="00A46BF1" w:rsidP="000A46A2">
            <w:pPr>
              <w:spacing w:before="40" w:after="40" w:line="360" w:lineRule="auto"/>
              <w:jc w:val="center"/>
              <w:rPr>
                <w:rFonts w:ascii="Times New Roman" w:eastAsia="宋体" w:hAnsi="Times New Roman" w:cs="Times New Roman"/>
                <w:sz w:val="18"/>
                <w:szCs w:val="18"/>
              </w:rPr>
            </w:pPr>
            <w:r w:rsidRPr="000A46A2">
              <w:rPr>
                <w:rFonts w:ascii="Times New Roman" w:eastAsia="宋体" w:hAnsi="Times New Roman" w:cs="Times New Roman"/>
                <w:sz w:val="18"/>
                <w:szCs w:val="18"/>
              </w:rPr>
              <w:t>账面价值</w:t>
            </w:r>
          </w:p>
        </w:tc>
        <w:tc>
          <w:tcPr>
            <w:tcW w:w="85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0765A0C" w14:textId="77777777" w:rsidR="00A46BF1" w:rsidRPr="000A46A2" w:rsidRDefault="00A46BF1" w:rsidP="000A46A2">
            <w:pPr>
              <w:spacing w:line="360" w:lineRule="auto"/>
              <w:rPr>
                <w:rFonts w:ascii="Times New Roman" w:hAnsi="Times New Roman" w:cs="Times New Roman"/>
              </w:rPr>
            </w:pPr>
          </w:p>
        </w:tc>
      </w:tr>
      <w:tr w:rsidR="00095F6F" w:rsidRPr="000A46A2" w14:paraId="22134524" w14:textId="77777777" w:rsidTr="000A46A2">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784A91D" w14:textId="77777777" w:rsidR="00A46BF1" w:rsidRPr="000A46A2" w:rsidRDefault="00A46BF1" w:rsidP="000A46A2">
            <w:pPr>
              <w:spacing w:before="40" w:after="40" w:line="360" w:lineRule="auto"/>
              <w:rPr>
                <w:rFonts w:ascii="Times New Roman" w:eastAsia="宋体" w:hAnsi="Times New Roman" w:cs="Times New Roman"/>
                <w:sz w:val="18"/>
                <w:szCs w:val="18"/>
              </w:rPr>
            </w:pPr>
            <w:r w:rsidRPr="000A46A2">
              <w:rPr>
                <w:rFonts w:ascii="Times New Roman" w:eastAsia="宋体" w:hAnsi="Times New Roman" w:cs="Times New Roman"/>
                <w:sz w:val="18"/>
                <w:szCs w:val="18"/>
              </w:rPr>
              <w:t>融资租赁款</w:t>
            </w:r>
          </w:p>
        </w:tc>
        <w:tc>
          <w:tcPr>
            <w:tcW w:w="1134" w:type="dxa"/>
            <w:tcBorders>
              <w:top w:val="single" w:sz="2" w:space="0" w:color="auto"/>
              <w:left w:val="single" w:sz="2" w:space="0" w:color="auto"/>
              <w:bottom w:val="single" w:sz="2" w:space="0" w:color="auto"/>
              <w:right w:val="single" w:sz="2" w:space="0" w:color="auto"/>
            </w:tcBorders>
            <w:vAlign w:val="center"/>
          </w:tcPr>
          <w:p w14:paraId="3758B63F"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1545A56"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7C1A9212"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262ADE8" w14:textId="77777777" w:rsidR="00A46BF1" w:rsidRPr="000A46A2" w:rsidRDefault="00A46BF1" w:rsidP="000A46A2">
            <w:pPr>
              <w:spacing w:line="360" w:lineRule="auto"/>
              <w:jc w:val="right"/>
              <w:rPr>
                <w:rFonts w:ascii="Times New Roman" w:eastAsia="宋体" w:hAnsi="Times New Roman" w:cs="Times New Roman"/>
                <w:sz w:val="18"/>
                <w:szCs w:val="18"/>
              </w:rPr>
            </w:pPr>
            <w:r w:rsidRPr="000A46A2">
              <w:rPr>
                <w:rFonts w:ascii="Times New Roman" w:eastAsia="宋体" w:hAnsi="Times New Roman" w:cs="Times New Roman"/>
                <w:sz w:val="18"/>
                <w:szCs w:val="18"/>
              </w:rPr>
              <w:t>345,569.37</w:t>
            </w:r>
          </w:p>
        </w:tc>
        <w:tc>
          <w:tcPr>
            <w:tcW w:w="992" w:type="dxa"/>
            <w:tcBorders>
              <w:top w:val="single" w:sz="2" w:space="0" w:color="auto"/>
              <w:left w:val="single" w:sz="2" w:space="0" w:color="auto"/>
              <w:bottom w:val="single" w:sz="2" w:space="0" w:color="auto"/>
              <w:right w:val="single" w:sz="2" w:space="0" w:color="auto"/>
            </w:tcBorders>
            <w:vAlign w:val="center"/>
          </w:tcPr>
          <w:p w14:paraId="3EB67061"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7801FD92" w14:textId="77777777" w:rsidR="00A46BF1" w:rsidRPr="000A46A2" w:rsidRDefault="00A46BF1" w:rsidP="000A46A2">
            <w:pPr>
              <w:spacing w:line="360" w:lineRule="auto"/>
              <w:jc w:val="right"/>
              <w:rPr>
                <w:rFonts w:ascii="Times New Roman" w:eastAsia="宋体" w:hAnsi="Times New Roman" w:cs="Times New Roman"/>
                <w:sz w:val="18"/>
                <w:szCs w:val="18"/>
              </w:rPr>
            </w:pPr>
            <w:r w:rsidRPr="000A46A2">
              <w:rPr>
                <w:rFonts w:ascii="Times New Roman" w:eastAsia="宋体" w:hAnsi="Times New Roman" w:cs="Times New Roman"/>
                <w:sz w:val="18"/>
                <w:szCs w:val="18"/>
              </w:rPr>
              <w:t>345,569.37</w:t>
            </w:r>
          </w:p>
        </w:tc>
        <w:tc>
          <w:tcPr>
            <w:tcW w:w="850" w:type="dxa"/>
            <w:tcBorders>
              <w:top w:val="single" w:sz="2" w:space="0" w:color="auto"/>
              <w:left w:val="single" w:sz="2" w:space="0" w:color="auto"/>
              <w:bottom w:val="single" w:sz="2" w:space="0" w:color="auto"/>
              <w:right w:val="single" w:sz="2" w:space="0" w:color="auto"/>
            </w:tcBorders>
            <w:vAlign w:val="center"/>
          </w:tcPr>
          <w:p w14:paraId="7F69BD0D" w14:textId="77777777" w:rsidR="00A46BF1" w:rsidRPr="000A46A2" w:rsidRDefault="00A46BF1" w:rsidP="000A46A2">
            <w:pPr>
              <w:spacing w:line="360" w:lineRule="auto"/>
              <w:rPr>
                <w:rFonts w:ascii="Times New Roman" w:eastAsia="宋体" w:hAnsi="Times New Roman" w:cs="Times New Roman"/>
                <w:sz w:val="18"/>
                <w:szCs w:val="18"/>
              </w:rPr>
            </w:pPr>
          </w:p>
        </w:tc>
      </w:tr>
      <w:tr w:rsidR="00095F6F" w:rsidRPr="000A46A2" w14:paraId="18AFC33B" w14:textId="77777777" w:rsidTr="000A46A2">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41030BE" w14:textId="77777777" w:rsidR="00A46BF1" w:rsidRPr="000A46A2" w:rsidRDefault="00A46BF1" w:rsidP="000A46A2">
            <w:pPr>
              <w:spacing w:before="40" w:after="40" w:line="360" w:lineRule="auto"/>
              <w:ind w:firstLineChars="200" w:firstLine="360"/>
              <w:rPr>
                <w:rFonts w:ascii="Times New Roman" w:eastAsia="宋体" w:hAnsi="Times New Roman" w:cs="Times New Roman"/>
                <w:sz w:val="18"/>
                <w:szCs w:val="18"/>
              </w:rPr>
            </w:pPr>
            <w:r w:rsidRPr="000A46A2">
              <w:rPr>
                <w:rFonts w:ascii="Times New Roman" w:eastAsia="宋体" w:hAnsi="Times New Roman" w:cs="Times New Roman"/>
                <w:sz w:val="18"/>
                <w:szCs w:val="18"/>
              </w:rPr>
              <w:t>其中：未实现融资收益</w:t>
            </w:r>
          </w:p>
        </w:tc>
        <w:tc>
          <w:tcPr>
            <w:tcW w:w="1134" w:type="dxa"/>
            <w:tcBorders>
              <w:top w:val="single" w:sz="2" w:space="0" w:color="auto"/>
              <w:left w:val="single" w:sz="2" w:space="0" w:color="auto"/>
              <w:bottom w:val="single" w:sz="2" w:space="0" w:color="auto"/>
              <w:right w:val="single" w:sz="2" w:space="0" w:color="auto"/>
            </w:tcBorders>
            <w:vAlign w:val="center"/>
          </w:tcPr>
          <w:p w14:paraId="3C2AC4E3"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FD00677"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7A94E070"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3C732764" w14:textId="77777777" w:rsidR="00A46BF1" w:rsidRPr="000A46A2" w:rsidRDefault="00A46BF1" w:rsidP="000A46A2">
            <w:pPr>
              <w:spacing w:line="360" w:lineRule="auto"/>
              <w:jc w:val="right"/>
              <w:rPr>
                <w:rFonts w:ascii="Times New Roman" w:eastAsia="宋体" w:hAnsi="Times New Roman" w:cs="Times New Roman"/>
                <w:sz w:val="18"/>
                <w:szCs w:val="18"/>
              </w:rPr>
            </w:pPr>
            <w:r w:rsidRPr="000A46A2">
              <w:rPr>
                <w:rFonts w:ascii="Times New Roman" w:eastAsia="宋体" w:hAnsi="Times New Roman" w:cs="Times New Roman"/>
                <w:sz w:val="18"/>
                <w:szCs w:val="18"/>
              </w:rPr>
              <w:t>-8,549.55</w:t>
            </w:r>
          </w:p>
        </w:tc>
        <w:tc>
          <w:tcPr>
            <w:tcW w:w="992" w:type="dxa"/>
            <w:tcBorders>
              <w:top w:val="single" w:sz="2" w:space="0" w:color="auto"/>
              <w:left w:val="single" w:sz="2" w:space="0" w:color="auto"/>
              <w:bottom w:val="single" w:sz="2" w:space="0" w:color="auto"/>
              <w:right w:val="single" w:sz="2" w:space="0" w:color="auto"/>
            </w:tcBorders>
            <w:vAlign w:val="center"/>
          </w:tcPr>
          <w:p w14:paraId="28BB072A"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A0E95F3" w14:textId="77777777" w:rsidR="00A46BF1" w:rsidRPr="000A46A2" w:rsidRDefault="00A46BF1" w:rsidP="000A46A2">
            <w:pPr>
              <w:spacing w:line="360" w:lineRule="auto"/>
              <w:jc w:val="right"/>
              <w:rPr>
                <w:rFonts w:ascii="Times New Roman" w:eastAsia="宋体" w:hAnsi="Times New Roman" w:cs="Times New Roman"/>
                <w:sz w:val="18"/>
                <w:szCs w:val="18"/>
              </w:rPr>
            </w:pPr>
            <w:r w:rsidRPr="000A46A2">
              <w:rPr>
                <w:rFonts w:ascii="Times New Roman" w:eastAsia="宋体" w:hAnsi="Times New Roman" w:cs="Times New Roman"/>
                <w:sz w:val="18"/>
                <w:szCs w:val="18"/>
              </w:rPr>
              <w:t>-8,549.55</w:t>
            </w:r>
          </w:p>
        </w:tc>
        <w:tc>
          <w:tcPr>
            <w:tcW w:w="850" w:type="dxa"/>
            <w:tcBorders>
              <w:top w:val="single" w:sz="2" w:space="0" w:color="auto"/>
              <w:left w:val="single" w:sz="2" w:space="0" w:color="auto"/>
              <w:bottom w:val="single" w:sz="2" w:space="0" w:color="auto"/>
              <w:right w:val="single" w:sz="2" w:space="0" w:color="auto"/>
            </w:tcBorders>
            <w:vAlign w:val="center"/>
          </w:tcPr>
          <w:p w14:paraId="0C9B4DE4" w14:textId="77777777" w:rsidR="00A46BF1" w:rsidRPr="000A46A2" w:rsidRDefault="00A46BF1" w:rsidP="000A46A2">
            <w:pPr>
              <w:spacing w:line="360" w:lineRule="auto"/>
              <w:rPr>
                <w:rFonts w:ascii="Times New Roman" w:eastAsia="宋体" w:hAnsi="Times New Roman" w:cs="Times New Roman"/>
                <w:sz w:val="18"/>
                <w:szCs w:val="18"/>
              </w:rPr>
            </w:pPr>
          </w:p>
        </w:tc>
      </w:tr>
      <w:tr w:rsidR="00095F6F" w:rsidRPr="000A46A2" w14:paraId="498C75C0" w14:textId="77777777" w:rsidTr="000A46A2">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9BDD52" w14:textId="77777777" w:rsidR="00A46BF1" w:rsidRPr="000A46A2" w:rsidRDefault="00A46BF1" w:rsidP="000A46A2">
            <w:pPr>
              <w:spacing w:before="40" w:after="40" w:line="360" w:lineRule="auto"/>
              <w:rPr>
                <w:rFonts w:ascii="Times New Roman" w:eastAsia="宋体" w:hAnsi="Times New Roman" w:cs="Times New Roman"/>
                <w:sz w:val="18"/>
                <w:szCs w:val="18"/>
              </w:rPr>
            </w:pPr>
            <w:r w:rsidRPr="000A46A2">
              <w:rPr>
                <w:rFonts w:ascii="Times New Roman" w:eastAsia="宋体" w:hAnsi="Times New Roman" w:cs="Times New Roman"/>
                <w:sz w:val="18"/>
                <w:szCs w:val="18"/>
              </w:rPr>
              <w:t>合计</w:t>
            </w:r>
          </w:p>
        </w:tc>
        <w:tc>
          <w:tcPr>
            <w:tcW w:w="1134" w:type="dxa"/>
            <w:tcBorders>
              <w:top w:val="single" w:sz="2" w:space="0" w:color="auto"/>
              <w:left w:val="single" w:sz="2" w:space="0" w:color="auto"/>
              <w:bottom w:val="single" w:sz="2" w:space="0" w:color="auto"/>
              <w:right w:val="single" w:sz="2" w:space="0" w:color="auto"/>
            </w:tcBorders>
            <w:vAlign w:val="center"/>
          </w:tcPr>
          <w:p w14:paraId="3D868654"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CDC21F3"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993" w:type="dxa"/>
            <w:tcBorders>
              <w:top w:val="single" w:sz="2" w:space="0" w:color="auto"/>
              <w:left w:val="single" w:sz="2" w:space="0" w:color="auto"/>
              <w:bottom w:val="single" w:sz="2" w:space="0" w:color="auto"/>
              <w:right w:val="single" w:sz="2" w:space="0" w:color="auto"/>
            </w:tcBorders>
            <w:vAlign w:val="center"/>
          </w:tcPr>
          <w:p w14:paraId="540F5486"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6B2A6C39" w14:textId="77777777" w:rsidR="00A46BF1" w:rsidRPr="000A46A2" w:rsidRDefault="00A46BF1" w:rsidP="000A46A2">
            <w:pPr>
              <w:spacing w:line="360" w:lineRule="auto"/>
              <w:jc w:val="right"/>
              <w:rPr>
                <w:rFonts w:ascii="Times New Roman" w:eastAsia="宋体" w:hAnsi="Times New Roman" w:cs="Times New Roman"/>
                <w:sz w:val="18"/>
                <w:szCs w:val="18"/>
              </w:rPr>
            </w:pPr>
            <w:r w:rsidRPr="000A46A2">
              <w:rPr>
                <w:rFonts w:ascii="Times New Roman" w:eastAsia="宋体" w:hAnsi="Times New Roman" w:cs="Times New Roman"/>
                <w:sz w:val="18"/>
                <w:szCs w:val="18"/>
              </w:rPr>
              <w:t>345,569.37</w:t>
            </w:r>
          </w:p>
        </w:tc>
        <w:tc>
          <w:tcPr>
            <w:tcW w:w="992" w:type="dxa"/>
            <w:tcBorders>
              <w:top w:val="single" w:sz="2" w:space="0" w:color="auto"/>
              <w:left w:val="single" w:sz="2" w:space="0" w:color="auto"/>
              <w:bottom w:val="single" w:sz="2" w:space="0" w:color="auto"/>
              <w:right w:val="single" w:sz="2" w:space="0" w:color="auto"/>
            </w:tcBorders>
            <w:vAlign w:val="center"/>
          </w:tcPr>
          <w:p w14:paraId="5586B4DA" w14:textId="77777777" w:rsidR="00A46BF1" w:rsidRPr="000A46A2" w:rsidRDefault="00A46BF1" w:rsidP="000A46A2">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2BD4E9A3" w14:textId="77777777" w:rsidR="00A46BF1" w:rsidRPr="000A46A2" w:rsidRDefault="00A46BF1" w:rsidP="000A46A2">
            <w:pPr>
              <w:spacing w:line="360" w:lineRule="auto"/>
              <w:jc w:val="right"/>
              <w:rPr>
                <w:rFonts w:ascii="Times New Roman" w:eastAsia="宋体" w:hAnsi="Times New Roman" w:cs="Times New Roman"/>
                <w:sz w:val="18"/>
                <w:szCs w:val="18"/>
              </w:rPr>
            </w:pPr>
            <w:r w:rsidRPr="000A46A2">
              <w:rPr>
                <w:rFonts w:ascii="Times New Roman" w:eastAsia="宋体" w:hAnsi="Times New Roman" w:cs="Times New Roman"/>
                <w:sz w:val="18"/>
                <w:szCs w:val="18"/>
              </w:rPr>
              <w:t>345,569.37</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2213CEE9" w14:textId="77777777" w:rsidR="00A46BF1" w:rsidRPr="000A46A2" w:rsidRDefault="00A46BF1" w:rsidP="000A46A2">
            <w:pPr>
              <w:spacing w:line="360" w:lineRule="auto"/>
              <w:rPr>
                <w:rFonts w:ascii="Times New Roman" w:hAnsi="Times New Roman" w:cs="Times New Roman"/>
              </w:rPr>
            </w:pPr>
          </w:p>
        </w:tc>
      </w:tr>
    </w:tbl>
    <w:p w14:paraId="20325266" w14:textId="70D38DDE" w:rsidR="00A46BF1" w:rsidRDefault="00A46BF1" w:rsidP="00A46BF1">
      <w:pPr>
        <w:pStyle w:val="3"/>
        <w:spacing w:line="280" w:lineRule="exact"/>
        <w:jc w:val="left"/>
        <w:rPr>
          <w:rFonts w:ascii="宋体" w:hAnsi="宋体" w:cs="宋体"/>
          <w:b/>
          <w:bCs/>
        </w:rPr>
      </w:pPr>
      <w:r>
        <w:rPr>
          <w:rFonts w:ascii="宋体" w:hAnsi="宋体" w:cs="宋体"/>
          <w:b/>
          <w:bCs/>
        </w:rPr>
        <w:t>1</w:t>
      </w:r>
      <w:r w:rsidR="000A46A2">
        <w:rPr>
          <w:rFonts w:ascii="宋体" w:hAnsi="宋体" w:cs="宋体"/>
          <w:b/>
          <w:bCs/>
        </w:rPr>
        <w:t>4</w:t>
      </w:r>
      <w:r>
        <w:rPr>
          <w:rFonts w:ascii="宋体" w:hAnsi="宋体" w:cs="宋体"/>
          <w:b/>
          <w:bCs/>
        </w:rPr>
        <w:t>、长期股权投资</w:t>
      </w:r>
    </w:p>
    <w:p w14:paraId="458FE8F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0" w:type="dxa"/>
          <w:right w:w="0" w:type="dxa"/>
        </w:tblCellMar>
        <w:tblLook w:val="04A0" w:firstRow="1" w:lastRow="0" w:firstColumn="1" w:lastColumn="0" w:noHBand="0" w:noVBand="1"/>
      </w:tblPr>
      <w:tblGrid>
        <w:gridCol w:w="741"/>
        <w:gridCol w:w="855"/>
        <w:gridCol w:w="851"/>
        <w:gridCol w:w="567"/>
        <w:gridCol w:w="691"/>
        <w:gridCol w:w="868"/>
        <w:gridCol w:w="614"/>
        <w:gridCol w:w="741"/>
        <w:gridCol w:w="630"/>
        <w:gridCol w:w="708"/>
        <w:gridCol w:w="709"/>
        <w:gridCol w:w="851"/>
        <w:gridCol w:w="813"/>
      </w:tblGrid>
      <w:tr w:rsidR="00095F6F" w:rsidRPr="000A46A2" w14:paraId="661754E9" w14:textId="77777777" w:rsidTr="000A46A2">
        <w:trPr>
          <w:trHeight w:val="240"/>
        </w:trPr>
        <w:tc>
          <w:tcPr>
            <w:tcW w:w="74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CEA6597"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被投资单位</w:t>
            </w:r>
          </w:p>
        </w:tc>
        <w:tc>
          <w:tcPr>
            <w:tcW w:w="85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7481B5D"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期初余额（账面价值）</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44E7987"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减值准备期初余额</w:t>
            </w:r>
          </w:p>
        </w:tc>
        <w:tc>
          <w:tcPr>
            <w:tcW w:w="5528" w:type="dxa"/>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01991979"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本期增减变动</w:t>
            </w:r>
          </w:p>
        </w:tc>
        <w:tc>
          <w:tcPr>
            <w:tcW w:w="85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972D9F2"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期末余额（账面价值）</w:t>
            </w:r>
          </w:p>
        </w:tc>
        <w:tc>
          <w:tcPr>
            <w:tcW w:w="8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201272"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减值准备期末余额</w:t>
            </w:r>
          </w:p>
        </w:tc>
      </w:tr>
      <w:tr w:rsidR="00095F6F" w:rsidRPr="000A46A2" w14:paraId="222294FC" w14:textId="77777777" w:rsidTr="000A46A2">
        <w:trPr>
          <w:trHeight w:val="240"/>
        </w:trPr>
        <w:tc>
          <w:tcPr>
            <w:tcW w:w="74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6326786" w14:textId="77777777" w:rsidR="00A46BF1" w:rsidRPr="000A46A2" w:rsidRDefault="00A46BF1" w:rsidP="000A46A2">
            <w:pPr>
              <w:spacing w:line="360" w:lineRule="auto"/>
              <w:rPr>
                <w:rFonts w:ascii="Times New Roman" w:hAnsi="Times New Roman" w:cs="Times New Roman"/>
                <w:sz w:val="13"/>
                <w:szCs w:val="13"/>
              </w:rPr>
            </w:pPr>
          </w:p>
        </w:tc>
        <w:tc>
          <w:tcPr>
            <w:tcW w:w="85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6BA5028" w14:textId="77777777" w:rsidR="00A46BF1" w:rsidRPr="000A46A2" w:rsidRDefault="00A46BF1" w:rsidP="000A46A2">
            <w:pPr>
              <w:spacing w:line="360" w:lineRule="auto"/>
              <w:rPr>
                <w:rFonts w:ascii="Times New Roman" w:hAnsi="Times New Roman" w:cs="Times New Roman"/>
                <w:sz w:val="13"/>
                <w:szCs w:val="13"/>
              </w:rPr>
            </w:pPr>
          </w:p>
        </w:tc>
        <w:tc>
          <w:tcPr>
            <w:tcW w:w="85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4A1C528" w14:textId="77777777" w:rsidR="00A46BF1" w:rsidRPr="000A46A2" w:rsidRDefault="00A46BF1" w:rsidP="000A46A2">
            <w:pPr>
              <w:spacing w:line="360" w:lineRule="auto"/>
              <w:rPr>
                <w:rFonts w:ascii="Times New Roman"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4D1552F7"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追加投资</w:t>
            </w:r>
          </w:p>
        </w:tc>
        <w:tc>
          <w:tcPr>
            <w:tcW w:w="691" w:type="dxa"/>
            <w:tcBorders>
              <w:top w:val="single" w:sz="2" w:space="0" w:color="auto"/>
              <w:left w:val="single" w:sz="2" w:space="0" w:color="auto"/>
              <w:bottom w:val="single" w:sz="2" w:space="0" w:color="auto"/>
              <w:right w:val="single" w:sz="2" w:space="0" w:color="auto"/>
            </w:tcBorders>
            <w:shd w:val="clear" w:color="auto" w:fill="D3D3D3"/>
            <w:vAlign w:val="center"/>
          </w:tcPr>
          <w:p w14:paraId="461CB9DA"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减少投资</w:t>
            </w:r>
          </w:p>
        </w:tc>
        <w:tc>
          <w:tcPr>
            <w:tcW w:w="868" w:type="dxa"/>
            <w:tcBorders>
              <w:top w:val="single" w:sz="2" w:space="0" w:color="auto"/>
              <w:left w:val="single" w:sz="2" w:space="0" w:color="auto"/>
              <w:bottom w:val="single" w:sz="2" w:space="0" w:color="auto"/>
              <w:right w:val="single" w:sz="2" w:space="0" w:color="auto"/>
            </w:tcBorders>
            <w:shd w:val="clear" w:color="auto" w:fill="D3D3D3"/>
            <w:vAlign w:val="center"/>
          </w:tcPr>
          <w:p w14:paraId="5712BE28"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权益法下确认的投资损益</w:t>
            </w:r>
          </w:p>
        </w:tc>
        <w:tc>
          <w:tcPr>
            <w:tcW w:w="614" w:type="dxa"/>
            <w:tcBorders>
              <w:top w:val="single" w:sz="2" w:space="0" w:color="auto"/>
              <w:left w:val="single" w:sz="2" w:space="0" w:color="auto"/>
              <w:bottom w:val="single" w:sz="2" w:space="0" w:color="auto"/>
              <w:right w:val="single" w:sz="2" w:space="0" w:color="auto"/>
            </w:tcBorders>
            <w:shd w:val="clear" w:color="auto" w:fill="D3D3D3"/>
            <w:vAlign w:val="center"/>
          </w:tcPr>
          <w:p w14:paraId="0515D5D5"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其他综合收益调整</w:t>
            </w:r>
          </w:p>
        </w:tc>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31B902EE"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其他权益变动</w:t>
            </w:r>
          </w:p>
        </w:tc>
        <w:tc>
          <w:tcPr>
            <w:tcW w:w="630" w:type="dxa"/>
            <w:tcBorders>
              <w:top w:val="single" w:sz="2" w:space="0" w:color="auto"/>
              <w:left w:val="single" w:sz="2" w:space="0" w:color="auto"/>
              <w:bottom w:val="single" w:sz="2" w:space="0" w:color="auto"/>
              <w:right w:val="single" w:sz="2" w:space="0" w:color="auto"/>
            </w:tcBorders>
            <w:shd w:val="clear" w:color="auto" w:fill="D3D3D3"/>
            <w:vAlign w:val="center"/>
          </w:tcPr>
          <w:p w14:paraId="21B220EE"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宣告发放现金股利或利润</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49A61457"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计提减值准备</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3672B32" w14:textId="77777777" w:rsidR="00A46BF1" w:rsidRPr="000A46A2" w:rsidRDefault="00A46BF1" w:rsidP="000A46A2">
            <w:pPr>
              <w:spacing w:before="40" w:after="40" w:line="360" w:lineRule="auto"/>
              <w:jc w:val="center"/>
              <w:rPr>
                <w:rFonts w:ascii="Times New Roman" w:eastAsia="宋体" w:hAnsi="Times New Roman" w:cs="Times New Roman"/>
                <w:sz w:val="13"/>
                <w:szCs w:val="13"/>
              </w:rPr>
            </w:pPr>
            <w:r w:rsidRPr="000A46A2">
              <w:rPr>
                <w:rFonts w:ascii="Times New Roman" w:eastAsia="宋体" w:hAnsi="Times New Roman" w:cs="Times New Roman"/>
                <w:sz w:val="13"/>
                <w:szCs w:val="13"/>
              </w:rPr>
              <w:t>其他</w:t>
            </w:r>
          </w:p>
        </w:tc>
        <w:tc>
          <w:tcPr>
            <w:tcW w:w="85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7F0CB9F" w14:textId="77777777" w:rsidR="00A46BF1" w:rsidRPr="000A46A2" w:rsidRDefault="00A46BF1" w:rsidP="000A46A2">
            <w:pPr>
              <w:spacing w:line="360" w:lineRule="auto"/>
              <w:rPr>
                <w:rFonts w:ascii="Times New Roman" w:hAnsi="Times New Roman" w:cs="Times New Roman"/>
                <w:sz w:val="13"/>
                <w:szCs w:val="13"/>
              </w:rPr>
            </w:pPr>
          </w:p>
        </w:tc>
        <w:tc>
          <w:tcPr>
            <w:tcW w:w="8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BC05DEA" w14:textId="77777777" w:rsidR="00A46BF1" w:rsidRPr="000A46A2" w:rsidRDefault="00A46BF1" w:rsidP="000A46A2">
            <w:pPr>
              <w:spacing w:line="360" w:lineRule="auto"/>
              <w:rPr>
                <w:rFonts w:ascii="Times New Roman" w:hAnsi="Times New Roman" w:cs="Times New Roman"/>
                <w:sz w:val="13"/>
                <w:szCs w:val="13"/>
              </w:rPr>
            </w:pPr>
          </w:p>
        </w:tc>
      </w:tr>
      <w:tr w:rsidR="00095F6F" w:rsidRPr="000A46A2" w14:paraId="3DFADE5F" w14:textId="77777777" w:rsidTr="000A46A2">
        <w:trPr>
          <w:trHeight w:val="240"/>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0B147139" w14:textId="77777777" w:rsidR="00A46BF1" w:rsidRPr="000A46A2" w:rsidRDefault="00A46BF1" w:rsidP="000A46A2">
            <w:pPr>
              <w:spacing w:before="40" w:after="40" w:line="360" w:lineRule="auto"/>
              <w:rPr>
                <w:rFonts w:ascii="Times New Roman" w:eastAsia="宋体" w:hAnsi="Times New Roman" w:cs="Times New Roman"/>
                <w:sz w:val="13"/>
                <w:szCs w:val="13"/>
              </w:rPr>
            </w:pPr>
            <w:r w:rsidRPr="000A46A2">
              <w:rPr>
                <w:rFonts w:ascii="Times New Roman" w:eastAsia="宋体" w:hAnsi="Times New Roman" w:cs="Times New Roman"/>
                <w:sz w:val="13"/>
                <w:szCs w:val="13"/>
              </w:rPr>
              <w:t>一、合营企业</w:t>
            </w:r>
          </w:p>
        </w:tc>
      </w:tr>
      <w:tr w:rsidR="00095F6F" w:rsidRPr="000A46A2" w14:paraId="7D2D222E" w14:textId="77777777" w:rsidTr="000A46A2">
        <w:trPr>
          <w:trHeight w:val="240"/>
        </w:trPr>
        <w:tc>
          <w:tcPr>
            <w:tcW w:w="9639" w:type="dxa"/>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313CE9F9" w14:textId="77777777" w:rsidR="00A46BF1" w:rsidRPr="000A46A2" w:rsidRDefault="00A46BF1" w:rsidP="000A46A2">
            <w:pPr>
              <w:spacing w:before="40" w:after="40" w:line="360" w:lineRule="auto"/>
              <w:rPr>
                <w:rFonts w:ascii="Times New Roman" w:eastAsia="宋体" w:hAnsi="Times New Roman" w:cs="Times New Roman"/>
                <w:sz w:val="13"/>
                <w:szCs w:val="13"/>
              </w:rPr>
            </w:pPr>
            <w:r w:rsidRPr="000A46A2">
              <w:rPr>
                <w:rFonts w:ascii="Times New Roman" w:eastAsia="宋体" w:hAnsi="Times New Roman" w:cs="Times New Roman"/>
                <w:sz w:val="13"/>
                <w:szCs w:val="13"/>
              </w:rPr>
              <w:t>二、联营企业</w:t>
            </w:r>
          </w:p>
        </w:tc>
      </w:tr>
      <w:tr w:rsidR="00095F6F" w:rsidRPr="000A46A2" w14:paraId="5D38CF46" w14:textId="77777777" w:rsidTr="000A46A2">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6545F536" w14:textId="77777777" w:rsidR="00A46BF1" w:rsidRPr="000A46A2" w:rsidRDefault="00A46BF1" w:rsidP="000A46A2">
            <w:pPr>
              <w:spacing w:line="360" w:lineRule="auto"/>
              <w:rPr>
                <w:rFonts w:ascii="Times New Roman" w:eastAsia="宋体" w:hAnsi="Times New Roman" w:cs="Times New Roman"/>
                <w:sz w:val="13"/>
                <w:szCs w:val="13"/>
              </w:rPr>
            </w:pPr>
            <w:r w:rsidRPr="000A46A2">
              <w:rPr>
                <w:rFonts w:ascii="Times New Roman" w:eastAsia="宋体" w:hAnsi="Times New Roman" w:cs="Times New Roman"/>
                <w:sz w:val="13"/>
                <w:szCs w:val="13"/>
              </w:rPr>
              <w:t>北京糖护科技有限公司</w:t>
            </w:r>
          </w:p>
        </w:tc>
        <w:tc>
          <w:tcPr>
            <w:tcW w:w="855" w:type="dxa"/>
            <w:tcBorders>
              <w:top w:val="single" w:sz="2" w:space="0" w:color="auto"/>
              <w:left w:val="single" w:sz="2" w:space="0" w:color="auto"/>
              <w:bottom w:val="single" w:sz="2" w:space="0" w:color="auto"/>
              <w:right w:val="single" w:sz="2" w:space="0" w:color="auto"/>
            </w:tcBorders>
            <w:vAlign w:val="center"/>
          </w:tcPr>
          <w:p w14:paraId="47DD0E7B"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14,722,280.00</w:t>
            </w:r>
          </w:p>
        </w:tc>
        <w:tc>
          <w:tcPr>
            <w:tcW w:w="851" w:type="dxa"/>
            <w:tcBorders>
              <w:top w:val="single" w:sz="2" w:space="0" w:color="auto"/>
              <w:left w:val="single" w:sz="2" w:space="0" w:color="auto"/>
              <w:bottom w:val="single" w:sz="2" w:space="0" w:color="auto"/>
              <w:right w:val="single" w:sz="2" w:space="0" w:color="auto"/>
            </w:tcBorders>
            <w:vAlign w:val="center"/>
          </w:tcPr>
          <w:p w14:paraId="068153D0"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31,678,692.44</w:t>
            </w:r>
          </w:p>
        </w:tc>
        <w:tc>
          <w:tcPr>
            <w:tcW w:w="567" w:type="dxa"/>
            <w:tcBorders>
              <w:top w:val="single" w:sz="2" w:space="0" w:color="auto"/>
              <w:left w:val="single" w:sz="2" w:space="0" w:color="auto"/>
              <w:bottom w:val="single" w:sz="2" w:space="0" w:color="auto"/>
              <w:right w:val="single" w:sz="2" w:space="0" w:color="auto"/>
            </w:tcBorders>
            <w:vAlign w:val="center"/>
          </w:tcPr>
          <w:p w14:paraId="2A78FED9"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691" w:type="dxa"/>
            <w:tcBorders>
              <w:top w:val="single" w:sz="2" w:space="0" w:color="auto"/>
              <w:left w:val="single" w:sz="2" w:space="0" w:color="auto"/>
              <w:bottom w:val="single" w:sz="2" w:space="0" w:color="auto"/>
              <w:right w:val="single" w:sz="2" w:space="0" w:color="auto"/>
            </w:tcBorders>
            <w:vAlign w:val="center"/>
          </w:tcPr>
          <w:p w14:paraId="7ED58BB7"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868" w:type="dxa"/>
            <w:tcBorders>
              <w:top w:val="single" w:sz="2" w:space="0" w:color="auto"/>
              <w:left w:val="single" w:sz="2" w:space="0" w:color="auto"/>
              <w:bottom w:val="single" w:sz="2" w:space="0" w:color="auto"/>
              <w:right w:val="single" w:sz="2" w:space="0" w:color="auto"/>
            </w:tcBorders>
            <w:vAlign w:val="center"/>
          </w:tcPr>
          <w:p w14:paraId="615DF738"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-266,372.90</w:t>
            </w:r>
          </w:p>
        </w:tc>
        <w:tc>
          <w:tcPr>
            <w:tcW w:w="614" w:type="dxa"/>
            <w:tcBorders>
              <w:top w:val="single" w:sz="2" w:space="0" w:color="auto"/>
              <w:left w:val="single" w:sz="2" w:space="0" w:color="auto"/>
              <w:bottom w:val="single" w:sz="2" w:space="0" w:color="auto"/>
              <w:right w:val="single" w:sz="2" w:space="0" w:color="auto"/>
            </w:tcBorders>
            <w:vAlign w:val="center"/>
          </w:tcPr>
          <w:p w14:paraId="6CE21667"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41" w:type="dxa"/>
            <w:tcBorders>
              <w:top w:val="single" w:sz="2" w:space="0" w:color="auto"/>
              <w:left w:val="single" w:sz="2" w:space="0" w:color="auto"/>
              <w:bottom w:val="single" w:sz="2" w:space="0" w:color="auto"/>
              <w:right w:val="single" w:sz="2" w:space="0" w:color="auto"/>
            </w:tcBorders>
            <w:vAlign w:val="center"/>
          </w:tcPr>
          <w:p w14:paraId="38825F4F"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73,368.78</w:t>
            </w:r>
          </w:p>
        </w:tc>
        <w:tc>
          <w:tcPr>
            <w:tcW w:w="630" w:type="dxa"/>
            <w:tcBorders>
              <w:top w:val="single" w:sz="2" w:space="0" w:color="auto"/>
              <w:left w:val="single" w:sz="2" w:space="0" w:color="auto"/>
              <w:bottom w:val="single" w:sz="2" w:space="0" w:color="auto"/>
              <w:right w:val="single" w:sz="2" w:space="0" w:color="auto"/>
            </w:tcBorders>
            <w:vAlign w:val="center"/>
          </w:tcPr>
          <w:p w14:paraId="7C8F3722"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1D430099"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5,047,427.28</w:t>
            </w:r>
          </w:p>
        </w:tc>
        <w:tc>
          <w:tcPr>
            <w:tcW w:w="709" w:type="dxa"/>
            <w:tcBorders>
              <w:top w:val="single" w:sz="2" w:space="0" w:color="auto"/>
              <w:left w:val="single" w:sz="2" w:space="0" w:color="auto"/>
              <w:bottom w:val="single" w:sz="2" w:space="0" w:color="auto"/>
              <w:right w:val="single" w:sz="2" w:space="0" w:color="auto"/>
            </w:tcBorders>
            <w:vAlign w:val="center"/>
          </w:tcPr>
          <w:p w14:paraId="2E7AC121"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851" w:type="dxa"/>
            <w:tcBorders>
              <w:top w:val="single" w:sz="2" w:space="0" w:color="auto"/>
              <w:left w:val="single" w:sz="2" w:space="0" w:color="auto"/>
              <w:bottom w:val="single" w:sz="2" w:space="0" w:color="auto"/>
              <w:right w:val="single" w:sz="2" w:space="0" w:color="auto"/>
            </w:tcBorders>
            <w:vAlign w:val="center"/>
          </w:tcPr>
          <w:p w14:paraId="364FD6C5"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9,481,848.60</w:t>
            </w:r>
          </w:p>
        </w:tc>
        <w:tc>
          <w:tcPr>
            <w:tcW w:w="813" w:type="dxa"/>
            <w:tcBorders>
              <w:top w:val="single" w:sz="2" w:space="0" w:color="auto"/>
              <w:left w:val="single" w:sz="2" w:space="0" w:color="auto"/>
              <w:bottom w:val="single" w:sz="2" w:space="0" w:color="auto"/>
              <w:right w:val="single" w:sz="2" w:space="0" w:color="auto"/>
            </w:tcBorders>
            <w:vAlign w:val="center"/>
          </w:tcPr>
          <w:p w14:paraId="2FEF1DDB"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36,726,119.72</w:t>
            </w:r>
          </w:p>
        </w:tc>
      </w:tr>
      <w:tr w:rsidR="00095F6F" w:rsidRPr="000A46A2" w14:paraId="7F984BD3" w14:textId="77777777" w:rsidTr="000A46A2">
        <w:trPr>
          <w:trHeight w:val="240"/>
        </w:trPr>
        <w:tc>
          <w:tcPr>
            <w:tcW w:w="741" w:type="dxa"/>
            <w:tcBorders>
              <w:top w:val="single" w:sz="2" w:space="0" w:color="auto"/>
              <w:left w:val="single" w:sz="2" w:space="0" w:color="auto"/>
              <w:bottom w:val="single" w:sz="2" w:space="0" w:color="auto"/>
              <w:right w:val="single" w:sz="2" w:space="0" w:color="auto"/>
            </w:tcBorders>
            <w:vAlign w:val="center"/>
          </w:tcPr>
          <w:p w14:paraId="0F86E6E1" w14:textId="77777777" w:rsidR="00A46BF1" w:rsidRPr="000A46A2" w:rsidRDefault="00A46BF1" w:rsidP="000A46A2">
            <w:pPr>
              <w:spacing w:line="360" w:lineRule="auto"/>
              <w:rPr>
                <w:rFonts w:ascii="Times New Roman" w:eastAsia="宋体" w:hAnsi="Times New Roman" w:cs="Times New Roman"/>
                <w:sz w:val="13"/>
                <w:szCs w:val="13"/>
              </w:rPr>
            </w:pPr>
            <w:r w:rsidRPr="000A46A2">
              <w:rPr>
                <w:rFonts w:ascii="Times New Roman" w:eastAsia="宋体" w:hAnsi="Times New Roman" w:cs="Times New Roman"/>
                <w:sz w:val="13"/>
                <w:szCs w:val="13"/>
              </w:rPr>
              <w:t>长沙甜蜜医联网络科技有限公司</w:t>
            </w:r>
          </w:p>
        </w:tc>
        <w:tc>
          <w:tcPr>
            <w:tcW w:w="855" w:type="dxa"/>
            <w:tcBorders>
              <w:top w:val="single" w:sz="2" w:space="0" w:color="auto"/>
              <w:left w:val="single" w:sz="2" w:space="0" w:color="auto"/>
              <w:bottom w:val="single" w:sz="2" w:space="0" w:color="auto"/>
              <w:right w:val="single" w:sz="2" w:space="0" w:color="auto"/>
            </w:tcBorders>
            <w:vAlign w:val="center"/>
          </w:tcPr>
          <w:p w14:paraId="4553EFD9"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153,280.06</w:t>
            </w:r>
          </w:p>
        </w:tc>
        <w:tc>
          <w:tcPr>
            <w:tcW w:w="851" w:type="dxa"/>
            <w:tcBorders>
              <w:top w:val="single" w:sz="2" w:space="0" w:color="auto"/>
              <w:left w:val="single" w:sz="2" w:space="0" w:color="auto"/>
              <w:bottom w:val="single" w:sz="2" w:space="0" w:color="auto"/>
              <w:right w:val="single" w:sz="2" w:space="0" w:color="auto"/>
            </w:tcBorders>
            <w:vAlign w:val="center"/>
          </w:tcPr>
          <w:p w14:paraId="402534D1"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vAlign w:val="center"/>
          </w:tcPr>
          <w:p w14:paraId="6E681FB9"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691" w:type="dxa"/>
            <w:tcBorders>
              <w:top w:val="single" w:sz="2" w:space="0" w:color="auto"/>
              <w:left w:val="single" w:sz="2" w:space="0" w:color="auto"/>
              <w:bottom w:val="single" w:sz="2" w:space="0" w:color="auto"/>
              <w:right w:val="single" w:sz="2" w:space="0" w:color="auto"/>
            </w:tcBorders>
            <w:vAlign w:val="center"/>
          </w:tcPr>
          <w:p w14:paraId="2B95E855"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868" w:type="dxa"/>
            <w:tcBorders>
              <w:top w:val="single" w:sz="2" w:space="0" w:color="auto"/>
              <w:left w:val="single" w:sz="2" w:space="0" w:color="auto"/>
              <w:bottom w:val="single" w:sz="2" w:space="0" w:color="auto"/>
              <w:right w:val="single" w:sz="2" w:space="0" w:color="auto"/>
            </w:tcBorders>
            <w:vAlign w:val="center"/>
          </w:tcPr>
          <w:p w14:paraId="30FEBC8D"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-42,215.80</w:t>
            </w:r>
          </w:p>
        </w:tc>
        <w:tc>
          <w:tcPr>
            <w:tcW w:w="614" w:type="dxa"/>
            <w:tcBorders>
              <w:top w:val="single" w:sz="2" w:space="0" w:color="auto"/>
              <w:left w:val="single" w:sz="2" w:space="0" w:color="auto"/>
              <w:bottom w:val="single" w:sz="2" w:space="0" w:color="auto"/>
              <w:right w:val="single" w:sz="2" w:space="0" w:color="auto"/>
            </w:tcBorders>
            <w:vAlign w:val="center"/>
          </w:tcPr>
          <w:p w14:paraId="3794457D"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41" w:type="dxa"/>
            <w:tcBorders>
              <w:top w:val="single" w:sz="2" w:space="0" w:color="auto"/>
              <w:left w:val="single" w:sz="2" w:space="0" w:color="auto"/>
              <w:bottom w:val="single" w:sz="2" w:space="0" w:color="auto"/>
              <w:right w:val="single" w:sz="2" w:space="0" w:color="auto"/>
            </w:tcBorders>
            <w:vAlign w:val="center"/>
          </w:tcPr>
          <w:p w14:paraId="4E3AA533"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630" w:type="dxa"/>
            <w:tcBorders>
              <w:top w:val="single" w:sz="2" w:space="0" w:color="auto"/>
              <w:left w:val="single" w:sz="2" w:space="0" w:color="auto"/>
              <w:bottom w:val="single" w:sz="2" w:space="0" w:color="auto"/>
              <w:right w:val="single" w:sz="2" w:space="0" w:color="auto"/>
            </w:tcBorders>
            <w:vAlign w:val="center"/>
          </w:tcPr>
          <w:p w14:paraId="3AE078BC"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50848AA7"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09" w:type="dxa"/>
            <w:tcBorders>
              <w:top w:val="single" w:sz="2" w:space="0" w:color="auto"/>
              <w:left w:val="single" w:sz="2" w:space="0" w:color="auto"/>
              <w:bottom w:val="single" w:sz="2" w:space="0" w:color="auto"/>
              <w:right w:val="single" w:sz="2" w:space="0" w:color="auto"/>
            </w:tcBorders>
            <w:vAlign w:val="center"/>
          </w:tcPr>
          <w:p w14:paraId="07C81804"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-111,064.26</w:t>
            </w:r>
          </w:p>
        </w:tc>
        <w:tc>
          <w:tcPr>
            <w:tcW w:w="851" w:type="dxa"/>
            <w:tcBorders>
              <w:top w:val="single" w:sz="2" w:space="0" w:color="auto"/>
              <w:left w:val="single" w:sz="2" w:space="0" w:color="auto"/>
              <w:bottom w:val="single" w:sz="2" w:space="0" w:color="auto"/>
              <w:right w:val="single" w:sz="2" w:space="0" w:color="auto"/>
            </w:tcBorders>
            <w:vAlign w:val="center"/>
          </w:tcPr>
          <w:p w14:paraId="224E01C9"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813" w:type="dxa"/>
            <w:tcBorders>
              <w:top w:val="single" w:sz="2" w:space="0" w:color="auto"/>
              <w:left w:val="single" w:sz="2" w:space="0" w:color="auto"/>
              <w:bottom w:val="single" w:sz="2" w:space="0" w:color="auto"/>
              <w:right w:val="single" w:sz="2" w:space="0" w:color="auto"/>
            </w:tcBorders>
            <w:vAlign w:val="center"/>
          </w:tcPr>
          <w:p w14:paraId="25A73591" w14:textId="77777777" w:rsidR="00A46BF1" w:rsidRPr="000A46A2" w:rsidRDefault="00A46BF1" w:rsidP="000A46A2">
            <w:pPr>
              <w:spacing w:line="360" w:lineRule="auto"/>
              <w:jc w:val="right"/>
              <w:rPr>
                <w:rFonts w:ascii="Times New Roman" w:eastAsia="宋体" w:hAnsi="Times New Roman" w:cs="Times New Roman"/>
                <w:sz w:val="13"/>
                <w:szCs w:val="13"/>
              </w:rPr>
            </w:pPr>
          </w:p>
        </w:tc>
      </w:tr>
      <w:tr w:rsidR="00095F6F" w:rsidRPr="000A46A2" w14:paraId="2E97B769" w14:textId="77777777" w:rsidTr="000A46A2">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23321BBC" w14:textId="77777777" w:rsidR="00A46BF1" w:rsidRPr="000A46A2" w:rsidRDefault="00A46BF1" w:rsidP="000A46A2">
            <w:pPr>
              <w:spacing w:before="40" w:after="40" w:line="360" w:lineRule="auto"/>
              <w:rPr>
                <w:rFonts w:ascii="Times New Roman" w:eastAsia="宋体" w:hAnsi="Times New Roman" w:cs="Times New Roman"/>
                <w:sz w:val="13"/>
                <w:szCs w:val="13"/>
              </w:rPr>
            </w:pPr>
            <w:r w:rsidRPr="000A46A2">
              <w:rPr>
                <w:rFonts w:ascii="Times New Roman" w:eastAsia="宋体" w:hAnsi="Times New Roman" w:cs="Times New Roman"/>
                <w:sz w:val="13"/>
                <w:szCs w:val="13"/>
              </w:rPr>
              <w:t>小计</w:t>
            </w:r>
          </w:p>
        </w:tc>
        <w:tc>
          <w:tcPr>
            <w:tcW w:w="855" w:type="dxa"/>
            <w:tcBorders>
              <w:top w:val="single" w:sz="2" w:space="0" w:color="auto"/>
              <w:left w:val="single" w:sz="2" w:space="0" w:color="auto"/>
              <w:bottom w:val="single" w:sz="2" w:space="0" w:color="auto"/>
              <w:right w:val="single" w:sz="2" w:space="0" w:color="auto"/>
            </w:tcBorders>
            <w:vAlign w:val="center"/>
          </w:tcPr>
          <w:p w14:paraId="545EC181"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14,875,560.06</w:t>
            </w:r>
          </w:p>
        </w:tc>
        <w:tc>
          <w:tcPr>
            <w:tcW w:w="851" w:type="dxa"/>
            <w:tcBorders>
              <w:top w:val="single" w:sz="2" w:space="0" w:color="auto"/>
              <w:left w:val="single" w:sz="2" w:space="0" w:color="auto"/>
              <w:bottom w:val="single" w:sz="2" w:space="0" w:color="auto"/>
              <w:right w:val="single" w:sz="2" w:space="0" w:color="auto"/>
            </w:tcBorders>
            <w:vAlign w:val="center"/>
          </w:tcPr>
          <w:p w14:paraId="52325345"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31,678,692.44</w:t>
            </w:r>
          </w:p>
        </w:tc>
        <w:tc>
          <w:tcPr>
            <w:tcW w:w="567" w:type="dxa"/>
            <w:tcBorders>
              <w:top w:val="single" w:sz="2" w:space="0" w:color="auto"/>
              <w:left w:val="single" w:sz="2" w:space="0" w:color="auto"/>
              <w:bottom w:val="single" w:sz="2" w:space="0" w:color="auto"/>
              <w:right w:val="single" w:sz="2" w:space="0" w:color="auto"/>
            </w:tcBorders>
            <w:vAlign w:val="center"/>
          </w:tcPr>
          <w:p w14:paraId="6FB15CFF"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691" w:type="dxa"/>
            <w:tcBorders>
              <w:top w:val="single" w:sz="2" w:space="0" w:color="auto"/>
              <w:left w:val="single" w:sz="2" w:space="0" w:color="auto"/>
              <w:bottom w:val="single" w:sz="2" w:space="0" w:color="auto"/>
              <w:right w:val="single" w:sz="2" w:space="0" w:color="auto"/>
            </w:tcBorders>
            <w:vAlign w:val="center"/>
          </w:tcPr>
          <w:p w14:paraId="0249A82A"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868" w:type="dxa"/>
            <w:tcBorders>
              <w:top w:val="single" w:sz="2" w:space="0" w:color="auto"/>
              <w:left w:val="single" w:sz="2" w:space="0" w:color="auto"/>
              <w:bottom w:val="single" w:sz="2" w:space="0" w:color="auto"/>
              <w:right w:val="single" w:sz="2" w:space="0" w:color="auto"/>
            </w:tcBorders>
            <w:vAlign w:val="center"/>
          </w:tcPr>
          <w:p w14:paraId="5EC4FABE"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-308,588.70</w:t>
            </w:r>
          </w:p>
        </w:tc>
        <w:tc>
          <w:tcPr>
            <w:tcW w:w="614" w:type="dxa"/>
            <w:tcBorders>
              <w:top w:val="single" w:sz="2" w:space="0" w:color="auto"/>
              <w:left w:val="single" w:sz="2" w:space="0" w:color="auto"/>
              <w:bottom w:val="single" w:sz="2" w:space="0" w:color="auto"/>
              <w:right w:val="single" w:sz="2" w:space="0" w:color="auto"/>
            </w:tcBorders>
            <w:vAlign w:val="center"/>
          </w:tcPr>
          <w:p w14:paraId="45D440AA"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41" w:type="dxa"/>
            <w:tcBorders>
              <w:top w:val="single" w:sz="2" w:space="0" w:color="auto"/>
              <w:left w:val="single" w:sz="2" w:space="0" w:color="auto"/>
              <w:bottom w:val="single" w:sz="2" w:space="0" w:color="auto"/>
              <w:right w:val="single" w:sz="2" w:space="0" w:color="auto"/>
            </w:tcBorders>
            <w:vAlign w:val="center"/>
          </w:tcPr>
          <w:p w14:paraId="7AC18AFA"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73,368.78</w:t>
            </w:r>
          </w:p>
        </w:tc>
        <w:tc>
          <w:tcPr>
            <w:tcW w:w="630" w:type="dxa"/>
            <w:tcBorders>
              <w:top w:val="single" w:sz="2" w:space="0" w:color="auto"/>
              <w:left w:val="single" w:sz="2" w:space="0" w:color="auto"/>
              <w:bottom w:val="single" w:sz="2" w:space="0" w:color="auto"/>
              <w:right w:val="single" w:sz="2" w:space="0" w:color="auto"/>
            </w:tcBorders>
            <w:vAlign w:val="center"/>
          </w:tcPr>
          <w:p w14:paraId="6DFD9520"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344ED3A7"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5,047,427.28</w:t>
            </w:r>
          </w:p>
        </w:tc>
        <w:tc>
          <w:tcPr>
            <w:tcW w:w="709" w:type="dxa"/>
            <w:tcBorders>
              <w:top w:val="single" w:sz="2" w:space="0" w:color="auto"/>
              <w:left w:val="single" w:sz="2" w:space="0" w:color="auto"/>
              <w:bottom w:val="single" w:sz="2" w:space="0" w:color="auto"/>
              <w:right w:val="single" w:sz="2" w:space="0" w:color="auto"/>
            </w:tcBorders>
            <w:vAlign w:val="center"/>
          </w:tcPr>
          <w:p w14:paraId="4F1A7E37"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-111,064.26</w:t>
            </w:r>
          </w:p>
        </w:tc>
        <w:tc>
          <w:tcPr>
            <w:tcW w:w="851" w:type="dxa"/>
            <w:tcBorders>
              <w:top w:val="single" w:sz="2" w:space="0" w:color="auto"/>
              <w:left w:val="single" w:sz="2" w:space="0" w:color="auto"/>
              <w:bottom w:val="single" w:sz="2" w:space="0" w:color="auto"/>
              <w:right w:val="single" w:sz="2" w:space="0" w:color="auto"/>
            </w:tcBorders>
            <w:vAlign w:val="center"/>
          </w:tcPr>
          <w:p w14:paraId="4668E7EF"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9,481,848.60</w:t>
            </w:r>
          </w:p>
        </w:tc>
        <w:tc>
          <w:tcPr>
            <w:tcW w:w="813" w:type="dxa"/>
            <w:tcBorders>
              <w:top w:val="single" w:sz="2" w:space="0" w:color="auto"/>
              <w:left w:val="single" w:sz="2" w:space="0" w:color="auto"/>
              <w:bottom w:val="single" w:sz="2" w:space="0" w:color="auto"/>
              <w:right w:val="single" w:sz="2" w:space="0" w:color="auto"/>
            </w:tcBorders>
            <w:vAlign w:val="center"/>
          </w:tcPr>
          <w:p w14:paraId="4196A181"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36,726,119.72</w:t>
            </w:r>
          </w:p>
        </w:tc>
      </w:tr>
      <w:tr w:rsidR="00095F6F" w:rsidRPr="000A46A2" w14:paraId="51291986" w14:textId="77777777" w:rsidTr="000A46A2">
        <w:trPr>
          <w:trHeight w:val="240"/>
        </w:trPr>
        <w:tc>
          <w:tcPr>
            <w:tcW w:w="741" w:type="dxa"/>
            <w:tcBorders>
              <w:top w:val="single" w:sz="2" w:space="0" w:color="auto"/>
              <w:left w:val="single" w:sz="2" w:space="0" w:color="auto"/>
              <w:bottom w:val="single" w:sz="2" w:space="0" w:color="auto"/>
              <w:right w:val="single" w:sz="2" w:space="0" w:color="auto"/>
            </w:tcBorders>
            <w:shd w:val="clear" w:color="auto" w:fill="D3D3D3"/>
            <w:vAlign w:val="center"/>
          </w:tcPr>
          <w:p w14:paraId="0CD9EC14" w14:textId="77777777" w:rsidR="00A46BF1" w:rsidRPr="000A46A2" w:rsidRDefault="00A46BF1" w:rsidP="000A46A2">
            <w:pPr>
              <w:spacing w:before="40" w:after="40" w:line="360" w:lineRule="auto"/>
              <w:rPr>
                <w:rFonts w:ascii="Times New Roman" w:eastAsia="宋体" w:hAnsi="Times New Roman" w:cs="Times New Roman"/>
                <w:sz w:val="13"/>
                <w:szCs w:val="13"/>
              </w:rPr>
            </w:pPr>
            <w:r w:rsidRPr="000A46A2">
              <w:rPr>
                <w:rFonts w:ascii="Times New Roman" w:eastAsia="宋体" w:hAnsi="Times New Roman" w:cs="Times New Roman"/>
                <w:sz w:val="13"/>
                <w:szCs w:val="13"/>
              </w:rPr>
              <w:t>合计</w:t>
            </w:r>
          </w:p>
        </w:tc>
        <w:tc>
          <w:tcPr>
            <w:tcW w:w="855" w:type="dxa"/>
            <w:tcBorders>
              <w:top w:val="single" w:sz="2" w:space="0" w:color="auto"/>
              <w:left w:val="single" w:sz="2" w:space="0" w:color="auto"/>
              <w:bottom w:val="single" w:sz="2" w:space="0" w:color="auto"/>
              <w:right w:val="single" w:sz="2" w:space="0" w:color="auto"/>
            </w:tcBorders>
            <w:vAlign w:val="center"/>
          </w:tcPr>
          <w:p w14:paraId="1F4277F6"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14,875,560.06</w:t>
            </w:r>
          </w:p>
        </w:tc>
        <w:tc>
          <w:tcPr>
            <w:tcW w:w="851" w:type="dxa"/>
            <w:tcBorders>
              <w:top w:val="single" w:sz="2" w:space="0" w:color="auto"/>
              <w:left w:val="single" w:sz="2" w:space="0" w:color="auto"/>
              <w:bottom w:val="single" w:sz="2" w:space="0" w:color="auto"/>
              <w:right w:val="single" w:sz="2" w:space="0" w:color="auto"/>
            </w:tcBorders>
            <w:vAlign w:val="center"/>
          </w:tcPr>
          <w:p w14:paraId="5400D0CA"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31,678,692.44</w:t>
            </w:r>
          </w:p>
        </w:tc>
        <w:tc>
          <w:tcPr>
            <w:tcW w:w="567" w:type="dxa"/>
            <w:tcBorders>
              <w:top w:val="single" w:sz="2" w:space="0" w:color="auto"/>
              <w:left w:val="single" w:sz="2" w:space="0" w:color="auto"/>
              <w:bottom w:val="single" w:sz="2" w:space="0" w:color="auto"/>
              <w:right w:val="single" w:sz="2" w:space="0" w:color="auto"/>
            </w:tcBorders>
            <w:vAlign w:val="center"/>
          </w:tcPr>
          <w:p w14:paraId="3E56A69B"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691" w:type="dxa"/>
            <w:tcBorders>
              <w:top w:val="single" w:sz="2" w:space="0" w:color="auto"/>
              <w:left w:val="single" w:sz="2" w:space="0" w:color="auto"/>
              <w:bottom w:val="single" w:sz="2" w:space="0" w:color="auto"/>
              <w:right w:val="single" w:sz="2" w:space="0" w:color="auto"/>
            </w:tcBorders>
            <w:vAlign w:val="center"/>
          </w:tcPr>
          <w:p w14:paraId="1D425E41"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868" w:type="dxa"/>
            <w:tcBorders>
              <w:top w:val="single" w:sz="2" w:space="0" w:color="auto"/>
              <w:left w:val="single" w:sz="2" w:space="0" w:color="auto"/>
              <w:bottom w:val="single" w:sz="2" w:space="0" w:color="auto"/>
              <w:right w:val="single" w:sz="2" w:space="0" w:color="auto"/>
            </w:tcBorders>
            <w:vAlign w:val="center"/>
          </w:tcPr>
          <w:p w14:paraId="1626A434"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-308,588.70</w:t>
            </w:r>
          </w:p>
        </w:tc>
        <w:tc>
          <w:tcPr>
            <w:tcW w:w="614" w:type="dxa"/>
            <w:tcBorders>
              <w:top w:val="single" w:sz="2" w:space="0" w:color="auto"/>
              <w:left w:val="single" w:sz="2" w:space="0" w:color="auto"/>
              <w:bottom w:val="single" w:sz="2" w:space="0" w:color="auto"/>
              <w:right w:val="single" w:sz="2" w:space="0" w:color="auto"/>
            </w:tcBorders>
            <w:vAlign w:val="center"/>
          </w:tcPr>
          <w:p w14:paraId="63762865"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41" w:type="dxa"/>
            <w:tcBorders>
              <w:top w:val="single" w:sz="2" w:space="0" w:color="auto"/>
              <w:left w:val="single" w:sz="2" w:space="0" w:color="auto"/>
              <w:bottom w:val="single" w:sz="2" w:space="0" w:color="auto"/>
              <w:right w:val="single" w:sz="2" w:space="0" w:color="auto"/>
            </w:tcBorders>
            <w:vAlign w:val="center"/>
          </w:tcPr>
          <w:p w14:paraId="46F88BCC"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73,368.78</w:t>
            </w:r>
          </w:p>
        </w:tc>
        <w:tc>
          <w:tcPr>
            <w:tcW w:w="630" w:type="dxa"/>
            <w:tcBorders>
              <w:top w:val="single" w:sz="2" w:space="0" w:color="auto"/>
              <w:left w:val="single" w:sz="2" w:space="0" w:color="auto"/>
              <w:bottom w:val="single" w:sz="2" w:space="0" w:color="auto"/>
              <w:right w:val="single" w:sz="2" w:space="0" w:color="auto"/>
            </w:tcBorders>
            <w:vAlign w:val="center"/>
          </w:tcPr>
          <w:p w14:paraId="4817FA89" w14:textId="77777777" w:rsidR="00A46BF1" w:rsidRPr="000A46A2" w:rsidRDefault="00A46BF1" w:rsidP="000A46A2">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5AF3230C"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5,047,427.28</w:t>
            </w:r>
          </w:p>
        </w:tc>
        <w:tc>
          <w:tcPr>
            <w:tcW w:w="709" w:type="dxa"/>
            <w:tcBorders>
              <w:top w:val="single" w:sz="2" w:space="0" w:color="auto"/>
              <w:left w:val="single" w:sz="2" w:space="0" w:color="auto"/>
              <w:bottom w:val="single" w:sz="2" w:space="0" w:color="auto"/>
              <w:right w:val="single" w:sz="2" w:space="0" w:color="auto"/>
            </w:tcBorders>
            <w:vAlign w:val="center"/>
          </w:tcPr>
          <w:p w14:paraId="3C9475ED"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-111,064.26</w:t>
            </w:r>
          </w:p>
        </w:tc>
        <w:tc>
          <w:tcPr>
            <w:tcW w:w="851" w:type="dxa"/>
            <w:tcBorders>
              <w:top w:val="single" w:sz="2" w:space="0" w:color="auto"/>
              <w:left w:val="single" w:sz="2" w:space="0" w:color="auto"/>
              <w:bottom w:val="single" w:sz="2" w:space="0" w:color="auto"/>
              <w:right w:val="single" w:sz="2" w:space="0" w:color="auto"/>
            </w:tcBorders>
            <w:vAlign w:val="center"/>
          </w:tcPr>
          <w:p w14:paraId="267CD486"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9,481,848.60</w:t>
            </w:r>
          </w:p>
        </w:tc>
        <w:tc>
          <w:tcPr>
            <w:tcW w:w="813" w:type="dxa"/>
            <w:tcBorders>
              <w:top w:val="single" w:sz="2" w:space="0" w:color="auto"/>
              <w:left w:val="single" w:sz="2" w:space="0" w:color="auto"/>
              <w:bottom w:val="single" w:sz="2" w:space="0" w:color="auto"/>
              <w:right w:val="single" w:sz="2" w:space="0" w:color="auto"/>
            </w:tcBorders>
            <w:vAlign w:val="center"/>
          </w:tcPr>
          <w:p w14:paraId="1DF1E0D7" w14:textId="77777777" w:rsidR="00A46BF1" w:rsidRPr="000A46A2" w:rsidRDefault="00A46BF1" w:rsidP="000A46A2">
            <w:pPr>
              <w:spacing w:line="360" w:lineRule="auto"/>
              <w:jc w:val="right"/>
              <w:rPr>
                <w:rFonts w:ascii="Times New Roman" w:eastAsia="宋体" w:hAnsi="Times New Roman" w:cs="Times New Roman"/>
                <w:sz w:val="13"/>
                <w:szCs w:val="13"/>
              </w:rPr>
            </w:pPr>
            <w:r w:rsidRPr="000A46A2">
              <w:rPr>
                <w:rFonts w:ascii="Times New Roman" w:eastAsia="宋体" w:hAnsi="Times New Roman" w:cs="Times New Roman"/>
                <w:sz w:val="13"/>
                <w:szCs w:val="13"/>
              </w:rPr>
              <w:t>36,726,119.72</w:t>
            </w:r>
          </w:p>
        </w:tc>
      </w:tr>
    </w:tbl>
    <w:p w14:paraId="5A298A1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可收回金额按公允价值减去处置费用后的净额确定</w:t>
      </w:r>
    </w:p>
    <w:p w14:paraId="06A3F05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A48453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可收回金额按预计未来现金流量的现值确定</w:t>
      </w:r>
    </w:p>
    <w:p w14:paraId="2193783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177A2C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前述信息与以前年度减值测试采用的信息或外部信息明显不一致的差异原因</w:t>
      </w:r>
    </w:p>
    <w:p w14:paraId="55ACB376" w14:textId="77777777" w:rsidR="00A46BF1" w:rsidRPr="000A46A2" w:rsidRDefault="00A46BF1" w:rsidP="000A46A2">
      <w:pPr>
        <w:spacing w:before="100" w:after="100" w:line="240" w:lineRule="exact"/>
        <w:rPr>
          <w:rFonts w:ascii="宋体" w:eastAsia="宋体" w:hAnsi="宋体" w:cs="宋体"/>
          <w:sz w:val="18"/>
          <w:szCs w:val="18"/>
        </w:rPr>
      </w:pPr>
      <w:r w:rsidRPr="000A46A2">
        <w:rPr>
          <w:rFonts w:ascii="宋体" w:eastAsia="宋体" w:hAnsi="宋体" w:cs="宋体" w:hint="eastAsia"/>
          <w:sz w:val="18"/>
          <w:szCs w:val="18"/>
        </w:rPr>
        <w:t>不适用</w:t>
      </w:r>
    </w:p>
    <w:p w14:paraId="5D6DA9C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公司以前年度减值测试采用信息与当年实际情况明显不一致的差异原因</w:t>
      </w:r>
    </w:p>
    <w:p w14:paraId="5317376B" w14:textId="77777777" w:rsidR="00A46BF1" w:rsidRPr="000A46A2" w:rsidRDefault="00A46BF1" w:rsidP="000A46A2">
      <w:pPr>
        <w:spacing w:before="100" w:after="100" w:line="240" w:lineRule="exact"/>
        <w:rPr>
          <w:rFonts w:ascii="宋体" w:eastAsia="宋体" w:hAnsi="宋体" w:cs="宋体"/>
          <w:sz w:val="18"/>
          <w:szCs w:val="18"/>
        </w:rPr>
      </w:pPr>
      <w:r w:rsidRPr="000A46A2">
        <w:rPr>
          <w:rFonts w:ascii="宋体" w:eastAsia="宋体" w:hAnsi="宋体" w:cs="宋体" w:hint="eastAsia"/>
          <w:sz w:val="18"/>
          <w:szCs w:val="18"/>
        </w:rPr>
        <w:t>不适用</w:t>
      </w:r>
    </w:p>
    <w:p w14:paraId="3CB5F4F0"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B8278B3"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长期股权投资减值测试情况：</w:t>
      </w:r>
    </w:p>
    <w:tbl>
      <w:tblPr>
        <w:tblW w:w="5000" w:type="pct"/>
        <w:jc w:val="center"/>
        <w:tblCellMar>
          <w:left w:w="0" w:type="dxa"/>
          <w:right w:w="0" w:type="dxa"/>
        </w:tblCellMar>
        <w:tblLook w:val="04A0" w:firstRow="1" w:lastRow="0" w:firstColumn="1" w:lastColumn="0" w:noHBand="0" w:noVBand="1"/>
      </w:tblPr>
      <w:tblGrid>
        <w:gridCol w:w="1186"/>
        <w:gridCol w:w="1161"/>
        <w:gridCol w:w="1236"/>
        <w:gridCol w:w="1161"/>
        <w:gridCol w:w="791"/>
        <w:gridCol w:w="939"/>
        <w:gridCol w:w="1431"/>
        <w:gridCol w:w="1948"/>
      </w:tblGrid>
      <w:tr w:rsidR="00A46BF1" w14:paraId="1AECC464" w14:textId="77777777" w:rsidTr="000A46A2">
        <w:trPr>
          <w:trHeight w:val="90"/>
          <w:tblHeader/>
          <w:jc w:val="center"/>
        </w:trPr>
        <w:tc>
          <w:tcPr>
            <w:tcW w:w="61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5D38E1" w14:textId="77777777" w:rsidR="00A46BF1" w:rsidRPr="000A46A2" w:rsidRDefault="00A46BF1" w:rsidP="000A46A2">
            <w:pPr>
              <w:pStyle w:val="a9"/>
              <w:spacing w:before="0" w:beforeAutospacing="0" w:after="0" w:afterAutospacing="0" w:line="360" w:lineRule="auto"/>
              <w:jc w:val="both"/>
              <w:rPr>
                <w:rFonts w:ascii="Times New Roman" w:hAnsi="Times New Roman" w:cs="Times New Roman"/>
                <w:sz w:val="18"/>
                <w:szCs w:val="18"/>
              </w:rPr>
            </w:pPr>
            <w:r w:rsidRPr="000A46A2">
              <w:rPr>
                <w:rStyle w:val="aa"/>
                <w:rFonts w:ascii="Times New Roman" w:hAnsi="Times New Roman" w:cs="Times New Roman"/>
                <w:sz w:val="18"/>
                <w:szCs w:val="18"/>
              </w:rPr>
              <w:t>项目</w:t>
            </w:r>
          </w:p>
        </w:tc>
        <w:tc>
          <w:tcPr>
            <w:tcW w:w="5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5BDF03"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账面价值</w:t>
            </w:r>
          </w:p>
        </w:tc>
        <w:tc>
          <w:tcPr>
            <w:tcW w:w="6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8756AD"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可收回金额</w:t>
            </w:r>
          </w:p>
        </w:tc>
        <w:tc>
          <w:tcPr>
            <w:tcW w:w="51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414E37F"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减值金额</w:t>
            </w:r>
          </w:p>
        </w:tc>
        <w:tc>
          <w:tcPr>
            <w:tcW w:w="4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683EE7"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预测期的年限</w:t>
            </w:r>
          </w:p>
        </w:tc>
        <w:tc>
          <w:tcPr>
            <w:tcW w:w="4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41ED7F"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预测期的关键参数</w:t>
            </w:r>
          </w:p>
        </w:tc>
        <w:tc>
          <w:tcPr>
            <w:tcW w:w="7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410937"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稳定期的关键参数</w:t>
            </w:r>
          </w:p>
        </w:tc>
        <w:tc>
          <w:tcPr>
            <w:tcW w:w="100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0B41EC"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稳定期的关键参数的确定依据</w:t>
            </w:r>
          </w:p>
        </w:tc>
      </w:tr>
      <w:tr w:rsidR="00A46BF1" w14:paraId="70F7CBEE" w14:textId="77777777" w:rsidTr="000A46A2">
        <w:trPr>
          <w:trHeight w:val="397"/>
          <w:jc w:val="center"/>
        </w:trPr>
        <w:tc>
          <w:tcPr>
            <w:tcW w:w="61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36F903" w14:textId="77777777" w:rsidR="00A46BF1" w:rsidRPr="000A46A2" w:rsidRDefault="00A46BF1" w:rsidP="000A46A2">
            <w:pPr>
              <w:pStyle w:val="a9"/>
              <w:spacing w:before="0" w:beforeAutospacing="0" w:after="0" w:afterAutospacing="0" w:line="360" w:lineRule="auto"/>
              <w:rPr>
                <w:rFonts w:ascii="Times New Roman" w:hAnsi="Times New Roman" w:cs="Times New Roman"/>
                <w:sz w:val="18"/>
                <w:szCs w:val="18"/>
              </w:rPr>
            </w:pPr>
            <w:r w:rsidRPr="000A46A2">
              <w:rPr>
                <w:rFonts w:ascii="Times New Roman" w:hAnsi="Times New Roman" w:cs="Times New Roman"/>
                <w:color w:val="000000"/>
                <w:sz w:val="18"/>
                <w:szCs w:val="18"/>
              </w:rPr>
              <w:t>北京糖护科技有限公司</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FBA2E9" w14:textId="4EB64FF4" w:rsidR="00A46BF1" w:rsidRPr="000A46A2" w:rsidRDefault="00A46BF1" w:rsidP="000A46A2">
            <w:pPr>
              <w:pStyle w:val="a9"/>
              <w:spacing w:before="0" w:beforeAutospacing="0" w:after="0" w:afterAutospacing="0" w:line="360" w:lineRule="auto"/>
              <w:jc w:val="right"/>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9,481,848.60</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A58EAD" w14:textId="2731D5C6" w:rsidR="00A46BF1" w:rsidRPr="000A46A2" w:rsidRDefault="00A46BF1" w:rsidP="000A46A2">
            <w:pPr>
              <w:pStyle w:val="a9"/>
              <w:spacing w:before="0" w:beforeAutospacing="0" w:after="0" w:afterAutospacing="0" w:line="360" w:lineRule="auto"/>
              <w:jc w:val="right"/>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9,481,848.60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F4801" w14:textId="40B6D38A" w:rsidR="00A46BF1" w:rsidRPr="000A46A2" w:rsidRDefault="00A46BF1" w:rsidP="000A46A2">
            <w:pPr>
              <w:pStyle w:val="a9"/>
              <w:spacing w:before="0" w:beforeAutospacing="0" w:after="0" w:afterAutospacing="0" w:line="360" w:lineRule="auto"/>
              <w:jc w:val="right"/>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5,047,427.28</w:t>
            </w:r>
          </w:p>
        </w:tc>
        <w:tc>
          <w:tcPr>
            <w:tcW w:w="4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5A414D" w14:textId="77777777" w:rsidR="00A46BF1" w:rsidRPr="000A46A2" w:rsidRDefault="00A46BF1" w:rsidP="000A46A2">
            <w:pPr>
              <w:pStyle w:val="a9"/>
              <w:spacing w:before="0" w:beforeAutospacing="0" w:after="0" w:afterAutospacing="0" w:line="360" w:lineRule="auto"/>
              <w:jc w:val="center"/>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5</w:t>
            </w:r>
            <w:r w:rsidRPr="000A46A2">
              <w:rPr>
                <w:rFonts w:ascii="Times New Roman" w:hAnsi="Times New Roman" w:cs="Times New Roman"/>
                <w:color w:val="000000"/>
                <w:sz w:val="18"/>
                <w:szCs w:val="18"/>
              </w:rPr>
              <w:t>年</w:t>
            </w:r>
          </w:p>
        </w:tc>
        <w:tc>
          <w:tcPr>
            <w:tcW w:w="4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81963" w14:textId="77777777" w:rsidR="00A46BF1" w:rsidRPr="000A46A2" w:rsidRDefault="00A46BF1" w:rsidP="000A46A2">
            <w:pPr>
              <w:pStyle w:val="a9"/>
              <w:spacing w:before="0" w:beforeAutospacing="0" w:after="0" w:afterAutospacing="0" w:line="360" w:lineRule="auto"/>
              <w:jc w:val="center"/>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收入增长率</w:t>
            </w:r>
            <w:r w:rsidRPr="000A46A2">
              <w:rPr>
                <w:rFonts w:ascii="Times New Roman" w:hAnsi="Times New Roman" w:cs="Times New Roman"/>
                <w:color w:val="000000"/>
                <w:sz w:val="18"/>
                <w:szCs w:val="18"/>
              </w:rPr>
              <w:t>6.53%-20.40%</w:t>
            </w:r>
          </w:p>
        </w:tc>
        <w:tc>
          <w:tcPr>
            <w:tcW w:w="7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2D2E4" w14:textId="77777777" w:rsidR="00A46BF1" w:rsidRPr="000A46A2" w:rsidRDefault="00A46BF1" w:rsidP="000A46A2">
            <w:pPr>
              <w:pStyle w:val="a9"/>
              <w:spacing w:before="0" w:beforeAutospacing="0" w:after="0" w:afterAutospacing="0" w:line="360" w:lineRule="auto"/>
              <w:jc w:val="center"/>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稳定期收入增长率</w:t>
            </w:r>
            <w:r w:rsidRPr="000A46A2">
              <w:rPr>
                <w:rFonts w:ascii="Times New Roman" w:hAnsi="Times New Roman" w:cs="Times New Roman"/>
                <w:color w:val="000000"/>
                <w:sz w:val="18"/>
                <w:szCs w:val="18"/>
              </w:rPr>
              <w:t>0.00%</w:t>
            </w:r>
            <w:r w:rsidRPr="000A46A2">
              <w:rPr>
                <w:rFonts w:ascii="Times New Roman" w:hAnsi="Times New Roman" w:cs="Times New Roman"/>
                <w:color w:val="000000"/>
                <w:sz w:val="18"/>
                <w:szCs w:val="18"/>
              </w:rPr>
              <w:t>，折现率</w:t>
            </w:r>
            <w:r w:rsidRPr="000A46A2">
              <w:rPr>
                <w:rFonts w:ascii="Times New Roman" w:hAnsi="Times New Roman" w:cs="Times New Roman"/>
                <w:color w:val="000000"/>
                <w:sz w:val="18"/>
                <w:szCs w:val="18"/>
              </w:rPr>
              <w:t>9.30%</w:t>
            </w:r>
          </w:p>
        </w:tc>
        <w:tc>
          <w:tcPr>
            <w:tcW w:w="1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14C45" w14:textId="77777777" w:rsidR="00A46BF1" w:rsidRPr="000A46A2" w:rsidRDefault="00A46BF1" w:rsidP="000A46A2">
            <w:pPr>
              <w:pStyle w:val="a9"/>
              <w:spacing w:before="0" w:beforeAutospacing="0" w:after="0" w:afterAutospacing="0" w:line="360" w:lineRule="auto"/>
              <w:jc w:val="center"/>
              <w:textAlignment w:val="center"/>
              <w:rPr>
                <w:rFonts w:ascii="Times New Roman" w:hAnsi="Times New Roman" w:cs="Times New Roman"/>
                <w:sz w:val="18"/>
                <w:szCs w:val="18"/>
              </w:rPr>
            </w:pPr>
            <w:r w:rsidRPr="000A46A2">
              <w:rPr>
                <w:rFonts w:ascii="Times New Roman" w:hAnsi="Times New Roman" w:cs="Times New Roman"/>
                <w:color w:val="000000"/>
                <w:sz w:val="18"/>
                <w:szCs w:val="18"/>
              </w:rPr>
              <w:t>根据资产组主要资产所在地区实际情况和关键参数确定</w:t>
            </w:r>
          </w:p>
        </w:tc>
      </w:tr>
      <w:tr w:rsidR="00A46BF1" w14:paraId="14067D0F" w14:textId="77777777" w:rsidTr="000A46A2">
        <w:trPr>
          <w:trHeight w:val="397"/>
          <w:jc w:val="center"/>
        </w:trPr>
        <w:tc>
          <w:tcPr>
            <w:tcW w:w="61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753A2" w14:textId="77777777" w:rsidR="00A46BF1" w:rsidRPr="000A46A2" w:rsidRDefault="00A46BF1" w:rsidP="000A46A2">
            <w:pPr>
              <w:pStyle w:val="a9"/>
              <w:spacing w:before="0" w:beforeAutospacing="0" w:after="0" w:afterAutospacing="0" w:line="360" w:lineRule="auto"/>
              <w:jc w:val="both"/>
              <w:rPr>
                <w:rFonts w:ascii="Times New Roman" w:hAnsi="Times New Roman" w:cs="Times New Roman"/>
                <w:sz w:val="18"/>
                <w:szCs w:val="18"/>
              </w:rPr>
            </w:pPr>
            <w:r w:rsidRPr="000A46A2">
              <w:rPr>
                <w:rStyle w:val="aa"/>
                <w:rFonts w:ascii="Times New Roman" w:hAnsi="Times New Roman" w:cs="Times New Roman"/>
                <w:sz w:val="18"/>
                <w:szCs w:val="18"/>
              </w:rPr>
              <w:t>合计</w:t>
            </w:r>
          </w:p>
        </w:tc>
        <w:tc>
          <w:tcPr>
            <w:tcW w:w="5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05687" w14:textId="238C7CDC" w:rsidR="00A46BF1" w:rsidRPr="000A46A2" w:rsidRDefault="00A46BF1" w:rsidP="000A46A2">
            <w:pPr>
              <w:pStyle w:val="a9"/>
              <w:spacing w:before="0" w:beforeAutospacing="0" w:after="0" w:afterAutospacing="0" w:line="360" w:lineRule="auto"/>
              <w:jc w:val="right"/>
              <w:textAlignment w:val="center"/>
              <w:rPr>
                <w:rFonts w:ascii="Times New Roman" w:hAnsi="Times New Roman" w:cs="Times New Roman"/>
                <w:sz w:val="18"/>
                <w:szCs w:val="18"/>
              </w:rPr>
            </w:pPr>
            <w:r w:rsidRPr="000A46A2">
              <w:rPr>
                <w:rStyle w:val="aa"/>
                <w:rFonts w:ascii="Times New Roman" w:hAnsi="Times New Roman" w:cs="Times New Roman"/>
                <w:color w:val="000000"/>
                <w:sz w:val="18"/>
                <w:szCs w:val="18"/>
              </w:rPr>
              <w:t>9,481,848.60</w:t>
            </w:r>
          </w:p>
        </w:tc>
        <w:tc>
          <w:tcPr>
            <w:tcW w:w="6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744971" w14:textId="69C8B4E0" w:rsidR="00A46BF1" w:rsidRPr="000A46A2" w:rsidRDefault="00A46BF1" w:rsidP="000A46A2">
            <w:pPr>
              <w:pStyle w:val="a9"/>
              <w:spacing w:before="0" w:beforeAutospacing="0" w:after="0" w:afterAutospacing="0" w:line="360" w:lineRule="auto"/>
              <w:jc w:val="right"/>
              <w:textAlignment w:val="center"/>
              <w:rPr>
                <w:rFonts w:ascii="Times New Roman" w:hAnsi="Times New Roman" w:cs="Times New Roman"/>
                <w:sz w:val="18"/>
                <w:szCs w:val="18"/>
              </w:rPr>
            </w:pPr>
            <w:r w:rsidRPr="000A46A2">
              <w:rPr>
                <w:rStyle w:val="aa"/>
                <w:rFonts w:ascii="Times New Roman" w:hAnsi="Times New Roman" w:cs="Times New Roman"/>
                <w:color w:val="000000"/>
                <w:sz w:val="18"/>
                <w:szCs w:val="18"/>
              </w:rPr>
              <w:t>9,481,848.60</w:t>
            </w:r>
          </w:p>
        </w:tc>
        <w:tc>
          <w:tcPr>
            <w:tcW w:w="51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24A11" w14:textId="6A581418" w:rsidR="00A46BF1" w:rsidRPr="000A46A2" w:rsidRDefault="00A46BF1" w:rsidP="000A46A2">
            <w:pPr>
              <w:pStyle w:val="a9"/>
              <w:spacing w:before="0" w:beforeAutospacing="0" w:after="0" w:afterAutospacing="0" w:line="360" w:lineRule="auto"/>
              <w:jc w:val="right"/>
              <w:textAlignment w:val="center"/>
              <w:rPr>
                <w:rFonts w:ascii="Times New Roman" w:hAnsi="Times New Roman" w:cs="Times New Roman"/>
                <w:sz w:val="18"/>
                <w:szCs w:val="18"/>
              </w:rPr>
            </w:pPr>
            <w:r w:rsidRPr="000A46A2">
              <w:rPr>
                <w:rStyle w:val="aa"/>
                <w:rFonts w:ascii="Times New Roman" w:hAnsi="Times New Roman" w:cs="Times New Roman"/>
                <w:color w:val="000000"/>
                <w:sz w:val="18"/>
                <w:szCs w:val="18"/>
              </w:rPr>
              <w:t>5,047,427.28</w:t>
            </w:r>
          </w:p>
        </w:tc>
        <w:tc>
          <w:tcPr>
            <w:tcW w:w="4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05C18" w14:textId="77777777" w:rsidR="00A46BF1" w:rsidRPr="000A46A2" w:rsidRDefault="00A46BF1" w:rsidP="000A46A2">
            <w:pPr>
              <w:pStyle w:val="a9"/>
              <w:spacing w:before="0" w:beforeAutospacing="0" w:after="0" w:afterAutospacing="0" w:line="360" w:lineRule="auto"/>
              <w:jc w:val="center"/>
              <w:textAlignment w:val="center"/>
              <w:rPr>
                <w:rFonts w:ascii="Times New Roman" w:hAnsi="Times New Roman" w:cs="Times New Roman"/>
                <w:sz w:val="18"/>
                <w:szCs w:val="18"/>
              </w:rPr>
            </w:pPr>
            <w:r w:rsidRPr="000A46A2">
              <w:rPr>
                <w:rStyle w:val="aa"/>
                <w:rFonts w:ascii="Times New Roman" w:hAnsi="Times New Roman" w:cs="Times New Roman"/>
                <w:color w:val="000000"/>
                <w:sz w:val="18"/>
                <w:szCs w:val="18"/>
              </w:rPr>
              <w:t>—</w:t>
            </w:r>
          </w:p>
        </w:tc>
        <w:tc>
          <w:tcPr>
            <w:tcW w:w="4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9F08B"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w:t>
            </w:r>
          </w:p>
        </w:tc>
        <w:tc>
          <w:tcPr>
            <w:tcW w:w="7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DC696"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w:t>
            </w:r>
          </w:p>
        </w:tc>
        <w:tc>
          <w:tcPr>
            <w:tcW w:w="10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823E9" w14:textId="77777777" w:rsidR="00A46BF1" w:rsidRPr="000A46A2" w:rsidRDefault="00A46BF1" w:rsidP="000A46A2">
            <w:pPr>
              <w:pStyle w:val="a9"/>
              <w:spacing w:before="0" w:beforeAutospacing="0" w:after="0" w:afterAutospacing="0" w:line="360" w:lineRule="auto"/>
              <w:jc w:val="center"/>
              <w:rPr>
                <w:rFonts w:ascii="Times New Roman" w:hAnsi="Times New Roman" w:cs="Times New Roman"/>
                <w:sz w:val="18"/>
                <w:szCs w:val="18"/>
              </w:rPr>
            </w:pPr>
            <w:r w:rsidRPr="000A46A2">
              <w:rPr>
                <w:rStyle w:val="aa"/>
                <w:rFonts w:ascii="Times New Roman" w:hAnsi="Times New Roman" w:cs="Times New Roman"/>
                <w:sz w:val="18"/>
                <w:szCs w:val="18"/>
              </w:rPr>
              <w:t>—</w:t>
            </w:r>
          </w:p>
        </w:tc>
      </w:tr>
    </w:tbl>
    <w:p w14:paraId="57F87300"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长期股权投资减值测试工作由本公司聘请的金证（上海）资产评估有限公司协助进行，相关成果报告号为金证评报字【</w:t>
      </w:r>
      <w:r w:rsidRPr="00684E6E">
        <w:rPr>
          <w:rFonts w:ascii="Times New Roman" w:hAnsi="Times New Roman" w:cs="Times New Roman"/>
          <w:sz w:val="21"/>
          <w:szCs w:val="21"/>
        </w:rPr>
        <w:t>2026</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A0195</w:t>
      </w:r>
      <w:r w:rsidRPr="00684E6E">
        <w:rPr>
          <w:rFonts w:ascii="Times New Roman" w:hAnsi="Times New Roman" w:cs="Times New Roman" w:hint="eastAsia"/>
          <w:sz w:val="21"/>
          <w:szCs w:val="21"/>
        </w:rPr>
        <w:t>号。</w:t>
      </w:r>
    </w:p>
    <w:p w14:paraId="273D1948" w14:textId="39D21709" w:rsidR="00A46BF1" w:rsidRDefault="00A46BF1" w:rsidP="00A46BF1">
      <w:pPr>
        <w:pStyle w:val="3"/>
        <w:spacing w:line="280" w:lineRule="exact"/>
        <w:jc w:val="left"/>
        <w:rPr>
          <w:rFonts w:ascii="宋体" w:hAnsi="宋体" w:cs="宋体"/>
          <w:b/>
          <w:bCs/>
        </w:rPr>
      </w:pPr>
      <w:r>
        <w:rPr>
          <w:rFonts w:ascii="宋体" w:hAnsi="宋体" w:cs="宋体"/>
          <w:b/>
          <w:bCs/>
        </w:rPr>
        <w:t>1</w:t>
      </w:r>
      <w:r w:rsidR="00124BBF">
        <w:rPr>
          <w:rFonts w:ascii="宋体" w:hAnsi="宋体" w:cs="宋体"/>
          <w:b/>
          <w:bCs/>
        </w:rPr>
        <w:t>5</w:t>
      </w:r>
      <w:r>
        <w:rPr>
          <w:rFonts w:ascii="宋体" w:hAnsi="宋体" w:cs="宋体"/>
          <w:b/>
          <w:bCs/>
        </w:rPr>
        <w:t>、固定资产</w:t>
      </w:r>
    </w:p>
    <w:p w14:paraId="6DFFADC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04D40B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B9B3B6" w14:textId="77777777" w:rsidR="00A46BF1" w:rsidRPr="00124BBF" w:rsidRDefault="00A46BF1" w:rsidP="00124BBF">
            <w:pPr>
              <w:spacing w:before="40" w:after="40" w:line="360" w:lineRule="auto"/>
              <w:jc w:val="center"/>
              <w:rPr>
                <w:rFonts w:ascii="Times New Roman" w:eastAsia="宋体" w:hAnsi="Times New Roman" w:cs="Times New Roman"/>
                <w:sz w:val="18"/>
                <w:szCs w:val="18"/>
              </w:rPr>
            </w:pPr>
            <w:r w:rsidRPr="00124BB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30047D" w14:textId="77777777" w:rsidR="00A46BF1" w:rsidRPr="00124BBF" w:rsidRDefault="00A46BF1" w:rsidP="00124BBF">
            <w:pPr>
              <w:spacing w:before="40" w:after="40" w:line="360" w:lineRule="auto"/>
              <w:jc w:val="center"/>
              <w:rPr>
                <w:rFonts w:ascii="Times New Roman" w:eastAsia="宋体" w:hAnsi="Times New Roman" w:cs="Times New Roman"/>
                <w:sz w:val="18"/>
                <w:szCs w:val="18"/>
              </w:rPr>
            </w:pPr>
            <w:r w:rsidRPr="00124BB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29122A" w14:textId="77777777" w:rsidR="00A46BF1" w:rsidRPr="00124BBF" w:rsidRDefault="00A46BF1" w:rsidP="00124BBF">
            <w:pPr>
              <w:spacing w:before="40" w:after="40" w:line="360" w:lineRule="auto"/>
              <w:jc w:val="center"/>
              <w:rPr>
                <w:rFonts w:ascii="Times New Roman" w:eastAsia="宋体" w:hAnsi="Times New Roman" w:cs="Times New Roman"/>
                <w:sz w:val="18"/>
                <w:szCs w:val="18"/>
              </w:rPr>
            </w:pPr>
            <w:r w:rsidRPr="00124BBF">
              <w:rPr>
                <w:rFonts w:ascii="Times New Roman" w:eastAsia="宋体" w:hAnsi="Times New Roman" w:cs="Times New Roman"/>
                <w:sz w:val="18"/>
                <w:szCs w:val="18"/>
              </w:rPr>
              <w:t>期初余额</w:t>
            </w:r>
          </w:p>
        </w:tc>
      </w:tr>
      <w:tr w:rsidR="00095F6F" w14:paraId="6009B5F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5C491E" w14:textId="77777777" w:rsidR="00A46BF1" w:rsidRPr="00124BBF" w:rsidRDefault="00A46BF1" w:rsidP="00124BBF">
            <w:pPr>
              <w:spacing w:before="40" w:after="40" w:line="360" w:lineRule="auto"/>
              <w:rPr>
                <w:rFonts w:ascii="Times New Roman" w:eastAsia="宋体" w:hAnsi="Times New Roman" w:cs="Times New Roman"/>
                <w:sz w:val="18"/>
                <w:szCs w:val="18"/>
              </w:rPr>
            </w:pPr>
            <w:r w:rsidRPr="00124BBF">
              <w:rPr>
                <w:rFonts w:ascii="Times New Roman" w:eastAsia="宋体" w:hAnsi="Times New Roman" w:cs="Times New Roman"/>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626DB1FA" w14:textId="77777777" w:rsidR="00A46BF1" w:rsidRPr="00124BBF" w:rsidRDefault="00A46BF1" w:rsidP="00124BBF">
            <w:pPr>
              <w:spacing w:line="360" w:lineRule="auto"/>
              <w:jc w:val="right"/>
              <w:rPr>
                <w:rFonts w:ascii="Times New Roman" w:eastAsia="宋体" w:hAnsi="Times New Roman" w:cs="Times New Roman"/>
                <w:sz w:val="18"/>
                <w:szCs w:val="18"/>
              </w:rPr>
            </w:pPr>
            <w:r w:rsidRPr="00124BBF">
              <w:rPr>
                <w:rFonts w:ascii="Times New Roman" w:eastAsia="宋体" w:hAnsi="Times New Roman" w:cs="Times New Roman"/>
                <w:sz w:val="18"/>
                <w:szCs w:val="18"/>
              </w:rPr>
              <w:t>1,533,644,219.51</w:t>
            </w:r>
          </w:p>
        </w:tc>
        <w:tc>
          <w:tcPr>
            <w:tcW w:w="3213" w:type="dxa"/>
            <w:tcBorders>
              <w:top w:val="single" w:sz="2" w:space="0" w:color="auto"/>
              <w:left w:val="single" w:sz="2" w:space="0" w:color="auto"/>
              <w:bottom w:val="single" w:sz="2" w:space="0" w:color="auto"/>
              <w:right w:val="single" w:sz="2" w:space="0" w:color="auto"/>
            </w:tcBorders>
            <w:vAlign w:val="center"/>
          </w:tcPr>
          <w:p w14:paraId="2551B8DC" w14:textId="77777777" w:rsidR="00A46BF1" w:rsidRPr="00124BBF" w:rsidRDefault="00A46BF1" w:rsidP="00124BBF">
            <w:pPr>
              <w:spacing w:line="360" w:lineRule="auto"/>
              <w:jc w:val="right"/>
              <w:rPr>
                <w:rFonts w:ascii="Times New Roman" w:eastAsia="宋体" w:hAnsi="Times New Roman" w:cs="Times New Roman"/>
                <w:sz w:val="18"/>
                <w:szCs w:val="18"/>
              </w:rPr>
            </w:pPr>
            <w:r w:rsidRPr="00124BBF">
              <w:rPr>
                <w:rFonts w:ascii="Times New Roman" w:eastAsia="宋体" w:hAnsi="Times New Roman" w:cs="Times New Roman"/>
                <w:sz w:val="18"/>
                <w:szCs w:val="18"/>
              </w:rPr>
              <w:t>1,622,513,646.62</w:t>
            </w:r>
          </w:p>
        </w:tc>
      </w:tr>
      <w:tr w:rsidR="00095F6F" w14:paraId="25C9290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3E41E1" w14:textId="77777777" w:rsidR="00A46BF1" w:rsidRPr="00124BBF" w:rsidRDefault="00A46BF1" w:rsidP="00124BBF">
            <w:pPr>
              <w:spacing w:before="40" w:after="40" w:line="360" w:lineRule="auto"/>
              <w:rPr>
                <w:rFonts w:ascii="Times New Roman" w:eastAsia="宋体" w:hAnsi="Times New Roman" w:cs="Times New Roman"/>
                <w:sz w:val="18"/>
                <w:szCs w:val="18"/>
              </w:rPr>
            </w:pPr>
            <w:r w:rsidRPr="00124BBF">
              <w:rPr>
                <w:rFonts w:ascii="Times New Roman" w:eastAsia="宋体" w:hAnsi="Times New Roman" w:cs="Times New Roman"/>
                <w:sz w:val="18"/>
                <w:szCs w:val="18"/>
              </w:rPr>
              <w:t>固定资产清理</w:t>
            </w:r>
          </w:p>
        </w:tc>
        <w:tc>
          <w:tcPr>
            <w:tcW w:w="3213" w:type="dxa"/>
            <w:tcBorders>
              <w:top w:val="single" w:sz="2" w:space="0" w:color="auto"/>
              <w:left w:val="single" w:sz="2" w:space="0" w:color="auto"/>
              <w:bottom w:val="single" w:sz="2" w:space="0" w:color="auto"/>
              <w:right w:val="single" w:sz="2" w:space="0" w:color="auto"/>
            </w:tcBorders>
            <w:vAlign w:val="center"/>
          </w:tcPr>
          <w:p w14:paraId="5F721181" w14:textId="77777777" w:rsidR="00A46BF1" w:rsidRPr="00124BBF" w:rsidRDefault="00A46BF1" w:rsidP="00124BBF">
            <w:pPr>
              <w:spacing w:line="360" w:lineRule="auto"/>
              <w:jc w:val="right"/>
              <w:rPr>
                <w:rFonts w:ascii="Times New Roman" w:eastAsia="宋体" w:hAnsi="Times New Roman" w:cs="Times New Roman"/>
                <w:sz w:val="18"/>
                <w:szCs w:val="18"/>
              </w:rPr>
            </w:pPr>
            <w:r w:rsidRPr="00124BBF">
              <w:rPr>
                <w:rFonts w:ascii="Times New Roman" w:eastAsia="宋体" w:hAnsi="Times New Roman" w:cs="Times New Roman"/>
                <w:sz w:val="18"/>
                <w:szCs w:val="18"/>
              </w:rPr>
              <w:t>2,845.51</w:t>
            </w:r>
          </w:p>
        </w:tc>
        <w:tc>
          <w:tcPr>
            <w:tcW w:w="3213" w:type="dxa"/>
            <w:tcBorders>
              <w:top w:val="single" w:sz="2" w:space="0" w:color="auto"/>
              <w:left w:val="single" w:sz="2" w:space="0" w:color="auto"/>
              <w:bottom w:val="single" w:sz="2" w:space="0" w:color="auto"/>
              <w:right w:val="single" w:sz="2" w:space="0" w:color="auto"/>
            </w:tcBorders>
            <w:vAlign w:val="center"/>
          </w:tcPr>
          <w:p w14:paraId="3616679E" w14:textId="77777777" w:rsidR="00A46BF1" w:rsidRPr="00124BBF" w:rsidRDefault="00A46BF1" w:rsidP="00124BBF">
            <w:pPr>
              <w:spacing w:line="360" w:lineRule="auto"/>
              <w:jc w:val="right"/>
              <w:rPr>
                <w:rFonts w:ascii="Times New Roman" w:eastAsia="宋体" w:hAnsi="Times New Roman" w:cs="Times New Roman"/>
                <w:sz w:val="18"/>
                <w:szCs w:val="18"/>
              </w:rPr>
            </w:pPr>
          </w:p>
        </w:tc>
      </w:tr>
      <w:tr w:rsidR="00095F6F" w14:paraId="3B64294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1E35D1" w14:textId="77777777" w:rsidR="00A46BF1" w:rsidRPr="00124BBF" w:rsidRDefault="00A46BF1" w:rsidP="00124BBF">
            <w:pPr>
              <w:spacing w:before="40" w:after="40" w:line="360" w:lineRule="auto"/>
              <w:rPr>
                <w:rFonts w:ascii="Times New Roman" w:eastAsia="宋体" w:hAnsi="Times New Roman" w:cs="Times New Roman"/>
                <w:sz w:val="18"/>
                <w:szCs w:val="18"/>
              </w:rPr>
            </w:pPr>
            <w:r w:rsidRPr="00124BB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E03765A" w14:textId="77777777" w:rsidR="00A46BF1" w:rsidRPr="00124BBF" w:rsidRDefault="00A46BF1" w:rsidP="00124BBF">
            <w:pPr>
              <w:spacing w:line="360" w:lineRule="auto"/>
              <w:jc w:val="right"/>
              <w:rPr>
                <w:rFonts w:ascii="Times New Roman" w:eastAsia="宋体" w:hAnsi="Times New Roman" w:cs="Times New Roman"/>
                <w:sz w:val="18"/>
                <w:szCs w:val="18"/>
              </w:rPr>
            </w:pPr>
            <w:r w:rsidRPr="00124BBF">
              <w:rPr>
                <w:rFonts w:ascii="Times New Roman" w:eastAsia="宋体" w:hAnsi="Times New Roman" w:cs="Times New Roman"/>
                <w:sz w:val="18"/>
                <w:szCs w:val="18"/>
              </w:rPr>
              <w:t>1,533,647,065.02</w:t>
            </w:r>
          </w:p>
        </w:tc>
        <w:tc>
          <w:tcPr>
            <w:tcW w:w="3213" w:type="dxa"/>
            <w:tcBorders>
              <w:top w:val="single" w:sz="2" w:space="0" w:color="auto"/>
              <w:left w:val="single" w:sz="2" w:space="0" w:color="auto"/>
              <w:bottom w:val="single" w:sz="2" w:space="0" w:color="auto"/>
              <w:right w:val="single" w:sz="2" w:space="0" w:color="auto"/>
            </w:tcBorders>
            <w:vAlign w:val="center"/>
          </w:tcPr>
          <w:p w14:paraId="15E05C53" w14:textId="77777777" w:rsidR="00A46BF1" w:rsidRPr="00124BBF" w:rsidRDefault="00A46BF1" w:rsidP="00124BBF">
            <w:pPr>
              <w:spacing w:line="360" w:lineRule="auto"/>
              <w:jc w:val="right"/>
              <w:rPr>
                <w:rFonts w:ascii="Times New Roman" w:eastAsia="宋体" w:hAnsi="Times New Roman" w:cs="Times New Roman"/>
                <w:sz w:val="18"/>
                <w:szCs w:val="18"/>
              </w:rPr>
            </w:pPr>
            <w:r w:rsidRPr="00124BBF">
              <w:rPr>
                <w:rFonts w:ascii="Times New Roman" w:eastAsia="宋体" w:hAnsi="Times New Roman" w:cs="Times New Roman"/>
                <w:sz w:val="18"/>
                <w:szCs w:val="18"/>
              </w:rPr>
              <w:t>1,622,513,646.62</w:t>
            </w:r>
          </w:p>
        </w:tc>
      </w:tr>
    </w:tbl>
    <w:p w14:paraId="24F1552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固定资产情况</w:t>
      </w:r>
    </w:p>
    <w:p w14:paraId="595B79B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0" w:type="dxa"/>
          <w:right w:w="0" w:type="dxa"/>
        </w:tblCellMar>
        <w:tblLook w:val="04A0" w:firstRow="1" w:lastRow="0" w:firstColumn="1" w:lastColumn="0" w:noHBand="0" w:noVBand="1"/>
      </w:tblPr>
      <w:tblGrid>
        <w:gridCol w:w="2730"/>
        <w:gridCol w:w="1560"/>
        <w:gridCol w:w="1275"/>
        <w:gridCol w:w="993"/>
        <w:gridCol w:w="992"/>
        <w:gridCol w:w="992"/>
        <w:gridCol w:w="1097"/>
      </w:tblGrid>
      <w:tr w:rsidR="00095F6F" w14:paraId="26E05FDF"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2559AAE4" w14:textId="77777777" w:rsidR="00A46BF1" w:rsidRPr="00124BBF" w:rsidRDefault="00A46BF1" w:rsidP="00124BBF">
            <w:pPr>
              <w:spacing w:before="40" w:after="40"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项目</w:t>
            </w:r>
          </w:p>
        </w:tc>
        <w:tc>
          <w:tcPr>
            <w:tcW w:w="1560" w:type="dxa"/>
            <w:tcBorders>
              <w:top w:val="single" w:sz="2" w:space="0" w:color="auto"/>
              <w:left w:val="single" w:sz="2" w:space="0" w:color="auto"/>
              <w:bottom w:val="single" w:sz="2" w:space="0" w:color="auto"/>
              <w:right w:val="single" w:sz="2" w:space="0" w:color="auto"/>
            </w:tcBorders>
            <w:vAlign w:val="center"/>
          </w:tcPr>
          <w:p w14:paraId="7BFDA9E4" w14:textId="77777777" w:rsidR="00A46BF1" w:rsidRPr="00124BBF" w:rsidRDefault="00A46BF1" w:rsidP="00124BBF">
            <w:pPr>
              <w:spacing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房屋建筑物</w:t>
            </w:r>
          </w:p>
        </w:tc>
        <w:tc>
          <w:tcPr>
            <w:tcW w:w="1275" w:type="dxa"/>
            <w:tcBorders>
              <w:top w:val="single" w:sz="2" w:space="0" w:color="auto"/>
              <w:left w:val="single" w:sz="2" w:space="0" w:color="auto"/>
              <w:bottom w:val="single" w:sz="2" w:space="0" w:color="auto"/>
              <w:right w:val="single" w:sz="2" w:space="0" w:color="auto"/>
            </w:tcBorders>
            <w:vAlign w:val="center"/>
          </w:tcPr>
          <w:p w14:paraId="4D6B9174" w14:textId="77777777" w:rsidR="00A46BF1" w:rsidRPr="00124BBF" w:rsidRDefault="00A46BF1" w:rsidP="00124BBF">
            <w:pPr>
              <w:spacing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机器设备</w:t>
            </w:r>
          </w:p>
        </w:tc>
        <w:tc>
          <w:tcPr>
            <w:tcW w:w="993" w:type="dxa"/>
            <w:tcBorders>
              <w:top w:val="single" w:sz="2" w:space="0" w:color="auto"/>
              <w:left w:val="single" w:sz="2" w:space="0" w:color="auto"/>
              <w:bottom w:val="single" w:sz="2" w:space="0" w:color="auto"/>
              <w:right w:val="single" w:sz="2" w:space="0" w:color="auto"/>
            </w:tcBorders>
            <w:vAlign w:val="center"/>
          </w:tcPr>
          <w:p w14:paraId="32B7F246" w14:textId="77777777" w:rsidR="00A46BF1" w:rsidRPr="00124BBF" w:rsidRDefault="00A46BF1" w:rsidP="00124BBF">
            <w:pPr>
              <w:spacing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 xml:space="preserve"> </w:t>
            </w:r>
            <w:r w:rsidRPr="00124BBF">
              <w:rPr>
                <w:rFonts w:ascii="Times New Roman" w:eastAsia="宋体" w:hAnsi="Times New Roman" w:cs="Times New Roman"/>
                <w:sz w:val="15"/>
                <w:szCs w:val="15"/>
              </w:rPr>
              <w:t>电子设备</w:t>
            </w:r>
          </w:p>
        </w:tc>
        <w:tc>
          <w:tcPr>
            <w:tcW w:w="992" w:type="dxa"/>
            <w:tcBorders>
              <w:top w:val="single" w:sz="2" w:space="0" w:color="auto"/>
              <w:left w:val="single" w:sz="2" w:space="0" w:color="auto"/>
              <w:bottom w:val="single" w:sz="2" w:space="0" w:color="auto"/>
              <w:right w:val="single" w:sz="2" w:space="0" w:color="auto"/>
            </w:tcBorders>
            <w:vAlign w:val="center"/>
          </w:tcPr>
          <w:p w14:paraId="55D626D1" w14:textId="77777777" w:rsidR="00A46BF1" w:rsidRPr="00124BBF" w:rsidRDefault="00A46BF1" w:rsidP="00124BBF">
            <w:pPr>
              <w:spacing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 xml:space="preserve">  </w:t>
            </w:r>
            <w:r w:rsidRPr="00124BBF">
              <w:rPr>
                <w:rFonts w:ascii="Times New Roman" w:eastAsia="宋体" w:hAnsi="Times New Roman" w:cs="Times New Roman"/>
                <w:sz w:val="15"/>
                <w:szCs w:val="15"/>
              </w:rPr>
              <w:t>办公设备</w:t>
            </w:r>
          </w:p>
        </w:tc>
        <w:tc>
          <w:tcPr>
            <w:tcW w:w="992" w:type="dxa"/>
            <w:tcBorders>
              <w:top w:val="single" w:sz="2" w:space="0" w:color="auto"/>
              <w:left w:val="single" w:sz="2" w:space="0" w:color="auto"/>
              <w:bottom w:val="single" w:sz="2" w:space="0" w:color="auto"/>
              <w:right w:val="single" w:sz="2" w:space="0" w:color="auto"/>
            </w:tcBorders>
            <w:vAlign w:val="center"/>
          </w:tcPr>
          <w:p w14:paraId="139C1365" w14:textId="77777777" w:rsidR="00A46BF1" w:rsidRPr="00124BBF" w:rsidRDefault="00A46BF1" w:rsidP="00124BBF">
            <w:pPr>
              <w:spacing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运输设备</w:t>
            </w:r>
          </w:p>
        </w:tc>
        <w:tc>
          <w:tcPr>
            <w:tcW w:w="1097" w:type="dxa"/>
            <w:tcBorders>
              <w:top w:val="single" w:sz="2" w:space="0" w:color="auto"/>
              <w:left w:val="single" w:sz="2" w:space="0" w:color="auto"/>
              <w:bottom w:val="single" w:sz="2" w:space="0" w:color="auto"/>
              <w:right w:val="single" w:sz="2" w:space="0" w:color="auto"/>
            </w:tcBorders>
            <w:shd w:val="clear" w:color="auto" w:fill="D3D3D3"/>
            <w:vAlign w:val="center"/>
          </w:tcPr>
          <w:p w14:paraId="65A0B9A5" w14:textId="77777777" w:rsidR="00A46BF1" w:rsidRPr="00124BBF" w:rsidRDefault="00A46BF1" w:rsidP="00124BBF">
            <w:pPr>
              <w:spacing w:before="40" w:after="40" w:line="360" w:lineRule="auto"/>
              <w:jc w:val="center"/>
              <w:rPr>
                <w:rFonts w:ascii="Times New Roman" w:eastAsia="宋体" w:hAnsi="Times New Roman" w:cs="Times New Roman"/>
                <w:sz w:val="15"/>
                <w:szCs w:val="15"/>
              </w:rPr>
            </w:pPr>
            <w:r w:rsidRPr="00124BBF">
              <w:rPr>
                <w:rFonts w:ascii="Times New Roman" w:eastAsia="宋体" w:hAnsi="Times New Roman" w:cs="Times New Roman"/>
                <w:sz w:val="15"/>
                <w:szCs w:val="15"/>
              </w:rPr>
              <w:t>合计</w:t>
            </w:r>
          </w:p>
        </w:tc>
      </w:tr>
      <w:tr w:rsidR="00095F6F" w14:paraId="619EFEB3"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07D961C7" w14:textId="77777777" w:rsidR="00A46BF1" w:rsidRPr="00124BBF" w:rsidRDefault="00A46BF1" w:rsidP="00124BBF">
            <w:pPr>
              <w:spacing w:before="40" w:after="40" w:line="360" w:lineRule="auto"/>
              <w:rPr>
                <w:rFonts w:ascii="Times New Roman" w:eastAsia="宋体" w:hAnsi="Times New Roman" w:cs="Times New Roman"/>
                <w:sz w:val="15"/>
                <w:szCs w:val="15"/>
              </w:rPr>
            </w:pPr>
            <w:r w:rsidRPr="00124BBF">
              <w:rPr>
                <w:rFonts w:ascii="Times New Roman" w:eastAsia="宋体" w:hAnsi="Times New Roman" w:cs="Times New Roman"/>
                <w:sz w:val="15"/>
                <w:szCs w:val="15"/>
              </w:rPr>
              <w:t>一、账面原值：</w:t>
            </w:r>
          </w:p>
        </w:tc>
        <w:tc>
          <w:tcPr>
            <w:tcW w:w="1560" w:type="dxa"/>
            <w:tcBorders>
              <w:top w:val="single" w:sz="2" w:space="0" w:color="auto"/>
              <w:left w:val="single" w:sz="2" w:space="0" w:color="auto"/>
              <w:bottom w:val="single" w:sz="2" w:space="0" w:color="auto"/>
              <w:right w:val="single" w:sz="2" w:space="0" w:color="auto"/>
            </w:tcBorders>
            <w:vAlign w:val="center"/>
          </w:tcPr>
          <w:p w14:paraId="3988CBE9"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50038176"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318A6136"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24C02A30"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7B1F378B"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77A2D3F7"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688E9CE2"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7B3B5B42"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期初余额</w:t>
            </w:r>
          </w:p>
        </w:tc>
        <w:tc>
          <w:tcPr>
            <w:tcW w:w="1560" w:type="dxa"/>
            <w:tcBorders>
              <w:top w:val="single" w:sz="2" w:space="0" w:color="auto"/>
              <w:left w:val="single" w:sz="2" w:space="0" w:color="auto"/>
              <w:bottom w:val="single" w:sz="2" w:space="0" w:color="auto"/>
              <w:right w:val="single" w:sz="2" w:space="0" w:color="auto"/>
            </w:tcBorders>
            <w:vAlign w:val="center"/>
          </w:tcPr>
          <w:p w14:paraId="2F28DD8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1,342,410,998.55</w:t>
            </w:r>
          </w:p>
        </w:tc>
        <w:tc>
          <w:tcPr>
            <w:tcW w:w="1275" w:type="dxa"/>
            <w:tcBorders>
              <w:top w:val="single" w:sz="2" w:space="0" w:color="auto"/>
              <w:left w:val="single" w:sz="2" w:space="0" w:color="auto"/>
              <w:bottom w:val="single" w:sz="2" w:space="0" w:color="auto"/>
              <w:right w:val="single" w:sz="2" w:space="0" w:color="auto"/>
            </w:tcBorders>
            <w:vAlign w:val="center"/>
          </w:tcPr>
          <w:p w14:paraId="4DC742E8"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1,022,106,489.65</w:t>
            </w:r>
          </w:p>
        </w:tc>
        <w:tc>
          <w:tcPr>
            <w:tcW w:w="993" w:type="dxa"/>
            <w:tcBorders>
              <w:top w:val="single" w:sz="2" w:space="0" w:color="auto"/>
              <w:left w:val="single" w:sz="2" w:space="0" w:color="auto"/>
              <w:bottom w:val="single" w:sz="2" w:space="0" w:color="auto"/>
              <w:right w:val="single" w:sz="2" w:space="0" w:color="auto"/>
            </w:tcBorders>
            <w:vAlign w:val="center"/>
          </w:tcPr>
          <w:p w14:paraId="705EA75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48,890,273.49</w:t>
            </w:r>
          </w:p>
        </w:tc>
        <w:tc>
          <w:tcPr>
            <w:tcW w:w="992" w:type="dxa"/>
            <w:tcBorders>
              <w:top w:val="single" w:sz="2" w:space="0" w:color="auto"/>
              <w:left w:val="single" w:sz="2" w:space="0" w:color="auto"/>
              <w:bottom w:val="single" w:sz="2" w:space="0" w:color="auto"/>
              <w:right w:val="single" w:sz="2" w:space="0" w:color="auto"/>
            </w:tcBorders>
            <w:vAlign w:val="center"/>
          </w:tcPr>
          <w:p w14:paraId="7A4634A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90,287,633.58</w:t>
            </w:r>
          </w:p>
        </w:tc>
        <w:tc>
          <w:tcPr>
            <w:tcW w:w="992" w:type="dxa"/>
            <w:tcBorders>
              <w:top w:val="single" w:sz="2" w:space="0" w:color="auto"/>
              <w:left w:val="single" w:sz="2" w:space="0" w:color="auto"/>
              <w:bottom w:val="single" w:sz="2" w:space="0" w:color="auto"/>
              <w:right w:val="single" w:sz="2" w:space="0" w:color="auto"/>
            </w:tcBorders>
            <w:vAlign w:val="center"/>
          </w:tcPr>
          <w:p w14:paraId="725FD81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5,375,048.63</w:t>
            </w:r>
          </w:p>
        </w:tc>
        <w:tc>
          <w:tcPr>
            <w:tcW w:w="1097" w:type="dxa"/>
            <w:tcBorders>
              <w:top w:val="single" w:sz="2" w:space="0" w:color="auto"/>
              <w:left w:val="single" w:sz="2" w:space="0" w:color="auto"/>
              <w:bottom w:val="single" w:sz="2" w:space="0" w:color="auto"/>
              <w:right w:val="single" w:sz="2" w:space="0" w:color="auto"/>
            </w:tcBorders>
            <w:vAlign w:val="center"/>
          </w:tcPr>
          <w:p w14:paraId="61F1E55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2,509,070,443.90</w:t>
            </w:r>
          </w:p>
        </w:tc>
      </w:tr>
      <w:tr w:rsidR="00095F6F" w14:paraId="32A8417F"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7B6435AC"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本期增加金额</w:t>
            </w:r>
          </w:p>
        </w:tc>
        <w:tc>
          <w:tcPr>
            <w:tcW w:w="1560" w:type="dxa"/>
            <w:tcBorders>
              <w:top w:val="single" w:sz="2" w:space="0" w:color="auto"/>
              <w:left w:val="single" w:sz="2" w:space="0" w:color="auto"/>
              <w:bottom w:val="single" w:sz="2" w:space="0" w:color="auto"/>
              <w:right w:val="single" w:sz="2" w:space="0" w:color="auto"/>
            </w:tcBorders>
            <w:vAlign w:val="center"/>
          </w:tcPr>
          <w:p w14:paraId="4E6C041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920,891.66</w:t>
            </w:r>
          </w:p>
        </w:tc>
        <w:tc>
          <w:tcPr>
            <w:tcW w:w="1275" w:type="dxa"/>
            <w:tcBorders>
              <w:top w:val="single" w:sz="2" w:space="0" w:color="auto"/>
              <w:left w:val="single" w:sz="2" w:space="0" w:color="auto"/>
              <w:bottom w:val="single" w:sz="2" w:space="0" w:color="auto"/>
              <w:right w:val="single" w:sz="2" w:space="0" w:color="auto"/>
            </w:tcBorders>
            <w:vAlign w:val="center"/>
          </w:tcPr>
          <w:p w14:paraId="20E5C2E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48,990,347.19</w:t>
            </w:r>
          </w:p>
        </w:tc>
        <w:tc>
          <w:tcPr>
            <w:tcW w:w="993" w:type="dxa"/>
            <w:tcBorders>
              <w:top w:val="single" w:sz="2" w:space="0" w:color="auto"/>
              <w:left w:val="single" w:sz="2" w:space="0" w:color="auto"/>
              <w:bottom w:val="single" w:sz="2" w:space="0" w:color="auto"/>
              <w:right w:val="single" w:sz="2" w:space="0" w:color="auto"/>
            </w:tcBorders>
            <w:vAlign w:val="center"/>
          </w:tcPr>
          <w:p w14:paraId="29728B2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3,458,261.68</w:t>
            </w:r>
          </w:p>
        </w:tc>
        <w:tc>
          <w:tcPr>
            <w:tcW w:w="992" w:type="dxa"/>
            <w:tcBorders>
              <w:top w:val="single" w:sz="2" w:space="0" w:color="auto"/>
              <w:left w:val="single" w:sz="2" w:space="0" w:color="auto"/>
              <w:bottom w:val="single" w:sz="2" w:space="0" w:color="auto"/>
              <w:right w:val="single" w:sz="2" w:space="0" w:color="auto"/>
            </w:tcBorders>
            <w:vAlign w:val="center"/>
          </w:tcPr>
          <w:p w14:paraId="2A524232"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9,665,449.71</w:t>
            </w:r>
          </w:p>
        </w:tc>
        <w:tc>
          <w:tcPr>
            <w:tcW w:w="992" w:type="dxa"/>
            <w:tcBorders>
              <w:top w:val="single" w:sz="2" w:space="0" w:color="auto"/>
              <w:left w:val="single" w:sz="2" w:space="0" w:color="auto"/>
              <w:bottom w:val="single" w:sz="2" w:space="0" w:color="auto"/>
              <w:right w:val="single" w:sz="2" w:space="0" w:color="auto"/>
            </w:tcBorders>
            <w:vAlign w:val="center"/>
          </w:tcPr>
          <w:p w14:paraId="30C253E1"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2A189EC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63,034,950.24</w:t>
            </w:r>
          </w:p>
        </w:tc>
      </w:tr>
      <w:tr w:rsidR="00095F6F" w14:paraId="2B4870E5"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0F5072B1"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）购置</w:t>
            </w:r>
          </w:p>
        </w:tc>
        <w:tc>
          <w:tcPr>
            <w:tcW w:w="1560" w:type="dxa"/>
            <w:tcBorders>
              <w:top w:val="single" w:sz="2" w:space="0" w:color="auto"/>
              <w:left w:val="single" w:sz="2" w:space="0" w:color="auto"/>
              <w:bottom w:val="single" w:sz="2" w:space="0" w:color="auto"/>
              <w:right w:val="single" w:sz="2" w:space="0" w:color="auto"/>
            </w:tcBorders>
            <w:vAlign w:val="center"/>
          </w:tcPr>
          <w:p w14:paraId="1C4CB0B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45,683.18</w:t>
            </w:r>
          </w:p>
        </w:tc>
        <w:tc>
          <w:tcPr>
            <w:tcW w:w="1275" w:type="dxa"/>
            <w:tcBorders>
              <w:top w:val="single" w:sz="2" w:space="0" w:color="auto"/>
              <w:left w:val="single" w:sz="2" w:space="0" w:color="auto"/>
              <w:bottom w:val="single" w:sz="2" w:space="0" w:color="auto"/>
              <w:right w:val="single" w:sz="2" w:space="0" w:color="auto"/>
            </w:tcBorders>
            <w:vAlign w:val="center"/>
          </w:tcPr>
          <w:p w14:paraId="4525249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47,092,135.49</w:t>
            </w:r>
          </w:p>
        </w:tc>
        <w:tc>
          <w:tcPr>
            <w:tcW w:w="993" w:type="dxa"/>
            <w:tcBorders>
              <w:top w:val="single" w:sz="2" w:space="0" w:color="auto"/>
              <w:left w:val="single" w:sz="2" w:space="0" w:color="auto"/>
              <w:bottom w:val="single" w:sz="2" w:space="0" w:color="auto"/>
              <w:right w:val="single" w:sz="2" w:space="0" w:color="auto"/>
            </w:tcBorders>
            <w:vAlign w:val="center"/>
          </w:tcPr>
          <w:p w14:paraId="3CF99E3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3,458,261.68</w:t>
            </w:r>
          </w:p>
        </w:tc>
        <w:tc>
          <w:tcPr>
            <w:tcW w:w="992" w:type="dxa"/>
            <w:tcBorders>
              <w:top w:val="single" w:sz="2" w:space="0" w:color="auto"/>
              <w:left w:val="single" w:sz="2" w:space="0" w:color="auto"/>
              <w:bottom w:val="single" w:sz="2" w:space="0" w:color="auto"/>
              <w:right w:val="single" w:sz="2" w:space="0" w:color="auto"/>
            </w:tcBorders>
            <w:vAlign w:val="center"/>
          </w:tcPr>
          <w:p w14:paraId="4F37199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9,665,449.71</w:t>
            </w:r>
          </w:p>
        </w:tc>
        <w:tc>
          <w:tcPr>
            <w:tcW w:w="992" w:type="dxa"/>
            <w:tcBorders>
              <w:top w:val="single" w:sz="2" w:space="0" w:color="auto"/>
              <w:left w:val="single" w:sz="2" w:space="0" w:color="auto"/>
              <w:bottom w:val="single" w:sz="2" w:space="0" w:color="auto"/>
              <w:right w:val="single" w:sz="2" w:space="0" w:color="auto"/>
            </w:tcBorders>
            <w:vAlign w:val="center"/>
          </w:tcPr>
          <w:p w14:paraId="0FDCA001"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1DF2EF0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60,261,530.06</w:t>
            </w:r>
          </w:p>
        </w:tc>
      </w:tr>
      <w:tr w:rsidR="00095F6F" w14:paraId="7F9EB08B"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4EDBE16D"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）在建工程转入</w:t>
            </w:r>
          </w:p>
        </w:tc>
        <w:tc>
          <w:tcPr>
            <w:tcW w:w="1560" w:type="dxa"/>
            <w:tcBorders>
              <w:top w:val="single" w:sz="2" w:space="0" w:color="auto"/>
              <w:left w:val="single" w:sz="2" w:space="0" w:color="auto"/>
              <w:bottom w:val="single" w:sz="2" w:space="0" w:color="auto"/>
              <w:right w:val="single" w:sz="2" w:space="0" w:color="auto"/>
            </w:tcBorders>
            <w:vAlign w:val="center"/>
          </w:tcPr>
          <w:p w14:paraId="6463F79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875,208.48</w:t>
            </w:r>
          </w:p>
        </w:tc>
        <w:tc>
          <w:tcPr>
            <w:tcW w:w="1275" w:type="dxa"/>
            <w:tcBorders>
              <w:top w:val="single" w:sz="2" w:space="0" w:color="auto"/>
              <w:left w:val="single" w:sz="2" w:space="0" w:color="auto"/>
              <w:bottom w:val="single" w:sz="2" w:space="0" w:color="auto"/>
              <w:right w:val="single" w:sz="2" w:space="0" w:color="auto"/>
            </w:tcBorders>
            <w:vAlign w:val="center"/>
          </w:tcPr>
          <w:p w14:paraId="6A1EA31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1,898,211.70</w:t>
            </w:r>
          </w:p>
        </w:tc>
        <w:tc>
          <w:tcPr>
            <w:tcW w:w="993" w:type="dxa"/>
            <w:tcBorders>
              <w:top w:val="single" w:sz="2" w:space="0" w:color="auto"/>
              <w:left w:val="single" w:sz="2" w:space="0" w:color="auto"/>
              <w:bottom w:val="single" w:sz="2" w:space="0" w:color="auto"/>
              <w:right w:val="single" w:sz="2" w:space="0" w:color="auto"/>
            </w:tcBorders>
            <w:vAlign w:val="center"/>
          </w:tcPr>
          <w:p w14:paraId="34638285"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689307FF"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6BA6C01D"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772509C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2,773,420.18</w:t>
            </w:r>
          </w:p>
        </w:tc>
      </w:tr>
      <w:tr w:rsidR="00095F6F" w14:paraId="27BC956A"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443BA815"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3</w:t>
            </w:r>
            <w:r w:rsidRPr="00124BBF">
              <w:rPr>
                <w:rFonts w:ascii="Times New Roman" w:eastAsia="宋体" w:hAnsi="Times New Roman" w:cs="Times New Roman"/>
                <w:sz w:val="15"/>
                <w:szCs w:val="15"/>
              </w:rPr>
              <w:t>）企业合并增加</w:t>
            </w:r>
          </w:p>
        </w:tc>
        <w:tc>
          <w:tcPr>
            <w:tcW w:w="1560" w:type="dxa"/>
            <w:tcBorders>
              <w:top w:val="single" w:sz="2" w:space="0" w:color="auto"/>
              <w:left w:val="single" w:sz="2" w:space="0" w:color="auto"/>
              <w:bottom w:val="single" w:sz="2" w:space="0" w:color="auto"/>
              <w:right w:val="single" w:sz="2" w:space="0" w:color="auto"/>
            </w:tcBorders>
            <w:vAlign w:val="center"/>
          </w:tcPr>
          <w:p w14:paraId="3FAC0080"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449C044B"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305D8A43"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0F8DFE17"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55597259"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6384B0CC"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0F0E25A9"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0267618E"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3.</w:t>
            </w:r>
            <w:r w:rsidRPr="00124BBF">
              <w:rPr>
                <w:rFonts w:ascii="Times New Roman" w:eastAsia="宋体" w:hAnsi="Times New Roman" w:cs="Times New Roman"/>
                <w:sz w:val="15"/>
                <w:szCs w:val="15"/>
              </w:rPr>
              <w:t>本期减少金额</w:t>
            </w:r>
          </w:p>
        </w:tc>
        <w:tc>
          <w:tcPr>
            <w:tcW w:w="1560" w:type="dxa"/>
            <w:tcBorders>
              <w:top w:val="single" w:sz="2" w:space="0" w:color="auto"/>
              <w:left w:val="single" w:sz="2" w:space="0" w:color="auto"/>
              <w:bottom w:val="single" w:sz="2" w:space="0" w:color="auto"/>
              <w:right w:val="single" w:sz="2" w:space="0" w:color="auto"/>
            </w:tcBorders>
            <w:vAlign w:val="center"/>
          </w:tcPr>
          <w:p w14:paraId="5316438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11,475,327.25</w:t>
            </w:r>
          </w:p>
        </w:tc>
        <w:tc>
          <w:tcPr>
            <w:tcW w:w="1275" w:type="dxa"/>
            <w:tcBorders>
              <w:top w:val="single" w:sz="2" w:space="0" w:color="auto"/>
              <w:left w:val="single" w:sz="2" w:space="0" w:color="auto"/>
              <w:bottom w:val="single" w:sz="2" w:space="0" w:color="auto"/>
              <w:right w:val="single" w:sz="2" w:space="0" w:color="auto"/>
            </w:tcBorders>
            <w:vAlign w:val="center"/>
          </w:tcPr>
          <w:p w14:paraId="18295BB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13,147,973.30</w:t>
            </w:r>
          </w:p>
        </w:tc>
        <w:tc>
          <w:tcPr>
            <w:tcW w:w="993" w:type="dxa"/>
            <w:tcBorders>
              <w:top w:val="single" w:sz="2" w:space="0" w:color="auto"/>
              <w:left w:val="single" w:sz="2" w:space="0" w:color="auto"/>
              <w:bottom w:val="single" w:sz="2" w:space="0" w:color="auto"/>
              <w:right w:val="single" w:sz="2" w:space="0" w:color="auto"/>
            </w:tcBorders>
            <w:vAlign w:val="center"/>
          </w:tcPr>
          <w:p w14:paraId="05AFC1B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6,172,244.50</w:t>
            </w:r>
          </w:p>
        </w:tc>
        <w:tc>
          <w:tcPr>
            <w:tcW w:w="992" w:type="dxa"/>
            <w:tcBorders>
              <w:top w:val="single" w:sz="2" w:space="0" w:color="auto"/>
              <w:left w:val="single" w:sz="2" w:space="0" w:color="auto"/>
              <w:bottom w:val="single" w:sz="2" w:space="0" w:color="auto"/>
              <w:right w:val="single" w:sz="2" w:space="0" w:color="auto"/>
            </w:tcBorders>
            <w:vAlign w:val="center"/>
          </w:tcPr>
          <w:p w14:paraId="42A73B3C"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2,329,272.56</w:t>
            </w:r>
          </w:p>
        </w:tc>
        <w:tc>
          <w:tcPr>
            <w:tcW w:w="992" w:type="dxa"/>
            <w:tcBorders>
              <w:top w:val="single" w:sz="2" w:space="0" w:color="auto"/>
              <w:left w:val="single" w:sz="2" w:space="0" w:color="auto"/>
              <w:bottom w:val="single" w:sz="2" w:space="0" w:color="auto"/>
              <w:right w:val="single" w:sz="2" w:space="0" w:color="auto"/>
            </w:tcBorders>
            <w:vAlign w:val="center"/>
          </w:tcPr>
          <w:p w14:paraId="249837A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201,519.56</w:t>
            </w:r>
          </w:p>
        </w:tc>
        <w:tc>
          <w:tcPr>
            <w:tcW w:w="1097" w:type="dxa"/>
            <w:tcBorders>
              <w:top w:val="single" w:sz="2" w:space="0" w:color="auto"/>
              <w:left w:val="single" w:sz="2" w:space="0" w:color="auto"/>
              <w:bottom w:val="single" w:sz="2" w:space="0" w:color="auto"/>
              <w:right w:val="single" w:sz="2" w:space="0" w:color="auto"/>
            </w:tcBorders>
            <w:vAlign w:val="center"/>
          </w:tcPr>
          <w:p w14:paraId="7E9BC6C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33,326,337.17</w:t>
            </w:r>
          </w:p>
        </w:tc>
      </w:tr>
      <w:tr w:rsidR="00095F6F" w14:paraId="7AD2DD3E"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4D104C4E"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）处置或报废</w:t>
            </w:r>
          </w:p>
        </w:tc>
        <w:tc>
          <w:tcPr>
            <w:tcW w:w="1560" w:type="dxa"/>
            <w:tcBorders>
              <w:top w:val="single" w:sz="2" w:space="0" w:color="auto"/>
              <w:left w:val="single" w:sz="2" w:space="0" w:color="auto"/>
              <w:bottom w:val="single" w:sz="2" w:space="0" w:color="auto"/>
              <w:right w:val="single" w:sz="2" w:space="0" w:color="auto"/>
            </w:tcBorders>
            <w:vAlign w:val="center"/>
          </w:tcPr>
          <w:p w14:paraId="054C2CD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1,922,864.73</w:t>
            </w:r>
          </w:p>
        </w:tc>
        <w:tc>
          <w:tcPr>
            <w:tcW w:w="1275" w:type="dxa"/>
            <w:tcBorders>
              <w:top w:val="single" w:sz="2" w:space="0" w:color="auto"/>
              <w:left w:val="single" w:sz="2" w:space="0" w:color="auto"/>
              <w:bottom w:val="single" w:sz="2" w:space="0" w:color="auto"/>
              <w:right w:val="single" w:sz="2" w:space="0" w:color="auto"/>
            </w:tcBorders>
            <w:vAlign w:val="center"/>
          </w:tcPr>
          <w:p w14:paraId="56613282"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4,478,469.85</w:t>
            </w:r>
          </w:p>
        </w:tc>
        <w:tc>
          <w:tcPr>
            <w:tcW w:w="993" w:type="dxa"/>
            <w:tcBorders>
              <w:top w:val="single" w:sz="2" w:space="0" w:color="auto"/>
              <w:left w:val="single" w:sz="2" w:space="0" w:color="auto"/>
              <w:bottom w:val="single" w:sz="2" w:space="0" w:color="auto"/>
              <w:right w:val="single" w:sz="2" w:space="0" w:color="auto"/>
            </w:tcBorders>
            <w:vAlign w:val="center"/>
          </w:tcPr>
          <w:p w14:paraId="69DB8F7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5,980,133.71</w:t>
            </w:r>
          </w:p>
        </w:tc>
        <w:tc>
          <w:tcPr>
            <w:tcW w:w="992" w:type="dxa"/>
            <w:tcBorders>
              <w:top w:val="single" w:sz="2" w:space="0" w:color="auto"/>
              <w:left w:val="single" w:sz="2" w:space="0" w:color="auto"/>
              <w:bottom w:val="single" w:sz="2" w:space="0" w:color="auto"/>
              <w:right w:val="single" w:sz="2" w:space="0" w:color="auto"/>
            </w:tcBorders>
            <w:vAlign w:val="center"/>
          </w:tcPr>
          <w:p w14:paraId="271C048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905,802.60</w:t>
            </w:r>
          </w:p>
        </w:tc>
        <w:tc>
          <w:tcPr>
            <w:tcW w:w="992" w:type="dxa"/>
            <w:tcBorders>
              <w:top w:val="single" w:sz="2" w:space="0" w:color="auto"/>
              <w:left w:val="single" w:sz="2" w:space="0" w:color="auto"/>
              <w:bottom w:val="single" w:sz="2" w:space="0" w:color="auto"/>
              <w:right w:val="single" w:sz="2" w:space="0" w:color="auto"/>
            </w:tcBorders>
            <w:vAlign w:val="center"/>
          </w:tcPr>
          <w:p w14:paraId="78E6744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166,373.90</w:t>
            </w:r>
          </w:p>
        </w:tc>
        <w:tc>
          <w:tcPr>
            <w:tcW w:w="1097" w:type="dxa"/>
            <w:tcBorders>
              <w:top w:val="single" w:sz="2" w:space="0" w:color="auto"/>
              <w:left w:val="single" w:sz="2" w:space="0" w:color="auto"/>
              <w:bottom w:val="single" w:sz="2" w:space="0" w:color="auto"/>
              <w:right w:val="single" w:sz="2" w:space="0" w:color="auto"/>
            </w:tcBorders>
            <w:vAlign w:val="center"/>
          </w:tcPr>
          <w:p w14:paraId="3C079B5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13,453,644.79</w:t>
            </w:r>
          </w:p>
        </w:tc>
      </w:tr>
      <w:tr w:rsidR="00095F6F" w14:paraId="3EB45263"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vAlign w:val="center"/>
          </w:tcPr>
          <w:p w14:paraId="2CED3020" w14:textId="54737E2E"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w:t>
            </w:r>
            <w:r w:rsidR="00974AFB">
              <w:rPr>
                <w:rFonts w:ascii="Times New Roman" w:eastAsia="宋体" w:hAnsi="Times New Roman" w:cs="Times New Roman" w:hint="eastAsia"/>
                <w:sz w:val="15"/>
                <w:szCs w:val="15"/>
              </w:rPr>
              <w:t>汇率变动减少</w:t>
            </w:r>
          </w:p>
        </w:tc>
        <w:tc>
          <w:tcPr>
            <w:tcW w:w="1560" w:type="dxa"/>
            <w:tcBorders>
              <w:top w:val="single" w:sz="2" w:space="0" w:color="auto"/>
              <w:left w:val="single" w:sz="2" w:space="0" w:color="auto"/>
              <w:bottom w:val="single" w:sz="2" w:space="0" w:color="auto"/>
              <w:right w:val="single" w:sz="2" w:space="0" w:color="auto"/>
            </w:tcBorders>
            <w:vAlign w:val="center"/>
          </w:tcPr>
          <w:p w14:paraId="225C0CA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9,552,462.52</w:t>
            </w:r>
          </w:p>
        </w:tc>
        <w:tc>
          <w:tcPr>
            <w:tcW w:w="1275" w:type="dxa"/>
            <w:tcBorders>
              <w:top w:val="single" w:sz="2" w:space="0" w:color="auto"/>
              <w:left w:val="single" w:sz="2" w:space="0" w:color="auto"/>
              <w:bottom w:val="single" w:sz="2" w:space="0" w:color="auto"/>
              <w:right w:val="single" w:sz="2" w:space="0" w:color="auto"/>
            </w:tcBorders>
            <w:vAlign w:val="center"/>
          </w:tcPr>
          <w:p w14:paraId="405D172A"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8,669,503.45</w:t>
            </w:r>
          </w:p>
        </w:tc>
        <w:tc>
          <w:tcPr>
            <w:tcW w:w="993" w:type="dxa"/>
            <w:tcBorders>
              <w:top w:val="single" w:sz="2" w:space="0" w:color="auto"/>
              <w:left w:val="single" w:sz="2" w:space="0" w:color="auto"/>
              <w:bottom w:val="single" w:sz="2" w:space="0" w:color="auto"/>
              <w:right w:val="single" w:sz="2" w:space="0" w:color="auto"/>
            </w:tcBorders>
            <w:vAlign w:val="center"/>
          </w:tcPr>
          <w:p w14:paraId="4E4E733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192,110.79</w:t>
            </w:r>
          </w:p>
        </w:tc>
        <w:tc>
          <w:tcPr>
            <w:tcW w:w="992" w:type="dxa"/>
            <w:tcBorders>
              <w:top w:val="single" w:sz="2" w:space="0" w:color="auto"/>
              <w:left w:val="single" w:sz="2" w:space="0" w:color="auto"/>
              <w:bottom w:val="single" w:sz="2" w:space="0" w:color="auto"/>
              <w:right w:val="single" w:sz="2" w:space="0" w:color="auto"/>
            </w:tcBorders>
            <w:vAlign w:val="center"/>
          </w:tcPr>
          <w:p w14:paraId="32A6A70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1,423,469.96</w:t>
            </w:r>
          </w:p>
        </w:tc>
        <w:tc>
          <w:tcPr>
            <w:tcW w:w="992" w:type="dxa"/>
            <w:tcBorders>
              <w:top w:val="single" w:sz="2" w:space="0" w:color="auto"/>
              <w:left w:val="single" w:sz="2" w:space="0" w:color="auto"/>
              <w:bottom w:val="single" w:sz="2" w:space="0" w:color="auto"/>
              <w:right w:val="single" w:sz="2" w:space="0" w:color="auto"/>
            </w:tcBorders>
            <w:vAlign w:val="center"/>
          </w:tcPr>
          <w:p w14:paraId="3E61704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35,145.66</w:t>
            </w:r>
          </w:p>
        </w:tc>
        <w:tc>
          <w:tcPr>
            <w:tcW w:w="1097" w:type="dxa"/>
            <w:tcBorders>
              <w:top w:val="single" w:sz="2" w:space="0" w:color="auto"/>
              <w:left w:val="single" w:sz="2" w:space="0" w:color="auto"/>
              <w:bottom w:val="single" w:sz="2" w:space="0" w:color="auto"/>
              <w:right w:val="single" w:sz="2" w:space="0" w:color="auto"/>
            </w:tcBorders>
            <w:vAlign w:val="center"/>
          </w:tcPr>
          <w:p w14:paraId="3B1E613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19,872,692.38</w:t>
            </w:r>
          </w:p>
        </w:tc>
      </w:tr>
      <w:tr w:rsidR="00095F6F" w14:paraId="19FF4943"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4763F43E"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4.</w:t>
            </w:r>
            <w:r w:rsidRPr="00124BBF">
              <w:rPr>
                <w:rFonts w:ascii="Times New Roman" w:eastAsia="宋体" w:hAnsi="Times New Roman" w:cs="Times New Roman"/>
                <w:sz w:val="15"/>
                <w:szCs w:val="15"/>
              </w:rPr>
              <w:t>期末余额</w:t>
            </w:r>
          </w:p>
        </w:tc>
        <w:tc>
          <w:tcPr>
            <w:tcW w:w="1560" w:type="dxa"/>
            <w:tcBorders>
              <w:top w:val="single" w:sz="2" w:space="0" w:color="auto"/>
              <w:left w:val="single" w:sz="2" w:space="0" w:color="auto"/>
              <w:bottom w:val="single" w:sz="2" w:space="0" w:color="auto"/>
              <w:right w:val="single" w:sz="2" w:space="0" w:color="auto"/>
            </w:tcBorders>
            <w:vAlign w:val="center"/>
          </w:tcPr>
          <w:p w14:paraId="609DC01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1,331,856,562.96</w:t>
            </w:r>
          </w:p>
        </w:tc>
        <w:tc>
          <w:tcPr>
            <w:tcW w:w="1275" w:type="dxa"/>
            <w:tcBorders>
              <w:top w:val="single" w:sz="2" w:space="0" w:color="auto"/>
              <w:left w:val="single" w:sz="2" w:space="0" w:color="auto"/>
              <w:bottom w:val="single" w:sz="2" w:space="0" w:color="auto"/>
              <w:right w:val="single" w:sz="2" w:space="0" w:color="auto"/>
            </w:tcBorders>
            <w:vAlign w:val="center"/>
          </w:tcPr>
          <w:p w14:paraId="1EE037A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1,057,948,863.54</w:t>
            </w:r>
          </w:p>
        </w:tc>
        <w:tc>
          <w:tcPr>
            <w:tcW w:w="993" w:type="dxa"/>
            <w:tcBorders>
              <w:top w:val="single" w:sz="2" w:space="0" w:color="auto"/>
              <w:left w:val="single" w:sz="2" w:space="0" w:color="auto"/>
              <w:bottom w:val="single" w:sz="2" w:space="0" w:color="auto"/>
              <w:right w:val="single" w:sz="2" w:space="0" w:color="auto"/>
            </w:tcBorders>
            <w:vAlign w:val="center"/>
          </w:tcPr>
          <w:p w14:paraId="1AC506EC"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46,176,290.67</w:t>
            </w:r>
          </w:p>
        </w:tc>
        <w:tc>
          <w:tcPr>
            <w:tcW w:w="992" w:type="dxa"/>
            <w:tcBorders>
              <w:top w:val="single" w:sz="2" w:space="0" w:color="auto"/>
              <w:left w:val="single" w:sz="2" w:space="0" w:color="auto"/>
              <w:bottom w:val="single" w:sz="2" w:space="0" w:color="auto"/>
              <w:right w:val="single" w:sz="2" w:space="0" w:color="auto"/>
            </w:tcBorders>
            <w:vAlign w:val="center"/>
          </w:tcPr>
          <w:p w14:paraId="13A7571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97,623,810.73</w:t>
            </w:r>
          </w:p>
        </w:tc>
        <w:tc>
          <w:tcPr>
            <w:tcW w:w="992" w:type="dxa"/>
            <w:tcBorders>
              <w:top w:val="single" w:sz="2" w:space="0" w:color="auto"/>
              <w:left w:val="single" w:sz="2" w:space="0" w:color="auto"/>
              <w:bottom w:val="single" w:sz="2" w:space="0" w:color="auto"/>
              <w:right w:val="single" w:sz="2" w:space="0" w:color="auto"/>
            </w:tcBorders>
            <w:vAlign w:val="center"/>
          </w:tcPr>
          <w:p w14:paraId="15C5C30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5,173,529.07</w:t>
            </w:r>
          </w:p>
        </w:tc>
        <w:tc>
          <w:tcPr>
            <w:tcW w:w="1097" w:type="dxa"/>
            <w:tcBorders>
              <w:top w:val="single" w:sz="2" w:space="0" w:color="auto"/>
              <w:left w:val="single" w:sz="2" w:space="0" w:color="auto"/>
              <w:bottom w:val="single" w:sz="2" w:space="0" w:color="auto"/>
              <w:right w:val="single" w:sz="2" w:space="0" w:color="auto"/>
            </w:tcBorders>
            <w:vAlign w:val="center"/>
          </w:tcPr>
          <w:p w14:paraId="5ED7FF6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2,538,779,056.97</w:t>
            </w:r>
          </w:p>
        </w:tc>
      </w:tr>
      <w:tr w:rsidR="00095F6F" w14:paraId="2C6A76BF"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4A7A027E" w14:textId="77777777" w:rsidR="00A46BF1" w:rsidRPr="00124BBF" w:rsidRDefault="00A46BF1" w:rsidP="00124BBF">
            <w:pPr>
              <w:spacing w:before="40" w:after="40" w:line="360" w:lineRule="auto"/>
              <w:rPr>
                <w:rFonts w:ascii="Times New Roman" w:eastAsia="宋体" w:hAnsi="Times New Roman" w:cs="Times New Roman"/>
                <w:sz w:val="15"/>
                <w:szCs w:val="15"/>
              </w:rPr>
            </w:pPr>
            <w:r w:rsidRPr="00124BBF">
              <w:rPr>
                <w:rFonts w:ascii="Times New Roman" w:eastAsia="宋体" w:hAnsi="Times New Roman" w:cs="Times New Roman"/>
                <w:sz w:val="15"/>
                <w:szCs w:val="15"/>
              </w:rPr>
              <w:t>二、累计折旧</w:t>
            </w:r>
          </w:p>
        </w:tc>
        <w:tc>
          <w:tcPr>
            <w:tcW w:w="1560" w:type="dxa"/>
            <w:tcBorders>
              <w:top w:val="single" w:sz="2" w:space="0" w:color="auto"/>
              <w:left w:val="single" w:sz="2" w:space="0" w:color="auto"/>
              <w:bottom w:val="single" w:sz="2" w:space="0" w:color="auto"/>
              <w:right w:val="single" w:sz="2" w:space="0" w:color="auto"/>
            </w:tcBorders>
            <w:vAlign w:val="center"/>
          </w:tcPr>
          <w:p w14:paraId="45BE8127"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386D85CB"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5CB2814E"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47176EE4"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69060DB2"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284862F2"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1FC64C4D"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73C94C71"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期初余额</w:t>
            </w:r>
          </w:p>
        </w:tc>
        <w:tc>
          <w:tcPr>
            <w:tcW w:w="1560" w:type="dxa"/>
            <w:tcBorders>
              <w:top w:val="single" w:sz="2" w:space="0" w:color="auto"/>
              <w:left w:val="single" w:sz="2" w:space="0" w:color="auto"/>
              <w:bottom w:val="single" w:sz="2" w:space="0" w:color="auto"/>
              <w:right w:val="single" w:sz="2" w:space="0" w:color="auto"/>
            </w:tcBorders>
            <w:vAlign w:val="center"/>
          </w:tcPr>
          <w:p w14:paraId="0C86712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249,380,038.86</w:t>
            </w:r>
          </w:p>
        </w:tc>
        <w:tc>
          <w:tcPr>
            <w:tcW w:w="1275" w:type="dxa"/>
            <w:tcBorders>
              <w:top w:val="single" w:sz="2" w:space="0" w:color="auto"/>
              <w:left w:val="single" w:sz="2" w:space="0" w:color="auto"/>
              <w:bottom w:val="single" w:sz="2" w:space="0" w:color="auto"/>
              <w:right w:val="single" w:sz="2" w:space="0" w:color="auto"/>
            </w:tcBorders>
            <w:vAlign w:val="center"/>
          </w:tcPr>
          <w:p w14:paraId="1CB0BB5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502,806,005.50</w:t>
            </w:r>
          </w:p>
        </w:tc>
        <w:tc>
          <w:tcPr>
            <w:tcW w:w="993" w:type="dxa"/>
            <w:tcBorders>
              <w:top w:val="single" w:sz="2" w:space="0" w:color="auto"/>
              <w:left w:val="single" w:sz="2" w:space="0" w:color="auto"/>
              <w:bottom w:val="single" w:sz="2" w:space="0" w:color="auto"/>
              <w:right w:val="single" w:sz="2" w:space="0" w:color="auto"/>
            </w:tcBorders>
            <w:vAlign w:val="center"/>
          </w:tcPr>
          <w:p w14:paraId="4310CDD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42,262,101.85</w:t>
            </w:r>
          </w:p>
        </w:tc>
        <w:tc>
          <w:tcPr>
            <w:tcW w:w="992" w:type="dxa"/>
            <w:tcBorders>
              <w:top w:val="single" w:sz="2" w:space="0" w:color="auto"/>
              <w:left w:val="single" w:sz="2" w:space="0" w:color="auto"/>
              <w:bottom w:val="single" w:sz="2" w:space="0" w:color="auto"/>
              <w:right w:val="single" w:sz="2" w:space="0" w:color="auto"/>
            </w:tcBorders>
            <w:vAlign w:val="center"/>
          </w:tcPr>
          <w:p w14:paraId="76B51F32"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74,212,410.05</w:t>
            </w:r>
          </w:p>
        </w:tc>
        <w:tc>
          <w:tcPr>
            <w:tcW w:w="992" w:type="dxa"/>
            <w:tcBorders>
              <w:top w:val="single" w:sz="2" w:space="0" w:color="auto"/>
              <w:left w:val="single" w:sz="2" w:space="0" w:color="auto"/>
              <w:bottom w:val="single" w:sz="2" w:space="0" w:color="auto"/>
              <w:right w:val="single" w:sz="2" w:space="0" w:color="auto"/>
            </w:tcBorders>
            <w:vAlign w:val="center"/>
          </w:tcPr>
          <w:p w14:paraId="1D7AB18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4,321,560.00</w:t>
            </w:r>
          </w:p>
        </w:tc>
        <w:tc>
          <w:tcPr>
            <w:tcW w:w="1097" w:type="dxa"/>
            <w:tcBorders>
              <w:top w:val="single" w:sz="2" w:space="0" w:color="auto"/>
              <w:left w:val="single" w:sz="2" w:space="0" w:color="auto"/>
              <w:bottom w:val="single" w:sz="2" w:space="0" w:color="auto"/>
              <w:right w:val="single" w:sz="2" w:space="0" w:color="auto"/>
            </w:tcBorders>
            <w:vAlign w:val="center"/>
          </w:tcPr>
          <w:p w14:paraId="06FA801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872,982,116.26</w:t>
            </w:r>
          </w:p>
        </w:tc>
      </w:tr>
      <w:tr w:rsidR="00095F6F" w14:paraId="1C9376BD"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613857A7"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本期增加金额</w:t>
            </w:r>
          </w:p>
        </w:tc>
        <w:tc>
          <w:tcPr>
            <w:tcW w:w="1560" w:type="dxa"/>
            <w:tcBorders>
              <w:top w:val="single" w:sz="2" w:space="0" w:color="auto"/>
              <w:left w:val="single" w:sz="2" w:space="0" w:color="auto"/>
              <w:bottom w:val="single" w:sz="2" w:space="0" w:color="auto"/>
              <w:right w:val="single" w:sz="2" w:space="0" w:color="auto"/>
            </w:tcBorders>
            <w:vAlign w:val="center"/>
          </w:tcPr>
          <w:p w14:paraId="49877B9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40,543,721.07</w:t>
            </w:r>
          </w:p>
        </w:tc>
        <w:tc>
          <w:tcPr>
            <w:tcW w:w="1275" w:type="dxa"/>
            <w:tcBorders>
              <w:top w:val="single" w:sz="2" w:space="0" w:color="auto"/>
              <w:left w:val="single" w:sz="2" w:space="0" w:color="auto"/>
              <w:bottom w:val="single" w:sz="2" w:space="0" w:color="auto"/>
              <w:right w:val="single" w:sz="2" w:space="0" w:color="auto"/>
            </w:tcBorders>
            <w:vAlign w:val="center"/>
          </w:tcPr>
          <w:p w14:paraId="6D9CDBC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90,822,365.29</w:t>
            </w:r>
          </w:p>
        </w:tc>
        <w:tc>
          <w:tcPr>
            <w:tcW w:w="993" w:type="dxa"/>
            <w:tcBorders>
              <w:top w:val="single" w:sz="2" w:space="0" w:color="auto"/>
              <w:left w:val="single" w:sz="2" w:space="0" w:color="auto"/>
              <w:bottom w:val="single" w:sz="2" w:space="0" w:color="auto"/>
              <w:right w:val="single" w:sz="2" w:space="0" w:color="auto"/>
            </w:tcBorders>
            <w:vAlign w:val="center"/>
          </w:tcPr>
          <w:p w14:paraId="35A7E9D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3,424,461.85</w:t>
            </w:r>
          </w:p>
        </w:tc>
        <w:tc>
          <w:tcPr>
            <w:tcW w:w="992" w:type="dxa"/>
            <w:tcBorders>
              <w:top w:val="single" w:sz="2" w:space="0" w:color="auto"/>
              <w:left w:val="single" w:sz="2" w:space="0" w:color="auto"/>
              <w:bottom w:val="single" w:sz="2" w:space="0" w:color="auto"/>
              <w:right w:val="single" w:sz="2" w:space="0" w:color="auto"/>
            </w:tcBorders>
            <w:vAlign w:val="center"/>
          </w:tcPr>
          <w:p w14:paraId="05C2857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7,214,213.48</w:t>
            </w:r>
          </w:p>
        </w:tc>
        <w:tc>
          <w:tcPr>
            <w:tcW w:w="992" w:type="dxa"/>
            <w:tcBorders>
              <w:top w:val="single" w:sz="2" w:space="0" w:color="auto"/>
              <w:left w:val="single" w:sz="2" w:space="0" w:color="auto"/>
              <w:bottom w:val="single" w:sz="2" w:space="0" w:color="auto"/>
              <w:right w:val="single" w:sz="2" w:space="0" w:color="auto"/>
            </w:tcBorders>
            <w:vAlign w:val="center"/>
          </w:tcPr>
          <w:p w14:paraId="128808F2"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382,572.82</w:t>
            </w:r>
          </w:p>
        </w:tc>
        <w:tc>
          <w:tcPr>
            <w:tcW w:w="1097" w:type="dxa"/>
            <w:tcBorders>
              <w:top w:val="single" w:sz="2" w:space="0" w:color="auto"/>
              <w:left w:val="single" w:sz="2" w:space="0" w:color="auto"/>
              <w:bottom w:val="single" w:sz="2" w:space="0" w:color="auto"/>
              <w:right w:val="single" w:sz="2" w:space="0" w:color="auto"/>
            </w:tcBorders>
            <w:vAlign w:val="center"/>
          </w:tcPr>
          <w:p w14:paraId="07CBDB0C"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142,387,334.51</w:t>
            </w:r>
          </w:p>
        </w:tc>
      </w:tr>
      <w:tr w:rsidR="00095F6F" w14:paraId="6BAB3761"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1C7BC8BC"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）计提</w:t>
            </w:r>
          </w:p>
        </w:tc>
        <w:tc>
          <w:tcPr>
            <w:tcW w:w="1560" w:type="dxa"/>
            <w:tcBorders>
              <w:top w:val="single" w:sz="2" w:space="0" w:color="auto"/>
              <w:left w:val="single" w:sz="2" w:space="0" w:color="auto"/>
              <w:bottom w:val="single" w:sz="2" w:space="0" w:color="auto"/>
              <w:right w:val="single" w:sz="2" w:space="0" w:color="auto"/>
            </w:tcBorders>
            <w:vAlign w:val="center"/>
          </w:tcPr>
          <w:p w14:paraId="53D08CCB"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40,543,721.07</w:t>
            </w:r>
          </w:p>
        </w:tc>
        <w:tc>
          <w:tcPr>
            <w:tcW w:w="1275" w:type="dxa"/>
            <w:tcBorders>
              <w:top w:val="single" w:sz="2" w:space="0" w:color="auto"/>
              <w:left w:val="single" w:sz="2" w:space="0" w:color="auto"/>
              <w:bottom w:val="single" w:sz="2" w:space="0" w:color="auto"/>
              <w:right w:val="single" w:sz="2" w:space="0" w:color="auto"/>
            </w:tcBorders>
            <w:vAlign w:val="center"/>
          </w:tcPr>
          <w:p w14:paraId="02B61FF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90,822,365.29</w:t>
            </w:r>
          </w:p>
        </w:tc>
        <w:tc>
          <w:tcPr>
            <w:tcW w:w="993" w:type="dxa"/>
            <w:tcBorders>
              <w:top w:val="single" w:sz="2" w:space="0" w:color="auto"/>
              <w:left w:val="single" w:sz="2" w:space="0" w:color="auto"/>
              <w:bottom w:val="single" w:sz="2" w:space="0" w:color="auto"/>
              <w:right w:val="single" w:sz="2" w:space="0" w:color="auto"/>
            </w:tcBorders>
            <w:vAlign w:val="center"/>
          </w:tcPr>
          <w:p w14:paraId="1FF40C03"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3,424,461.85</w:t>
            </w:r>
          </w:p>
        </w:tc>
        <w:tc>
          <w:tcPr>
            <w:tcW w:w="992" w:type="dxa"/>
            <w:tcBorders>
              <w:top w:val="single" w:sz="2" w:space="0" w:color="auto"/>
              <w:left w:val="single" w:sz="2" w:space="0" w:color="auto"/>
              <w:bottom w:val="single" w:sz="2" w:space="0" w:color="auto"/>
              <w:right w:val="single" w:sz="2" w:space="0" w:color="auto"/>
            </w:tcBorders>
            <w:vAlign w:val="center"/>
          </w:tcPr>
          <w:p w14:paraId="707D900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7,214,213.48</w:t>
            </w:r>
          </w:p>
        </w:tc>
        <w:tc>
          <w:tcPr>
            <w:tcW w:w="992" w:type="dxa"/>
            <w:tcBorders>
              <w:top w:val="single" w:sz="2" w:space="0" w:color="auto"/>
              <w:left w:val="single" w:sz="2" w:space="0" w:color="auto"/>
              <w:bottom w:val="single" w:sz="2" w:space="0" w:color="auto"/>
              <w:right w:val="single" w:sz="2" w:space="0" w:color="auto"/>
            </w:tcBorders>
            <w:vAlign w:val="center"/>
          </w:tcPr>
          <w:p w14:paraId="1C0C4613"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382,572.82</w:t>
            </w:r>
          </w:p>
        </w:tc>
        <w:tc>
          <w:tcPr>
            <w:tcW w:w="1097" w:type="dxa"/>
            <w:tcBorders>
              <w:top w:val="single" w:sz="2" w:space="0" w:color="auto"/>
              <w:left w:val="single" w:sz="2" w:space="0" w:color="auto"/>
              <w:bottom w:val="single" w:sz="2" w:space="0" w:color="auto"/>
              <w:right w:val="single" w:sz="2" w:space="0" w:color="auto"/>
            </w:tcBorders>
            <w:vAlign w:val="center"/>
          </w:tcPr>
          <w:p w14:paraId="1DE90A6A"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142,387,334.51</w:t>
            </w:r>
          </w:p>
        </w:tc>
      </w:tr>
      <w:tr w:rsidR="00095F6F" w14:paraId="73323ABD"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0FACC738"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3.</w:t>
            </w:r>
            <w:r w:rsidRPr="00124BBF">
              <w:rPr>
                <w:rFonts w:ascii="Times New Roman" w:eastAsia="宋体" w:hAnsi="Times New Roman" w:cs="Times New Roman"/>
                <w:sz w:val="15"/>
                <w:szCs w:val="15"/>
              </w:rPr>
              <w:t>本期减少金额</w:t>
            </w:r>
          </w:p>
        </w:tc>
        <w:tc>
          <w:tcPr>
            <w:tcW w:w="1560" w:type="dxa"/>
            <w:tcBorders>
              <w:top w:val="single" w:sz="2" w:space="0" w:color="auto"/>
              <w:left w:val="single" w:sz="2" w:space="0" w:color="auto"/>
              <w:bottom w:val="single" w:sz="2" w:space="0" w:color="auto"/>
              <w:right w:val="single" w:sz="2" w:space="0" w:color="auto"/>
            </w:tcBorders>
            <w:vAlign w:val="center"/>
          </w:tcPr>
          <w:p w14:paraId="7263578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5,007,038.87</w:t>
            </w:r>
          </w:p>
        </w:tc>
        <w:tc>
          <w:tcPr>
            <w:tcW w:w="1275" w:type="dxa"/>
            <w:tcBorders>
              <w:top w:val="single" w:sz="2" w:space="0" w:color="auto"/>
              <w:left w:val="single" w:sz="2" w:space="0" w:color="auto"/>
              <w:bottom w:val="single" w:sz="2" w:space="0" w:color="auto"/>
              <w:right w:val="single" w:sz="2" w:space="0" w:color="auto"/>
            </w:tcBorders>
            <w:vAlign w:val="center"/>
          </w:tcPr>
          <w:p w14:paraId="6820D77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10,664,678.04</w:t>
            </w:r>
          </w:p>
        </w:tc>
        <w:tc>
          <w:tcPr>
            <w:tcW w:w="993" w:type="dxa"/>
            <w:tcBorders>
              <w:top w:val="single" w:sz="2" w:space="0" w:color="auto"/>
              <w:left w:val="single" w:sz="2" w:space="0" w:color="auto"/>
              <w:bottom w:val="single" w:sz="2" w:space="0" w:color="auto"/>
              <w:right w:val="single" w:sz="2" w:space="0" w:color="auto"/>
            </w:tcBorders>
            <w:vAlign w:val="center"/>
          </w:tcPr>
          <w:p w14:paraId="4EF7B85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5,885,259.64</w:t>
            </w:r>
          </w:p>
        </w:tc>
        <w:tc>
          <w:tcPr>
            <w:tcW w:w="992" w:type="dxa"/>
            <w:tcBorders>
              <w:top w:val="single" w:sz="2" w:space="0" w:color="auto"/>
              <w:left w:val="single" w:sz="2" w:space="0" w:color="auto"/>
              <w:bottom w:val="single" w:sz="2" w:space="0" w:color="auto"/>
              <w:right w:val="single" w:sz="2" w:space="0" w:color="auto"/>
            </w:tcBorders>
            <w:vAlign w:val="center"/>
          </w:tcPr>
          <w:p w14:paraId="1067CAF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1,856,805.47</w:t>
            </w:r>
          </w:p>
        </w:tc>
        <w:tc>
          <w:tcPr>
            <w:tcW w:w="992" w:type="dxa"/>
            <w:tcBorders>
              <w:top w:val="single" w:sz="2" w:space="0" w:color="auto"/>
              <w:left w:val="single" w:sz="2" w:space="0" w:color="auto"/>
              <w:bottom w:val="single" w:sz="2" w:space="0" w:color="auto"/>
              <w:right w:val="single" w:sz="2" w:space="0" w:color="auto"/>
            </w:tcBorders>
            <w:vAlign w:val="center"/>
          </w:tcPr>
          <w:p w14:paraId="78E1DB5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94,121.31</w:t>
            </w:r>
          </w:p>
        </w:tc>
        <w:tc>
          <w:tcPr>
            <w:tcW w:w="1097" w:type="dxa"/>
            <w:tcBorders>
              <w:top w:val="single" w:sz="2" w:space="0" w:color="auto"/>
              <w:left w:val="single" w:sz="2" w:space="0" w:color="auto"/>
              <w:bottom w:val="single" w:sz="2" w:space="0" w:color="auto"/>
              <w:right w:val="single" w:sz="2" w:space="0" w:color="auto"/>
            </w:tcBorders>
            <w:vAlign w:val="center"/>
          </w:tcPr>
          <w:p w14:paraId="0BA782C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23,507,903.33</w:t>
            </w:r>
          </w:p>
        </w:tc>
      </w:tr>
      <w:tr w:rsidR="00095F6F" w14:paraId="67621241"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74BD5A26"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）处置或报废</w:t>
            </w:r>
          </w:p>
        </w:tc>
        <w:tc>
          <w:tcPr>
            <w:tcW w:w="1560" w:type="dxa"/>
            <w:tcBorders>
              <w:top w:val="single" w:sz="2" w:space="0" w:color="auto"/>
              <w:left w:val="single" w:sz="2" w:space="0" w:color="auto"/>
              <w:bottom w:val="single" w:sz="2" w:space="0" w:color="auto"/>
              <w:right w:val="single" w:sz="2" w:space="0" w:color="auto"/>
            </w:tcBorders>
            <w:vAlign w:val="center"/>
          </w:tcPr>
          <w:p w14:paraId="1F384F2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1,929,429.00</w:t>
            </w:r>
          </w:p>
        </w:tc>
        <w:tc>
          <w:tcPr>
            <w:tcW w:w="1275" w:type="dxa"/>
            <w:tcBorders>
              <w:top w:val="single" w:sz="2" w:space="0" w:color="auto"/>
              <w:left w:val="single" w:sz="2" w:space="0" w:color="auto"/>
              <w:bottom w:val="single" w:sz="2" w:space="0" w:color="auto"/>
              <w:right w:val="single" w:sz="2" w:space="0" w:color="auto"/>
            </w:tcBorders>
            <w:vAlign w:val="center"/>
          </w:tcPr>
          <w:p w14:paraId="4E42566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3,786,199.14</w:t>
            </w:r>
          </w:p>
        </w:tc>
        <w:tc>
          <w:tcPr>
            <w:tcW w:w="993" w:type="dxa"/>
            <w:tcBorders>
              <w:top w:val="single" w:sz="2" w:space="0" w:color="auto"/>
              <w:left w:val="single" w:sz="2" w:space="0" w:color="auto"/>
              <w:bottom w:val="single" w:sz="2" w:space="0" w:color="auto"/>
              <w:right w:val="single" w:sz="2" w:space="0" w:color="auto"/>
            </w:tcBorders>
            <w:vAlign w:val="center"/>
          </w:tcPr>
          <w:p w14:paraId="61FA6EB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5,674,167.82</w:t>
            </w:r>
          </w:p>
        </w:tc>
        <w:tc>
          <w:tcPr>
            <w:tcW w:w="992" w:type="dxa"/>
            <w:tcBorders>
              <w:top w:val="single" w:sz="2" w:space="0" w:color="auto"/>
              <w:left w:val="single" w:sz="2" w:space="0" w:color="auto"/>
              <w:bottom w:val="single" w:sz="2" w:space="0" w:color="auto"/>
              <w:right w:val="single" w:sz="2" w:space="0" w:color="auto"/>
            </w:tcBorders>
            <w:vAlign w:val="center"/>
          </w:tcPr>
          <w:p w14:paraId="5F76112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608,718.68</w:t>
            </w:r>
          </w:p>
        </w:tc>
        <w:tc>
          <w:tcPr>
            <w:tcW w:w="992" w:type="dxa"/>
            <w:tcBorders>
              <w:top w:val="single" w:sz="2" w:space="0" w:color="auto"/>
              <w:left w:val="single" w:sz="2" w:space="0" w:color="auto"/>
              <w:bottom w:val="single" w:sz="2" w:space="0" w:color="auto"/>
              <w:right w:val="single" w:sz="2" w:space="0" w:color="auto"/>
            </w:tcBorders>
            <w:vAlign w:val="center"/>
          </w:tcPr>
          <w:p w14:paraId="4F7D31F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69,854.11</w:t>
            </w:r>
          </w:p>
        </w:tc>
        <w:tc>
          <w:tcPr>
            <w:tcW w:w="1097" w:type="dxa"/>
            <w:tcBorders>
              <w:top w:val="single" w:sz="2" w:space="0" w:color="auto"/>
              <w:left w:val="single" w:sz="2" w:space="0" w:color="auto"/>
              <w:bottom w:val="single" w:sz="2" w:space="0" w:color="auto"/>
              <w:right w:val="single" w:sz="2" w:space="0" w:color="auto"/>
            </w:tcBorders>
            <w:vAlign w:val="center"/>
          </w:tcPr>
          <w:p w14:paraId="10F2323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12,068,368.75</w:t>
            </w:r>
          </w:p>
        </w:tc>
      </w:tr>
      <w:tr w:rsidR="00095F6F" w14:paraId="53B2CF81"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vAlign w:val="center"/>
          </w:tcPr>
          <w:p w14:paraId="1B7BF71B" w14:textId="700AA725" w:rsidR="00A46BF1" w:rsidRPr="00124BBF" w:rsidRDefault="00A46BF1" w:rsidP="00EE2298">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w:t>
            </w:r>
            <w:r w:rsidR="00974AFB">
              <w:rPr>
                <w:rFonts w:ascii="Times New Roman" w:eastAsia="宋体" w:hAnsi="Times New Roman" w:cs="Times New Roman" w:hint="eastAsia"/>
                <w:sz w:val="15"/>
                <w:szCs w:val="15"/>
              </w:rPr>
              <w:t>汇率变动减少</w:t>
            </w:r>
          </w:p>
        </w:tc>
        <w:tc>
          <w:tcPr>
            <w:tcW w:w="1560" w:type="dxa"/>
            <w:tcBorders>
              <w:top w:val="single" w:sz="2" w:space="0" w:color="auto"/>
              <w:left w:val="single" w:sz="2" w:space="0" w:color="auto"/>
              <w:bottom w:val="single" w:sz="2" w:space="0" w:color="auto"/>
              <w:right w:val="single" w:sz="2" w:space="0" w:color="auto"/>
            </w:tcBorders>
            <w:vAlign w:val="center"/>
          </w:tcPr>
          <w:p w14:paraId="7DC37ACE"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3,077,609.87</w:t>
            </w:r>
          </w:p>
        </w:tc>
        <w:tc>
          <w:tcPr>
            <w:tcW w:w="1275" w:type="dxa"/>
            <w:tcBorders>
              <w:top w:val="single" w:sz="2" w:space="0" w:color="auto"/>
              <w:left w:val="single" w:sz="2" w:space="0" w:color="auto"/>
              <w:bottom w:val="single" w:sz="2" w:space="0" w:color="auto"/>
              <w:right w:val="single" w:sz="2" w:space="0" w:color="auto"/>
            </w:tcBorders>
            <w:vAlign w:val="center"/>
          </w:tcPr>
          <w:p w14:paraId="4F4B334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6,878,478.90</w:t>
            </w:r>
          </w:p>
        </w:tc>
        <w:tc>
          <w:tcPr>
            <w:tcW w:w="993" w:type="dxa"/>
            <w:tcBorders>
              <w:top w:val="single" w:sz="2" w:space="0" w:color="auto"/>
              <w:left w:val="single" w:sz="2" w:space="0" w:color="auto"/>
              <w:bottom w:val="single" w:sz="2" w:space="0" w:color="auto"/>
              <w:right w:val="single" w:sz="2" w:space="0" w:color="auto"/>
            </w:tcBorders>
            <w:vAlign w:val="center"/>
          </w:tcPr>
          <w:p w14:paraId="12FB5A8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211,091.82</w:t>
            </w:r>
          </w:p>
        </w:tc>
        <w:tc>
          <w:tcPr>
            <w:tcW w:w="992" w:type="dxa"/>
            <w:tcBorders>
              <w:top w:val="single" w:sz="2" w:space="0" w:color="auto"/>
              <w:left w:val="single" w:sz="2" w:space="0" w:color="auto"/>
              <w:bottom w:val="single" w:sz="2" w:space="0" w:color="auto"/>
              <w:right w:val="single" w:sz="2" w:space="0" w:color="auto"/>
            </w:tcBorders>
            <w:vAlign w:val="center"/>
          </w:tcPr>
          <w:p w14:paraId="4FCBB85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1,248,086.79</w:t>
            </w:r>
          </w:p>
        </w:tc>
        <w:tc>
          <w:tcPr>
            <w:tcW w:w="992" w:type="dxa"/>
            <w:tcBorders>
              <w:top w:val="single" w:sz="2" w:space="0" w:color="auto"/>
              <w:left w:val="single" w:sz="2" w:space="0" w:color="auto"/>
              <w:bottom w:val="single" w:sz="2" w:space="0" w:color="auto"/>
              <w:right w:val="single" w:sz="2" w:space="0" w:color="auto"/>
            </w:tcBorders>
            <w:vAlign w:val="center"/>
          </w:tcPr>
          <w:p w14:paraId="556AD0C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24,267.20</w:t>
            </w:r>
          </w:p>
        </w:tc>
        <w:tc>
          <w:tcPr>
            <w:tcW w:w="1097" w:type="dxa"/>
            <w:tcBorders>
              <w:top w:val="single" w:sz="2" w:space="0" w:color="auto"/>
              <w:left w:val="single" w:sz="2" w:space="0" w:color="auto"/>
              <w:bottom w:val="single" w:sz="2" w:space="0" w:color="auto"/>
              <w:right w:val="single" w:sz="2" w:space="0" w:color="auto"/>
            </w:tcBorders>
            <w:vAlign w:val="center"/>
          </w:tcPr>
          <w:p w14:paraId="7DD7EB22"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11,439,534.58</w:t>
            </w:r>
          </w:p>
        </w:tc>
      </w:tr>
      <w:tr w:rsidR="00095F6F" w14:paraId="6665B943"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2909B9D7"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4.</w:t>
            </w:r>
            <w:r w:rsidRPr="00124BBF">
              <w:rPr>
                <w:rFonts w:ascii="Times New Roman" w:eastAsia="宋体" w:hAnsi="Times New Roman" w:cs="Times New Roman"/>
                <w:sz w:val="15"/>
                <w:szCs w:val="15"/>
              </w:rPr>
              <w:t>期末余额</w:t>
            </w:r>
          </w:p>
        </w:tc>
        <w:tc>
          <w:tcPr>
            <w:tcW w:w="1560" w:type="dxa"/>
            <w:tcBorders>
              <w:top w:val="single" w:sz="2" w:space="0" w:color="auto"/>
              <w:left w:val="single" w:sz="2" w:space="0" w:color="auto"/>
              <w:bottom w:val="single" w:sz="2" w:space="0" w:color="auto"/>
              <w:right w:val="single" w:sz="2" w:space="0" w:color="auto"/>
            </w:tcBorders>
            <w:vAlign w:val="center"/>
          </w:tcPr>
          <w:p w14:paraId="752B2CF1"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284,916,721.06</w:t>
            </w:r>
          </w:p>
        </w:tc>
        <w:tc>
          <w:tcPr>
            <w:tcW w:w="1275" w:type="dxa"/>
            <w:tcBorders>
              <w:top w:val="single" w:sz="2" w:space="0" w:color="auto"/>
              <w:left w:val="single" w:sz="2" w:space="0" w:color="auto"/>
              <w:bottom w:val="single" w:sz="2" w:space="0" w:color="auto"/>
              <w:right w:val="single" w:sz="2" w:space="0" w:color="auto"/>
            </w:tcBorders>
            <w:vAlign w:val="center"/>
          </w:tcPr>
          <w:p w14:paraId="1468107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582,963,692.75</w:t>
            </w:r>
          </w:p>
        </w:tc>
        <w:tc>
          <w:tcPr>
            <w:tcW w:w="993" w:type="dxa"/>
            <w:tcBorders>
              <w:top w:val="single" w:sz="2" w:space="0" w:color="auto"/>
              <w:left w:val="single" w:sz="2" w:space="0" w:color="auto"/>
              <w:bottom w:val="single" w:sz="2" w:space="0" w:color="auto"/>
              <w:right w:val="single" w:sz="2" w:space="0" w:color="auto"/>
            </w:tcBorders>
            <w:vAlign w:val="center"/>
          </w:tcPr>
          <w:p w14:paraId="774C62E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39,801,304.06</w:t>
            </w:r>
          </w:p>
        </w:tc>
        <w:tc>
          <w:tcPr>
            <w:tcW w:w="992" w:type="dxa"/>
            <w:tcBorders>
              <w:top w:val="single" w:sz="2" w:space="0" w:color="auto"/>
              <w:left w:val="single" w:sz="2" w:space="0" w:color="auto"/>
              <w:bottom w:val="single" w:sz="2" w:space="0" w:color="auto"/>
              <w:right w:val="single" w:sz="2" w:space="0" w:color="auto"/>
            </w:tcBorders>
            <w:vAlign w:val="center"/>
          </w:tcPr>
          <w:p w14:paraId="487AD7D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79,569,818.06</w:t>
            </w:r>
          </w:p>
        </w:tc>
        <w:tc>
          <w:tcPr>
            <w:tcW w:w="992" w:type="dxa"/>
            <w:tcBorders>
              <w:top w:val="single" w:sz="2" w:space="0" w:color="auto"/>
              <w:left w:val="single" w:sz="2" w:space="0" w:color="auto"/>
              <w:bottom w:val="single" w:sz="2" w:space="0" w:color="auto"/>
              <w:right w:val="single" w:sz="2" w:space="0" w:color="auto"/>
            </w:tcBorders>
            <w:vAlign w:val="center"/>
          </w:tcPr>
          <w:p w14:paraId="2BB7154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4,610,011.51</w:t>
            </w:r>
          </w:p>
        </w:tc>
        <w:tc>
          <w:tcPr>
            <w:tcW w:w="1097" w:type="dxa"/>
            <w:tcBorders>
              <w:top w:val="single" w:sz="2" w:space="0" w:color="auto"/>
              <w:left w:val="single" w:sz="2" w:space="0" w:color="auto"/>
              <w:bottom w:val="single" w:sz="2" w:space="0" w:color="auto"/>
              <w:right w:val="single" w:sz="2" w:space="0" w:color="auto"/>
            </w:tcBorders>
            <w:vAlign w:val="center"/>
          </w:tcPr>
          <w:p w14:paraId="29B7BA7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991,861,547.44</w:t>
            </w:r>
          </w:p>
        </w:tc>
      </w:tr>
      <w:tr w:rsidR="00095F6F" w14:paraId="60451925"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1D212C41" w14:textId="77777777" w:rsidR="00A46BF1" w:rsidRPr="00124BBF" w:rsidRDefault="00A46BF1" w:rsidP="00124BBF">
            <w:pPr>
              <w:spacing w:before="40" w:after="40" w:line="360" w:lineRule="auto"/>
              <w:rPr>
                <w:rFonts w:ascii="Times New Roman" w:eastAsia="宋体" w:hAnsi="Times New Roman" w:cs="Times New Roman"/>
                <w:sz w:val="15"/>
                <w:szCs w:val="15"/>
              </w:rPr>
            </w:pPr>
            <w:r w:rsidRPr="00124BBF">
              <w:rPr>
                <w:rFonts w:ascii="Times New Roman" w:eastAsia="宋体" w:hAnsi="Times New Roman" w:cs="Times New Roman"/>
                <w:sz w:val="15"/>
                <w:szCs w:val="15"/>
              </w:rPr>
              <w:t>三、减值准备</w:t>
            </w:r>
          </w:p>
        </w:tc>
        <w:tc>
          <w:tcPr>
            <w:tcW w:w="1560" w:type="dxa"/>
            <w:tcBorders>
              <w:top w:val="single" w:sz="2" w:space="0" w:color="auto"/>
              <w:left w:val="single" w:sz="2" w:space="0" w:color="auto"/>
              <w:bottom w:val="single" w:sz="2" w:space="0" w:color="auto"/>
              <w:right w:val="single" w:sz="2" w:space="0" w:color="auto"/>
            </w:tcBorders>
            <w:vAlign w:val="center"/>
          </w:tcPr>
          <w:p w14:paraId="1CAB85AB"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7B33B29B"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0957DB13"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0A7C17A3"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55A37060"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7A1AFA7F"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7150D616"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07E09F98"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期初余额</w:t>
            </w:r>
          </w:p>
        </w:tc>
        <w:tc>
          <w:tcPr>
            <w:tcW w:w="1560" w:type="dxa"/>
            <w:tcBorders>
              <w:top w:val="single" w:sz="2" w:space="0" w:color="auto"/>
              <w:left w:val="single" w:sz="2" w:space="0" w:color="auto"/>
              <w:bottom w:val="single" w:sz="2" w:space="0" w:color="auto"/>
              <w:right w:val="single" w:sz="2" w:space="0" w:color="auto"/>
            </w:tcBorders>
            <w:vAlign w:val="center"/>
          </w:tcPr>
          <w:p w14:paraId="4F57384D"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6017B0A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13,241,166.22</w:t>
            </w:r>
          </w:p>
        </w:tc>
        <w:tc>
          <w:tcPr>
            <w:tcW w:w="993" w:type="dxa"/>
            <w:tcBorders>
              <w:top w:val="single" w:sz="2" w:space="0" w:color="auto"/>
              <w:left w:val="single" w:sz="2" w:space="0" w:color="auto"/>
              <w:bottom w:val="single" w:sz="2" w:space="0" w:color="auto"/>
              <w:right w:val="single" w:sz="2" w:space="0" w:color="auto"/>
            </w:tcBorders>
            <w:vAlign w:val="center"/>
          </w:tcPr>
          <w:p w14:paraId="07E09F82"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4F53F17A"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333,514.80</w:t>
            </w:r>
          </w:p>
        </w:tc>
        <w:tc>
          <w:tcPr>
            <w:tcW w:w="992" w:type="dxa"/>
            <w:tcBorders>
              <w:top w:val="single" w:sz="2" w:space="0" w:color="auto"/>
              <w:left w:val="single" w:sz="2" w:space="0" w:color="auto"/>
              <w:bottom w:val="single" w:sz="2" w:space="0" w:color="auto"/>
              <w:right w:val="single" w:sz="2" w:space="0" w:color="auto"/>
            </w:tcBorders>
            <w:vAlign w:val="center"/>
          </w:tcPr>
          <w:p w14:paraId="6263B873"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26A7F988"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13,574,681.02</w:t>
            </w:r>
          </w:p>
        </w:tc>
      </w:tr>
      <w:tr w:rsidR="00095F6F" w14:paraId="29F4E666"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06B9888C"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本期增加金额</w:t>
            </w:r>
          </w:p>
        </w:tc>
        <w:tc>
          <w:tcPr>
            <w:tcW w:w="1560" w:type="dxa"/>
            <w:tcBorders>
              <w:top w:val="single" w:sz="2" w:space="0" w:color="auto"/>
              <w:left w:val="single" w:sz="2" w:space="0" w:color="auto"/>
              <w:bottom w:val="single" w:sz="2" w:space="0" w:color="auto"/>
              <w:right w:val="single" w:sz="2" w:space="0" w:color="auto"/>
            </w:tcBorders>
            <w:vAlign w:val="center"/>
          </w:tcPr>
          <w:p w14:paraId="16B81FEE"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30ADA25D"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103A8668"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3042F53C"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13C6D425"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4DC53EA5"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7AEEAE55"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7EC5029D"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）计提</w:t>
            </w:r>
          </w:p>
        </w:tc>
        <w:tc>
          <w:tcPr>
            <w:tcW w:w="1560" w:type="dxa"/>
            <w:tcBorders>
              <w:top w:val="single" w:sz="2" w:space="0" w:color="auto"/>
              <w:left w:val="single" w:sz="2" w:space="0" w:color="auto"/>
              <w:bottom w:val="single" w:sz="2" w:space="0" w:color="auto"/>
              <w:right w:val="single" w:sz="2" w:space="0" w:color="auto"/>
            </w:tcBorders>
            <w:vAlign w:val="center"/>
          </w:tcPr>
          <w:p w14:paraId="670246A1"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5D5C8998"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421776C4"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19342249"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0013FF46"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1A34CF1D"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74740ABB"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583C443A"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3.</w:t>
            </w:r>
            <w:r w:rsidRPr="00124BBF">
              <w:rPr>
                <w:rFonts w:ascii="Times New Roman" w:eastAsia="宋体" w:hAnsi="Times New Roman" w:cs="Times New Roman"/>
                <w:sz w:val="15"/>
                <w:szCs w:val="15"/>
              </w:rPr>
              <w:t>本期减少金额</w:t>
            </w:r>
          </w:p>
        </w:tc>
        <w:tc>
          <w:tcPr>
            <w:tcW w:w="1560" w:type="dxa"/>
            <w:tcBorders>
              <w:top w:val="single" w:sz="2" w:space="0" w:color="auto"/>
              <w:left w:val="single" w:sz="2" w:space="0" w:color="auto"/>
              <w:bottom w:val="single" w:sz="2" w:space="0" w:color="auto"/>
              <w:right w:val="single" w:sz="2" w:space="0" w:color="auto"/>
            </w:tcBorders>
            <w:vAlign w:val="center"/>
          </w:tcPr>
          <w:p w14:paraId="1B123FD0"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2626C0C4"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293,986.16</w:t>
            </w:r>
          </w:p>
        </w:tc>
        <w:tc>
          <w:tcPr>
            <w:tcW w:w="993" w:type="dxa"/>
            <w:tcBorders>
              <w:top w:val="single" w:sz="2" w:space="0" w:color="auto"/>
              <w:left w:val="single" w:sz="2" w:space="0" w:color="auto"/>
              <w:bottom w:val="single" w:sz="2" w:space="0" w:color="auto"/>
              <w:right w:val="single" w:sz="2" w:space="0" w:color="auto"/>
            </w:tcBorders>
            <w:vAlign w:val="center"/>
          </w:tcPr>
          <w:p w14:paraId="37BDED81"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0C4D409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7,404.84</w:t>
            </w:r>
          </w:p>
        </w:tc>
        <w:tc>
          <w:tcPr>
            <w:tcW w:w="992" w:type="dxa"/>
            <w:tcBorders>
              <w:top w:val="single" w:sz="2" w:space="0" w:color="auto"/>
              <w:left w:val="single" w:sz="2" w:space="0" w:color="auto"/>
              <w:bottom w:val="single" w:sz="2" w:space="0" w:color="auto"/>
              <w:right w:val="single" w:sz="2" w:space="0" w:color="auto"/>
            </w:tcBorders>
            <w:vAlign w:val="center"/>
          </w:tcPr>
          <w:p w14:paraId="0AB3825A"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239C719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301,391.00</w:t>
            </w:r>
          </w:p>
        </w:tc>
      </w:tr>
      <w:tr w:rsidR="00095F6F" w14:paraId="1FBCFF80"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7E155898" w14:textId="77777777" w:rsidR="00A46BF1" w:rsidRPr="00124BBF" w:rsidRDefault="00A46BF1" w:rsidP="00124BBF">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）处置或报废</w:t>
            </w:r>
          </w:p>
        </w:tc>
        <w:tc>
          <w:tcPr>
            <w:tcW w:w="1560" w:type="dxa"/>
            <w:tcBorders>
              <w:top w:val="single" w:sz="2" w:space="0" w:color="auto"/>
              <w:left w:val="single" w:sz="2" w:space="0" w:color="auto"/>
              <w:bottom w:val="single" w:sz="2" w:space="0" w:color="auto"/>
              <w:right w:val="single" w:sz="2" w:space="0" w:color="auto"/>
            </w:tcBorders>
            <w:vAlign w:val="center"/>
          </w:tcPr>
          <w:p w14:paraId="13F4B289"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2D71FA3A"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08994F5A"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7C85DFB9"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36E4A69B"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7CD85F72"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6AFBA121"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vAlign w:val="center"/>
          </w:tcPr>
          <w:p w14:paraId="12A2C6CD" w14:textId="0A880264" w:rsidR="00A46BF1" w:rsidRPr="00124BBF" w:rsidRDefault="00A46BF1">
            <w:pPr>
              <w:spacing w:before="40" w:after="40" w:line="360" w:lineRule="auto"/>
              <w:ind w:firstLineChars="400" w:firstLine="600"/>
              <w:rPr>
                <w:rFonts w:ascii="Times New Roman" w:eastAsia="宋体" w:hAnsi="Times New Roman" w:cs="Times New Roman"/>
                <w:sz w:val="15"/>
                <w:szCs w:val="15"/>
              </w:rPr>
            </w:pPr>
            <w:r w:rsidRPr="00124BBF">
              <w:rPr>
                <w:rFonts w:ascii="Times New Roman" w:eastAsia="宋体" w:hAnsi="Times New Roman" w:cs="Times New Roman"/>
                <w:sz w:val="15"/>
                <w:szCs w:val="15"/>
              </w:rPr>
              <w:t>（</w:t>
            </w: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w:t>
            </w:r>
            <w:r w:rsidR="00974AFB">
              <w:rPr>
                <w:rFonts w:ascii="Times New Roman" w:eastAsia="宋体" w:hAnsi="Times New Roman" w:cs="Times New Roman" w:hint="eastAsia"/>
                <w:sz w:val="15"/>
                <w:szCs w:val="15"/>
              </w:rPr>
              <w:t>汇率变动减少</w:t>
            </w:r>
          </w:p>
        </w:tc>
        <w:tc>
          <w:tcPr>
            <w:tcW w:w="1560" w:type="dxa"/>
            <w:tcBorders>
              <w:top w:val="single" w:sz="2" w:space="0" w:color="auto"/>
              <w:left w:val="single" w:sz="2" w:space="0" w:color="auto"/>
              <w:bottom w:val="single" w:sz="2" w:space="0" w:color="auto"/>
              <w:right w:val="single" w:sz="2" w:space="0" w:color="auto"/>
            </w:tcBorders>
            <w:vAlign w:val="center"/>
          </w:tcPr>
          <w:p w14:paraId="09B14ECA"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7228443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293,986.16</w:t>
            </w:r>
          </w:p>
        </w:tc>
        <w:tc>
          <w:tcPr>
            <w:tcW w:w="993" w:type="dxa"/>
            <w:tcBorders>
              <w:top w:val="single" w:sz="2" w:space="0" w:color="auto"/>
              <w:left w:val="single" w:sz="2" w:space="0" w:color="auto"/>
              <w:bottom w:val="single" w:sz="2" w:space="0" w:color="auto"/>
              <w:right w:val="single" w:sz="2" w:space="0" w:color="auto"/>
            </w:tcBorders>
            <w:vAlign w:val="center"/>
          </w:tcPr>
          <w:p w14:paraId="0DCDF1F6"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30C82723"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7,404.84</w:t>
            </w:r>
          </w:p>
        </w:tc>
        <w:tc>
          <w:tcPr>
            <w:tcW w:w="992" w:type="dxa"/>
            <w:tcBorders>
              <w:top w:val="single" w:sz="2" w:space="0" w:color="auto"/>
              <w:left w:val="single" w:sz="2" w:space="0" w:color="auto"/>
              <w:bottom w:val="single" w:sz="2" w:space="0" w:color="auto"/>
              <w:right w:val="single" w:sz="2" w:space="0" w:color="auto"/>
            </w:tcBorders>
            <w:vAlign w:val="center"/>
          </w:tcPr>
          <w:p w14:paraId="0992291C"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473FBDE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301,391.00</w:t>
            </w:r>
          </w:p>
        </w:tc>
      </w:tr>
      <w:tr w:rsidR="00095F6F" w14:paraId="7D1EF18D"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149EE5CD"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4.</w:t>
            </w:r>
            <w:r w:rsidRPr="00124BBF">
              <w:rPr>
                <w:rFonts w:ascii="Times New Roman" w:eastAsia="宋体" w:hAnsi="Times New Roman" w:cs="Times New Roman"/>
                <w:sz w:val="15"/>
                <w:szCs w:val="15"/>
              </w:rPr>
              <w:t>期末余额</w:t>
            </w:r>
          </w:p>
        </w:tc>
        <w:tc>
          <w:tcPr>
            <w:tcW w:w="1560" w:type="dxa"/>
            <w:tcBorders>
              <w:top w:val="single" w:sz="2" w:space="0" w:color="auto"/>
              <w:left w:val="single" w:sz="2" w:space="0" w:color="auto"/>
              <w:bottom w:val="single" w:sz="2" w:space="0" w:color="auto"/>
              <w:right w:val="single" w:sz="2" w:space="0" w:color="auto"/>
            </w:tcBorders>
            <w:vAlign w:val="center"/>
          </w:tcPr>
          <w:p w14:paraId="2EE29E73"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46E5655D"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12,947,180.06</w:t>
            </w:r>
          </w:p>
        </w:tc>
        <w:tc>
          <w:tcPr>
            <w:tcW w:w="993" w:type="dxa"/>
            <w:tcBorders>
              <w:top w:val="single" w:sz="2" w:space="0" w:color="auto"/>
              <w:left w:val="single" w:sz="2" w:space="0" w:color="auto"/>
              <w:bottom w:val="single" w:sz="2" w:space="0" w:color="auto"/>
              <w:right w:val="single" w:sz="2" w:space="0" w:color="auto"/>
            </w:tcBorders>
            <w:vAlign w:val="center"/>
          </w:tcPr>
          <w:p w14:paraId="696E747A"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4D776867"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326,109.96</w:t>
            </w:r>
          </w:p>
        </w:tc>
        <w:tc>
          <w:tcPr>
            <w:tcW w:w="992" w:type="dxa"/>
            <w:tcBorders>
              <w:top w:val="single" w:sz="2" w:space="0" w:color="auto"/>
              <w:left w:val="single" w:sz="2" w:space="0" w:color="auto"/>
              <w:bottom w:val="single" w:sz="2" w:space="0" w:color="auto"/>
              <w:right w:val="single" w:sz="2" w:space="0" w:color="auto"/>
            </w:tcBorders>
            <w:vAlign w:val="center"/>
          </w:tcPr>
          <w:p w14:paraId="78ED0976"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3890F019"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13,273,290.02</w:t>
            </w:r>
          </w:p>
        </w:tc>
      </w:tr>
      <w:tr w:rsidR="00095F6F" w14:paraId="68BE9EA7"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62B54C8B" w14:textId="77777777" w:rsidR="00A46BF1" w:rsidRPr="00124BBF" w:rsidRDefault="00A46BF1" w:rsidP="00124BBF">
            <w:pPr>
              <w:spacing w:before="40" w:after="40" w:line="360" w:lineRule="auto"/>
              <w:rPr>
                <w:rFonts w:ascii="Times New Roman" w:eastAsia="宋体" w:hAnsi="Times New Roman" w:cs="Times New Roman"/>
                <w:sz w:val="15"/>
                <w:szCs w:val="15"/>
              </w:rPr>
            </w:pPr>
            <w:r w:rsidRPr="00124BBF">
              <w:rPr>
                <w:rFonts w:ascii="Times New Roman" w:eastAsia="宋体" w:hAnsi="Times New Roman" w:cs="Times New Roman"/>
                <w:sz w:val="15"/>
                <w:szCs w:val="15"/>
              </w:rPr>
              <w:t>四、账面价值</w:t>
            </w:r>
          </w:p>
        </w:tc>
        <w:tc>
          <w:tcPr>
            <w:tcW w:w="1560" w:type="dxa"/>
            <w:tcBorders>
              <w:top w:val="single" w:sz="2" w:space="0" w:color="auto"/>
              <w:left w:val="single" w:sz="2" w:space="0" w:color="auto"/>
              <w:bottom w:val="single" w:sz="2" w:space="0" w:color="auto"/>
              <w:right w:val="single" w:sz="2" w:space="0" w:color="auto"/>
            </w:tcBorders>
            <w:vAlign w:val="center"/>
          </w:tcPr>
          <w:p w14:paraId="604648FC"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275" w:type="dxa"/>
            <w:tcBorders>
              <w:top w:val="single" w:sz="2" w:space="0" w:color="auto"/>
              <w:left w:val="single" w:sz="2" w:space="0" w:color="auto"/>
              <w:bottom w:val="single" w:sz="2" w:space="0" w:color="auto"/>
              <w:right w:val="single" w:sz="2" w:space="0" w:color="auto"/>
            </w:tcBorders>
            <w:vAlign w:val="center"/>
          </w:tcPr>
          <w:p w14:paraId="036AD93F"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3" w:type="dxa"/>
            <w:tcBorders>
              <w:top w:val="single" w:sz="2" w:space="0" w:color="auto"/>
              <w:left w:val="single" w:sz="2" w:space="0" w:color="auto"/>
              <w:bottom w:val="single" w:sz="2" w:space="0" w:color="auto"/>
              <w:right w:val="single" w:sz="2" w:space="0" w:color="auto"/>
            </w:tcBorders>
            <w:vAlign w:val="center"/>
          </w:tcPr>
          <w:p w14:paraId="351CF65E"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33243BA2"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992" w:type="dxa"/>
            <w:tcBorders>
              <w:top w:val="single" w:sz="2" w:space="0" w:color="auto"/>
              <w:left w:val="single" w:sz="2" w:space="0" w:color="auto"/>
              <w:bottom w:val="single" w:sz="2" w:space="0" w:color="auto"/>
              <w:right w:val="single" w:sz="2" w:space="0" w:color="auto"/>
            </w:tcBorders>
            <w:vAlign w:val="center"/>
          </w:tcPr>
          <w:p w14:paraId="10107445" w14:textId="77777777" w:rsidR="00A46BF1" w:rsidRPr="00124BBF" w:rsidRDefault="00A46BF1" w:rsidP="00124BBF">
            <w:pPr>
              <w:spacing w:line="360" w:lineRule="auto"/>
              <w:jc w:val="right"/>
              <w:rPr>
                <w:rFonts w:ascii="Times New Roman" w:eastAsia="宋体" w:hAnsi="Times New Roman" w:cs="Times New Roman"/>
                <w:sz w:val="15"/>
                <w:szCs w:val="15"/>
              </w:rPr>
            </w:pPr>
          </w:p>
        </w:tc>
        <w:tc>
          <w:tcPr>
            <w:tcW w:w="1097" w:type="dxa"/>
            <w:tcBorders>
              <w:top w:val="single" w:sz="2" w:space="0" w:color="auto"/>
              <w:left w:val="single" w:sz="2" w:space="0" w:color="auto"/>
              <w:bottom w:val="single" w:sz="2" w:space="0" w:color="auto"/>
              <w:right w:val="single" w:sz="2" w:space="0" w:color="auto"/>
            </w:tcBorders>
            <w:vAlign w:val="center"/>
          </w:tcPr>
          <w:p w14:paraId="62493A4E" w14:textId="77777777" w:rsidR="00A46BF1" w:rsidRPr="00124BBF" w:rsidRDefault="00A46BF1" w:rsidP="00124BBF">
            <w:pPr>
              <w:spacing w:line="360" w:lineRule="auto"/>
              <w:jc w:val="right"/>
              <w:rPr>
                <w:rFonts w:ascii="Times New Roman" w:eastAsia="宋体" w:hAnsi="Times New Roman" w:cs="Times New Roman"/>
                <w:sz w:val="15"/>
                <w:szCs w:val="15"/>
              </w:rPr>
            </w:pPr>
          </w:p>
        </w:tc>
      </w:tr>
      <w:tr w:rsidR="00095F6F" w14:paraId="76F61B65"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1A8AA7D9"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1.</w:t>
            </w:r>
            <w:r w:rsidRPr="00124BBF">
              <w:rPr>
                <w:rFonts w:ascii="Times New Roman" w:eastAsia="宋体" w:hAnsi="Times New Roman" w:cs="Times New Roman"/>
                <w:sz w:val="15"/>
                <w:szCs w:val="15"/>
              </w:rPr>
              <w:t>期末账面价值</w:t>
            </w:r>
          </w:p>
        </w:tc>
        <w:tc>
          <w:tcPr>
            <w:tcW w:w="1560" w:type="dxa"/>
            <w:tcBorders>
              <w:top w:val="single" w:sz="2" w:space="0" w:color="auto"/>
              <w:left w:val="single" w:sz="2" w:space="0" w:color="auto"/>
              <w:bottom w:val="single" w:sz="2" w:space="0" w:color="auto"/>
              <w:right w:val="single" w:sz="2" w:space="0" w:color="auto"/>
            </w:tcBorders>
            <w:vAlign w:val="center"/>
          </w:tcPr>
          <w:p w14:paraId="5455EC26"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1,046,939,841.90</w:t>
            </w:r>
          </w:p>
        </w:tc>
        <w:tc>
          <w:tcPr>
            <w:tcW w:w="1275" w:type="dxa"/>
            <w:tcBorders>
              <w:top w:val="single" w:sz="2" w:space="0" w:color="auto"/>
              <w:left w:val="single" w:sz="2" w:space="0" w:color="auto"/>
              <w:bottom w:val="single" w:sz="2" w:space="0" w:color="auto"/>
              <w:right w:val="single" w:sz="2" w:space="0" w:color="auto"/>
            </w:tcBorders>
            <w:vAlign w:val="center"/>
          </w:tcPr>
          <w:p w14:paraId="7F51501B"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462,037,990.73</w:t>
            </w:r>
          </w:p>
        </w:tc>
        <w:tc>
          <w:tcPr>
            <w:tcW w:w="993" w:type="dxa"/>
            <w:tcBorders>
              <w:top w:val="single" w:sz="2" w:space="0" w:color="auto"/>
              <w:left w:val="single" w:sz="2" w:space="0" w:color="auto"/>
              <w:bottom w:val="single" w:sz="2" w:space="0" w:color="auto"/>
              <w:right w:val="single" w:sz="2" w:space="0" w:color="auto"/>
            </w:tcBorders>
            <w:vAlign w:val="center"/>
          </w:tcPr>
          <w:p w14:paraId="6D7B27F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6,374,986.61</w:t>
            </w:r>
          </w:p>
        </w:tc>
        <w:tc>
          <w:tcPr>
            <w:tcW w:w="992" w:type="dxa"/>
            <w:tcBorders>
              <w:top w:val="single" w:sz="2" w:space="0" w:color="auto"/>
              <w:left w:val="single" w:sz="2" w:space="0" w:color="auto"/>
              <w:bottom w:val="single" w:sz="2" w:space="0" w:color="auto"/>
              <w:right w:val="single" w:sz="2" w:space="0" w:color="auto"/>
            </w:tcBorders>
            <w:vAlign w:val="center"/>
          </w:tcPr>
          <w:p w14:paraId="28BA5C25"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17,727,882.71</w:t>
            </w:r>
          </w:p>
        </w:tc>
        <w:tc>
          <w:tcPr>
            <w:tcW w:w="992" w:type="dxa"/>
            <w:tcBorders>
              <w:top w:val="single" w:sz="2" w:space="0" w:color="auto"/>
              <w:left w:val="single" w:sz="2" w:space="0" w:color="auto"/>
              <w:bottom w:val="single" w:sz="2" w:space="0" w:color="auto"/>
              <w:right w:val="single" w:sz="2" w:space="0" w:color="auto"/>
            </w:tcBorders>
            <w:vAlign w:val="center"/>
          </w:tcPr>
          <w:p w14:paraId="106DD0AF"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563,517.56</w:t>
            </w:r>
          </w:p>
        </w:tc>
        <w:tc>
          <w:tcPr>
            <w:tcW w:w="1097" w:type="dxa"/>
            <w:tcBorders>
              <w:top w:val="single" w:sz="2" w:space="0" w:color="auto"/>
              <w:left w:val="single" w:sz="2" w:space="0" w:color="auto"/>
              <w:bottom w:val="single" w:sz="2" w:space="0" w:color="auto"/>
              <w:right w:val="single" w:sz="2" w:space="0" w:color="auto"/>
            </w:tcBorders>
            <w:vAlign w:val="center"/>
          </w:tcPr>
          <w:p w14:paraId="5FEB89DC"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1,533,644,219.51</w:t>
            </w:r>
          </w:p>
        </w:tc>
      </w:tr>
      <w:tr w:rsidR="00095F6F" w14:paraId="6107DFA4" w14:textId="77777777" w:rsidTr="00124BBF">
        <w:trPr>
          <w:trHeight w:val="240"/>
        </w:trPr>
        <w:tc>
          <w:tcPr>
            <w:tcW w:w="2730" w:type="dxa"/>
            <w:tcBorders>
              <w:top w:val="single" w:sz="2" w:space="0" w:color="auto"/>
              <w:left w:val="single" w:sz="2" w:space="0" w:color="auto"/>
              <w:bottom w:val="single" w:sz="2" w:space="0" w:color="auto"/>
              <w:right w:val="single" w:sz="2" w:space="0" w:color="auto"/>
            </w:tcBorders>
            <w:shd w:val="clear" w:color="auto" w:fill="D3D3D3"/>
            <w:vAlign w:val="center"/>
          </w:tcPr>
          <w:p w14:paraId="37C81063" w14:textId="77777777" w:rsidR="00A46BF1" w:rsidRPr="00124BBF" w:rsidRDefault="00A46BF1" w:rsidP="00124BBF">
            <w:pPr>
              <w:spacing w:before="40" w:after="40" w:line="360" w:lineRule="auto"/>
              <w:ind w:firstLineChars="200" w:firstLine="300"/>
              <w:rPr>
                <w:rFonts w:ascii="Times New Roman" w:eastAsia="宋体" w:hAnsi="Times New Roman" w:cs="Times New Roman"/>
                <w:sz w:val="15"/>
                <w:szCs w:val="15"/>
              </w:rPr>
            </w:pPr>
            <w:r w:rsidRPr="00124BBF">
              <w:rPr>
                <w:rFonts w:ascii="Times New Roman" w:eastAsia="宋体" w:hAnsi="Times New Roman" w:cs="Times New Roman"/>
                <w:sz w:val="15"/>
                <w:szCs w:val="15"/>
              </w:rPr>
              <w:t>2.</w:t>
            </w:r>
            <w:r w:rsidRPr="00124BBF">
              <w:rPr>
                <w:rFonts w:ascii="Times New Roman" w:eastAsia="宋体" w:hAnsi="Times New Roman" w:cs="Times New Roman"/>
                <w:sz w:val="15"/>
                <w:szCs w:val="15"/>
              </w:rPr>
              <w:t>期初账面价值</w:t>
            </w:r>
          </w:p>
        </w:tc>
        <w:tc>
          <w:tcPr>
            <w:tcW w:w="1560" w:type="dxa"/>
            <w:tcBorders>
              <w:top w:val="single" w:sz="2" w:space="0" w:color="auto"/>
              <w:left w:val="single" w:sz="2" w:space="0" w:color="auto"/>
              <w:bottom w:val="single" w:sz="2" w:space="0" w:color="auto"/>
              <w:right w:val="single" w:sz="2" w:space="0" w:color="auto"/>
            </w:tcBorders>
            <w:vAlign w:val="center"/>
          </w:tcPr>
          <w:p w14:paraId="11296788"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1,093,030,959.69</w:t>
            </w:r>
          </w:p>
        </w:tc>
        <w:tc>
          <w:tcPr>
            <w:tcW w:w="1275" w:type="dxa"/>
            <w:tcBorders>
              <w:top w:val="single" w:sz="2" w:space="0" w:color="auto"/>
              <w:left w:val="single" w:sz="2" w:space="0" w:color="auto"/>
              <w:bottom w:val="single" w:sz="2" w:space="0" w:color="auto"/>
              <w:right w:val="single" w:sz="2" w:space="0" w:color="auto"/>
            </w:tcBorders>
            <w:vAlign w:val="center"/>
          </w:tcPr>
          <w:p w14:paraId="7C757D68"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506,059,317.93</w:t>
            </w:r>
          </w:p>
        </w:tc>
        <w:tc>
          <w:tcPr>
            <w:tcW w:w="993" w:type="dxa"/>
            <w:tcBorders>
              <w:top w:val="single" w:sz="2" w:space="0" w:color="auto"/>
              <w:left w:val="single" w:sz="2" w:space="0" w:color="auto"/>
              <w:bottom w:val="single" w:sz="2" w:space="0" w:color="auto"/>
              <w:right w:val="single" w:sz="2" w:space="0" w:color="auto"/>
            </w:tcBorders>
            <w:vAlign w:val="center"/>
          </w:tcPr>
          <w:p w14:paraId="4258F70B"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6,628,171.64</w:t>
            </w:r>
          </w:p>
        </w:tc>
        <w:tc>
          <w:tcPr>
            <w:tcW w:w="992" w:type="dxa"/>
            <w:tcBorders>
              <w:top w:val="single" w:sz="2" w:space="0" w:color="auto"/>
              <w:left w:val="single" w:sz="2" w:space="0" w:color="auto"/>
              <w:bottom w:val="single" w:sz="2" w:space="0" w:color="auto"/>
              <w:right w:val="single" w:sz="2" w:space="0" w:color="auto"/>
            </w:tcBorders>
            <w:vAlign w:val="center"/>
          </w:tcPr>
          <w:p w14:paraId="6A0A2900"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15,741,708.73</w:t>
            </w:r>
          </w:p>
        </w:tc>
        <w:tc>
          <w:tcPr>
            <w:tcW w:w="992" w:type="dxa"/>
            <w:tcBorders>
              <w:top w:val="single" w:sz="2" w:space="0" w:color="auto"/>
              <w:left w:val="single" w:sz="2" w:space="0" w:color="auto"/>
              <w:bottom w:val="single" w:sz="2" w:space="0" w:color="auto"/>
              <w:right w:val="single" w:sz="2" w:space="0" w:color="auto"/>
            </w:tcBorders>
            <w:vAlign w:val="center"/>
          </w:tcPr>
          <w:p w14:paraId="22D3D432"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1,053,488.63</w:t>
            </w:r>
          </w:p>
        </w:tc>
        <w:tc>
          <w:tcPr>
            <w:tcW w:w="1097" w:type="dxa"/>
            <w:tcBorders>
              <w:top w:val="single" w:sz="2" w:space="0" w:color="auto"/>
              <w:left w:val="single" w:sz="2" w:space="0" w:color="auto"/>
              <w:bottom w:val="single" w:sz="2" w:space="0" w:color="auto"/>
              <w:right w:val="single" w:sz="2" w:space="0" w:color="auto"/>
            </w:tcBorders>
            <w:vAlign w:val="center"/>
          </w:tcPr>
          <w:p w14:paraId="33804AEC" w14:textId="77777777" w:rsidR="00A46BF1" w:rsidRPr="00124BBF" w:rsidRDefault="00A46BF1" w:rsidP="00124BBF">
            <w:pPr>
              <w:spacing w:line="360" w:lineRule="auto"/>
              <w:jc w:val="right"/>
              <w:rPr>
                <w:rFonts w:ascii="Times New Roman" w:eastAsia="宋体" w:hAnsi="Times New Roman" w:cs="Times New Roman"/>
                <w:sz w:val="15"/>
                <w:szCs w:val="15"/>
              </w:rPr>
            </w:pPr>
            <w:r w:rsidRPr="00124BBF">
              <w:rPr>
                <w:rFonts w:ascii="Times New Roman" w:eastAsia="宋体" w:hAnsi="Times New Roman" w:cs="Times New Roman"/>
                <w:sz w:val="15"/>
                <w:szCs w:val="15"/>
              </w:rPr>
              <w:t>1,622,513,646.62</w:t>
            </w:r>
          </w:p>
        </w:tc>
      </w:tr>
    </w:tbl>
    <w:p w14:paraId="7C923796"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未办妥产权证书的固定资产情况</w:t>
      </w:r>
    </w:p>
    <w:p w14:paraId="106B616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95AC08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840263"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5C474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26B120"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bl>
    <w:p w14:paraId="0B74478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6E89927"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本集团本年无暂时闲置的固定资产。</w:t>
      </w:r>
    </w:p>
    <w:p w14:paraId="24482CDC"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本集团本年无通过经营租赁租出的固定资产。</w:t>
      </w:r>
    </w:p>
    <w:p w14:paraId="7FEDB688"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本集团本年无未办妥产权证书的固定资产。</w:t>
      </w:r>
    </w:p>
    <w:p w14:paraId="5D806B9A" w14:textId="2EEA7C74" w:rsidR="00A46BF1" w:rsidRDefault="00EE2298" w:rsidP="00A46BF1">
      <w:pPr>
        <w:pStyle w:val="3"/>
        <w:spacing w:line="280" w:lineRule="exact"/>
        <w:jc w:val="left"/>
        <w:rPr>
          <w:rFonts w:ascii="宋体" w:hAnsi="宋体" w:cs="宋体"/>
          <w:b/>
          <w:bCs/>
        </w:rPr>
      </w:pPr>
      <w:r>
        <w:rPr>
          <w:rFonts w:ascii="宋体" w:hAnsi="宋体" w:cs="宋体"/>
          <w:b/>
          <w:bCs/>
        </w:rPr>
        <w:t>16</w:t>
      </w:r>
      <w:r w:rsidR="00A46BF1">
        <w:rPr>
          <w:rFonts w:ascii="宋体" w:hAnsi="宋体" w:cs="宋体"/>
          <w:b/>
          <w:bCs/>
        </w:rPr>
        <w:t>、在建工程</w:t>
      </w:r>
    </w:p>
    <w:p w14:paraId="22ACD7E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409CD79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E2798D"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5DF383"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53A18A"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期初余额</w:t>
            </w:r>
          </w:p>
        </w:tc>
      </w:tr>
      <w:tr w:rsidR="00095F6F" w14:paraId="28DE8CA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75D53D" w14:textId="77777777" w:rsidR="00A46BF1" w:rsidRPr="00EE2298" w:rsidRDefault="00A46BF1" w:rsidP="00EE2298">
            <w:pPr>
              <w:spacing w:before="40" w:after="40" w:line="360" w:lineRule="auto"/>
              <w:rPr>
                <w:rFonts w:ascii="Times New Roman" w:eastAsia="宋体" w:hAnsi="Times New Roman" w:cs="Times New Roman"/>
                <w:sz w:val="18"/>
                <w:szCs w:val="18"/>
              </w:rPr>
            </w:pPr>
            <w:r w:rsidRPr="00EE2298">
              <w:rPr>
                <w:rFonts w:ascii="Times New Roman" w:eastAsia="宋体" w:hAnsi="Times New Roman" w:cs="Times New Roman"/>
                <w:sz w:val="18"/>
                <w:szCs w:val="18"/>
              </w:rPr>
              <w:t>在建工程</w:t>
            </w:r>
          </w:p>
        </w:tc>
        <w:tc>
          <w:tcPr>
            <w:tcW w:w="3213" w:type="dxa"/>
            <w:tcBorders>
              <w:top w:val="single" w:sz="2" w:space="0" w:color="auto"/>
              <w:left w:val="single" w:sz="2" w:space="0" w:color="auto"/>
              <w:bottom w:val="single" w:sz="2" w:space="0" w:color="auto"/>
              <w:right w:val="single" w:sz="2" w:space="0" w:color="auto"/>
            </w:tcBorders>
            <w:vAlign w:val="center"/>
          </w:tcPr>
          <w:p w14:paraId="2D826EBC"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305,924,903.28</w:t>
            </w:r>
          </w:p>
        </w:tc>
        <w:tc>
          <w:tcPr>
            <w:tcW w:w="3213" w:type="dxa"/>
            <w:tcBorders>
              <w:top w:val="single" w:sz="2" w:space="0" w:color="auto"/>
              <w:left w:val="single" w:sz="2" w:space="0" w:color="auto"/>
              <w:bottom w:val="single" w:sz="2" w:space="0" w:color="auto"/>
              <w:right w:val="single" w:sz="2" w:space="0" w:color="auto"/>
            </w:tcBorders>
            <w:vAlign w:val="center"/>
          </w:tcPr>
          <w:p w14:paraId="7FDEF996"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210,876,362.92</w:t>
            </w:r>
          </w:p>
        </w:tc>
      </w:tr>
      <w:tr w:rsidR="00095F6F" w14:paraId="7547F33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D14B13" w14:textId="77777777" w:rsidR="00A46BF1" w:rsidRPr="00EE2298" w:rsidRDefault="00A46BF1" w:rsidP="00EE2298">
            <w:pPr>
              <w:spacing w:before="40" w:after="40" w:line="360" w:lineRule="auto"/>
              <w:rPr>
                <w:rFonts w:ascii="Times New Roman" w:eastAsia="宋体" w:hAnsi="Times New Roman" w:cs="Times New Roman"/>
                <w:sz w:val="18"/>
                <w:szCs w:val="18"/>
              </w:rPr>
            </w:pPr>
            <w:r w:rsidRPr="00EE2298">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F39D965"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305,924,903.28</w:t>
            </w:r>
          </w:p>
        </w:tc>
        <w:tc>
          <w:tcPr>
            <w:tcW w:w="3213" w:type="dxa"/>
            <w:tcBorders>
              <w:top w:val="single" w:sz="2" w:space="0" w:color="auto"/>
              <w:left w:val="single" w:sz="2" w:space="0" w:color="auto"/>
              <w:bottom w:val="single" w:sz="2" w:space="0" w:color="auto"/>
              <w:right w:val="single" w:sz="2" w:space="0" w:color="auto"/>
            </w:tcBorders>
            <w:vAlign w:val="center"/>
          </w:tcPr>
          <w:p w14:paraId="3955A1BA"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210,876,362.92</w:t>
            </w:r>
          </w:p>
        </w:tc>
      </w:tr>
    </w:tbl>
    <w:p w14:paraId="5EE3926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在建工程情况</w:t>
      </w:r>
    </w:p>
    <w:p w14:paraId="5B74B1E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2330"/>
        <w:gridCol w:w="1276"/>
        <w:gridCol w:w="1134"/>
        <w:gridCol w:w="1276"/>
        <w:gridCol w:w="1275"/>
        <w:gridCol w:w="1134"/>
        <w:gridCol w:w="1214"/>
      </w:tblGrid>
      <w:tr w:rsidR="00095F6F" w:rsidRPr="00EE2298" w14:paraId="722A3760" w14:textId="77777777" w:rsidTr="00DA4D79">
        <w:trPr>
          <w:trHeight w:val="240"/>
        </w:trPr>
        <w:tc>
          <w:tcPr>
            <w:tcW w:w="233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6D95950"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项目</w:t>
            </w:r>
          </w:p>
        </w:tc>
        <w:tc>
          <w:tcPr>
            <w:tcW w:w="3686"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B441199"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期末余额</w:t>
            </w:r>
          </w:p>
        </w:tc>
        <w:tc>
          <w:tcPr>
            <w:tcW w:w="3623"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7D641BFB"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期初余额</w:t>
            </w:r>
          </w:p>
        </w:tc>
      </w:tr>
      <w:tr w:rsidR="00095F6F" w:rsidRPr="00EE2298" w14:paraId="57058A05" w14:textId="77777777" w:rsidTr="00DA4D79">
        <w:trPr>
          <w:trHeight w:val="240"/>
        </w:trPr>
        <w:tc>
          <w:tcPr>
            <w:tcW w:w="233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E9477E2" w14:textId="77777777" w:rsidR="00A46BF1" w:rsidRPr="00EE2298" w:rsidRDefault="00A46BF1" w:rsidP="00EE2298">
            <w:pPr>
              <w:spacing w:line="360" w:lineRule="auto"/>
              <w:rPr>
                <w:rFonts w:ascii="Times New Roman" w:hAnsi="Times New Roman" w:cs="Times New Roman"/>
              </w:rPr>
            </w:pP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0C81689"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账面余额</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37153BF2"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减值准备</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4A972E7"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账面价值</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33A9E667"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账面余额</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7F8D922"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减值准备</w:t>
            </w:r>
          </w:p>
        </w:tc>
        <w:tc>
          <w:tcPr>
            <w:tcW w:w="1214" w:type="dxa"/>
            <w:tcBorders>
              <w:top w:val="single" w:sz="2" w:space="0" w:color="auto"/>
              <w:left w:val="single" w:sz="2" w:space="0" w:color="auto"/>
              <w:bottom w:val="single" w:sz="2" w:space="0" w:color="auto"/>
              <w:right w:val="single" w:sz="2" w:space="0" w:color="auto"/>
            </w:tcBorders>
            <w:shd w:val="clear" w:color="auto" w:fill="D3D3D3"/>
            <w:vAlign w:val="center"/>
          </w:tcPr>
          <w:p w14:paraId="40AEAD6A" w14:textId="77777777" w:rsidR="00A46BF1" w:rsidRPr="00EE2298" w:rsidRDefault="00A46BF1" w:rsidP="00EE2298">
            <w:pPr>
              <w:spacing w:before="40" w:after="40" w:line="360" w:lineRule="auto"/>
              <w:jc w:val="center"/>
              <w:rPr>
                <w:rFonts w:ascii="Times New Roman" w:eastAsia="宋体" w:hAnsi="Times New Roman" w:cs="Times New Roman"/>
                <w:sz w:val="18"/>
                <w:szCs w:val="18"/>
              </w:rPr>
            </w:pPr>
            <w:r w:rsidRPr="00EE2298">
              <w:rPr>
                <w:rFonts w:ascii="Times New Roman" w:eastAsia="宋体" w:hAnsi="Times New Roman" w:cs="Times New Roman"/>
                <w:sz w:val="18"/>
                <w:szCs w:val="18"/>
              </w:rPr>
              <w:t>账面价值</w:t>
            </w:r>
          </w:p>
        </w:tc>
      </w:tr>
      <w:tr w:rsidR="00095F6F" w:rsidRPr="00EE2298" w14:paraId="5671F1E6" w14:textId="77777777" w:rsidTr="00DA4D79">
        <w:trPr>
          <w:trHeight w:val="240"/>
        </w:trPr>
        <w:tc>
          <w:tcPr>
            <w:tcW w:w="2330" w:type="dxa"/>
            <w:tcBorders>
              <w:top w:val="single" w:sz="2" w:space="0" w:color="auto"/>
              <w:left w:val="single" w:sz="2" w:space="0" w:color="auto"/>
              <w:bottom w:val="single" w:sz="2" w:space="0" w:color="auto"/>
              <w:right w:val="single" w:sz="2" w:space="0" w:color="auto"/>
            </w:tcBorders>
            <w:vAlign w:val="center"/>
          </w:tcPr>
          <w:p w14:paraId="0C0ED4F6" w14:textId="77777777" w:rsidR="00A46BF1" w:rsidRPr="00EE2298" w:rsidRDefault="00A46BF1" w:rsidP="00EE2298">
            <w:pPr>
              <w:spacing w:line="360" w:lineRule="auto"/>
              <w:rPr>
                <w:rFonts w:ascii="Times New Roman" w:eastAsia="宋体" w:hAnsi="Times New Roman" w:cs="Times New Roman"/>
                <w:sz w:val="18"/>
                <w:szCs w:val="18"/>
              </w:rPr>
            </w:pPr>
            <w:r w:rsidRPr="00EE2298">
              <w:rPr>
                <w:rFonts w:ascii="Times New Roman" w:eastAsia="宋体" w:hAnsi="Times New Roman" w:cs="Times New Roman"/>
                <w:sz w:val="18"/>
                <w:szCs w:val="18"/>
              </w:rPr>
              <w:t>iPOCT</w:t>
            </w:r>
            <w:r w:rsidRPr="00EE2298">
              <w:rPr>
                <w:rFonts w:ascii="Times New Roman" w:eastAsia="宋体" w:hAnsi="Times New Roman" w:cs="Times New Roman"/>
                <w:sz w:val="18"/>
                <w:szCs w:val="18"/>
              </w:rPr>
              <w:t>工业园项目（三期）</w:t>
            </w:r>
          </w:p>
        </w:tc>
        <w:tc>
          <w:tcPr>
            <w:tcW w:w="1276" w:type="dxa"/>
            <w:tcBorders>
              <w:top w:val="single" w:sz="2" w:space="0" w:color="auto"/>
              <w:left w:val="single" w:sz="2" w:space="0" w:color="auto"/>
              <w:bottom w:val="single" w:sz="2" w:space="0" w:color="auto"/>
              <w:right w:val="single" w:sz="2" w:space="0" w:color="auto"/>
            </w:tcBorders>
            <w:vAlign w:val="center"/>
          </w:tcPr>
          <w:p w14:paraId="300CA1CF"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252,448,013.81</w:t>
            </w:r>
          </w:p>
        </w:tc>
        <w:tc>
          <w:tcPr>
            <w:tcW w:w="1134" w:type="dxa"/>
            <w:tcBorders>
              <w:top w:val="single" w:sz="2" w:space="0" w:color="auto"/>
              <w:left w:val="single" w:sz="2" w:space="0" w:color="auto"/>
              <w:bottom w:val="single" w:sz="2" w:space="0" w:color="auto"/>
              <w:right w:val="single" w:sz="2" w:space="0" w:color="auto"/>
            </w:tcBorders>
            <w:vAlign w:val="center"/>
          </w:tcPr>
          <w:p w14:paraId="6FA83DC4" w14:textId="77777777" w:rsidR="00A46BF1" w:rsidRPr="00EE2298" w:rsidRDefault="00A46BF1" w:rsidP="00EE2298">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456718E"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252,448,013.81</w:t>
            </w:r>
          </w:p>
        </w:tc>
        <w:tc>
          <w:tcPr>
            <w:tcW w:w="1275" w:type="dxa"/>
            <w:tcBorders>
              <w:top w:val="single" w:sz="2" w:space="0" w:color="auto"/>
              <w:left w:val="single" w:sz="2" w:space="0" w:color="auto"/>
              <w:bottom w:val="single" w:sz="2" w:space="0" w:color="auto"/>
              <w:right w:val="single" w:sz="2" w:space="0" w:color="auto"/>
            </w:tcBorders>
            <w:vAlign w:val="center"/>
          </w:tcPr>
          <w:p w14:paraId="234F170D"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167,142,904.09</w:t>
            </w:r>
          </w:p>
        </w:tc>
        <w:tc>
          <w:tcPr>
            <w:tcW w:w="1134" w:type="dxa"/>
            <w:tcBorders>
              <w:top w:val="single" w:sz="2" w:space="0" w:color="auto"/>
              <w:left w:val="single" w:sz="2" w:space="0" w:color="auto"/>
              <w:bottom w:val="single" w:sz="2" w:space="0" w:color="auto"/>
              <w:right w:val="single" w:sz="2" w:space="0" w:color="auto"/>
            </w:tcBorders>
            <w:vAlign w:val="center"/>
          </w:tcPr>
          <w:p w14:paraId="2C34059F" w14:textId="77777777" w:rsidR="00A46BF1" w:rsidRPr="00EE2298" w:rsidRDefault="00A46BF1" w:rsidP="00EE2298">
            <w:pPr>
              <w:spacing w:line="360" w:lineRule="auto"/>
              <w:jc w:val="right"/>
              <w:rPr>
                <w:rFonts w:ascii="Times New Roman" w:eastAsia="宋体" w:hAnsi="Times New Roman" w:cs="Times New Roman"/>
                <w:sz w:val="18"/>
                <w:szCs w:val="18"/>
              </w:rPr>
            </w:pPr>
          </w:p>
        </w:tc>
        <w:tc>
          <w:tcPr>
            <w:tcW w:w="1214" w:type="dxa"/>
            <w:tcBorders>
              <w:top w:val="single" w:sz="2" w:space="0" w:color="auto"/>
              <w:left w:val="single" w:sz="2" w:space="0" w:color="auto"/>
              <w:bottom w:val="single" w:sz="2" w:space="0" w:color="auto"/>
              <w:right w:val="single" w:sz="2" w:space="0" w:color="auto"/>
            </w:tcBorders>
            <w:vAlign w:val="center"/>
          </w:tcPr>
          <w:p w14:paraId="62C86B91"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167,142,904.09</w:t>
            </w:r>
          </w:p>
        </w:tc>
      </w:tr>
      <w:tr w:rsidR="00095F6F" w:rsidRPr="00EE2298" w14:paraId="4E17817A" w14:textId="77777777" w:rsidTr="00DA4D79">
        <w:trPr>
          <w:trHeight w:val="240"/>
        </w:trPr>
        <w:tc>
          <w:tcPr>
            <w:tcW w:w="2330" w:type="dxa"/>
            <w:tcBorders>
              <w:top w:val="single" w:sz="2" w:space="0" w:color="auto"/>
              <w:left w:val="single" w:sz="2" w:space="0" w:color="auto"/>
              <w:bottom w:val="single" w:sz="2" w:space="0" w:color="auto"/>
              <w:right w:val="single" w:sz="2" w:space="0" w:color="auto"/>
            </w:tcBorders>
            <w:vAlign w:val="center"/>
          </w:tcPr>
          <w:p w14:paraId="77C0958E" w14:textId="77777777" w:rsidR="00A46BF1" w:rsidRPr="00EE2298" w:rsidRDefault="00A46BF1" w:rsidP="00EE2298">
            <w:pPr>
              <w:spacing w:line="360" w:lineRule="auto"/>
              <w:rPr>
                <w:rFonts w:ascii="Times New Roman" w:eastAsia="宋体" w:hAnsi="Times New Roman" w:cs="Times New Roman"/>
                <w:sz w:val="18"/>
                <w:szCs w:val="18"/>
              </w:rPr>
            </w:pPr>
            <w:r w:rsidRPr="00EE2298">
              <w:rPr>
                <w:rFonts w:ascii="Times New Roman" w:eastAsia="宋体" w:hAnsi="Times New Roman" w:cs="Times New Roman"/>
                <w:sz w:val="18"/>
                <w:szCs w:val="18"/>
              </w:rPr>
              <w:t>待安装调试设备</w:t>
            </w:r>
          </w:p>
        </w:tc>
        <w:tc>
          <w:tcPr>
            <w:tcW w:w="1276" w:type="dxa"/>
            <w:tcBorders>
              <w:top w:val="single" w:sz="2" w:space="0" w:color="auto"/>
              <w:left w:val="single" w:sz="2" w:space="0" w:color="auto"/>
              <w:bottom w:val="single" w:sz="2" w:space="0" w:color="auto"/>
              <w:right w:val="single" w:sz="2" w:space="0" w:color="auto"/>
            </w:tcBorders>
            <w:vAlign w:val="center"/>
          </w:tcPr>
          <w:p w14:paraId="3236711B"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46,541,246.93</w:t>
            </w:r>
          </w:p>
        </w:tc>
        <w:tc>
          <w:tcPr>
            <w:tcW w:w="1134" w:type="dxa"/>
            <w:tcBorders>
              <w:top w:val="single" w:sz="2" w:space="0" w:color="auto"/>
              <w:left w:val="single" w:sz="2" w:space="0" w:color="auto"/>
              <w:bottom w:val="single" w:sz="2" w:space="0" w:color="auto"/>
              <w:right w:val="single" w:sz="2" w:space="0" w:color="auto"/>
            </w:tcBorders>
            <w:vAlign w:val="center"/>
          </w:tcPr>
          <w:p w14:paraId="6D9DF0D9"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2,967,510.16</w:t>
            </w:r>
          </w:p>
        </w:tc>
        <w:tc>
          <w:tcPr>
            <w:tcW w:w="1276" w:type="dxa"/>
            <w:tcBorders>
              <w:top w:val="single" w:sz="2" w:space="0" w:color="auto"/>
              <w:left w:val="single" w:sz="2" w:space="0" w:color="auto"/>
              <w:bottom w:val="single" w:sz="2" w:space="0" w:color="auto"/>
              <w:right w:val="single" w:sz="2" w:space="0" w:color="auto"/>
            </w:tcBorders>
            <w:vAlign w:val="center"/>
          </w:tcPr>
          <w:p w14:paraId="5F2D9F14"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43,573,736.77</w:t>
            </w:r>
          </w:p>
        </w:tc>
        <w:tc>
          <w:tcPr>
            <w:tcW w:w="1275" w:type="dxa"/>
            <w:tcBorders>
              <w:top w:val="single" w:sz="2" w:space="0" w:color="auto"/>
              <w:left w:val="single" w:sz="2" w:space="0" w:color="auto"/>
              <w:bottom w:val="single" w:sz="2" w:space="0" w:color="auto"/>
              <w:right w:val="single" w:sz="2" w:space="0" w:color="auto"/>
            </w:tcBorders>
            <w:vAlign w:val="center"/>
          </w:tcPr>
          <w:p w14:paraId="743CB1FB"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44,961,151.29</w:t>
            </w:r>
          </w:p>
        </w:tc>
        <w:tc>
          <w:tcPr>
            <w:tcW w:w="1134" w:type="dxa"/>
            <w:tcBorders>
              <w:top w:val="single" w:sz="2" w:space="0" w:color="auto"/>
              <w:left w:val="single" w:sz="2" w:space="0" w:color="auto"/>
              <w:bottom w:val="single" w:sz="2" w:space="0" w:color="auto"/>
              <w:right w:val="single" w:sz="2" w:space="0" w:color="auto"/>
            </w:tcBorders>
            <w:vAlign w:val="center"/>
          </w:tcPr>
          <w:p w14:paraId="5784E3B7"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3,034,892.16</w:t>
            </w:r>
          </w:p>
        </w:tc>
        <w:tc>
          <w:tcPr>
            <w:tcW w:w="1214" w:type="dxa"/>
            <w:tcBorders>
              <w:top w:val="single" w:sz="2" w:space="0" w:color="auto"/>
              <w:left w:val="single" w:sz="2" w:space="0" w:color="auto"/>
              <w:bottom w:val="single" w:sz="2" w:space="0" w:color="auto"/>
              <w:right w:val="single" w:sz="2" w:space="0" w:color="auto"/>
            </w:tcBorders>
            <w:vAlign w:val="center"/>
          </w:tcPr>
          <w:p w14:paraId="2020D54C"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41,926,259.13</w:t>
            </w:r>
          </w:p>
        </w:tc>
      </w:tr>
      <w:tr w:rsidR="00095F6F" w:rsidRPr="00EE2298" w14:paraId="7D8A204A" w14:textId="77777777" w:rsidTr="00DA4D79">
        <w:trPr>
          <w:trHeight w:val="240"/>
        </w:trPr>
        <w:tc>
          <w:tcPr>
            <w:tcW w:w="2330" w:type="dxa"/>
            <w:tcBorders>
              <w:top w:val="single" w:sz="2" w:space="0" w:color="auto"/>
              <w:left w:val="single" w:sz="2" w:space="0" w:color="auto"/>
              <w:bottom w:val="single" w:sz="2" w:space="0" w:color="auto"/>
              <w:right w:val="single" w:sz="2" w:space="0" w:color="auto"/>
            </w:tcBorders>
            <w:vAlign w:val="center"/>
          </w:tcPr>
          <w:p w14:paraId="6D811944" w14:textId="77777777" w:rsidR="00A46BF1" w:rsidRPr="00EE2298" w:rsidRDefault="00A46BF1" w:rsidP="00EE2298">
            <w:pPr>
              <w:spacing w:line="360" w:lineRule="auto"/>
              <w:rPr>
                <w:rFonts w:ascii="Times New Roman" w:eastAsia="宋体" w:hAnsi="Times New Roman" w:cs="Times New Roman"/>
                <w:sz w:val="18"/>
                <w:szCs w:val="18"/>
              </w:rPr>
            </w:pPr>
            <w:r w:rsidRPr="00EE2298">
              <w:rPr>
                <w:rFonts w:ascii="Times New Roman" w:eastAsia="宋体" w:hAnsi="Times New Roman" w:cs="Times New Roman"/>
                <w:sz w:val="18"/>
                <w:szCs w:val="18"/>
              </w:rPr>
              <w:t>A1C</w:t>
            </w:r>
            <w:r w:rsidRPr="00EE2298">
              <w:rPr>
                <w:rFonts w:ascii="Times New Roman" w:eastAsia="宋体" w:hAnsi="Times New Roman" w:cs="Times New Roman"/>
                <w:sz w:val="18"/>
                <w:szCs w:val="18"/>
              </w:rPr>
              <w:t>生产线</w:t>
            </w:r>
          </w:p>
        </w:tc>
        <w:tc>
          <w:tcPr>
            <w:tcW w:w="1276" w:type="dxa"/>
            <w:tcBorders>
              <w:top w:val="single" w:sz="2" w:space="0" w:color="auto"/>
              <w:left w:val="single" w:sz="2" w:space="0" w:color="auto"/>
              <w:bottom w:val="single" w:sz="2" w:space="0" w:color="auto"/>
              <w:right w:val="single" w:sz="2" w:space="0" w:color="auto"/>
            </w:tcBorders>
            <w:vAlign w:val="center"/>
          </w:tcPr>
          <w:p w14:paraId="0CB33F17"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9,903,152.70</w:t>
            </w:r>
          </w:p>
        </w:tc>
        <w:tc>
          <w:tcPr>
            <w:tcW w:w="1134" w:type="dxa"/>
            <w:tcBorders>
              <w:top w:val="single" w:sz="2" w:space="0" w:color="auto"/>
              <w:left w:val="single" w:sz="2" w:space="0" w:color="auto"/>
              <w:bottom w:val="single" w:sz="2" w:space="0" w:color="auto"/>
              <w:right w:val="single" w:sz="2" w:space="0" w:color="auto"/>
            </w:tcBorders>
            <w:vAlign w:val="center"/>
          </w:tcPr>
          <w:p w14:paraId="538812B9" w14:textId="77777777" w:rsidR="00A46BF1" w:rsidRPr="00EE2298" w:rsidRDefault="00A46BF1" w:rsidP="00EE2298">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64313FB"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9,903,152.70</w:t>
            </w:r>
          </w:p>
        </w:tc>
        <w:tc>
          <w:tcPr>
            <w:tcW w:w="1275" w:type="dxa"/>
            <w:tcBorders>
              <w:top w:val="single" w:sz="2" w:space="0" w:color="auto"/>
              <w:left w:val="single" w:sz="2" w:space="0" w:color="auto"/>
              <w:bottom w:val="single" w:sz="2" w:space="0" w:color="auto"/>
              <w:right w:val="single" w:sz="2" w:space="0" w:color="auto"/>
            </w:tcBorders>
            <w:vAlign w:val="center"/>
          </w:tcPr>
          <w:p w14:paraId="766256AD"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1,807,199.70</w:t>
            </w:r>
          </w:p>
        </w:tc>
        <w:tc>
          <w:tcPr>
            <w:tcW w:w="1134" w:type="dxa"/>
            <w:tcBorders>
              <w:top w:val="single" w:sz="2" w:space="0" w:color="auto"/>
              <w:left w:val="single" w:sz="2" w:space="0" w:color="auto"/>
              <w:bottom w:val="single" w:sz="2" w:space="0" w:color="auto"/>
              <w:right w:val="single" w:sz="2" w:space="0" w:color="auto"/>
            </w:tcBorders>
            <w:vAlign w:val="center"/>
          </w:tcPr>
          <w:p w14:paraId="35A42A87" w14:textId="77777777" w:rsidR="00A46BF1" w:rsidRPr="00EE2298" w:rsidRDefault="00A46BF1" w:rsidP="00EE2298">
            <w:pPr>
              <w:spacing w:line="360" w:lineRule="auto"/>
              <w:jc w:val="right"/>
              <w:rPr>
                <w:rFonts w:ascii="Times New Roman" w:eastAsia="宋体" w:hAnsi="Times New Roman" w:cs="Times New Roman"/>
                <w:sz w:val="18"/>
                <w:szCs w:val="18"/>
              </w:rPr>
            </w:pPr>
          </w:p>
        </w:tc>
        <w:tc>
          <w:tcPr>
            <w:tcW w:w="1214" w:type="dxa"/>
            <w:tcBorders>
              <w:top w:val="single" w:sz="2" w:space="0" w:color="auto"/>
              <w:left w:val="single" w:sz="2" w:space="0" w:color="auto"/>
              <w:bottom w:val="single" w:sz="2" w:space="0" w:color="auto"/>
              <w:right w:val="single" w:sz="2" w:space="0" w:color="auto"/>
            </w:tcBorders>
            <w:vAlign w:val="center"/>
          </w:tcPr>
          <w:p w14:paraId="7600444C"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1,807,199.70</w:t>
            </w:r>
          </w:p>
        </w:tc>
      </w:tr>
      <w:tr w:rsidR="00095F6F" w:rsidRPr="00EE2298" w14:paraId="6EE0B4AC" w14:textId="77777777" w:rsidTr="00DA4D79">
        <w:trPr>
          <w:trHeight w:val="240"/>
        </w:trPr>
        <w:tc>
          <w:tcPr>
            <w:tcW w:w="2330" w:type="dxa"/>
            <w:tcBorders>
              <w:top w:val="single" w:sz="2" w:space="0" w:color="auto"/>
              <w:left w:val="single" w:sz="2" w:space="0" w:color="auto"/>
              <w:bottom w:val="single" w:sz="2" w:space="0" w:color="auto"/>
              <w:right w:val="single" w:sz="2" w:space="0" w:color="auto"/>
            </w:tcBorders>
            <w:shd w:val="clear" w:color="auto" w:fill="D3D3D3"/>
            <w:vAlign w:val="center"/>
          </w:tcPr>
          <w:p w14:paraId="24A50996" w14:textId="77777777" w:rsidR="00A46BF1" w:rsidRPr="00EE2298" w:rsidRDefault="00A46BF1" w:rsidP="00EE2298">
            <w:pPr>
              <w:spacing w:before="40" w:after="40" w:line="360" w:lineRule="auto"/>
              <w:rPr>
                <w:rFonts w:ascii="Times New Roman" w:eastAsia="宋体" w:hAnsi="Times New Roman" w:cs="Times New Roman"/>
                <w:sz w:val="18"/>
                <w:szCs w:val="18"/>
              </w:rPr>
            </w:pPr>
            <w:r w:rsidRPr="00EE2298">
              <w:rPr>
                <w:rFonts w:ascii="Times New Roman" w:eastAsia="宋体" w:hAnsi="Times New Roman" w:cs="Times New Roman"/>
                <w:sz w:val="18"/>
                <w:szCs w:val="18"/>
              </w:rPr>
              <w:t>合计</w:t>
            </w:r>
          </w:p>
        </w:tc>
        <w:tc>
          <w:tcPr>
            <w:tcW w:w="1276" w:type="dxa"/>
            <w:tcBorders>
              <w:top w:val="single" w:sz="2" w:space="0" w:color="auto"/>
              <w:left w:val="single" w:sz="2" w:space="0" w:color="auto"/>
              <w:bottom w:val="single" w:sz="2" w:space="0" w:color="auto"/>
              <w:right w:val="single" w:sz="2" w:space="0" w:color="auto"/>
            </w:tcBorders>
            <w:vAlign w:val="center"/>
          </w:tcPr>
          <w:p w14:paraId="6A6D8B78"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308,892,413.44</w:t>
            </w:r>
          </w:p>
        </w:tc>
        <w:tc>
          <w:tcPr>
            <w:tcW w:w="1134" w:type="dxa"/>
            <w:tcBorders>
              <w:top w:val="single" w:sz="2" w:space="0" w:color="auto"/>
              <w:left w:val="single" w:sz="2" w:space="0" w:color="auto"/>
              <w:bottom w:val="single" w:sz="2" w:space="0" w:color="auto"/>
              <w:right w:val="single" w:sz="2" w:space="0" w:color="auto"/>
            </w:tcBorders>
            <w:vAlign w:val="center"/>
          </w:tcPr>
          <w:p w14:paraId="078C727C"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2,967,510.16</w:t>
            </w:r>
          </w:p>
        </w:tc>
        <w:tc>
          <w:tcPr>
            <w:tcW w:w="1276" w:type="dxa"/>
            <w:tcBorders>
              <w:top w:val="single" w:sz="2" w:space="0" w:color="auto"/>
              <w:left w:val="single" w:sz="2" w:space="0" w:color="auto"/>
              <w:bottom w:val="single" w:sz="2" w:space="0" w:color="auto"/>
              <w:right w:val="single" w:sz="2" w:space="0" w:color="auto"/>
            </w:tcBorders>
            <w:vAlign w:val="center"/>
          </w:tcPr>
          <w:p w14:paraId="3210A423"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305,924,903.28</w:t>
            </w:r>
          </w:p>
        </w:tc>
        <w:tc>
          <w:tcPr>
            <w:tcW w:w="1275" w:type="dxa"/>
            <w:tcBorders>
              <w:top w:val="single" w:sz="2" w:space="0" w:color="auto"/>
              <w:left w:val="single" w:sz="2" w:space="0" w:color="auto"/>
              <w:bottom w:val="single" w:sz="2" w:space="0" w:color="auto"/>
              <w:right w:val="single" w:sz="2" w:space="0" w:color="auto"/>
            </w:tcBorders>
            <w:vAlign w:val="center"/>
          </w:tcPr>
          <w:p w14:paraId="4375A92F"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213,911,255.08</w:t>
            </w:r>
          </w:p>
        </w:tc>
        <w:tc>
          <w:tcPr>
            <w:tcW w:w="1134" w:type="dxa"/>
            <w:tcBorders>
              <w:top w:val="single" w:sz="2" w:space="0" w:color="auto"/>
              <w:left w:val="single" w:sz="2" w:space="0" w:color="auto"/>
              <w:bottom w:val="single" w:sz="2" w:space="0" w:color="auto"/>
              <w:right w:val="single" w:sz="2" w:space="0" w:color="auto"/>
            </w:tcBorders>
            <w:vAlign w:val="center"/>
          </w:tcPr>
          <w:p w14:paraId="13E83B15"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3,034,892.16</w:t>
            </w:r>
          </w:p>
        </w:tc>
        <w:tc>
          <w:tcPr>
            <w:tcW w:w="1214" w:type="dxa"/>
            <w:tcBorders>
              <w:top w:val="single" w:sz="2" w:space="0" w:color="auto"/>
              <w:left w:val="single" w:sz="2" w:space="0" w:color="auto"/>
              <w:bottom w:val="single" w:sz="2" w:space="0" w:color="auto"/>
              <w:right w:val="single" w:sz="2" w:space="0" w:color="auto"/>
            </w:tcBorders>
            <w:vAlign w:val="center"/>
          </w:tcPr>
          <w:p w14:paraId="4F2F4149" w14:textId="77777777" w:rsidR="00A46BF1" w:rsidRPr="00EE2298" w:rsidRDefault="00A46BF1" w:rsidP="00EE2298">
            <w:pPr>
              <w:spacing w:line="360" w:lineRule="auto"/>
              <w:jc w:val="right"/>
              <w:rPr>
                <w:rFonts w:ascii="Times New Roman" w:eastAsia="宋体" w:hAnsi="Times New Roman" w:cs="Times New Roman"/>
                <w:sz w:val="18"/>
                <w:szCs w:val="18"/>
              </w:rPr>
            </w:pPr>
            <w:r w:rsidRPr="00EE2298">
              <w:rPr>
                <w:rFonts w:ascii="Times New Roman" w:eastAsia="宋体" w:hAnsi="Times New Roman" w:cs="Times New Roman"/>
                <w:sz w:val="18"/>
                <w:szCs w:val="18"/>
              </w:rPr>
              <w:t>210,876,362.92</w:t>
            </w:r>
          </w:p>
        </w:tc>
      </w:tr>
    </w:tbl>
    <w:p w14:paraId="0A4D7507"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重要在建工程项目本期变动情况</w:t>
      </w:r>
    </w:p>
    <w:p w14:paraId="588F39A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636"/>
        <w:gridCol w:w="985"/>
        <w:gridCol w:w="993"/>
        <w:gridCol w:w="850"/>
        <w:gridCol w:w="709"/>
        <w:gridCol w:w="567"/>
        <w:gridCol w:w="992"/>
        <w:gridCol w:w="709"/>
        <w:gridCol w:w="709"/>
        <w:gridCol w:w="567"/>
        <w:gridCol w:w="708"/>
        <w:gridCol w:w="567"/>
        <w:gridCol w:w="647"/>
      </w:tblGrid>
      <w:tr w:rsidR="00BF025C" w14:paraId="7557BD45" w14:textId="77777777" w:rsidTr="00BF025C">
        <w:trPr>
          <w:trHeight w:val="240"/>
        </w:trPr>
        <w:tc>
          <w:tcPr>
            <w:tcW w:w="636" w:type="dxa"/>
            <w:tcBorders>
              <w:top w:val="single" w:sz="2" w:space="0" w:color="auto"/>
              <w:left w:val="single" w:sz="2" w:space="0" w:color="auto"/>
              <w:bottom w:val="single" w:sz="2" w:space="0" w:color="auto"/>
              <w:right w:val="single" w:sz="2" w:space="0" w:color="auto"/>
            </w:tcBorders>
            <w:shd w:val="clear" w:color="auto" w:fill="D3D3D3"/>
            <w:vAlign w:val="center"/>
          </w:tcPr>
          <w:p w14:paraId="09A47B2A"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项目名称</w:t>
            </w:r>
          </w:p>
        </w:tc>
        <w:tc>
          <w:tcPr>
            <w:tcW w:w="985" w:type="dxa"/>
            <w:tcBorders>
              <w:top w:val="single" w:sz="2" w:space="0" w:color="auto"/>
              <w:left w:val="single" w:sz="2" w:space="0" w:color="auto"/>
              <w:bottom w:val="single" w:sz="2" w:space="0" w:color="auto"/>
              <w:right w:val="single" w:sz="2" w:space="0" w:color="auto"/>
            </w:tcBorders>
            <w:shd w:val="clear" w:color="auto" w:fill="D3D3D3"/>
            <w:vAlign w:val="center"/>
          </w:tcPr>
          <w:p w14:paraId="0615C185"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预算数</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BADB4D5"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期初余额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21FEF49F"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本期增加金额</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4CFB35CD"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本期转入固定资产金额</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C4BE298"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本期其他减少金额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6640DB5A"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期末余额</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612BE861"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工程累计投入占预算比例</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6C7EC586"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工程进度</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566CA249"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利息资本化累计金额</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209AA70F"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其中：本期利息资本化金额</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6807AA70"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本期利息资本化率</w:t>
            </w:r>
          </w:p>
        </w:tc>
        <w:tc>
          <w:tcPr>
            <w:tcW w:w="647" w:type="dxa"/>
            <w:tcBorders>
              <w:top w:val="single" w:sz="2" w:space="0" w:color="auto"/>
              <w:left w:val="single" w:sz="2" w:space="0" w:color="auto"/>
              <w:bottom w:val="single" w:sz="2" w:space="0" w:color="auto"/>
              <w:right w:val="single" w:sz="2" w:space="0" w:color="auto"/>
            </w:tcBorders>
            <w:shd w:val="clear" w:color="auto" w:fill="D3D3D3"/>
            <w:vAlign w:val="center"/>
          </w:tcPr>
          <w:p w14:paraId="0922692D" w14:textId="77777777" w:rsidR="00A46BF1" w:rsidRPr="00DA4D79" w:rsidRDefault="00A46BF1" w:rsidP="00DA4D79">
            <w:pPr>
              <w:spacing w:before="40" w:after="40" w:line="360" w:lineRule="auto"/>
              <w:jc w:val="center"/>
              <w:rPr>
                <w:rFonts w:ascii="Times New Roman" w:eastAsia="宋体" w:hAnsi="Times New Roman" w:cs="Times New Roman"/>
                <w:sz w:val="13"/>
                <w:szCs w:val="13"/>
              </w:rPr>
            </w:pPr>
            <w:r w:rsidRPr="00DA4D79">
              <w:rPr>
                <w:rFonts w:ascii="Times New Roman" w:eastAsia="宋体" w:hAnsi="Times New Roman" w:cs="Times New Roman"/>
                <w:sz w:val="13"/>
                <w:szCs w:val="13"/>
              </w:rPr>
              <w:t>资金来源</w:t>
            </w:r>
          </w:p>
        </w:tc>
      </w:tr>
      <w:tr w:rsidR="00BF025C" w14:paraId="53F3D3E1" w14:textId="77777777" w:rsidTr="00BF025C">
        <w:trPr>
          <w:trHeight w:val="240"/>
        </w:trPr>
        <w:tc>
          <w:tcPr>
            <w:tcW w:w="636" w:type="dxa"/>
            <w:tcBorders>
              <w:top w:val="single" w:sz="2" w:space="0" w:color="auto"/>
              <w:left w:val="single" w:sz="2" w:space="0" w:color="auto"/>
              <w:bottom w:val="single" w:sz="2" w:space="0" w:color="auto"/>
              <w:right w:val="single" w:sz="2" w:space="0" w:color="auto"/>
            </w:tcBorders>
            <w:vAlign w:val="center"/>
          </w:tcPr>
          <w:p w14:paraId="3ED3CB17" w14:textId="77777777" w:rsidR="00A46BF1" w:rsidRPr="00DA4D79" w:rsidRDefault="00A46BF1" w:rsidP="00DA4D79">
            <w:pPr>
              <w:spacing w:line="360" w:lineRule="auto"/>
              <w:rPr>
                <w:rFonts w:ascii="Times New Roman" w:eastAsia="宋体" w:hAnsi="Times New Roman" w:cs="Times New Roman"/>
                <w:sz w:val="13"/>
                <w:szCs w:val="13"/>
              </w:rPr>
            </w:pPr>
            <w:r w:rsidRPr="00DA4D79">
              <w:rPr>
                <w:rFonts w:ascii="Times New Roman" w:eastAsia="宋体" w:hAnsi="Times New Roman" w:cs="Times New Roman"/>
                <w:sz w:val="13"/>
                <w:szCs w:val="13"/>
              </w:rPr>
              <w:t>iPOCT</w:t>
            </w:r>
            <w:r w:rsidRPr="00DA4D79">
              <w:rPr>
                <w:rFonts w:ascii="Times New Roman" w:eastAsia="宋体" w:hAnsi="Times New Roman" w:cs="Times New Roman"/>
                <w:sz w:val="13"/>
                <w:szCs w:val="13"/>
              </w:rPr>
              <w:t>工业园项目（三期）</w:t>
            </w:r>
          </w:p>
        </w:tc>
        <w:tc>
          <w:tcPr>
            <w:tcW w:w="985" w:type="dxa"/>
            <w:tcBorders>
              <w:top w:val="single" w:sz="2" w:space="0" w:color="auto"/>
              <w:left w:val="single" w:sz="2" w:space="0" w:color="auto"/>
              <w:bottom w:val="single" w:sz="2" w:space="0" w:color="auto"/>
              <w:right w:val="single" w:sz="2" w:space="0" w:color="auto"/>
            </w:tcBorders>
            <w:vAlign w:val="center"/>
          </w:tcPr>
          <w:p w14:paraId="5E2316CF"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480,696,015.00</w:t>
            </w:r>
          </w:p>
        </w:tc>
        <w:tc>
          <w:tcPr>
            <w:tcW w:w="993" w:type="dxa"/>
            <w:tcBorders>
              <w:top w:val="single" w:sz="2" w:space="0" w:color="auto"/>
              <w:left w:val="single" w:sz="2" w:space="0" w:color="auto"/>
              <w:bottom w:val="single" w:sz="2" w:space="0" w:color="auto"/>
              <w:right w:val="single" w:sz="2" w:space="0" w:color="auto"/>
            </w:tcBorders>
            <w:vAlign w:val="center"/>
          </w:tcPr>
          <w:p w14:paraId="032EDACB"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167,142,904.09</w:t>
            </w:r>
          </w:p>
        </w:tc>
        <w:tc>
          <w:tcPr>
            <w:tcW w:w="850" w:type="dxa"/>
            <w:tcBorders>
              <w:top w:val="single" w:sz="2" w:space="0" w:color="auto"/>
              <w:left w:val="single" w:sz="2" w:space="0" w:color="auto"/>
              <w:bottom w:val="single" w:sz="2" w:space="0" w:color="auto"/>
              <w:right w:val="single" w:sz="2" w:space="0" w:color="auto"/>
            </w:tcBorders>
            <w:vAlign w:val="center"/>
          </w:tcPr>
          <w:p w14:paraId="378C5E2F"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85,305,109.72</w:t>
            </w:r>
          </w:p>
        </w:tc>
        <w:tc>
          <w:tcPr>
            <w:tcW w:w="709" w:type="dxa"/>
            <w:tcBorders>
              <w:top w:val="single" w:sz="2" w:space="0" w:color="auto"/>
              <w:left w:val="single" w:sz="2" w:space="0" w:color="auto"/>
              <w:bottom w:val="single" w:sz="2" w:space="0" w:color="auto"/>
              <w:right w:val="single" w:sz="2" w:space="0" w:color="auto"/>
            </w:tcBorders>
            <w:vAlign w:val="center"/>
          </w:tcPr>
          <w:p w14:paraId="1F061303"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vAlign w:val="center"/>
          </w:tcPr>
          <w:p w14:paraId="47140DB7"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vAlign w:val="center"/>
          </w:tcPr>
          <w:p w14:paraId="675F0516"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252,448,013.81</w:t>
            </w:r>
          </w:p>
        </w:tc>
        <w:tc>
          <w:tcPr>
            <w:tcW w:w="709" w:type="dxa"/>
            <w:tcBorders>
              <w:top w:val="single" w:sz="2" w:space="0" w:color="auto"/>
              <w:left w:val="single" w:sz="2" w:space="0" w:color="auto"/>
              <w:bottom w:val="single" w:sz="2" w:space="0" w:color="auto"/>
              <w:right w:val="single" w:sz="2" w:space="0" w:color="auto"/>
            </w:tcBorders>
            <w:vAlign w:val="center"/>
          </w:tcPr>
          <w:p w14:paraId="43531481"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58.87%</w:t>
            </w:r>
          </w:p>
        </w:tc>
        <w:tc>
          <w:tcPr>
            <w:tcW w:w="709" w:type="dxa"/>
            <w:tcBorders>
              <w:top w:val="single" w:sz="2" w:space="0" w:color="auto"/>
              <w:left w:val="single" w:sz="2" w:space="0" w:color="auto"/>
              <w:bottom w:val="single" w:sz="2" w:space="0" w:color="auto"/>
              <w:right w:val="single" w:sz="2" w:space="0" w:color="auto"/>
            </w:tcBorders>
            <w:vAlign w:val="center"/>
          </w:tcPr>
          <w:p w14:paraId="654667D6" w14:textId="77777777" w:rsidR="00A46BF1" w:rsidRPr="00DA4D79" w:rsidRDefault="00A46BF1" w:rsidP="00DA4D79">
            <w:pPr>
              <w:spacing w:line="360" w:lineRule="auto"/>
              <w:rPr>
                <w:rFonts w:ascii="Times New Roman" w:eastAsia="宋体" w:hAnsi="Times New Roman" w:cs="Times New Roman"/>
                <w:sz w:val="13"/>
                <w:szCs w:val="13"/>
              </w:rPr>
            </w:pPr>
            <w:r w:rsidRPr="00DA4D79">
              <w:rPr>
                <w:rFonts w:ascii="Times New Roman" w:eastAsia="宋体" w:hAnsi="Times New Roman" w:cs="Times New Roman"/>
                <w:sz w:val="13"/>
                <w:szCs w:val="13"/>
              </w:rPr>
              <w:t>58.87%</w:t>
            </w:r>
          </w:p>
        </w:tc>
        <w:tc>
          <w:tcPr>
            <w:tcW w:w="567" w:type="dxa"/>
            <w:tcBorders>
              <w:top w:val="single" w:sz="2" w:space="0" w:color="auto"/>
              <w:left w:val="single" w:sz="2" w:space="0" w:color="auto"/>
              <w:bottom w:val="single" w:sz="2" w:space="0" w:color="auto"/>
              <w:right w:val="single" w:sz="2" w:space="0" w:color="auto"/>
            </w:tcBorders>
            <w:vAlign w:val="center"/>
          </w:tcPr>
          <w:p w14:paraId="590A67D0"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7F3D860D"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vAlign w:val="center"/>
          </w:tcPr>
          <w:p w14:paraId="764CABB6"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647" w:type="dxa"/>
            <w:tcBorders>
              <w:top w:val="single" w:sz="2" w:space="0" w:color="auto"/>
              <w:left w:val="single" w:sz="2" w:space="0" w:color="auto"/>
              <w:bottom w:val="single" w:sz="2" w:space="0" w:color="auto"/>
              <w:right w:val="single" w:sz="2" w:space="0" w:color="auto"/>
            </w:tcBorders>
            <w:vAlign w:val="center"/>
          </w:tcPr>
          <w:p w14:paraId="76646338" w14:textId="0EA93F12" w:rsidR="00A46BF1" w:rsidRPr="00DA4D79" w:rsidRDefault="00DA4D79" w:rsidP="00DA4D79">
            <w:pPr>
              <w:spacing w:line="360" w:lineRule="auto"/>
              <w:rPr>
                <w:rFonts w:ascii="Times New Roman" w:eastAsia="宋体" w:hAnsi="Times New Roman" w:cs="Times New Roman"/>
                <w:sz w:val="13"/>
                <w:szCs w:val="13"/>
              </w:rPr>
            </w:pPr>
            <w:r w:rsidRPr="00DA4D79">
              <w:rPr>
                <w:rFonts w:ascii="Times New Roman" w:eastAsia="宋体" w:hAnsi="Times New Roman" w:cs="Times New Roman" w:hint="eastAsia"/>
                <w:sz w:val="13"/>
                <w:szCs w:val="13"/>
              </w:rPr>
              <w:t>自有资金</w:t>
            </w:r>
          </w:p>
        </w:tc>
      </w:tr>
      <w:tr w:rsidR="00BF025C" w14:paraId="4191577F" w14:textId="77777777" w:rsidTr="00BF025C">
        <w:trPr>
          <w:trHeight w:val="240"/>
        </w:trPr>
        <w:tc>
          <w:tcPr>
            <w:tcW w:w="636" w:type="dxa"/>
            <w:tcBorders>
              <w:top w:val="single" w:sz="2" w:space="0" w:color="auto"/>
              <w:left w:val="single" w:sz="2" w:space="0" w:color="auto"/>
              <w:bottom w:val="single" w:sz="2" w:space="0" w:color="auto"/>
              <w:right w:val="single" w:sz="2" w:space="0" w:color="auto"/>
            </w:tcBorders>
            <w:shd w:val="clear" w:color="auto" w:fill="D3D3D3"/>
            <w:vAlign w:val="center"/>
          </w:tcPr>
          <w:p w14:paraId="0BF2EF44" w14:textId="77777777" w:rsidR="00A46BF1" w:rsidRPr="00DA4D79" w:rsidRDefault="00A46BF1" w:rsidP="00DA4D79">
            <w:pPr>
              <w:spacing w:before="40" w:after="40" w:line="360" w:lineRule="auto"/>
              <w:rPr>
                <w:rFonts w:ascii="Times New Roman" w:eastAsia="宋体" w:hAnsi="Times New Roman" w:cs="Times New Roman"/>
                <w:sz w:val="13"/>
                <w:szCs w:val="13"/>
              </w:rPr>
            </w:pPr>
            <w:r w:rsidRPr="00DA4D79">
              <w:rPr>
                <w:rFonts w:ascii="Times New Roman" w:eastAsia="宋体" w:hAnsi="Times New Roman" w:cs="Times New Roman"/>
                <w:sz w:val="13"/>
                <w:szCs w:val="13"/>
              </w:rPr>
              <w:t>合计</w:t>
            </w:r>
          </w:p>
        </w:tc>
        <w:tc>
          <w:tcPr>
            <w:tcW w:w="985" w:type="dxa"/>
            <w:tcBorders>
              <w:top w:val="single" w:sz="2" w:space="0" w:color="auto"/>
              <w:left w:val="single" w:sz="2" w:space="0" w:color="auto"/>
              <w:bottom w:val="single" w:sz="2" w:space="0" w:color="auto"/>
              <w:right w:val="single" w:sz="2" w:space="0" w:color="auto"/>
            </w:tcBorders>
            <w:vAlign w:val="center"/>
          </w:tcPr>
          <w:p w14:paraId="01D1CA4A"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480,696,015.00</w:t>
            </w:r>
          </w:p>
        </w:tc>
        <w:tc>
          <w:tcPr>
            <w:tcW w:w="993" w:type="dxa"/>
            <w:tcBorders>
              <w:top w:val="single" w:sz="2" w:space="0" w:color="auto"/>
              <w:left w:val="single" w:sz="2" w:space="0" w:color="auto"/>
              <w:bottom w:val="single" w:sz="2" w:space="0" w:color="auto"/>
              <w:right w:val="single" w:sz="2" w:space="0" w:color="auto"/>
            </w:tcBorders>
            <w:vAlign w:val="center"/>
          </w:tcPr>
          <w:p w14:paraId="684A3067"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167,142,904.09</w:t>
            </w:r>
          </w:p>
        </w:tc>
        <w:tc>
          <w:tcPr>
            <w:tcW w:w="850" w:type="dxa"/>
            <w:tcBorders>
              <w:top w:val="single" w:sz="2" w:space="0" w:color="auto"/>
              <w:left w:val="single" w:sz="2" w:space="0" w:color="auto"/>
              <w:bottom w:val="single" w:sz="2" w:space="0" w:color="auto"/>
              <w:right w:val="single" w:sz="2" w:space="0" w:color="auto"/>
            </w:tcBorders>
            <w:vAlign w:val="center"/>
          </w:tcPr>
          <w:p w14:paraId="012FD01E"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85,305,109.72</w:t>
            </w:r>
          </w:p>
        </w:tc>
        <w:tc>
          <w:tcPr>
            <w:tcW w:w="709" w:type="dxa"/>
            <w:tcBorders>
              <w:top w:val="single" w:sz="2" w:space="0" w:color="auto"/>
              <w:left w:val="single" w:sz="2" w:space="0" w:color="auto"/>
              <w:bottom w:val="single" w:sz="2" w:space="0" w:color="auto"/>
              <w:right w:val="single" w:sz="2" w:space="0" w:color="auto"/>
            </w:tcBorders>
            <w:vAlign w:val="center"/>
          </w:tcPr>
          <w:p w14:paraId="224FBA36"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vAlign w:val="center"/>
          </w:tcPr>
          <w:p w14:paraId="67A75CA4"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992" w:type="dxa"/>
            <w:tcBorders>
              <w:top w:val="single" w:sz="2" w:space="0" w:color="auto"/>
              <w:left w:val="single" w:sz="2" w:space="0" w:color="auto"/>
              <w:bottom w:val="single" w:sz="2" w:space="0" w:color="auto"/>
              <w:right w:val="single" w:sz="2" w:space="0" w:color="auto"/>
            </w:tcBorders>
            <w:vAlign w:val="center"/>
          </w:tcPr>
          <w:p w14:paraId="1A99FFAC" w14:textId="77777777" w:rsidR="00A46BF1" w:rsidRPr="00DA4D79" w:rsidRDefault="00A46BF1" w:rsidP="00DA4D79">
            <w:pPr>
              <w:spacing w:line="360" w:lineRule="auto"/>
              <w:jc w:val="right"/>
              <w:rPr>
                <w:rFonts w:ascii="Times New Roman" w:eastAsia="宋体" w:hAnsi="Times New Roman" w:cs="Times New Roman"/>
                <w:sz w:val="13"/>
                <w:szCs w:val="13"/>
              </w:rPr>
            </w:pPr>
            <w:r w:rsidRPr="00DA4D79">
              <w:rPr>
                <w:rFonts w:ascii="Times New Roman" w:eastAsia="宋体" w:hAnsi="Times New Roman" w:cs="Times New Roman"/>
                <w:sz w:val="13"/>
                <w:szCs w:val="13"/>
              </w:rPr>
              <w:t>252,448,013.81</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0F21D7D" w14:textId="77777777" w:rsidR="00A46BF1" w:rsidRPr="00DA4D79" w:rsidRDefault="00A46BF1" w:rsidP="00DA4D79">
            <w:pPr>
              <w:spacing w:line="360" w:lineRule="auto"/>
              <w:rPr>
                <w:rFonts w:ascii="Times New Roman" w:hAnsi="Times New Roman" w:cs="Times New Roman"/>
                <w:sz w:val="13"/>
                <w:szCs w:val="13"/>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361FA23" w14:textId="77777777" w:rsidR="00A46BF1" w:rsidRPr="00DA4D79" w:rsidRDefault="00A46BF1" w:rsidP="00DA4D79">
            <w:pPr>
              <w:spacing w:line="360" w:lineRule="auto"/>
              <w:rPr>
                <w:rFonts w:ascii="Times New Roman"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vAlign w:val="center"/>
          </w:tcPr>
          <w:p w14:paraId="60C5CD41"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1F602DD4"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567" w:type="dxa"/>
            <w:tcBorders>
              <w:top w:val="single" w:sz="2" w:space="0" w:color="auto"/>
              <w:left w:val="single" w:sz="2" w:space="0" w:color="auto"/>
              <w:bottom w:val="single" w:sz="2" w:space="0" w:color="auto"/>
              <w:right w:val="single" w:sz="2" w:space="0" w:color="auto"/>
            </w:tcBorders>
            <w:vAlign w:val="center"/>
          </w:tcPr>
          <w:p w14:paraId="47CAD11E" w14:textId="77777777" w:rsidR="00A46BF1" w:rsidRPr="00DA4D79" w:rsidRDefault="00A46BF1" w:rsidP="00DA4D79">
            <w:pPr>
              <w:spacing w:line="360" w:lineRule="auto"/>
              <w:jc w:val="right"/>
              <w:rPr>
                <w:rFonts w:ascii="Times New Roman" w:eastAsia="宋体" w:hAnsi="Times New Roman" w:cs="Times New Roman"/>
                <w:sz w:val="13"/>
                <w:szCs w:val="13"/>
              </w:rPr>
            </w:pPr>
          </w:p>
        </w:tc>
        <w:tc>
          <w:tcPr>
            <w:tcW w:w="647" w:type="dxa"/>
            <w:tcBorders>
              <w:top w:val="single" w:sz="2" w:space="0" w:color="auto"/>
              <w:left w:val="single" w:sz="2" w:space="0" w:color="auto"/>
              <w:bottom w:val="single" w:sz="2" w:space="0" w:color="auto"/>
              <w:right w:val="single" w:sz="2" w:space="0" w:color="auto"/>
            </w:tcBorders>
            <w:shd w:val="clear" w:color="auto" w:fill="D3D3D3"/>
            <w:vAlign w:val="center"/>
          </w:tcPr>
          <w:p w14:paraId="4AC54117" w14:textId="77777777" w:rsidR="00A46BF1" w:rsidRPr="00DA4D79" w:rsidRDefault="00A46BF1" w:rsidP="00DA4D79">
            <w:pPr>
              <w:spacing w:line="360" w:lineRule="auto"/>
              <w:rPr>
                <w:rFonts w:ascii="Times New Roman" w:hAnsi="Times New Roman" w:cs="Times New Roman"/>
                <w:sz w:val="13"/>
                <w:szCs w:val="13"/>
              </w:rPr>
            </w:pPr>
          </w:p>
        </w:tc>
      </w:tr>
    </w:tbl>
    <w:p w14:paraId="74CED3B8"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本期计提在建工程减值准备情况</w:t>
      </w:r>
    </w:p>
    <w:p w14:paraId="3D9D201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5F635893"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FE61CDA"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EDBDFF"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09EC191"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574C107"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B1DEBDC"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5EE00E2"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计提原因</w:t>
            </w:r>
          </w:p>
        </w:tc>
      </w:tr>
      <w:tr w:rsidR="00095F6F" w14:paraId="08E673C9"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56937CD8" w14:textId="77777777" w:rsidR="00A46BF1" w:rsidRPr="00BF025C" w:rsidRDefault="00A46BF1" w:rsidP="00BF025C">
            <w:pPr>
              <w:spacing w:line="360" w:lineRule="auto"/>
              <w:rPr>
                <w:rFonts w:ascii="Times New Roman" w:eastAsia="宋体" w:hAnsi="Times New Roman" w:cs="Times New Roman"/>
                <w:sz w:val="18"/>
                <w:szCs w:val="18"/>
              </w:rPr>
            </w:pPr>
            <w:r w:rsidRPr="00BF025C">
              <w:rPr>
                <w:rFonts w:ascii="Times New Roman" w:eastAsia="宋体" w:hAnsi="Times New Roman" w:cs="Times New Roman"/>
                <w:sz w:val="18"/>
                <w:szCs w:val="18"/>
              </w:rPr>
              <w:t>待安装调试设备</w:t>
            </w:r>
          </w:p>
        </w:tc>
        <w:tc>
          <w:tcPr>
            <w:tcW w:w="1606" w:type="dxa"/>
            <w:tcBorders>
              <w:top w:val="single" w:sz="2" w:space="0" w:color="auto"/>
              <w:left w:val="single" w:sz="2" w:space="0" w:color="auto"/>
              <w:bottom w:val="single" w:sz="2" w:space="0" w:color="auto"/>
              <w:right w:val="single" w:sz="2" w:space="0" w:color="auto"/>
            </w:tcBorders>
            <w:vAlign w:val="center"/>
          </w:tcPr>
          <w:p w14:paraId="732955D7"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3,034,892.16</w:t>
            </w:r>
          </w:p>
        </w:tc>
        <w:tc>
          <w:tcPr>
            <w:tcW w:w="1606" w:type="dxa"/>
            <w:tcBorders>
              <w:top w:val="single" w:sz="2" w:space="0" w:color="auto"/>
              <w:left w:val="single" w:sz="2" w:space="0" w:color="auto"/>
              <w:bottom w:val="single" w:sz="2" w:space="0" w:color="auto"/>
              <w:right w:val="single" w:sz="2" w:space="0" w:color="auto"/>
            </w:tcBorders>
            <w:vAlign w:val="center"/>
          </w:tcPr>
          <w:p w14:paraId="13CEFE1D"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06F74C52"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67,382.00</w:t>
            </w:r>
          </w:p>
        </w:tc>
        <w:tc>
          <w:tcPr>
            <w:tcW w:w="1606" w:type="dxa"/>
            <w:tcBorders>
              <w:top w:val="single" w:sz="2" w:space="0" w:color="auto"/>
              <w:left w:val="single" w:sz="2" w:space="0" w:color="auto"/>
              <w:bottom w:val="single" w:sz="2" w:space="0" w:color="auto"/>
              <w:right w:val="single" w:sz="2" w:space="0" w:color="auto"/>
            </w:tcBorders>
            <w:vAlign w:val="center"/>
          </w:tcPr>
          <w:p w14:paraId="58379897"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2,967,510.16</w:t>
            </w:r>
          </w:p>
        </w:tc>
        <w:tc>
          <w:tcPr>
            <w:tcW w:w="1606" w:type="dxa"/>
            <w:tcBorders>
              <w:top w:val="single" w:sz="2" w:space="0" w:color="auto"/>
              <w:left w:val="single" w:sz="2" w:space="0" w:color="auto"/>
              <w:bottom w:val="single" w:sz="2" w:space="0" w:color="auto"/>
              <w:right w:val="single" w:sz="2" w:space="0" w:color="auto"/>
            </w:tcBorders>
            <w:vAlign w:val="center"/>
          </w:tcPr>
          <w:p w14:paraId="67E5B889" w14:textId="77777777" w:rsidR="00A46BF1" w:rsidRPr="00BF025C" w:rsidRDefault="00A46BF1" w:rsidP="00BF025C">
            <w:pPr>
              <w:spacing w:line="360" w:lineRule="auto"/>
              <w:rPr>
                <w:rFonts w:ascii="Times New Roman" w:eastAsia="宋体" w:hAnsi="Times New Roman" w:cs="Times New Roman"/>
                <w:sz w:val="18"/>
                <w:szCs w:val="18"/>
              </w:rPr>
            </w:pPr>
          </w:p>
        </w:tc>
      </w:tr>
      <w:tr w:rsidR="00095F6F" w14:paraId="427AB142"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45D881A" w14:textId="77777777" w:rsidR="00A46BF1" w:rsidRPr="00BF025C" w:rsidRDefault="00A46BF1" w:rsidP="00BF025C">
            <w:pPr>
              <w:spacing w:before="40" w:after="40" w:line="360" w:lineRule="auto"/>
              <w:rPr>
                <w:rFonts w:ascii="Times New Roman" w:eastAsia="宋体" w:hAnsi="Times New Roman" w:cs="Times New Roman"/>
                <w:sz w:val="18"/>
                <w:szCs w:val="18"/>
              </w:rPr>
            </w:pPr>
            <w:r w:rsidRPr="00BF025C">
              <w:rPr>
                <w:rFonts w:ascii="Times New Roman" w:eastAsia="宋体" w:hAnsi="Times New Roman" w:cs="Times New Roman"/>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733B38F7"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3,034,892.16</w:t>
            </w:r>
          </w:p>
        </w:tc>
        <w:tc>
          <w:tcPr>
            <w:tcW w:w="1606" w:type="dxa"/>
            <w:tcBorders>
              <w:top w:val="single" w:sz="2" w:space="0" w:color="auto"/>
              <w:left w:val="single" w:sz="2" w:space="0" w:color="auto"/>
              <w:bottom w:val="single" w:sz="2" w:space="0" w:color="auto"/>
              <w:right w:val="single" w:sz="2" w:space="0" w:color="auto"/>
            </w:tcBorders>
            <w:vAlign w:val="center"/>
          </w:tcPr>
          <w:p w14:paraId="42054EAC"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1606" w:type="dxa"/>
            <w:tcBorders>
              <w:top w:val="single" w:sz="2" w:space="0" w:color="auto"/>
              <w:left w:val="single" w:sz="2" w:space="0" w:color="auto"/>
              <w:bottom w:val="single" w:sz="2" w:space="0" w:color="auto"/>
              <w:right w:val="single" w:sz="2" w:space="0" w:color="auto"/>
            </w:tcBorders>
            <w:vAlign w:val="center"/>
          </w:tcPr>
          <w:p w14:paraId="60A7E889"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67,382.00</w:t>
            </w:r>
          </w:p>
        </w:tc>
        <w:tc>
          <w:tcPr>
            <w:tcW w:w="1606" w:type="dxa"/>
            <w:tcBorders>
              <w:top w:val="single" w:sz="2" w:space="0" w:color="auto"/>
              <w:left w:val="single" w:sz="2" w:space="0" w:color="auto"/>
              <w:bottom w:val="single" w:sz="2" w:space="0" w:color="auto"/>
              <w:right w:val="single" w:sz="2" w:space="0" w:color="auto"/>
            </w:tcBorders>
            <w:vAlign w:val="center"/>
          </w:tcPr>
          <w:p w14:paraId="2490B79F"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2,967,510.16</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EE11F29"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w:t>
            </w:r>
          </w:p>
        </w:tc>
      </w:tr>
    </w:tbl>
    <w:p w14:paraId="15D5019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7A9DD23" w14:textId="77777777" w:rsidR="00A46BF1" w:rsidRPr="00BF025C" w:rsidRDefault="00A46BF1" w:rsidP="00BF025C">
      <w:pPr>
        <w:spacing w:before="100" w:after="100" w:line="240" w:lineRule="exact"/>
        <w:rPr>
          <w:rFonts w:ascii="宋体" w:eastAsia="宋体" w:hAnsi="宋体" w:cs="宋体"/>
          <w:sz w:val="18"/>
          <w:szCs w:val="18"/>
        </w:rPr>
      </w:pPr>
      <w:r w:rsidRPr="00BF025C">
        <w:rPr>
          <w:rFonts w:ascii="宋体" w:eastAsia="宋体" w:hAnsi="宋体" w:cs="宋体" w:hint="eastAsia"/>
          <w:sz w:val="18"/>
          <w:szCs w:val="18"/>
        </w:rPr>
        <w:t>无</w:t>
      </w:r>
    </w:p>
    <w:p w14:paraId="3A9549CD"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在建工程的减值测试情况</w:t>
      </w:r>
    </w:p>
    <w:p w14:paraId="0C3D1F4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FE4DC07" w14:textId="7F3D9F9B" w:rsidR="00A46BF1" w:rsidRDefault="00A46BF1" w:rsidP="00A46BF1">
      <w:pPr>
        <w:pStyle w:val="3"/>
        <w:spacing w:line="280" w:lineRule="exact"/>
        <w:jc w:val="left"/>
        <w:rPr>
          <w:rFonts w:ascii="宋体" w:hAnsi="宋体" w:cs="宋体"/>
          <w:b/>
          <w:bCs/>
        </w:rPr>
      </w:pPr>
      <w:r>
        <w:rPr>
          <w:rFonts w:ascii="宋体" w:hAnsi="宋体" w:cs="宋体"/>
          <w:b/>
          <w:bCs/>
        </w:rPr>
        <w:t>1</w:t>
      </w:r>
      <w:r w:rsidR="00BF025C">
        <w:rPr>
          <w:rFonts w:ascii="宋体" w:hAnsi="宋体" w:cs="宋体"/>
          <w:b/>
          <w:bCs/>
        </w:rPr>
        <w:t>7</w:t>
      </w:r>
      <w:r>
        <w:rPr>
          <w:rFonts w:ascii="宋体" w:hAnsi="宋体" w:cs="宋体"/>
          <w:b/>
          <w:bCs/>
        </w:rPr>
        <w:t>、使用权资产</w:t>
      </w:r>
    </w:p>
    <w:p w14:paraId="29D9C31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使用权资产情况</w:t>
      </w:r>
    </w:p>
    <w:p w14:paraId="221E65A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27A2DF8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2EB421"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vAlign w:val="center"/>
          </w:tcPr>
          <w:p w14:paraId="31C0FE27" w14:textId="77777777" w:rsidR="00A46BF1" w:rsidRPr="00BF025C" w:rsidRDefault="00A46BF1" w:rsidP="00BF025C">
            <w:pPr>
              <w:spacing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房屋建筑物</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E2DF6F" w14:textId="77777777" w:rsidR="00A46BF1" w:rsidRPr="00BF025C" w:rsidRDefault="00A46BF1" w:rsidP="00BF025C">
            <w:pPr>
              <w:spacing w:before="40" w:after="40" w:line="360" w:lineRule="auto"/>
              <w:jc w:val="center"/>
              <w:rPr>
                <w:rFonts w:ascii="Times New Roman" w:eastAsia="宋体" w:hAnsi="Times New Roman" w:cs="Times New Roman"/>
                <w:sz w:val="18"/>
                <w:szCs w:val="18"/>
              </w:rPr>
            </w:pPr>
            <w:r w:rsidRPr="00BF025C">
              <w:rPr>
                <w:rFonts w:ascii="Times New Roman" w:eastAsia="宋体" w:hAnsi="Times New Roman" w:cs="Times New Roman"/>
                <w:sz w:val="18"/>
                <w:szCs w:val="18"/>
              </w:rPr>
              <w:t>合计</w:t>
            </w:r>
          </w:p>
        </w:tc>
      </w:tr>
      <w:tr w:rsidR="00095F6F" w14:paraId="1F63F71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DB8C9B" w14:textId="77777777" w:rsidR="00A46BF1" w:rsidRPr="00BF025C" w:rsidRDefault="00A46BF1" w:rsidP="00BF025C">
            <w:pPr>
              <w:spacing w:before="40" w:after="40" w:line="360" w:lineRule="auto"/>
              <w:rPr>
                <w:rFonts w:ascii="Times New Roman" w:eastAsia="宋体" w:hAnsi="Times New Roman" w:cs="Times New Roman"/>
                <w:sz w:val="18"/>
                <w:szCs w:val="18"/>
              </w:rPr>
            </w:pPr>
            <w:r w:rsidRPr="00BF025C">
              <w:rPr>
                <w:rFonts w:ascii="Times New Roman" w:eastAsia="宋体" w:hAnsi="Times New Roman" w:cs="Times New Roman"/>
                <w:sz w:val="18"/>
                <w:szCs w:val="18"/>
              </w:rPr>
              <w:t>一、账面原值</w:t>
            </w:r>
          </w:p>
        </w:tc>
        <w:tc>
          <w:tcPr>
            <w:tcW w:w="3213" w:type="dxa"/>
            <w:tcBorders>
              <w:top w:val="single" w:sz="2" w:space="0" w:color="auto"/>
              <w:left w:val="single" w:sz="2" w:space="0" w:color="auto"/>
              <w:bottom w:val="single" w:sz="2" w:space="0" w:color="auto"/>
              <w:right w:val="single" w:sz="2" w:space="0" w:color="auto"/>
            </w:tcBorders>
            <w:vAlign w:val="center"/>
          </w:tcPr>
          <w:p w14:paraId="51ADDD91"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619D38D"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3D69E1D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94EA0E"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06E40437"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77,048,116.88</w:t>
            </w:r>
          </w:p>
        </w:tc>
        <w:tc>
          <w:tcPr>
            <w:tcW w:w="3213" w:type="dxa"/>
            <w:tcBorders>
              <w:top w:val="single" w:sz="2" w:space="0" w:color="auto"/>
              <w:left w:val="single" w:sz="2" w:space="0" w:color="auto"/>
              <w:bottom w:val="single" w:sz="2" w:space="0" w:color="auto"/>
              <w:right w:val="single" w:sz="2" w:space="0" w:color="auto"/>
            </w:tcBorders>
            <w:vAlign w:val="center"/>
          </w:tcPr>
          <w:p w14:paraId="74825F62"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77,048,116.88</w:t>
            </w:r>
          </w:p>
        </w:tc>
      </w:tr>
      <w:tr w:rsidR="00095F6F" w14:paraId="65BDC30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2115AB"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2.</w:t>
            </w:r>
            <w:r w:rsidRPr="00BF025C">
              <w:rPr>
                <w:rFonts w:ascii="Times New Roman" w:eastAsia="宋体" w:hAnsi="Times New Roman" w:cs="Times New Roman"/>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14:paraId="0C491E56"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5,918,493.85</w:t>
            </w:r>
          </w:p>
        </w:tc>
        <w:tc>
          <w:tcPr>
            <w:tcW w:w="3213" w:type="dxa"/>
            <w:tcBorders>
              <w:top w:val="single" w:sz="2" w:space="0" w:color="auto"/>
              <w:left w:val="single" w:sz="2" w:space="0" w:color="auto"/>
              <w:bottom w:val="single" w:sz="2" w:space="0" w:color="auto"/>
              <w:right w:val="single" w:sz="2" w:space="0" w:color="auto"/>
            </w:tcBorders>
            <w:vAlign w:val="center"/>
          </w:tcPr>
          <w:p w14:paraId="6C1D7B38"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5,918,493.85</w:t>
            </w:r>
          </w:p>
        </w:tc>
      </w:tr>
      <w:tr w:rsidR="00095F6F" w14:paraId="5DFD8D4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D70BAF" w14:textId="77777777" w:rsidR="00A46BF1" w:rsidRPr="00BF025C" w:rsidRDefault="00A46BF1" w:rsidP="00543F0E">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）租入</w:t>
            </w:r>
          </w:p>
        </w:tc>
        <w:tc>
          <w:tcPr>
            <w:tcW w:w="3213" w:type="dxa"/>
            <w:tcBorders>
              <w:top w:val="single" w:sz="2" w:space="0" w:color="auto"/>
              <w:left w:val="single" w:sz="2" w:space="0" w:color="auto"/>
              <w:bottom w:val="single" w:sz="2" w:space="0" w:color="auto"/>
              <w:right w:val="single" w:sz="2" w:space="0" w:color="auto"/>
            </w:tcBorders>
            <w:vAlign w:val="center"/>
          </w:tcPr>
          <w:p w14:paraId="25E7E6E2"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5,918,493.85</w:t>
            </w:r>
          </w:p>
        </w:tc>
        <w:tc>
          <w:tcPr>
            <w:tcW w:w="3213" w:type="dxa"/>
            <w:tcBorders>
              <w:top w:val="single" w:sz="2" w:space="0" w:color="auto"/>
              <w:left w:val="single" w:sz="2" w:space="0" w:color="auto"/>
              <w:bottom w:val="single" w:sz="2" w:space="0" w:color="auto"/>
              <w:right w:val="single" w:sz="2" w:space="0" w:color="auto"/>
            </w:tcBorders>
            <w:vAlign w:val="center"/>
          </w:tcPr>
          <w:p w14:paraId="4C912951"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5,918,493.85</w:t>
            </w:r>
          </w:p>
        </w:tc>
      </w:tr>
      <w:tr w:rsidR="00095F6F" w14:paraId="00DD964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4461DE"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3.</w:t>
            </w:r>
            <w:r w:rsidRPr="00BF025C">
              <w:rPr>
                <w:rFonts w:ascii="Times New Roman" w:eastAsia="宋体" w:hAnsi="Times New Roman" w:cs="Times New Roman"/>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14:paraId="596B33ED"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2,021,789.25</w:t>
            </w:r>
          </w:p>
        </w:tc>
        <w:tc>
          <w:tcPr>
            <w:tcW w:w="3213" w:type="dxa"/>
            <w:tcBorders>
              <w:top w:val="single" w:sz="2" w:space="0" w:color="auto"/>
              <w:left w:val="single" w:sz="2" w:space="0" w:color="auto"/>
              <w:bottom w:val="single" w:sz="2" w:space="0" w:color="auto"/>
              <w:right w:val="single" w:sz="2" w:space="0" w:color="auto"/>
            </w:tcBorders>
            <w:vAlign w:val="center"/>
          </w:tcPr>
          <w:p w14:paraId="00B3E05F"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2,021,789.25</w:t>
            </w:r>
          </w:p>
        </w:tc>
      </w:tr>
      <w:tr w:rsidR="00095F6F" w14:paraId="3136353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B6141FB" w14:textId="77777777" w:rsidR="00A46BF1" w:rsidRPr="00BF025C" w:rsidRDefault="00A46BF1" w:rsidP="00543F0E">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14:paraId="0D2D236C"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561,895.12</w:t>
            </w:r>
          </w:p>
        </w:tc>
        <w:tc>
          <w:tcPr>
            <w:tcW w:w="3213" w:type="dxa"/>
            <w:tcBorders>
              <w:top w:val="single" w:sz="2" w:space="0" w:color="auto"/>
              <w:left w:val="single" w:sz="2" w:space="0" w:color="auto"/>
              <w:bottom w:val="single" w:sz="2" w:space="0" w:color="auto"/>
              <w:right w:val="single" w:sz="2" w:space="0" w:color="auto"/>
            </w:tcBorders>
            <w:vAlign w:val="center"/>
          </w:tcPr>
          <w:p w14:paraId="17B4B164"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561,895.12</w:t>
            </w:r>
          </w:p>
        </w:tc>
      </w:tr>
      <w:tr w:rsidR="00095F6F" w14:paraId="6CFDEBA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3D15039" w14:textId="77777777" w:rsidR="00A46BF1" w:rsidRPr="00BF025C" w:rsidRDefault="00A46BF1" w:rsidP="00543F0E">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2</w:t>
            </w:r>
            <w:r w:rsidRPr="00BF025C">
              <w:rPr>
                <w:rFonts w:ascii="Times New Roman" w:eastAsia="宋体" w:hAnsi="Times New Roman" w:cs="Times New Roman"/>
                <w:sz w:val="18"/>
                <w:szCs w:val="18"/>
              </w:rPr>
              <w:t>）汇率变动</w:t>
            </w:r>
          </w:p>
        </w:tc>
        <w:tc>
          <w:tcPr>
            <w:tcW w:w="3213" w:type="dxa"/>
            <w:tcBorders>
              <w:top w:val="single" w:sz="2" w:space="0" w:color="auto"/>
              <w:left w:val="single" w:sz="2" w:space="0" w:color="auto"/>
              <w:bottom w:val="single" w:sz="2" w:space="0" w:color="auto"/>
              <w:right w:val="single" w:sz="2" w:space="0" w:color="auto"/>
            </w:tcBorders>
            <w:vAlign w:val="center"/>
          </w:tcPr>
          <w:p w14:paraId="2FFF6C3B"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1,459,894.13</w:t>
            </w:r>
          </w:p>
        </w:tc>
        <w:tc>
          <w:tcPr>
            <w:tcW w:w="3213" w:type="dxa"/>
            <w:tcBorders>
              <w:top w:val="single" w:sz="2" w:space="0" w:color="auto"/>
              <w:left w:val="single" w:sz="2" w:space="0" w:color="auto"/>
              <w:bottom w:val="single" w:sz="2" w:space="0" w:color="auto"/>
              <w:right w:val="single" w:sz="2" w:space="0" w:color="auto"/>
            </w:tcBorders>
            <w:vAlign w:val="center"/>
          </w:tcPr>
          <w:p w14:paraId="74E7DEE2"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1,459,894.13</w:t>
            </w:r>
          </w:p>
        </w:tc>
      </w:tr>
      <w:tr w:rsidR="00095F6F" w14:paraId="181EC70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851BFB"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4.</w:t>
            </w:r>
            <w:r w:rsidRPr="00BF025C">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2F8F26DB"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80,944,821.48</w:t>
            </w:r>
          </w:p>
        </w:tc>
        <w:tc>
          <w:tcPr>
            <w:tcW w:w="3213" w:type="dxa"/>
            <w:tcBorders>
              <w:top w:val="single" w:sz="2" w:space="0" w:color="auto"/>
              <w:left w:val="single" w:sz="2" w:space="0" w:color="auto"/>
              <w:bottom w:val="single" w:sz="2" w:space="0" w:color="auto"/>
              <w:right w:val="single" w:sz="2" w:space="0" w:color="auto"/>
            </w:tcBorders>
            <w:vAlign w:val="center"/>
          </w:tcPr>
          <w:p w14:paraId="21D25BA7"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80,944,821.48</w:t>
            </w:r>
          </w:p>
        </w:tc>
      </w:tr>
      <w:tr w:rsidR="00095F6F" w14:paraId="20C8F52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9DF55E" w14:textId="77777777" w:rsidR="00A46BF1" w:rsidRPr="00BF025C" w:rsidRDefault="00A46BF1" w:rsidP="00BF025C">
            <w:pPr>
              <w:spacing w:before="40" w:after="40" w:line="360" w:lineRule="auto"/>
              <w:rPr>
                <w:rFonts w:ascii="Times New Roman" w:eastAsia="宋体" w:hAnsi="Times New Roman" w:cs="Times New Roman"/>
                <w:sz w:val="18"/>
                <w:szCs w:val="18"/>
              </w:rPr>
            </w:pPr>
            <w:r w:rsidRPr="00BF025C">
              <w:rPr>
                <w:rFonts w:ascii="Times New Roman" w:eastAsia="宋体" w:hAnsi="Times New Roman" w:cs="Times New Roman"/>
                <w:sz w:val="18"/>
                <w:szCs w:val="18"/>
              </w:rPr>
              <w:t>二、累计折旧</w:t>
            </w:r>
          </w:p>
        </w:tc>
        <w:tc>
          <w:tcPr>
            <w:tcW w:w="3213" w:type="dxa"/>
            <w:tcBorders>
              <w:top w:val="single" w:sz="2" w:space="0" w:color="auto"/>
              <w:left w:val="single" w:sz="2" w:space="0" w:color="auto"/>
              <w:bottom w:val="single" w:sz="2" w:space="0" w:color="auto"/>
              <w:right w:val="single" w:sz="2" w:space="0" w:color="auto"/>
            </w:tcBorders>
            <w:vAlign w:val="center"/>
          </w:tcPr>
          <w:p w14:paraId="27DAEA19"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453777C"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789D07A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D3C5E2"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355B724D"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55,032,813.70</w:t>
            </w:r>
          </w:p>
        </w:tc>
        <w:tc>
          <w:tcPr>
            <w:tcW w:w="3213" w:type="dxa"/>
            <w:tcBorders>
              <w:top w:val="single" w:sz="2" w:space="0" w:color="auto"/>
              <w:left w:val="single" w:sz="2" w:space="0" w:color="auto"/>
              <w:bottom w:val="single" w:sz="2" w:space="0" w:color="auto"/>
              <w:right w:val="single" w:sz="2" w:space="0" w:color="auto"/>
            </w:tcBorders>
            <w:vAlign w:val="center"/>
          </w:tcPr>
          <w:p w14:paraId="103CCFEA"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55,032,813.70</w:t>
            </w:r>
          </w:p>
        </w:tc>
      </w:tr>
      <w:tr w:rsidR="00095F6F" w14:paraId="5CD81AF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684A20"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2.</w:t>
            </w:r>
            <w:r w:rsidRPr="00BF025C">
              <w:rPr>
                <w:rFonts w:ascii="Times New Roman" w:eastAsia="宋体" w:hAnsi="Times New Roman" w:cs="Times New Roman"/>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14:paraId="66F08657"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15,460,768.28</w:t>
            </w:r>
          </w:p>
        </w:tc>
        <w:tc>
          <w:tcPr>
            <w:tcW w:w="3213" w:type="dxa"/>
            <w:tcBorders>
              <w:top w:val="single" w:sz="2" w:space="0" w:color="auto"/>
              <w:left w:val="single" w:sz="2" w:space="0" w:color="auto"/>
              <w:bottom w:val="single" w:sz="2" w:space="0" w:color="auto"/>
              <w:right w:val="single" w:sz="2" w:space="0" w:color="auto"/>
            </w:tcBorders>
            <w:vAlign w:val="center"/>
          </w:tcPr>
          <w:p w14:paraId="345E93D8"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15,460,768.28</w:t>
            </w:r>
          </w:p>
        </w:tc>
      </w:tr>
      <w:tr w:rsidR="00095F6F" w14:paraId="3DDD585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5125E2" w14:textId="77777777" w:rsidR="00A46BF1" w:rsidRPr="00BF025C" w:rsidRDefault="00A46BF1" w:rsidP="00BF025C">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）计提</w:t>
            </w:r>
          </w:p>
        </w:tc>
        <w:tc>
          <w:tcPr>
            <w:tcW w:w="3213" w:type="dxa"/>
            <w:tcBorders>
              <w:top w:val="single" w:sz="2" w:space="0" w:color="auto"/>
              <w:left w:val="single" w:sz="2" w:space="0" w:color="auto"/>
              <w:bottom w:val="single" w:sz="2" w:space="0" w:color="auto"/>
              <w:right w:val="single" w:sz="2" w:space="0" w:color="auto"/>
            </w:tcBorders>
            <w:vAlign w:val="center"/>
          </w:tcPr>
          <w:p w14:paraId="60272950"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15,460,768.28</w:t>
            </w:r>
          </w:p>
        </w:tc>
        <w:tc>
          <w:tcPr>
            <w:tcW w:w="3213" w:type="dxa"/>
            <w:tcBorders>
              <w:top w:val="single" w:sz="2" w:space="0" w:color="auto"/>
              <w:left w:val="single" w:sz="2" w:space="0" w:color="auto"/>
              <w:bottom w:val="single" w:sz="2" w:space="0" w:color="auto"/>
              <w:right w:val="single" w:sz="2" w:space="0" w:color="auto"/>
            </w:tcBorders>
            <w:vAlign w:val="center"/>
          </w:tcPr>
          <w:p w14:paraId="5968D693"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15,460,768.28</w:t>
            </w:r>
          </w:p>
        </w:tc>
      </w:tr>
      <w:tr w:rsidR="00095F6F" w14:paraId="40EC733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9748CA"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3.</w:t>
            </w:r>
            <w:r w:rsidRPr="00BF025C">
              <w:rPr>
                <w:rFonts w:ascii="Times New Roman" w:eastAsia="宋体" w:hAnsi="Times New Roman" w:cs="Times New Roman"/>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14:paraId="55D058FB"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1,419,778.98</w:t>
            </w:r>
          </w:p>
        </w:tc>
        <w:tc>
          <w:tcPr>
            <w:tcW w:w="3213" w:type="dxa"/>
            <w:tcBorders>
              <w:top w:val="single" w:sz="2" w:space="0" w:color="auto"/>
              <w:left w:val="single" w:sz="2" w:space="0" w:color="auto"/>
              <w:bottom w:val="single" w:sz="2" w:space="0" w:color="auto"/>
              <w:right w:val="single" w:sz="2" w:space="0" w:color="auto"/>
            </w:tcBorders>
            <w:vAlign w:val="center"/>
          </w:tcPr>
          <w:p w14:paraId="34F268BB"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1,419,778.98</w:t>
            </w:r>
          </w:p>
        </w:tc>
      </w:tr>
      <w:tr w:rsidR="00095F6F" w14:paraId="550FEA5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8467C5" w14:textId="77777777" w:rsidR="00A46BF1" w:rsidRPr="00BF025C" w:rsidRDefault="00A46BF1" w:rsidP="00BF025C">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14:paraId="7A8DC5AF"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126,409.50</w:t>
            </w:r>
          </w:p>
        </w:tc>
        <w:tc>
          <w:tcPr>
            <w:tcW w:w="3213" w:type="dxa"/>
            <w:tcBorders>
              <w:top w:val="single" w:sz="2" w:space="0" w:color="auto"/>
              <w:left w:val="single" w:sz="2" w:space="0" w:color="auto"/>
              <w:bottom w:val="single" w:sz="2" w:space="0" w:color="auto"/>
              <w:right w:val="single" w:sz="2" w:space="0" w:color="auto"/>
            </w:tcBorders>
            <w:vAlign w:val="center"/>
          </w:tcPr>
          <w:p w14:paraId="2BE5B19A"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126,409.50</w:t>
            </w:r>
          </w:p>
        </w:tc>
      </w:tr>
      <w:tr w:rsidR="00095F6F" w14:paraId="64791D2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0692BA" w14:textId="77777777" w:rsidR="00A46BF1" w:rsidRPr="00BF025C" w:rsidRDefault="00A46BF1" w:rsidP="00543F0E">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2</w:t>
            </w:r>
            <w:r w:rsidRPr="00BF025C">
              <w:rPr>
                <w:rFonts w:ascii="Times New Roman" w:eastAsia="宋体" w:hAnsi="Times New Roman" w:cs="Times New Roman"/>
                <w:sz w:val="18"/>
                <w:szCs w:val="18"/>
              </w:rPr>
              <w:t>）汇率变动</w:t>
            </w:r>
          </w:p>
        </w:tc>
        <w:tc>
          <w:tcPr>
            <w:tcW w:w="3213" w:type="dxa"/>
            <w:tcBorders>
              <w:top w:val="single" w:sz="2" w:space="0" w:color="auto"/>
              <w:left w:val="single" w:sz="2" w:space="0" w:color="auto"/>
              <w:bottom w:val="single" w:sz="2" w:space="0" w:color="auto"/>
              <w:right w:val="single" w:sz="2" w:space="0" w:color="auto"/>
            </w:tcBorders>
            <w:vAlign w:val="center"/>
          </w:tcPr>
          <w:p w14:paraId="4837CF3F"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1,293,369.48</w:t>
            </w:r>
          </w:p>
        </w:tc>
        <w:tc>
          <w:tcPr>
            <w:tcW w:w="3213" w:type="dxa"/>
            <w:tcBorders>
              <w:top w:val="single" w:sz="2" w:space="0" w:color="auto"/>
              <w:left w:val="single" w:sz="2" w:space="0" w:color="auto"/>
              <w:bottom w:val="single" w:sz="2" w:space="0" w:color="auto"/>
              <w:right w:val="single" w:sz="2" w:space="0" w:color="auto"/>
            </w:tcBorders>
            <w:vAlign w:val="center"/>
          </w:tcPr>
          <w:p w14:paraId="20169063"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1,293,369.48</w:t>
            </w:r>
          </w:p>
        </w:tc>
      </w:tr>
      <w:tr w:rsidR="00095F6F" w14:paraId="1E4A7A8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9294B0"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4.</w:t>
            </w:r>
            <w:r w:rsidRPr="00BF025C">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165F02BA"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69,073,803.00</w:t>
            </w:r>
          </w:p>
        </w:tc>
        <w:tc>
          <w:tcPr>
            <w:tcW w:w="3213" w:type="dxa"/>
            <w:tcBorders>
              <w:top w:val="single" w:sz="2" w:space="0" w:color="auto"/>
              <w:left w:val="single" w:sz="2" w:space="0" w:color="auto"/>
              <w:bottom w:val="single" w:sz="2" w:space="0" w:color="auto"/>
              <w:right w:val="single" w:sz="2" w:space="0" w:color="auto"/>
            </w:tcBorders>
            <w:vAlign w:val="center"/>
          </w:tcPr>
          <w:p w14:paraId="55F8446E"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69,073,803.00</w:t>
            </w:r>
          </w:p>
        </w:tc>
      </w:tr>
      <w:tr w:rsidR="00095F6F" w14:paraId="4A35878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FD55DE" w14:textId="77777777" w:rsidR="00A46BF1" w:rsidRPr="00BF025C" w:rsidRDefault="00A46BF1" w:rsidP="00BF025C">
            <w:pPr>
              <w:spacing w:before="40" w:after="40" w:line="360" w:lineRule="auto"/>
              <w:rPr>
                <w:rFonts w:ascii="Times New Roman" w:eastAsia="宋体" w:hAnsi="Times New Roman" w:cs="Times New Roman"/>
                <w:sz w:val="18"/>
                <w:szCs w:val="18"/>
              </w:rPr>
            </w:pPr>
            <w:r w:rsidRPr="00BF025C">
              <w:rPr>
                <w:rFonts w:ascii="Times New Roman" w:eastAsia="宋体" w:hAnsi="Times New Roman" w:cs="Times New Roman"/>
                <w:sz w:val="18"/>
                <w:szCs w:val="18"/>
              </w:rPr>
              <w:t>三、减值准备</w:t>
            </w:r>
          </w:p>
        </w:tc>
        <w:tc>
          <w:tcPr>
            <w:tcW w:w="3213" w:type="dxa"/>
            <w:tcBorders>
              <w:top w:val="single" w:sz="2" w:space="0" w:color="auto"/>
              <w:left w:val="single" w:sz="2" w:space="0" w:color="auto"/>
              <w:bottom w:val="single" w:sz="2" w:space="0" w:color="auto"/>
              <w:right w:val="single" w:sz="2" w:space="0" w:color="auto"/>
            </w:tcBorders>
            <w:vAlign w:val="center"/>
          </w:tcPr>
          <w:p w14:paraId="15D41585"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44A4A10"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3EFF78D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95FCA8"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期初余额</w:t>
            </w:r>
          </w:p>
        </w:tc>
        <w:tc>
          <w:tcPr>
            <w:tcW w:w="3213" w:type="dxa"/>
            <w:tcBorders>
              <w:top w:val="single" w:sz="2" w:space="0" w:color="auto"/>
              <w:left w:val="single" w:sz="2" w:space="0" w:color="auto"/>
              <w:bottom w:val="single" w:sz="2" w:space="0" w:color="auto"/>
              <w:right w:val="single" w:sz="2" w:space="0" w:color="auto"/>
            </w:tcBorders>
            <w:vAlign w:val="center"/>
          </w:tcPr>
          <w:p w14:paraId="410A853C"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BA61E38"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285C9E7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AC4D0E"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2.</w:t>
            </w:r>
            <w:r w:rsidRPr="00BF025C">
              <w:rPr>
                <w:rFonts w:ascii="Times New Roman" w:eastAsia="宋体" w:hAnsi="Times New Roman" w:cs="Times New Roman"/>
                <w:sz w:val="18"/>
                <w:szCs w:val="18"/>
              </w:rPr>
              <w:t>本期增加金额</w:t>
            </w:r>
          </w:p>
        </w:tc>
        <w:tc>
          <w:tcPr>
            <w:tcW w:w="3213" w:type="dxa"/>
            <w:tcBorders>
              <w:top w:val="single" w:sz="2" w:space="0" w:color="auto"/>
              <w:left w:val="single" w:sz="2" w:space="0" w:color="auto"/>
              <w:bottom w:val="single" w:sz="2" w:space="0" w:color="auto"/>
              <w:right w:val="single" w:sz="2" w:space="0" w:color="auto"/>
            </w:tcBorders>
            <w:vAlign w:val="center"/>
          </w:tcPr>
          <w:p w14:paraId="7814D299"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1E0207B"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03852FD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C7C1AB2" w14:textId="77777777" w:rsidR="00A46BF1" w:rsidRPr="00BF025C" w:rsidRDefault="00A46BF1" w:rsidP="00BF025C">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）计提</w:t>
            </w:r>
          </w:p>
        </w:tc>
        <w:tc>
          <w:tcPr>
            <w:tcW w:w="3213" w:type="dxa"/>
            <w:tcBorders>
              <w:top w:val="single" w:sz="2" w:space="0" w:color="auto"/>
              <w:left w:val="single" w:sz="2" w:space="0" w:color="auto"/>
              <w:bottom w:val="single" w:sz="2" w:space="0" w:color="auto"/>
              <w:right w:val="single" w:sz="2" w:space="0" w:color="auto"/>
            </w:tcBorders>
            <w:vAlign w:val="center"/>
          </w:tcPr>
          <w:p w14:paraId="0018EB78"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70E1509"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7E5C8B9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245D6B"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3.</w:t>
            </w:r>
            <w:r w:rsidRPr="00BF025C">
              <w:rPr>
                <w:rFonts w:ascii="Times New Roman" w:eastAsia="宋体" w:hAnsi="Times New Roman" w:cs="Times New Roman"/>
                <w:sz w:val="18"/>
                <w:szCs w:val="18"/>
              </w:rPr>
              <w:t>本期减少金额</w:t>
            </w:r>
          </w:p>
        </w:tc>
        <w:tc>
          <w:tcPr>
            <w:tcW w:w="3213" w:type="dxa"/>
            <w:tcBorders>
              <w:top w:val="single" w:sz="2" w:space="0" w:color="auto"/>
              <w:left w:val="single" w:sz="2" w:space="0" w:color="auto"/>
              <w:bottom w:val="single" w:sz="2" w:space="0" w:color="auto"/>
              <w:right w:val="single" w:sz="2" w:space="0" w:color="auto"/>
            </w:tcBorders>
            <w:vAlign w:val="center"/>
          </w:tcPr>
          <w:p w14:paraId="002095E9"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D23BC6B"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13C3A41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39A98A" w14:textId="77777777" w:rsidR="00A46BF1" w:rsidRPr="00BF025C" w:rsidRDefault="00A46BF1" w:rsidP="00BF025C">
            <w:pPr>
              <w:spacing w:before="40" w:after="40" w:line="360" w:lineRule="auto"/>
              <w:ind w:firstLineChars="400" w:firstLine="720"/>
              <w:rPr>
                <w:rFonts w:ascii="Times New Roman" w:eastAsia="宋体" w:hAnsi="Times New Roman" w:cs="Times New Roman"/>
                <w:sz w:val="18"/>
                <w:szCs w:val="18"/>
              </w:rPr>
            </w:pPr>
            <w:r w:rsidRPr="00BF025C">
              <w:rPr>
                <w:rFonts w:ascii="Times New Roman" w:eastAsia="宋体" w:hAnsi="Times New Roman" w:cs="Times New Roman"/>
                <w:sz w:val="18"/>
                <w:szCs w:val="18"/>
              </w:rPr>
              <w:t>（</w:t>
            </w: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）处置</w:t>
            </w:r>
          </w:p>
        </w:tc>
        <w:tc>
          <w:tcPr>
            <w:tcW w:w="3213" w:type="dxa"/>
            <w:tcBorders>
              <w:top w:val="single" w:sz="2" w:space="0" w:color="auto"/>
              <w:left w:val="single" w:sz="2" w:space="0" w:color="auto"/>
              <w:bottom w:val="single" w:sz="2" w:space="0" w:color="auto"/>
              <w:right w:val="single" w:sz="2" w:space="0" w:color="auto"/>
            </w:tcBorders>
            <w:vAlign w:val="center"/>
          </w:tcPr>
          <w:p w14:paraId="3B29CF13"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DF9F1BB"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11FFB66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95D063"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4.</w:t>
            </w:r>
            <w:r w:rsidRPr="00BF025C">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vAlign w:val="center"/>
          </w:tcPr>
          <w:p w14:paraId="02682595"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07680C5"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54C897A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83DAA9" w14:textId="77777777" w:rsidR="00A46BF1" w:rsidRPr="00BF025C" w:rsidRDefault="00A46BF1" w:rsidP="00BF025C">
            <w:pPr>
              <w:spacing w:before="40" w:after="40" w:line="360" w:lineRule="auto"/>
              <w:rPr>
                <w:rFonts w:ascii="Times New Roman" w:eastAsia="宋体" w:hAnsi="Times New Roman" w:cs="Times New Roman"/>
                <w:sz w:val="18"/>
                <w:szCs w:val="18"/>
              </w:rPr>
            </w:pPr>
            <w:r w:rsidRPr="00BF025C">
              <w:rPr>
                <w:rFonts w:ascii="Times New Roman" w:eastAsia="宋体" w:hAnsi="Times New Roman" w:cs="Times New Roman"/>
                <w:sz w:val="18"/>
                <w:szCs w:val="18"/>
              </w:rPr>
              <w:t>四、账面价值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2D684D07" w14:textId="77777777" w:rsidR="00A46BF1" w:rsidRPr="00BF025C" w:rsidRDefault="00A46BF1" w:rsidP="00BF025C">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55FD1E6" w14:textId="77777777" w:rsidR="00A46BF1" w:rsidRPr="00BF025C" w:rsidRDefault="00A46BF1" w:rsidP="00BF025C">
            <w:pPr>
              <w:spacing w:line="360" w:lineRule="auto"/>
              <w:jc w:val="right"/>
              <w:rPr>
                <w:rFonts w:ascii="Times New Roman" w:eastAsia="宋体" w:hAnsi="Times New Roman" w:cs="Times New Roman"/>
                <w:sz w:val="18"/>
                <w:szCs w:val="18"/>
              </w:rPr>
            </w:pPr>
          </w:p>
        </w:tc>
      </w:tr>
      <w:tr w:rsidR="00095F6F" w14:paraId="18BAF76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A1D67F"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1.</w:t>
            </w:r>
            <w:r w:rsidRPr="00BF025C">
              <w:rPr>
                <w:rFonts w:ascii="Times New Roman" w:eastAsia="宋体" w:hAnsi="Times New Roman" w:cs="Times New Roman"/>
                <w:sz w:val="18"/>
                <w:szCs w:val="18"/>
              </w:rPr>
              <w:t>期末账面价值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0BAEC405"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11,871,018.48</w:t>
            </w:r>
          </w:p>
        </w:tc>
        <w:tc>
          <w:tcPr>
            <w:tcW w:w="3213" w:type="dxa"/>
            <w:tcBorders>
              <w:top w:val="single" w:sz="2" w:space="0" w:color="auto"/>
              <w:left w:val="single" w:sz="2" w:space="0" w:color="auto"/>
              <w:bottom w:val="single" w:sz="2" w:space="0" w:color="auto"/>
              <w:right w:val="single" w:sz="2" w:space="0" w:color="auto"/>
            </w:tcBorders>
            <w:vAlign w:val="center"/>
          </w:tcPr>
          <w:p w14:paraId="4AA2AD49"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11,871,018.48</w:t>
            </w:r>
          </w:p>
        </w:tc>
      </w:tr>
      <w:tr w:rsidR="00095F6F" w14:paraId="0837211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025D04" w14:textId="77777777" w:rsidR="00A46BF1" w:rsidRPr="00BF025C" w:rsidRDefault="00A46BF1" w:rsidP="00BF025C">
            <w:pPr>
              <w:spacing w:before="40" w:after="40" w:line="360" w:lineRule="auto"/>
              <w:ind w:firstLineChars="200" w:firstLine="360"/>
              <w:rPr>
                <w:rFonts w:ascii="Times New Roman" w:eastAsia="宋体" w:hAnsi="Times New Roman" w:cs="Times New Roman"/>
                <w:sz w:val="18"/>
                <w:szCs w:val="18"/>
              </w:rPr>
            </w:pPr>
            <w:r w:rsidRPr="00BF025C">
              <w:rPr>
                <w:rFonts w:ascii="Times New Roman" w:eastAsia="宋体" w:hAnsi="Times New Roman" w:cs="Times New Roman"/>
                <w:sz w:val="18"/>
                <w:szCs w:val="18"/>
              </w:rPr>
              <w:t>2.</w:t>
            </w:r>
            <w:r w:rsidRPr="00BF025C">
              <w:rPr>
                <w:rFonts w:ascii="Times New Roman" w:eastAsia="宋体" w:hAnsi="Times New Roman" w:cs="Times New Roman"/>
                <w:sz w:val="18"/>
                <w:szCs w:val="18"/>
              </w:rPr>
              <w:t>期初账面价值</w:t>
            </w:r>
          </w:p>
        </w:tc>
        <w:tc>
          <w:tcPr>
            <w:tcW w:w="3213" w:type="dxa"/>
            <w:tcBorders>
              <w:top w:val="single" w:sz="2" w:space="0" w:color="auto"/>
              <w:left w:val="single" w:sz="2" w:space="0" w:color="auto"/>
              <w:bottom w:val="single" w:sz="2" w:space="0" w:color="auto"/>
              <w:right w:val="single" w:sz="2" w:space="0" w:color="auto"/>
            </w:tcBorders>
            <w:vAlign w:val="center"/>
          </w:tcPr>
          <w:p w14:paraId="4CB72849"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22,015,303.18</w:t>
            </w:r>
          </w:p>
        </w:tc>
        <w:tc>
          <w:tcPr>
            <w:tcW w:w="3213" w:type="dxa"/>
            <w:tcBorders>
              <w:top w:val="single" w:sz="2" w:space="0" w:color="auto"/>
              <w:left w:val="single" w:sz="2" w:space="0" w:color="auto"/>
              <w:bottom w:val="single" w:sz="2" w:space="0" w:color="auto"/>
              <w:right w:val="single" w:sz="2" w:space="0" w:color="auto"/>
            </w:tcBorders>
            <w:vAlign w:val="center"/>
          </w:tcPr>
          <w:p w14:paraId="29915D73" w14:textId="77777777" w:rsidR="00A46BF1" w:rsidRPr="00BF025C" w:rsidRDefault="00A46BF1" w:rsidP="00BF025C">
            <w:pPr>
              <w:spacing w:line="360" w:lineRule="auto"/>
              <w:jc w:val="right"/>
              <w:rPr>
                <w:rFonts w:ascii="Times New Roman" w:eastAsia="宋体" w:hAnsi="Times New Roman" w:cs="Times New Roman"/>
                <w:sz w:val="18"/>
                <w:szCs w:val="18"/>
              </w:rPr>
            </w:pPr>
            <w:r w:rsidRPr="00BF025C">
              <w:rPr>
                <w:rFonts w:ascii="Times New Roman" w:eastAsia="宋体" w:hAnsi="Times New Roman" w:cs="Times New Roman"/>
                <w:sz w:val="18"/>
                <w:szCs w:val="18"/>
              </w:rPr>
              <w:t>22,015,303.18</w:t>
            </w:r>
          </w:p>
        </w:tc>
      </w:tr>
    </w:tbl>
    <w:p w14:paraId="42155AED" w14:textId="2372EE2C" w:rsidR="00A46BF1" w:rsidRDefault="00543F0E" w:rsidP="00A46BF1">
      <w:pPr>
        <w:pStyle w:val="3"/>
        <w:spacing w:line="280" w:lineRule="exact"/>
        <w:jc w:val="left"/>
        <w:rPr>
          <w:rFonts w:ascii="宋体" w:hAnsi="宋体" w:cs="宋体"/>
          <w:b/>
          <w:bCs/>
        </w:rPr>
      </w:pPr>
      <w:r>
        <w:rPr>
          <w:rFonts w:ascii="宋体" w:hAnsi="宋体" w:cs="宋体"/>
          <w:b/>
          <w:bCs/>
        </w:rPr>
        <w:t>18</w:t>
      </w:r>
      <w:r w:rsidR="00A46BF1">
        <w:rPr>
          <w:rFonts w:ascii="宋体" w:hAnsi="宋体" w:cs="宋体"/>
          <w:b/>
          <w:bCs/>
        </w:rPr>
        <w:t>、无形资产</w:t>
      </w:r>
    </w:p>
    <w:p w14:paraId="484E1568"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无形资产情况</w:t>
      </w:r>
    </w:p>
    <w:p w14:paraId="7698126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4A0" w:firstRow="1" w:lastRow="0" w:firstColumn="1" w:lastColumn="0" w:noHBand="0" w:noVBand="1"/>
      </w:tblPr>
      <w:tblGrid>
        <w:gridCol w:w="2002"/>
        <w:gridCol w:w="1282"/>
        <w:gridCol w:w="1282"/>
        <w:gridCol w:w="1282"/>
        <w:gridCol w:w="1281"/>
        <w:gridCol w:w="1281"/>
        <w:gridCol w:w="1283"/>
      </w:tblGrid>
      <w:tr w:rsidR="00543F0E" w14:paraId="06096A93"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43077254" w14:textId="77777777" w:rsidR="00543F0E" w:rsidRPr="00543F0E" w:rsidRDefault="00543F0E" w:rsidP="00543F0E">
            <w:pPr>
              <w:spacing w:before="40" w:after="40"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项目</w:t>
            </w:r>
          </w:p>
        </w:tc>
        <w:tc>
          <w:tcPr>
            <w:tcW w:w="661" w:type="pct"/>
            <w:tcBorders>
              <w:top w:val="single" w:sz="2" w:space="0" w:color="auto"/>
              <w:left w:val="single" w:sz="2" w:space="0" w:color="auto"/>
              <w:bottom w:val="single" w:sz="2" w:space="0" w:color="auto"/>
              <w:right w:val="single" w:sz="2" w:space="0" w:color="auto"/>
            </w:tcBorders>
            <w:shd w:val="clear" w:color="auto" w:fill="D3D3D3"/>
            <w:vAlign w:val="center"/>
          </w:tcPr>
          <w:p w14:paraId="0FB9EA3E" w14:textId="77777777" w:rsidR="00543F0E" w:rsidRPr="00543F0E" w:rsidRDefault="00543F0E" w:rsidP="00543F0E">
            <w:pPr>
              <w:spacing w:before="40" w:after="40"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土地使用权</w:t>
            </w:r>
          </w:p>
        </w:tc>
        <w:tc>
          <w:tcPr>
            <w:tcW w:w="661" w:type="pct"/>
            <w:tcBorders>
              <w:top w:val="single" w:sz="2" w:space="0" w:color="auto"/>
              <w:left w:val="single" w:sz="2" w:space="0" w:color="auto"/>
              <w:bottom w:val="single" w:sz="2" w:space="0" w:color="auto"/>
              <w:right w:val="single" w:sz="2" w:space="0" w:color="auto"/>
            </w:tcBorders>
            <w:shd w:val="clear" w:color="auto" w:fill="D3D3D3"/>
            <w:vAlign w:val="center"/>
          </w:tcPr>
          <w:p w14:paraId="6A5C0B50" w14:textId="77777777" w:rsidR="00543F0E" w:rsidRPr="00543F0E" w:rsidRDefault="00543F0E" w:rsidP="00543F0E">
            <w:pPr>
              <w:spacing w:before="40" w:after="40"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专利权</w:t>
            </w:r>
          </w:p>
        </w:tc>
        <w:tc>
          <w:tcPr>
            <w:tcW w:w="661" w:type="pct"/>
            <w:tcBorders>
              <w:top w:val="single" w:sz="2" w:space="0" w:color="auto"/>
              <w:left w:val="single" w:sz="2" w:space="0" w:color="auto"/>
              <w:bottom w:val="single" w:sz="2" w:space="0" w:color="auto"/>
              <w:right w:val="single" w:sz="2" w:space="0" w:color="auto"/>
            </w:tcBorders>
            <w:vAlign w:val="center"/>
          </w:tcPr>
          <w:p w14:paraId="4F99025D" w14:textId="77777777" w:rsidR="00543F0E" w:rsidRPr="00543F0E" w:rsidRDefault="00543F0E" w:rsidP="00543F0E">
            <w:pPr>
              <w:spacing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商标权</w:t>
            </w:r>
          </w:p>
        </w:tc>
        <w:tc>
          <w:tcPr>
            <w:tcW w:w="661" w:type="pct"/>
            <w:tcBorders>
              <w:top w:val="single" w:sz="2" w:space="0" w:color="auto"/>
              <w:left w:val="single" w:sz="2" w:space="0" w:color="auto"/>
              <w:bottom w:val="single" w:sz="2" w:space="0" w:color="auto"/>
              <w:right w:val="single" w:sz="2" w:space="0" w:color="auto"/>
            </w:tcBorders>
            <w:vAlign w:val="center"/>
          </w:tcPr>
          <w:p w14:paraId="3BFC8A38" w14:textId="77777777" w:rsidR="00543F0E" w:rsidRPr="00543F0E" w:rsidRDefault="00543F0E" w:rsidP="00543F0E">
            <w:pPr>
              <w:spacing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软件</w:t>
            </w:r>
          </w:p>
        </w:tc>
        <w:tc>
          <w:tcPr>
            <w:tcW w:w="661" w:type="pct"/>
            <w:tcBorders>
              <w:top w:val="single" w:sz="2" w:space="0" w:color="auto"/>
              <w:left w:val="single" w:sz="2" w:space="0" w:color="auto"/>
              <w:bottom w:val="single" w:sz="2" w:space="0" w:color="auto"/>
              <w:right w:val="single" w:sz="2" w:space="0" w:color="auto"/>
            </w:tcBorders>
            <w:vAlign w:val="center"/>
          </w:tcPr>
          <w:p w14:paraId="624F576A" w14:textId="77777777" w:rsidR="00543F0E" w:rsidRPr="00543F0E" w:rsidRDefault="00543F0E" w:rsidP="00543F0E">
            <w:pPr>
              <w:spacing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其他</w:t>
            </w:r>
          </w:p>
        </w:tc>
        <w:tc>
          <w:tcPr>
            <w:tcW w:w="662" w:type="pct"/>
            <w:tcBorders>
              <w:top w:val="single" w:sz="2" w:space="0" w:color="auto"/>
              <w:left w:val="single" w:sz="2" w:space="0" w:color="auto"/>
              <w:bottom w:val="single" w:sz="2" w:space="0" w:color="auto"/>
              <w:right w:val="single" w:sz="2" w:space="0" w:color="auto"/>
            </w:tcBorders>
            <w:shd w:val="clear" w:color="auto" w:fill="D3D3D3"/>
            <w:vAlign w:val="center"/>
          </w:tcPr>
          <w:p w14:paraId="18D96BE1" w14:textId="77777777" w:rsidR="00543F0E" w:rsidRPr="00543F0E" w:rsidRDefault="00543F0E" w:rsidP="00543F0E">
            <w:pPr>
              <w:spacing w:before="40" w:after="40" w:line="360" w:lineRule="auto"/>
              <w:jc w:val="center"/>
              <w:rPr>
                <w:rFonts w:ascii="Times New Roman" w:eastAsia="宋体" w:hAnsi="Times New Roman" w:cs="Times New Roman"/>
                <w:sz w:val="15"/>
                <w:szCs w:val="15"/>
              </w:rPr>
            </w:pPr>
            <w:r w:rsidRPr="00543F0E">
              <w:rPr>
                <w:rFonts w:ascii="Times New Roman" w:eastAsia="宋体" w:hAnsi="Times New Roman" w:cs="Times New Roman"/>
                <w:sz w:val="15"/>
                <w:szCs w:val="15"/>
              </w:rPr>
              <w:t>合计</w:t>
            </w:r>
          </w:p>
        </w:tc>
      </w:tr>
      <w:tr w:rsidR="00543F0E" w14:paraId="669263F3"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3DBB2CCB" w14:textId="77777777" w:rsidR="00543F0E" w:rsidRPr="00543F0E" w:rsidRDefault="00543F0E" w:rsidP="00543F0E">
            <w:pPr>
              <w:spacing w:before="40" w:after="40" w:line="360" w:lineRule="auto"/>
              <w:rPr>
                <w:rFonts w:ascii="Times New Roman" w:eastAsia="宋体" w:hAnsi="Times New Roman" w:cs="Times New Roman"/>
                <w:sz w:val="15"/>
                <w:szCs w:val="15"/>
              </w:rPr>
            </w:pPr>
            <w:r w:rsidRPr="00543F0E">
              <w:rPr>
                <w:rFonts w:ascii="Times New Roman" w:eastAsia="宋体" w:hAnsi="Times New Roman" w:cs="Times New Roman"/>
                <w:sz w:val="15"/>
                <w:szCs w:val="15"/>
              </w:rPr>
              <w:t>一、账面原值</w:t>
            </w:r>
          </w:p>
        </w:tc>
        <w:tc>
          <w:tcPr>
            <w:tcW w:w="661" w:type="pct"/>
            <w:tcBorders>
              <w:top w:val="single" w:sz="2" w:space="0" w:color="auto"/>
              <w:left w:val="single" w:sz="2" w:space="0" w:color="auto"/>
              <w:bottom w:val="single" w:sz="2" w:space="0" w:color="auto"/>
              <w:right w:val="single" w:sz="2" w:space="0" w:color="auto"/>
            </w:tcBorders>
            <w:vAlign w:val="center"/>
          </w:tcPr>
          <w:p w14:paraId="50B24FE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3AFF07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9778A42"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9FFE3B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28CF9FE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40351749"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47E17F5E"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4092DE84"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期初余额</w:t>
            </w:r>
          </w:p>
        </w:tc>
        <w:tc>
          <w:tcPr>
            <w:tcW w:w="661" w:type="pct"/>
            <w:tcBorders>
              <w:top w:val="single" w:sz="2" w:space="0" w:color="auto"/>
              <w:left w:val="single" w:sz="2" w:space="0" w:color="auto"/>
              <w:bottom w:val="single" w:sz="2" w:space="0" w:color="auto"/>
              <w:right w:val="single" w:sz="2" w:space="0" w:color="auto"/>
            </w:tcBorders>
            <w:vAlign w:val="center"/>
          </w:tcPr>
          <w:p w14:paraId="5D6F3CA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136,281,942.00</w:t>
            </w:r>
          </w:p>
        </w:tc>
        <w:tc>
          <w:tcPr>
            <w:tcW w:w="661" w:type="pct"/>
            <w:tcBorders>
              <w:top w:val="single" w:sz="2" w:space="0" w:color="auto"/>
              <w:left w:val="single" w:sz="2" w:space="0" w:color="auto"/>
              <w:bottom w:val="single" w:sz="2" w:space="0" w:color="auto"/>
              <w:right w:val="single" w:sz="2" w:space="0" w:color="auto"/>
            </w:tcBorders>
            <w:vAlign w:val="center"/>
          </w:tcPr>
          <w:p w14:paraId="0F75BBB1"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325,792,308.41</w:t>
            </w:r>
          </w:p>
        </w:tc>
        <w:tc>
          <w:tcPr>
            <w:tcW w:w="661" w:type="pct"/>
            <w:tcBorders>
              <w:top w:val="single" w:sz="2" w:space="0" w:color="auto"/>
              <w:left w:val="single" w:sz="2" w:space="0" w:color="auto"/>
              <w:bottom w:val="single" w:sz="2" w:space="0" w:color="auto"/>
              <w:right w:val="single" w:sz="2" w:space="0" w:color="auto"/>
            </w:tcBorders>
            <w:vAlign w:val="center"/>
          </w:tcPr>
          <w:p w14:paraId="5E568C5A"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50,752,311.81</w:t>
            </w:r>
          </w:p>
        </w:tc>
        <w:tc>
          <w:tcPr>
            <w:tcW w:w="661" w:type="pct"/>
            <w:tcBorders>
              <w:top w:val="single" w:sz="2" w:space="0" w:color="auto"/>
              <w:left w:val="single" w:sz="2" w:space="0" w:color="auto"/>
              <w:bottom w:val="single" w:sz="2" w:space="0" w:color="auto"/>
              <w:right w:val="single" w:sz="2" w:space="0" w:color="auto"/>
            </w:tcBorders>
            <w:vAlign w:val="center"/>
          </w:tcPr>
          <w:p w14:paraId="39533E73"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119,459,726.76</w:t>
            </w:r>
          </w:p>
        </w:tc>
        <w:tc>
          <w:tcPr>
            <w:tcW w:w="661" w:type="pct"/>
            <w:tcBorders>
              <w:top w:val="single" w:sz="2" w:space="0" w:color="auto"/>
              <w:left w:val="single" w:sz="2" w:space="0" w:color="auto"/>
              <w:bottom w:val="single" w:sz="2" w:space="0" w:color="auto"/>
              <w:right w:val="single" w:sz="2" w:space="0" w:color="auto"/>
            </w:tcBorders>
            <w:vAlign w:val="center"/>
          </w:tcPr>
          <w:p w14:paraId="498F8EE1"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121,100,979.52</w:t>
            </w:r>
          </w:p>
        </w:tc>
        <w:tc>
          <w:tcPr>
            <w:tcW w:w="662" w:type="pct"/>
            <w:tcBorders>
              <w:top w:val="single" w:sz="2" w:space="0" w:color="auto"/>
              <w:left w:val="single" w:sz="2" w:space="0" w:color="auto"/>
              <w:bottom w:val="single" w:sz="2" w:space="0" w:color="auto"/>
              <w:right w:val="single" w:sz="2" w:space="0" w:color="auto"/>
            </w:tcBorders>
            <w:vAlign w:val="center"/>
          </w:tcPr>
          <w:p w14:paraId="2369240F"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753,387,268.50</w:t>
            </w:r>
          </w:p>
        </w:tc>
      </w:tr>
      <w:tr w:rsidR="00543F0E" w14:paraId="20A6D5AD"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721B7337"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本期增加金额</w:t>
            </w:r>
          </w:p>
        </w:tc>
        <w:tc>
          <w:tcPr>
            <w:tcW w:w="661" w:type="pct"/>
            <w:tcBorders>
              <w:top w:val="single" w:sz="2" w:space="0" w:color="auto"/>
              <w:left w:val="single" w:sz="2" w:space="0" w:color="auto"/>
              <w:bottom w:val="single" w:sz="2" w:space="0" w:color="auto"/>
              <w:right w:val="single" w:sz="2" w:space="0" w:color="auto"/>
            </w:tcBorders>
            <w:vAlign w:val="center"/>
          </w:tcPr>
          <w:p w14:paraId="221FE7F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D12A042"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1,921,017.39</w:t>
            </w:r>
          </w:p>
        </w:tc>
        <w:tc>
          <w:tcPr>
            <w:tcW w:w="661" w:type="pct"/>
            <w:tcBorders>
              <w:top w:val="single" w:sz="2" w:space="0" w:color="auto"/>
              <w:left w:val="single" w:sz="2" w:space="0" w:color="auto"/>
              <w:bottom w:val="single" w:sz="2" w:space="0" w:color="auto"/>
              <w:right w:val="single" w:sz="2" w:space="0" w:color="auto"/>
            </w:tcBorders>
            <w:vAlign w:val="center"/>
          </w:tcPr>
          <w:p w14:paraId="669B4854"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142,923.49</w:t>
            </w:r>
          </w:p>
        </w:tc>
        <w:tc>
          <w:tcPr>
            <w:tcW w:w="661" w:type="pct"/>
            <w:tcBorders>
              <w:top w:val="single" w:sz="2" w:space="0" w:color="auto"/>
              <w:left w:val="single" w:sz="2" w:space="0" w:color="auto"/>
              <w:bottom w:val="single" w:sz="2" w:space="0" w:color="auto"/>
              <w:right w:val="single" w:sz="2" w:space="0" w:color="auto"/>
            </w:tcBorders>
            <w:vAlign w:val="center"/>
          </w:tcPr>
          <w:p w14:paraId="6E32A95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21,361,263.15</w:t>
            </w:r>
          </w:p>
        </w:tc>
        <w:tc>
          <w:tcPr>
            <w:tcW w:w="661" w:type="pct"/>
            <w:tcBorders>
              <w:top w:val="single" w:sz="2" w:space="0" w:color="auto"/>
              <w:left w:val="single" w:sz="2" w:space="0" w:color="auto"/>
              <w:bottom w:val="single" w:sz="2" w:space="0" w:color="auto"/>
              <w:right w:val="single" w:sz="2" w:space="0" w:color="auto"/>
            </w:tcBorders>
            <w:vAlign w:val="center"/>
          </w:tcPr>
          <w:p w14:paraId="28982F6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715E4093"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23,425,204.03</w:t>
            </w:r>
          </w:p>
        </w:tc>
      </w:tr>
      <w:tr w:rsidR="00543F0E" w14:paraId="7194CB7B"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02B4B0A6"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）购置</w:t>
            </w:r>
          </w:p>
        </w:tc>
        <w:tc>
          <w:tcPr>
            <w:tcW w:w="661" w:type="pct"/>
            <w:tcBorders>
              <w:top w:val="single" w:sz="2" w:space="0" w:color="auto"/>
              <w:left w:val="single" w:sz="2" w:space="0" w:color="auto"/>
              <w:bottom w:val="single" w:sz="2" w:space="0" w:color="auto"/>
              <w:right w:val="single" w:sz="2" w:space="0" w:color="auto"/>
            </w:tcBorders>
            <w:vAlign w:val="center"/>
          </w:tcPr>
          <w:p w14:paraId="68E9793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5FDC139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1,921,017.39</w:t>
            </w:r>
          </w:p>
        </w:tc>
        <w:tc>
          <w:tcPr>
            <w:tcW w:w="661" w:type="pct"/>
            <w:tcBorders>
              <w:top w:val="single" w:sz="2" w:space="0" w:color="auto"/>
              <w:left w:val="single" w:sz="2" w:space="0" w:color="auto"/>
              <w:bottom w:val="single" w:sz="2" w:space="0" w:color="auto"/>
              <w:right w:val="single" w:sz="2" w:space="0" w:color="auto"/>
            </w:tcBorders>
            <w:vAlign w:val="center"/>
          </w:tcPr>
          <w:p w14:paraId="01F35A3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142,923.49</w:t>
            </w:r>
          </w:p>
        </w:tc>
        <w:tc>
          <w:tcPr>
            <w:tcW w:w="661" w:type="pct"/>
            <w:tcBorders>
              <w:top w:val="single" w:sz="2" w:space="0" w:color="auto"/>
              <w:left w:val="single" w:sz="2" w:space="0" w:color="auto"/>
              <w:bottom w:val="single" w:sz="2" w:space="0" w:color="auto"/>
              <w:right w:val="single" w:sz="2" w:space="0" w:color="auto"/>
            </w:tcBorders>
            <w:vAlign w:val="center"/>
          </w:tcPr>
          <w:p w14:paraId="6FD8BA62"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21,361,263.15</w:t>
            </w:r>
          </w:p>
        </w:tc>
        <w:tc>
          <w:tcPr>
            <w:tcW w:w="661" w:type="pct"/>
            <w:tcBorders>
              <w:top w:val="single" w:sz="2" w:space="0" w:color="auto"/>
              <w:left w:val="single" w:sz="2" w:space="0" w:color="auto"/>
              <w:bottom w:val="single" w:sz="2" w:space="0" w:color="auto"/>
              <w:right w:val="single" w:sz="2" w:space="0" w:color="auto"/>
            </w:tcBorders>
            <w:vAlign w:val="center"/>
          </w:tcPr>
          <w:p w14:paraId="6873299A"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250FEE5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23,425,204.03</w:t>
            </w:r>
          </w:p>
        </w:tc>
      </w:tr>
      <w:tr w:rsidR="00543F0E" w14:paraId="18D77ADF"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540EA974"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）内部研发</w:t>
            </w:r>
          </w:p>
        </w:tc>
        <w:tc>
          <w:tcPr>
            <w:tcW w:w="661" w:type="pct"/>
            <w:tcBorders>
              <w:top w:val="single" w:sz="2" w:space="0" w:color="auto"/>
              <w:left w:val="single" w:sz="2" w:space="0" w:color="auto"/>
              <w:bottom w:val="single" w:sz="2" w:space="0" w:color="auto"/>
              <w:right w:val="single" w:sz="2" w:space="0" w:color="auto"/>
            </w:tcBorders>
            <w:vAlign w:val="center"/>
          </w:tcPr>
          <w:p w14:paraId="5187AC3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5CE6BB7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52F76EB"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8F1E9F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3A98559"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196D47EE"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72C5985A"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46DC6FF4"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3</w:t>
            </w:r>
            <w:r w:rsidRPr="00543F0E">
              <w:rPr>
                <w:rFonts w:ascii="Times New Roman" w:eastAsia="宋体" w:hAnsi="Times New Roman" w:cs="Times New Roman"/>
                <w:sz w:val="15"/>
                <w:szCs w:val="15"/>
              </w:rPr>
              <w:t>）企业合并增加</w:t>
            </w:r>
          </w:p>
        </w:tc>
        <w:tc>
          <w:tcPr>
            <w:tcW w:w="661" w:type="pct"/>
            <w:tcBorders>
              <w:top w:val="single" w:sz="2" w:space="0" w:color="auto"/>
              <w:left w:val="single" w:sz="2" w:space="0" w:color="auto"/>
              <w:bottom w:val="single" w:sz="2" w:space="0" w:color="auto"/>
              <w:right w:val="single" w:sz="2" w:space="0" w:color="auto"/>
            </w:tcBorders>
            <w:vAlign w:val="center"/>
          </w:tcPr>
          <w:p w14:paraId="11BFC68D"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530B9B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A66EF89"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5A0048C3"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57F4538E"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53364BF2"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45960FB4"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vAlign w:val="center"/>
          </w:tcPr>
          <w:p w14:paraId="282C5452" w14:textId="77777777" w:rsidR="00543F0E" w:rsidRPr="00543F0E" w:rsidRDefault="00543F0E" w:rsidP="00543F0E">
            <w:pPr>
              <w:spacing w:line="360" w:lineRule="auto"/>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7AB8742"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A70D50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C68F22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11E80BB"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A3D798C"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536CD41D"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7D4B880B"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02F09039"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3.</w:t>
            </w:r>
            <w:r w:rsidRPr="00543F0E">
              <w:rPr>
                <w:rFonts w:ascii="Times New Roman" w:eastAsia="宋体" w:hAnsi="Times New Roman" w:cs="Times New Roman"/>
                <w:sz w:val="15"/>
                <w:szCs w:val="15"/>
              </w:rPr>
              <w:t>本期减少金额</w:t>
            </w:r>
          </w:p>
        </w:tc>
        <w:tc>
          <w:tcPr>
            <w:tcW w:w="661" w:type="pct"/>
            <w:tcBorders>
              <w:top w:val="single" w:sz="2" w:space="0" w:color="auto"/>
              <w:left w:val="single" w:sz="2" w:space="0" w:color="auto"/>
              <w:bottom w:val="single" w:sz="2" w:space="0" w:color="auto"/>
              <w:right w:val="single" w:sz="2" w:space="0" w:color="auto"/>
            </w:tcBorders>
            <w:vAlign w:val="center"/>
          </w:tcPr>
          <w:p w14:paraId="61D9904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280EF2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6,969,528.74</w:t>
            </w:r>
          </w:p>
        </w:tc>
        <w:tc>
          <w:tcPr>
            <w:tcW w:w="661" w:type="pct"/>
            <w:tcBorders>
              <w:top w:val="single" w:sz="2" w:space="0" w:color="auto"/>
              <w:left w:val="single" w:sz="2" w:space="0" w:color="auto"/>
              <w:bottom w:val="single" w:sz="2" w:space="0" w:color="auto"/>
              <w:right w:val="single" w:sz="2" w:space="0" w:color="auto"/>
            </w:tcBorders>
            <w:vAlign w:val="center"/>
          </w:tcPr>
          <w:p w14:paraId="7B09F87D"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1,117,645.87</w:t>
            </w:r>
          </w:p>
        </w:tc>
        <w:tc>
          <w:tcPr>
            <w:tcW w:w="661" w:type="pct"/>
            <w:tcBorders>
              <w:top w:val="single" w:sz="2" w:space="0" w:color="auto"/>
              <w:left w:val="single" w:sz="2" w:space="0" w:color="auto"/>
              <w:bottom w:val="single" w:sz="2" w:space="0" w:color="auto"/>
              <w:right w:val="single" w:sz="2" w:space="0" w:color="auto"/>
            </w:tcBorders>
            <w:vAlign w:val="center"/>
          </w:tcPr>
          <w:p w14:paraId="488ED6D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1,815,491.65</w:t>
            </w:r>
          </w:p>
        </w:tc>
        <w:tc>
          <w:tcPr>
            <w:tcW w:w="661" w:type="pct"/>
            <w:tcBorders>
              <w:top w:val="single" w:sz="2" w:space="0" w:color="auto"/>
              <w:left w:val="single" w:sz="2" w:space="0" w:color="auto"/>
              <w:bottom w:val="single" w:sz="2" w:space="0" w:color="auto"/>
              <w:right w:val="single" w:sz="2" w:space="0" w:color="auto"/>
            </w:tcBorders>
            <w:vAlign w:val="center"/>
          </w:tcPr>
          <w:p w14:paraId="2AD49A4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2,621,249.60</w:t>
            </w:r>
          </w:p>
        </w:tc>
        <w:tc>
          <w:tcPr>
            <w:tcW w:w="662" w:type="pct"/>
            <w:tcBorders>
              <w:top w:val="single" w:sz="2" w:space="0" w:color="auto"/>
              <w:left w:val="single" w:sz="2" w:space="0" w:color="auto"/>
              <w:bottom w:val="single" w:sz="2" w:space="0" w:color="auto"/>
              <w:right w:val="single" w:sz="2" w:space="0" w:color="auto"/>
            </w:tcBorders>
            <w:vAlign w:val="center"/>
          </w:tcPr>
          <w:p w14:paraId="3930252F"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12,523,915.86</w:t>
            </w:r>
          </w:p>
        </w:tc>
      </w:tr>
      <w:tr w:rsidR="00543F0E" w14:paraId="3819A857"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71D00A25"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）处置</w:t>
            </w:r>
          </w:p>
        </w:tc>
        <w:tc>
          <w:tcPr>
            <w:tcW w:w="661" w:type="pct"/>
            <w:tcBorders>
              <w:top w:val="single" w:sz="2" w:space="0" w:color="auto"/>
              <w:left w:val="single" w:sz="2" w:space="0" w:color="auto"/>
              <w:bottom w:val="single" w:sz="2" w:space="0" w:color="auto"/>
              <w:right w:val="single" w:sz="2" w:space="0" w:color="auto"/>
            </w:tcBorders>
            <w:vAlign w:val="center"/>
          </w:tcPr>
          <w:p w14:paraId="55221511"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78F0F1C"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2FFAF3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5F15493"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64680D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09C89D9B"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2083E4AA"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vAlign w:val="center"/>
          </w:tcPr>
          <w:p w14:paraId="3C78B02C"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）汇率变动</w:t>
            </w:r>
          </w:p>
        </w:tc>
        <w:tc>
          <w:tcPr>
            <w:tcW w:w="661" w:type="pct"/>
            <w:tcBorders>
              <w:top w:val="single" w:sz="2" w:space="0" w:color="auto"/>
              <w:left w:val="single" w:sz="2" w:space="0" w:color="auto"/>
              <w:bottom w:val="single" w:sz="2" w:space="0" w:color="auto"/>
              <w:right w:val="single" w:sz="2" w:space="0" w:color="auto"/>
            </w:tcBorders>
            <w:vAlign w:val="center"/>
          </w:tcPr>
          <w:p w14:paraId="7D0B540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6A3C51F"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6,969,528.74</w:t>
            </w:r>
          </w:p>
        </w:tc>
        <w:tc>
          <w:tcPr>
            <w:tcW w:w="661" w:type="pct"/>
            <w:tcBorders>
              <w:top w:val="single" w:sz="2" w:space="0" w:color="auto"/>
              <w:left w:val="single" w:sz="2" w:space="0" w:color="auto"/>
              <w:bottom w:val="single" w:sz="2" w:space="0" w:color="auto"/>
              <w:right w:val="single" w:sz="2" w:space="0" w:color="auto"/>
            </w:tcBorders>
            <w:vAlign w:val="center"/>
          </w:tcPr>
          <w:p w14:paraId="51E8172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1,117,645.87</w:t>
            </w:r>
          </w:p>
        </w:tc>
        <w:tc>
          <w:tcPr>
            <w:tcW w:w="661" w:type="pct"/>
            <w:tcBorders>
              <w:top w:val="single" w:sz="2" w:space="0" w:color="auto"/>
              <w:left w:val="single" w:sz="2" w:space="0" w:color="auto"/>
              <w:bottom w:val="single" w:sz="2" w:space="0" w:color="auto"/>
              <w:right w:val="single" w:sz="2" w:space="0" w:color="auto"/>
            </w:tcBorders>
            <w:vAlign w:val="center"/>
          </w:tcPr>
          <w:p w14:paraId="4FCD18D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1,815,491.65</w:t>
            </w:r>
          </w:p>
        </w:tc>
        <w:tc>
          <w:tcPr>
            <w:tcW w:w="661" w:type="pct"/>
            <w:tcBorders>
              <w:top w:val="single" w:sz="2" w:space="0" w:color="auto"/>
              <w:left w:val="single" w:sz="2" w:space="0" w:color="auto"/>
              <w:bottom w:val="single" w:sz="2" w:space="0" w:color="auto"/>
              <w:right w:val="single" w:sz="2" w:space="0" w:color="auto"/>
            </w:tcBorders>
            <w:vAlign w:val="center"/>
          </w:tcPr>
          <w:p w14:paraId="0A3F02F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2,621,249.60</w:t>
            </w:r>
          </w:p>
        </w:tc>
        <w:tc>
          <w:tcPr>
            <w:tcW w:w="662" w:type="pct"/>
            <w:tcBorders>
              <w:top w:val="single" w:sz="2" w:space="0" w:color="auto"/>
              <w:left w:val="single" w:sz="2" w:space="0" w:color="auto"/>
              <w:bottom w:val="single" w:sz="2" w:space="0" w:color="auto"/>
              <w:right w:val="single" w:sz="2" w:space="0" w:color="auto"/>
            </w:tcBorders>
            <w:vAlign w:val="center"/>
          </w:tcPr>
          <w:p w14:paraId="2E61982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12,523,915.86</w:t>
            </w:r>
          </w:p>
        </w:tc>
      </w:tr>
      <w:tr w:rsidR="00543F0E" w14:paraId="2A27570F"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2F7CA7A2"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4.</w:t>
            </w:r>
            <w:r w:rsidRPr="00543F0E">
              <w:rPr>
                <w:rFonts w:ascii="Times New Roman" w:eastAsia="宋体" w:hAnsi="Times New Roman" w:cs="Times New Roman"/>
                <w:sz w:val="15"/>
                <w:szCs w:val="15"/>
              </w:rPr>
              <w:t>期末余额</w:t>
            </w:r>
          </w:p>
        </w:tc>
        <w:tc>
          <w:tcPr>
            <w:tcW w:w="661" w:type="pct"/>
            <w:tcBorders>
              <w:top w:val="single" w:sz="2" w:space="0" w:color="auto"/>
              <w:left w:val="single" w:sz="2" w:space="0" w:color="auto"/>
              <w:bottom w:val="single" w:sz="2" w:space="0" w:color="auto"/>
              <w:right w:val="single" w:sz="2" w:space="0" w:color="auto"/>
            </w:tcBorders>
            <w:vAlign w:val="center"/>
          </w:tcPr>
          <w:p w14:paraId="5C37C32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136,281,942.00</w:t>
            </w:r>
          </w:p>
        </w:tc>
        <w:tc>
          <w:tcPr>
            <w:tcW w:w="661" w:type="pct"/>
            <w:tcBorders>
              <w:top w:val="single" w:sz="2" w:space="0" w:color="auto"/>
              <w:left w:val="single" w:sz="2" w:space="0" w:color="auto"/>
              <w:bottom w:val="single" w:sz="2" w:space="0" w:color="auto"/>
              <w:right w:val="single" w:sz="2" w:space="0" w:color="auto"/>
            </w:tcBorders>
            <w:vAlign w:val="center"/>
          </w:tcPr>
          <w:p w14:paraId="624665B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320,743,797.06</w:t>
            </w:r>
          </w:p>
        </w:tc>
        <w:tc>
          <w:tcPr>
            <w:tcW w:w="661" w:type="pct"/>
            <w:tcBorders>
              <w:top w:val="single" w:sz="2" w:space="0" w:color="auto"/>
              <w:left w:val="single" w:sz="2" w:space="0" w:color="auto"/>
              <w:bottom w:val="single" w:sz="2" w:space="0" w:color="auto"/>
              <w:right w:val="single" w:sz="2" w:space="0" w:color="auto"/>
            </w:tcBorders>
            <w:vAlign w:val="center"/>
          </w:tcPr>
          <w:p w14:paraId="714DC6F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49,777,589.43</w:t>
            </w:r>
          </w:p>
        </w:tc>
        <w:tc>
          <w:tcPr>
            <w:tcW w:w="661" w:type="pct"/>
            <w:tcBorders>
              <w:top w:val="single" w:sz="2" w:space="0" w:color="auto"/>
              <w:left w:val="single" w:sz="2" w:space="0" w:color="auto"/>
              <w:bottom w:val="single" w:sz="2" w:space="0" w:color="auto"/>
              <w:right w:val="single" w:sz="2" w:space="0" w:color="auto"/>
            </w:tcBorders>
            <w:vAlign w:val="center"/>
          </w:tcPr>
          <w:p w14:paraId="4FD5E923"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139,005,498.26</w:t>
            </w:r>
          </w:p>
        </w:tc>
        <w:tc>
          <w:tcPr>
            <w:tcW w:w="661" w:type="pct"/>
            <w:tcBorders>
              <w:top w:val="single" w:sz="2" w:space="0" w:color="auto"/>
              <w:left w:val="single" w:sz="2" w:space="0" w:color="auto"/>
              <w:bottom w:val="single" w:sz="2" w:space="0" w:color="auto"/>
              <w:right w:val="single" w:sz="2" w:space="0" w:color="auto"/>
            </w:tcBorders>
            <w:vAlign w:val="center"/>
          </w:tcPr>
          <w:p w14:paraId="5C5DB89B"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118,479,729.92</w:t>
            </w:r>
          </w:p>
        </w:tc>
        <w:tc>
          <w:tcPr>
            <w:tcW w:w="662" w:type="pct"/>
            <w:tcBorders>
              <w:top w:val="single" w:sz="2" w:space="0" w:color="auto"/>
              <w:left w:val="single" w:sz="2" w:space="0" w:color="auto"/>
              <w:bottom w:val="single" w:sz="2" w:space="0" w:color="auto"/>
              <w:right w:val="single" w:sz="2" w:space="0" w:color="auto"/>
            </w:tcBorders>
            <w:vAlign w:val="center"/>
          </w:tcPr>
          <w:p w14:paraId="12800AC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764,288,556.67</w:t>
            </w:r>
          </w:p>
        </w:tc>
      </w:tr>
      <w:tr w:rsidR="00543F0E" w14:paraId="38406563"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6A7631FD" w14:textId="77777777" w:rsidR="00543F0E" w:rsidRPr="00543F0E" w:rsidRDefault="00543F0E" w:rsidP="00543F0E">
            <w:pPr>
              <w:spacing w:before="40" w:after="40" w:line="360" w:lineRule="auto"/>
              <w:rPr>
                <w:rFonts w:ascii="Times New Roman" w:eastAsia="宋体" w:hAnsi="Times New Roman" w:cs="Times New Roman"/>
                <w:sz w:val="15"/>
                <w:szCs w:val="15"/>
              </w:rPr>
            </w:pPr>
            <w:r w:rsidRPr="00543F0E">
              <w:rPr>
                <w:rFonts w:ascii="Times New Roman" w:eastAsia="宋体" w:hAnsi="Times New Roman" w:cs="Times New Roman"/>
                <w:sz w:val="15"/>
                <w:szCs w:val="15"/>
              </w:rPr>
              <w:t>二、累计摊销</w:t>
            </w:r>
          </w:p>
        </w:tc>
        <w:tc>
          <w:tcPr>
            <w:tcW w:w="661" w:type="pct"/>
            <w:tcBorders>
              <w:top w:val="single" w:sz="2" w:space="0" w:color="auto"/>
              <w:left w:val="single" w:sz="2" w:space="0" w:color="auto"/>
              <w:bottom w:val="single" w:sz="2" w:space="0" w:color="auto"/>
              <w:right w:val="single" w:sz="2" w:space="0" w:color="auto"/>
            </w:tcBorders>
            <w:vAlign w:val="center"/>
          </w:tcPr>
          <w:p w14:paraId="5368AB4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17F79A3"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614F73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D5C6BF1"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DA5E58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306331F4"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1E1B6A1E"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16D23E68"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期初余额</w:t>
            </w:r>
          </w:p>
        </w:tc>
        <w:tc>
          <w:tcPr>
            <w:tcW w:w="661" w:type="pct"/>
            <w:tcBorders>
              <w:top w:val="single" w:sz="2" w:space="0" w:color="auto"/>
              <w:left w:val="single" w:sz="2" w:space="0" w:color="auto"/>
              <w:bottom w:val="single" w:sz="2" w:space="0" w:color="auto"/>
              <w:right w:val="single" w:sz="2" w:space="0" w:color="auto"/>
            </w:tcBorders>
            <w:vAlign w:val="center"/>
          </w:tcPr>
          <w:p w14:paraId="1AB0D315"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15,896,721.15</w:t>
            </w:r>
          </w:p>
        </w:tc>
        <w:tc>
          <w:tcPr>
            <w:tcW w:w="661" w:type="pct"/>
            <w:tcBorders>
              <w:top w:val="single" w:sz="2" w:space="0" w:color="auto"/>
              <w:left w:val="single" w:sz="2" w:space="0" w:color="auto"/>
              <w:bottom w:val="single" w:sz="2" w:space="0" w:color="auto"/>
              <w:right w:val="single" w:sz="2" w:space="0" w:color="auto"/>
            </w:tcBorders>
            <w:vAlign w:val="center"/>
          </w:tcPr>
          <w:p w14:paraId="0C9E820E"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284,771,216.18</w:t>
            </w:r>
          </w:p>
        </w:tc>
        <w:tc>
          <w:tcPr>
            <w:tcW w:w="661" w:type="pct"/>
            <w:tcBorders>
              <w:top w:val="single" w:sz="2" w:space="0" w:color="auto"/>
              <w:left w:val="single" w:sz="2" w:space="0" w:color="auto"/>
              <w:bottom w:val="single" w:sz="2" w:space="0" w:color="auto"/>
              <w:right w:val="single" w:sz="2" w:space="0" w:color="auto"/>
            </w:tcBorders>
            <w:vAlign w:val="center"/>
          </w:tcPr>
          <w:p w14:paraId="1126D23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7,415,956.89</w:t>
            </w:r>
          </w:p>
        </w:tc>
        <w:tc>
          <w:tcPr>
            <w:tcW w:w="661" w:type="pct"/>
            <w:tcBorders>
              <w:top w:val="single" w:sz="2" w:space="0" w:color="auto"/>
              <w:left w:val="single" w:sz="2" w:space="0" w:color="auto"/>
              <w:bottom w:val="single" w:sz="2" w:space="0" w:color="auto"/>
              <w:right w:val="single" w:sz="2" w:space="0" w:color="auto"/>
            </w:tcBorders>
            <w:vAlign w:val="center"/>
          </w:tcPr>
          <w:p w14:paraId="195BF96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84,731,812.28</w:t>
            </w:r>
          </w:p>
        </w:tc>
        <w:tc>
          <w:tcPr>
            <w:tcW w:w="661" w:type="pct"/>
            <w:tcBorders>
              <w:top w:val="single" w:sz="2" w:space="0" w:color="auto"/>
              <w:left w:val="single" w:sz="2" w:space="0" w:color="auto"/>
              <w:bottom w:val="single" w:sz="2" w:space="0" w:color="auto"/>
              <w:right w:val="single" w:sz="2" w:space="0" w:color="auto"/>
            </w:tcBorders>
            <w:vAlign w:val="center"/>
          </w:tcPr>
          <w:p w14:paraId="787BA155"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68,233,429.02</w:t>
            </w:r>
          </w:p>
        </w:tc>
        <w:tc>
          <w:tcPr>
            <w:tcW w:w="662" w:type="pct"/>
            <w:tcBorders>
              <w:top w:val="single" w:sz="2" w:space="0" w:color="auto"/>
              <w:left w:val="single" w:sz="2" w:space="0" w:color="auto"/>
              <w:bottom w:val="single" w:sz="2" w:space="0" w:color="auto"/>
              <w:right w:val="single" w:sz="2" w:space="0" w:color="auto"/>
            </w:tcBorders>
            <w:vAlign w:val="center"/>
          </w:tcPr>
          <w:p w14:paraId="39E92D92"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461,049,135.52</w:t>
            </w:r>
          </w:p>
        </w:tc>
      </w:tr>
      <w:tr w:rsidR="00543F0E" w14:paraId="760A0779"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4C90949F"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本期增加金额</w:t>
            </w:r>
          </w:p>
        </w:tc>
        <w:tc>
          <w:tcPr>
            <w:tcW w:w="661" w:type="pct"/>
            <w:tcBorders>
              <w:top w:val="single" w:sz="2" w:space="0" w:color="auto"/>
              <w:left w:val="single" w:sz="2" w:space="0" w:color="auto"/>
              <w:bottom w:val="single" w:sz="2" w:space="0" w:color="auto"/>
              <w:right w:val="single" w:sz="2" w:space="0" w:color="auto"/>
            </w:tcBorders>
            <w:vAlign w:val="center"/>
          </w:tcPr>
          <w:p w14:paraId="61A2742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2,725,560.46</w:t>
            </w:r>
          </w:p>
        </w:tc>
        <w:tc>
          <w:tcPr>
            <w:tcW w:w="661" w:type="pct"/>
            <w:tcBorders>
              <w:top w:val="single" w:sz="2" w:space="0" w:color="auto"/>
              <w:left w:val="single" w:sz="2" w:space="0" w:color="auto"/>
              <w:bottom w:val="single" w:sz="2" w:space="0" w:color="auto"/>
              <w:right w:val="single" w:sz="2" w:space="0" w:color="auto"/>
            </w:tcBorders>
            <w:vAlign w:val="center"/>
          </w:tcPr>
          <w:p w14:paraId="304EAE39"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17,200,394.42</w:t>
            </w:r>
          </w:p>
        </w:tc>
        <w:tc>
          <w:tcPr>
            <w:tcW w:w="661" w:type="pct"/>
            <w:tcBorders>
              <w:top w:val="single" w:sz="2" w:space="0" w:color="auto"/>
              <w:left w:val="single" w:sz="2" w:space="0" w:color="auto"/>
              <w:bottom w:val="single" w:sz="2" w:space="0" w:color="auto"/>
              <w:right w:val="single" w:sz="2" w:space="0" w:color="auto"/>
            </w:tcBorders>
            <w:vAlign w:val="center"/>
          </w:tcPr>
          <w:p w14:paraId="712A6A8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562,418.09</w:t>
            </w:r>
          </w:p>
        </w:tc>
        <w:tc>
          <w:tcPr>
            <w:tcW w:w="661" w:type="pct"/>
            <w:tcBorders>
              <w:top w:val="single" w:sz="2" w:space="0" w:color="auto"/>
              <w:left w:val="single" w:sz="2" w:space="0" w:color="auto"/>
              <w:bottom w:val="single" w:sz="2" w:space="0" w:color="auto"/>
              <w:right w:val="single" w:sz="2" w:space="0" w:color="auto"/>
            </w:tcBorders>
            <w:vAlign w:val="center"/>
          </w:tcPr>
          <w:p w14:paraId="03449DF9"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14,789,036.30</w:t>
            </w:r>
          </w:p>
        </w:tc>
        <w:tc>
          <w:tcPr>
            <w:tcW w:w="661" w:type="pct"/>
            <w:tcBorders>
              <w:top w:val="single" w:sz="2" w:space="0" w:color="auto"/>
              <w:left w:val="single" w:sz="2" w:space="0" w:color="auto"/>
              <w:bottom w:val="single" w:sz="2" w:space="0" w:color="auto"/>
              <w:right w:val="single" w:sz="2" w:space="0" w:color="auto"/>
            </w:tcBorders>
            <w:vAlign w:val="center"/>
          </w:tcPr>
          <w:p w14:paraId="7A6D1B7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4,009,090.84</w:t>
            </w:r>
          </w:p>
        </w:tc>
        <w:tc>
          <w:tcPr>
            <w:tcW w:w="662" w:type="pct"/>
            <w:tcBorders>
              <w:top w:val="single" w:sz="2" w:space="0" w:color="auto"/>
              <w:left w:val="single" w:sz="2" w:space="0" w:color="auto"/>
              <w:bottom w:val="single" w:sz="2" w:space="0" w:color="auto"/>
              <w:right w:val="single" w:sz="2" w:space="0" w:color="auto"/>
            </w:tcBorders>
            <w:vAlign w:val="center"/>
          </w:tcPr>
          <w:p w14:paraId="46C3A569"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39,286,500.11</w:t>
            </w:r>
          </w:p>
        </w:tc>
      </w:tr>
      <w:tr w:rsidR="00543F0E" w14:paraId="615F1C50"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4CB053C6"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）计提</w:t>
            </w:r>
          </w:p>
        </w:tc>
        <w:tc>
          <w:tcPr>
            <w:tcW w:w="661" w:type="pct"/>
            <w:tcBorders>
              <w:top w:val="single" w:sz="2" w:space="0" w:color="auto"/>
              <w:left w:val="single" w:sz="2" w:space="0" w:color="auto"/>
              <w:bottom w:val="single" w:sz="2" w:space="0" w:color="auto"/>
              <w:right w:val="single" w:sz="2" w:space="0" w:color="auto"/>
            </w:tcBorders>
            <w:vAlign w:val="center"/>
          </w:tcPr>
          <w:p w14:paraId="238AA2BB"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2,725,560.46</w:t>
            </w:r>
          </w:p>
        </w:tc>
        <w:tc>
          <w:tcPr>
            <w:tcW w:w="661" w:type="pct"/>
            <w:tcBorders>
              <w:top w:val="single" w:sz="2" w:space="0" w:color="auto"/>
              <w:left w:val="single" w:sz="2" w:space="0" w:color="auto"/>
              <w:bottom w:val="single" w:sz="2" w:space="0" w:color="auto"/>
              <w:right w:val="single" w:sz="2" w:space="0" w:color="auto"/>
            </w:tcBorders>
            <w:vAlign w:val="center"/>
          </w:tcPr>
          <w:p w14:paraId="1891A492"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17,200,394.42</w:t>
            </w:r>
          </w:p>
        </w:tc>
        <w:tc>
          <w:tcPr>
            <w:tcW w:w="661" w:type="pct"/>
            <w:tcBorders>
              <w:top w:val="single" w:sz="2" w:space="0" w:color="auto"/>
              <w:left w:val="single" w:sz="2" w:space="0" w:color="auto"/>
              <w:bottom w:val="single" w:sz="2" w:space="0" w:color="auto"/>
              <w:right w:val="single" w:sz="2" w:space="0" w:color="auto"/>
            </w:tcBorders>
            <w:vAlign w:val="center"/>
          </w:tcPr>
          <w:p w14:paraId="4749884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562,418.09</w:t>
            </w:r>
          </w:p>
        </w:tc>
        <w:tc>
          <w:tcPr>
            <w:tcW w:w="661" w:type="pct"/>
            <w:tcBorders>
              <w:top w:val="single" w:sz="2" w:space="0" w:color="auto"/>
              <w:left w:val="single" w:sz="2" w:space="0" w:color="auto"/>
              <w:bottom w:val="single" w:sz="2" w:space="0" w:color="auto"/>
              <w:right w:val="single" w:sz="2" w:space="0" w:color="auto"/>
            </w:tcBorders>
            <w:vAlign w:val="center"/>
          </w:tcPr>
          <w:p w14:paraId="6AFDE315"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14,789,036.30</w:t>
            </w:r>
          </w:p>
        </w:tc>
        <w:tc>
          <w:tcPr>
            <w:tcW w:w="661" w:type="pct"/>
            <w:tcBorders>
              <w:top w:val="single" w:sz="2" w:space="0" w:color="auto"/>
              <w:left w:val="single" w:sz="2" w:space="0" w:color="auto"/>
              <w:bottom w:val="single" w:sz="2" w:space="0" w:color="auto"/>
              <w:right w:val="single" w:sz="2" w:space="0" w:color="auto"/>
            </w:tcBorders>
            <w:vAlign w:val="center"/>
          </w:tcPr>
          <w:p w14:paraId="28FD8DE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4,009,090.84</w:t>
            </w:r>
          </w:p>
        </w:tc>
        <w:tc>
          <w:tcPr>
            <w:tcW w:w="662" w:type="pct"/>
            <w:tcBorders>
              <w:top w:val="single" w:sz="2" w:space="0" w:color="auto"/>
              <w:left w:val="single" w:sz="2" w:space="0" w:color="auto"/>
              <w:bottom w:val="single" w:sz="2" w:space="0" w:color="auto"/>
              <w:right w:val="single" w:sz="2" w:space="0" w:color="auto"/>
            </w:tcBorders>
            <w:vAlign w:val="center"/>
          </w:tcPr>
          <w:p w14:paraId="223A62CA"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39,286,500.11</w:t>
            </w:r>
          </w:p>
        </w:tc>
      </w:tr>
      <w:tr w:rsidR="00543F0E" w14:paraId="1994EAB4"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7F689E76"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3.</w:t>
            </w:r>
            <w:r w:rsidRPr="00543F0E">
              <w:rPr>
                <w:rFonts w:ascii="Times New Roman" w:eastAsia="宋体" w:hAnsi="Times New Roman" w:cs="Times New Roman"/>
                <w:sz w:val="15"/>
                <w:szCs w:val="15"/>
              </w:rPr>
              <w:t>本期减少金额</w:t>
            </w:r>
          </w:p>
        </w:tc>
        <w:tc>
          <w:tcPr>
            <w:tcW w:w="661" w:type="pct"/>
            <w:tcBorders>
              <w:top w:val="single" w:sz="2" w:space="0" w:color="auto"/>
              <w:left w:val="single" w:sz="2" w:space="0" w:color="auto"/>
              <w:bottom w:val="single" w:sz="2" w:space="0" w:color="auto"/>
              <w:right w:val="single" w:sz="2" w:space="0" w:color="auto"/>
            </w:tcBorders>
            <w:vAlign w:val="center"/>
          </w:tcPr>
          <w:p w14:paraId="6B9422DB"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2D0A0D7E"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6,353,994.63</w:t>
            </w:r>
          </w:p>
        </w:tc>
        <w:tc>
          <w:tcPr>
            <w:tcW w:w="661" w:type="pct"/>
            <w:tcBorders>
              <w:top w:val="single" w:sz="2" w:space="0" w:color="auto"/>
              <w:left w:val="single" w:sz="2" w:space="0" w:color="auto"/>
              <w:bottom w:val="single" w:sz="2" w:space="0" w:color="auto"/>
              <w:right w:val="single" w:sz="2" w:space="0" w:color="auto"/>
            </w:tcBorders>
            <w:vAlign w:val="center"/>
          </w:tcPr>
          <w:p w14:paraId="2380A40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163,455.34</w:t>
            </w:r>
          </w:p>
        </w:tc>
        <w:tc>
          <w:tcPr>
            <w:tcW w:w="661" w:type="pct"/>
            <w:tcBorders>
              <w:top w:val="single" w:sz="2" w:space="0" w:color="auto"/>
              <w:left w:val="single" w:sz="2" w:space="0" w:color="auto"/>
              <w:bottom w:val="single" w:sz="2" w:space="0" w:color="auto"/>
              <w:right w:val="single" w:sz="2" w:space="0" w:color="auto"/>
            </w:tcBorders>
            <w:vAlign w:val="center"/>
          </w:tcPr>
          <w:p w14:paraId="19214689"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1,164,208.20</w:t>
            </w:r>
          </w:p>
        </w:tc>
        <w:tc>
          <w:tcPr>
            <w:tcW w:w="661" w:type="pct"/>
            <w:tcBorders>
              <w:top w:val="single" w:sz="2" w:space="0" w:color="auto"/>
              <w:left w:val="single" w:sz="2" w:space="0" w:color="auto"/>
              <w:bottom w:val="single" w:sz="2" w:space="0" w:color="auto"/>
              <w:right w:val="single" w:sz="2" w:space="0" w:color="auto"/>
            </w:tcBorders>
            <w:vAlign w:val="center"/>
          </w:tcPr>
          <w:p w14:paraId="2C9BACC5"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1,510,991.66</w:t>
            </w:r>
          </w:p>
        </w:tc>
        <w:tc>
          <w:tcPr>
            <w:tcW w:w="662" w:type="pct"/>
            <w:tcBorders>
              <w:top w:val="single" w:sz="2" w:space="0" w:color="auto"/>
              <w:left w:val="single" w:sz="2" w:space="0" w:color="auto"/>
              <w:bottom w:val="single" w:sz="2" w:space="0" w:color="auto"/>
              <w:right w:val="single" w:sz="2" w:space="0" w:color="auto"/>
            </w:tcBorders>
            <w:vAlign w:val="center"/>
          </w:tcPr>
          <w:p w14:paraId="6B3FC17A"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9,192,649.83</w:t>
            </w:r>
          </w:p>
        </w:tc>
      </w:tr>
      <w:tr w:rsidR="00543F0E" w14:paraId="7D39D95D"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5F607B5C"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）处置</w:t>
            </w:r>
          </w:p>
        </w:tc>
        <w:tc>
          <w:tcPr>
            <w:tcW w:w="661" w:type="pct"/>
            <w:tcBorders>
              <w:top w:val="single" w:sz="2" w:space="0" w:color="auto"/>
              <w:left w:val="single" w:sz="2" w:space="0" w:color="auto"/>
              <w:bottom w:val="single" w:sz="2" w:space="0" w:color="auto"/>
              <w:right w:val="single" w:sz="2" w:space="0" w:color="auto"/>
            </w:tcBorders>
            <w:vAlign w:val="center"/>
          </w:tcPr>
          <w:p w14:paraId="13695E7A"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C5A30EE"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A503FF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3B28D8B"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3ECEAC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22F7D9F8"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60279170"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vAlign w:val="center"/>
          </w:tcPr>
          <w:p w14:paraId="3A21599C"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）汇率变动</w:t>
            </w:r>
          </w:p>
        </w:tc>
        <w:tc>
          <w:tcPr>
            <w:tcW w:w="661" w:type="pct"/>
            <w:tcBorders>
              <w:top w:val="single" w:sz="2" w:space="0" w:color="auto"/>
              <w:left w:val="single" w:sz="2" w:space="0" w:color="auto"/>
              <w:bottom w:val="single" w:sz="2" w:space="0" w:color="auto"/>
              <w:right w:val="single" w:sz="2" w:space="0" w:color="auto"/>
            </w:tcBorders>
            <w:vAlign w:val="center"/>
          </w:tcPr>
          <w:p w14:paraId="2C7778E2"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E654D51"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6,353,994.63</w:t>
            </w:r>
          </w:p>
        </w:tc>
        <w:tc>
          <w:tcPr>
            <w:tcW w:w="661" w:type="pct"/>
            <w:tcBorders>
              <w:top w:val="single" w:sz="2" w:space="0" w:color="auto"/>
              <w:left w:val="single" w:sz="2" w:space="0" w:color="auto"/>
              <w:bottom w:val="single" w:sz="2" w:space="0" w:color="auto"/>
              <w:right w:val="single" w:sz="2" w:space="0" w:color="auto"/>
            </w:tcBorders>
            <w:vAlign w:val="center"/>
          </w:tcPr>
          <w:p w14:paraId="2593C40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163,455.34</w:t>
            </w:r>
          </w:p>
        </w:tc>
        <w:tc>
          <w:tcPr>
            <w:tcW w:w="661" w:type="pct"/>
            <w:tcBorders>
              <w:top w:val="single" w:sz="2" w:space="0" w:color="auto"/>
              <w:left w:val="single" w:sz="2" w:space="0" w:color="auto"/>
              <w:bottom w:val="single" w:sz="2" w:space="0" w:color="auto"/>
              <w:right w:val="single" w:sz="2" w:space="0" w:color="auto"/>
            </w:tcBorders>
            <w:vAlign w:val="center"/>
          </w:tcPr>
          <w:p w14:paraId="30D2FC15"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1,164,208.20</w:t>
            </w:r>
          </w:p>
        </w:tc>
        <w:tc>
          <w:tcPr>
            <w:tcW w:w="661" w:type="pct"/>
            <w:tcBorders>
              <w:top w:val="single" w:sz="2" w:space="0" w:color="auto"/>
              <w:left w:val="single" w:sz="2" w:space="0" w:color="auto"/>
              <w:bottom w:val="single" w:sz="2" w:space="0" w:color="auto"/>
              <w:right w:val="single" w:sz="2" w:space="0" w:color="auto"/>
            </w:tcBorders>
            <w:vAlign w:val="center"/>
          </w:tcPr>
          <w:p w14:paraId="291D816E"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1,510,991.66</w:t>
            </w:r>
          </w:p>
        </w:tc>
        <w:tc>
          <w:tcPr>
            <w:tcW w:w="662" w:type="pct"/>
            <w:tcBorders>
              <w:top w:val="single" w:sz="2" w:space="0" w:color="auto"/>
              <w:left w:val="single" w:sz="2" w:space="0" w:color="auto"/>
              <w:bottom w:val="single" w:sz="2" w:space="0" w:color="auto"/>
              <w:right w:val="single" w:sz="2" w:space="0" w:color="auto"/>
            </w:tcBorders>
            <w:vAlign w:val="center"/>
          </w:tcPr>
          <w:p w14:paraId="6BFB1D9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9,192,649.83</w:t>
            </w:r>
          </w:p>
        </w:tc>
      </w:tr>
      <w:tr w:rsidR="00543F0E" w14:paraId="429DF6B8"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12ACB9DA"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4.</w:t>
            </w:r>
            <w:r w:rsidRPr="00543F0E">
              <w:rPr>
                <w:rFonts w:ascii="Times New Roman" w:eastAsia="宋体" w:hAnsi="Times New Roman" w:cs="Times New Roman"/>
                <w:sz w:val="15"/>
                <w:szCs w:val="15"/>
              </w:rPr>
              <w:t>期末余额</w:t>
            </w:r>
          </w:p>
        </w:tc>
        <w:tc>
          <w:tcPr>
            <w:tcW w:w="661" w:type="pct"/>
            <w:tcBorders>
              <w:top w:val="single" w:sz="2" w:space="0" w:color="auto"/>
              <w:left w:val="single" w:sz="2" w:space="0" w:color="auto"/>
              <w:bottom w:val="single" w:sz="2" w:space="0" w:color="auto"/>
              <w:right w:val="single" w:sz="2" w:space="0" w:color="auto"/>
            </w:tcBorders>
            <w:vAlign w:val="center"/>
          </w:tcPr>
          <w:p w14:paraId="0762981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18,622,281.61</w:t>
            </w:r>
          </w:p>
        </w:tc>
        <w:tc>
          <w:tcPr>
            <w:tcW w:w="661" w:type="pct"/>
            <w:tcBorders>
              <w:top w:val="single" w:sz="2" w:space="0" w:color="auto"/>
              <w:left w:val="single" w:sz="2" w:space="0" w:color="auto"/>
              <w:bottom w:val="single" w:sz="2" w:space="0" w:color="auto"/>
              <w:right w:val="single" w:sz="2" w:space="0" w:color="auto"/>
            </w:tcBorders>
            <w:vAlign w:val="center"/>
          </w:tcPr>
          <w:p w14:paraId="6C71978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295,617,615.97</w:t>
            </w:r>
          </w:p>
        </w:tc>
        <w:tc>
          <w:tcPr>
            <w:tcW w:w="661" w:type="pct"/>
            <w:tcBorders>
              <w:top w:val="single" w:sz="2" w:space="0" w:color="auto"/>
              <w:left w:val="single" w:sz="2" w:space="0" w:color="auto"/>
              <w:bottom w:val="single" w:sz="2" w:space="0" w:color="auto"/>
              <w:right w:val="single" w:sz="2" w:space="0" w:color="auto"/>
            </w:tcBorders>
            <w:vAlign w:val="center"/>
          </w:tcPr>
          <w:p w14:paraId="07D2F9ED"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7,814,919.64</w:t>
            </w:r>
          </w:p>
        </w:tc>
        <w:tc>
          <w:tcPr>
            <w:tcW w:w="661" w:type="pct"/>
            <w:tcBorders>
              <w:top w:val="single" w:sz="2" w:space="0" w:color="auto"/>
              <w:left w:val="single" w:sz="2" w:space="0" w:color="auto"/>
              <w:bottom w:val="single" w:sz="2" w:space="0" w:color="auto"/>
              <w:right w:val="single" w:sz="2" w:space="0" w:color="auto"/>
            </w:tcBorders>
            <w:vAlign w:val="center"/>
          </w:tcPr>
          <w:p w14:paraId="43CAB4E4"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98,356,640.38</w:t>
            </w:r>
          </w:p>
        </w:tc>
        <w:tc>
          <w:tcPr>
            <w:tcW w:w="661" w:type="pct"/>
            <w:tcBorders>
              <w:top w:val="single" w:sz="2" w:space="0" w:color="auto"/>
              <w:left w:val="single" w:sz="2" w:space="0" w:color="auto"/>
              <w:bottom w:val="single" w:sz="2" w:space="0" w:color="auto"/>
              <w:right w:val="single" w:sz="2" w:space="0" w:color="auto"/>
            </w:tcBorders>
            <w:vAlign w:val="center"/>
          </w:tcPr>
          <w:p w14:paraId="528A66B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70,731,528.20</w:t>
            </w:r>
          </w:p>
        </w:tc>
        <w:tc>
          <w:tcPr>
            <w:tcW w:w="662" w:type="pct"/>
            <w:tcBorders>
              <w:top w:val="single" w:sz="2" w:space="0" w:color="auto"/>
              <w:left w:val="single" w:sz="2" w:space="0" w:color="auto"/>
              <w:bottom w:val="single" w:sz="2" w:space="0" w:color="auto"/>
              <w:right w:val="single" w:sz="2" w:space="0" w:color="auto"/>
            </w:tcBorders>
            <w:vAlign w:val="center"/>
          </w:tcPr>
          <w:p w14:paraId="22937D2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491,142,985.80</w:t>
            </w:r>
          </w:p>
        </w:tc>
      </w:tr>
      <w:tr w:rsidR="00543F0E" w14:paraId="6F239183"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07D7B9AC" w14:textId="77777777" w:rsidR="00543F0E" w:rsidRPr="00543F0E" w:rsidRDefault="00543F0E" w:rsidP="00543F0E">
            <w:pPr>
              <w:spacing w:before="40" w:after="40" w:line="360" w:lineRule="auto"/>
              <w:rPr>
                <w:rFonts w:ascii="Times New Roman" w:eastAsia="宋体" w:hAnsi="Times New Roman" w:cs="Times New Roman"/>
                <w:sz w:val="15"/>
                <w:szCs w:val="15"/>
              </w:rPr>
            </w:pPr>
            <w:r w:rsidRPr="00543F0E">
              <w:rPr>
                <w:rFonts w:ascii="Times New Roman" w:eastAsia="宋体" w:hAnsi="Times New Roman" w:cs="Times New Roman"/>
                <w:sz w:val="15"/>
                <w:szCs w:val="15"/>
              </w:rPr>
              <w:t>三、减值准备</w:t>
            </w:r>
          </w:p>
        </w:tc>
        <w:tc>
          <w:tcPr>
            <w:tcW w:w="661" w:type="pct"/>
            <w:tcBorders>
              <w:top w:val="single" w:sz="2" w:space="0" w:color="auto"/>
              <w:left w:val="single" w:sz="2" w:space="0" w:color="auto"/>
              <w:bottom w:val="single" w:sz="2" w:space="0" w:color="auto"/>
              <w:right w:val="single" w:sz="2" w:space="0" w:color="auto"/>
            </w:tcBorders>
            <w:vAlign w:val="center"/>
          </w:tcPr>
          <w:p w14:paraId="79FAAFB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2133A3BF"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E7FF86E"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E6A8939"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81F33E4"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00165FB0"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7F369253"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3CC5A751"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期初余额</w:t>
            </w:r>
          </w:p>
        </w:tc>
        <w:tc>
          <w:tcPr>
            <w:tcW w:w="661" w:type="pct"/>
            <w:tcBorders>
              <w:top w:val="single" w:sz="2" w:space="0" w:color="auto"/>
              <w:left w:val="single" w:sz="2" w:space="0" w:color="auto"/>
              <w:bottom w:val="single" w:sz="2" w:space="0" w:color="auto"/>
              <w:right w:val="single" w:sz="2" w:space="0" w:color="auto"/>
            </w:tcBorders>
            <w:vAlign w:val="center"/>
          </w:tcPr>
          <w:p w14:paraId="05B0B4B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71134E8"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1,935,484.39</w:t>
            </w:r>
          </w:p>
        </w:tc>
        <w:tc>
          <w:tcPr>
            <w:tcW w:w="661" w:type="pct"/>
            <w:tcBorders>
              <w:top w:val="single" w:sz="2" w:space="0" w:color="auto"/>
              <w:left w:val="single" w:sz="2" w:space="0" w:color="auto"/>
              <w:bottom w:val="single" w:sz="2" w:space="0" w:color="auto"/>
              <w:right w:val="single" w:sz="2" w:space="0" w:color="auto"/>
            </w:tcBorders>
            <w:vAlign w:val="center"/>
          </w:tcPr>
          <w:p w14:paraId="799DA69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00CB17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2010E8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25,936,878.29</w:t>
            </w:r>
          </w:p>
        </w:tc>
        <w:tc>
          <w:tcPr>
            <w:tcW w:w="662" w:type="pct"/>
            <w:tcBorders>
              <w:top w:val="single" w:sz="2" w:space="0" w:color="auto"/>
              <w:left w:val="single" w:sz="2" w:space="0" w:color="auto"/>
              <w:bottom w:val="single" w:sz="2" w:space="0" w:color="auto"/>
              <w:right w:val="single" w:sz="2" w:space="0" w:color="auto"/>
            </w:tcBorders>
            <w:vAlign w:val="center"/>
          </w:tcPr>
          <w:p w14:paraId="2D96306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27,872,362.68</w:t>
            </w:r>
          </w:p>
        </w:tc>
      </w:tr>
      <w:tr w:rsidR="00543F0E" w14:paraId="51A97D41"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1B4B49D6"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本期增加金额</w:t>
            </w:r>
          </w:p>
        </w:tc>
        <w:tc>
          <w:tcPr>
            <w:tcW w:w="661" w:type="pct"/>
            <w:tcBorders>
              <w:top w:val="single" w:sz="2" w:space="0" w:color="auto"/>
              <w:left w:val="single" w:sz="2" w:space="0" w:color="auto"/>
              <w:bottom w:val="single" w:sz="2" w:space="0" w:color="auto"/>
              <w:right w:val="single" w:sz="2" w:space="0" w:color="auto"/>
            </w:tcBorders>
            <w:vAlign w:val="center"/>
          </w:tcPr>
          <w:p w14:paraId="325C4C51"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9E8946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477346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C20FCC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588D1C3A"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3880CC0A"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4EBD37F3"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3855D3FC"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）计提</w:t>
            </w:r>
          </w:p>
        </w:tc>
        <w:tc>
          <w:tcPr>
            <w:tcW w:w="661" w:type="pct"/>
            <w:tcBorders>
              <w:top w:val="single" w:sz="2" w:space="0" w:color="auto"/>
              <w:left w:val="single" w:sz="2" w:space="0" w:color="auto"/>
              <w:bottom w:val="single" w:sz="2" w:space="0" w:color="auto"/>
              <w:right w:val="single" w:sz="2" w:space="0" w:color="auto"/>
            </w:tcBorders>
            <w:vAlign w:val="center"/>
          </w:tcPr>
          <w:p w14:paraId="4FB22F5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1CE9FFB"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CEAE09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29B5A8D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91B003F"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5BE536F1"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0744D3CC"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4454F27A"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3.</w:t>
            </w:r>
            <w:r w:rsidRPr="00543F0E">
              <w:rPr>
                <w:rFonts w:ascii="Times New Roman" w:eastAsia="宋体" w:hAnsi="Times New Roman" w:cs="Times New Roman"/>
                <w:sz w:val="15"/>
                <w:szCs w:val="15"/>
              </w:rPr>
              <w:t>本期减少金额</w:t>
            </w:r>
          </w:p>
        </w:tc>
        <w:tc>
          <w:tcPr>
            <w:tcW w:w="661" w:type="pct"/>
            <w:tcBorders>
              <w:top w:val="single" w:sz="2" w:space="0" w:color="auto"/>
              <w:left w:val="single" w:sz="2" w:space="0" w:color="auto"/>
              <w:bottom w:val="single" w:sz="2" w:space="0" w:color="auto"/>
              <w:right w:val="single" w:sz="2" w:space="0" w:color="auto"/>
            </w:tcBorders>
            <w:vAlign w:val="center"/>
          </w:tcPr>
          <w:p w14:paraId="09E6F94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CF5F32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BDC8D61"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7289A0F"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BAAF77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575,861.91</w:t>
            </w:r>
          </w:p>
        </w:tc>
        <w:tc>
          <w:tcPr>
            <w:tcW w:w="662" w:type="pct"/>
            <w:tcBorders>
              <w:top w:val="single" w:sz="2" w:space="0" w:color="auto"/>
              <w:left w:val="single" w:sz="2" w:space="0" w:color="auto"/>
              <w:bottom w:val="single" w:sz="2" w:space="0" w:color="auto"/>
              <w:right w:val="single" w:sz="2" w:space="0" w:color="auto"/>
            </w:tcBorders>
            <w:vAlign w:val="center"/>
          </w:tcPr>
          <w:p w14:paraId="38E329D4"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575,861.91</w:t>
            </w:r>
          </w:p>
        </w:tc>
      </w:tr>
      <w:tr w:rsidR="00543F0E" w14:paraId="5A6DEB32"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0D553E51"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）处置</w:t>
            </w:r>
          </w:p>
        </w:tc>
        <w:tc>
          <w:tcPr>
            <w:tcW w:w="661" w:type="pct"/>
            <w:tcBorders>
              <w:top w:val="single" w:sz="2" w:space="0" w:color="auto"/>
              <w:left w:val="single" w:sz="2" w:space="0" w:color="auto"/>
              <w:bottom w:val="single" w:sz="2" w:space="0" w:color="auto"/>
              <w:right w:val="single" w:sz="2" w:space="0" w:color="auto"/>
            </w:tcBorders>
            <w:vAlign w:val="center"/>
          </w:tcPr>
          <w:p w14:paraId="1A445B6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B735E2D"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686400E"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75444E8"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6E460BC"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025FC7B8"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71E5F7B0"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vAlign w:val="center"/>
          </w:tcPr>
          <w:p w14:paraId="7F7925BE" w14:textId="77777777" w:rsidR="00543F0E" w:rsidRPr="00543F0E" w:rsidRDefault="00543F0E" w:rsidP="00543F0E">
            <w:pPr>
              <w:spacing w:before="40" w:after="40" w:line="360" w:lineRule="auto"/>
              <w:ind w:firstLineChars="400" w:firstLine="600"/>
              <w:rPr>
                <w:rFonts w:ascii="Times New Roman" w:eastAsia="宋体" w:hAnsi="Times New Roman" w:cs="Times New Roman"/>
                <w:sz w:val="15"/>
                <w:szCs w:val="15"/>
              </w:rPr>
            </w:pPr>
            <w:r w:rsidRPr="00543F0E">
              <w:rPr>
                <w:rFonts w:ascii="Times New Roman" w:eastAsia="宋体" w:hAnsi="Times New Roman" w:cs="Times New Roman"/>
                <w:sz w:val="15"/>
                <w:szCs w:val="15"/>
              </w:rPr>
              <w:t>（</w:t>
            </w: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）汇率变动</w:t>
            </w:r>
          </w:p>
        </w:tc>
        <w:tc>
          <w:tcPr>
            <w:tcW w:w="661" w:type="pct"/>
            <w:tcBorders>
              <w:top w:val="single" w:sz="2" w:space="0" w:color="auto"/>
              <w:left w:val="single" w:sz="2" w:space="0" w:color="auto"/>
              <w:bottom w:val="single" w:sz="2" w:space="0" w:color="auto"/>
              <w:right w:val="single" w:sz="2" w:space="0" w:color="auto"/>
            </w:tcBorders>
            <w:vAlign w:val="center"/>
          </w:tcPr>
          <w:p w14:paraId="65A9F6F6"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4742ED5"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63DCB17"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BA532FB"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BA1AA5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575,861.91</w:t>
            </w:r>
          </w:p>
        </w:tc>
        <w:tc>
          <w:tcPr>
            <w:tcW w:w="662" w:type="pct"/>
            <w:tcBorders>
              <w:top w:val="single" w:sz="2" w:space="0" w:color="auto"/>
              <w:left w:val="single" w:sz="2" w:space="0" w:color="auto"/>
              <w:bottom w:val="single" w:sz="2" w:space="0" w:color="auto"/>
              <w:right w:val="single" w:sz="2" w:space="0" w:color="auto"/>
            </w:tcBorders>
            <w:vAlign w:val="center"/>
          </w:tcPr>
          <w:p w14:paraId="140FA4D1"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575,861.91</w:t>
            </w:r>
          </w:p>
        </w:tc>
      </w:tr>
      <w:tr w:rsidR="00543F0E" w14:paraId="4DB54F65"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2F0AE9DD"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4.</w:t>
            </w:r>
            <w:r w:rsidRPr="00543F0E">
              <w:rPr>
                <w:rFonts w:ascii="Times New Roman" w:eastAsia="宋体" w:hAnsi="Times New Roman" w:cs="Times New Roman"/>
                <w:sz w:val="15"/>
                <w:szCs w:val="15"/>
              </w:rPr>
              <w:t>期末余额</w:t>
            </w:r>
          </w:p>
        </w:tc>
        <w:tc>
          <w:tcPr>
            <w:tcW w:w="661" w:type="pct"/>
            <w:tcBorders>
              <w:top w:val="single" w:sz="2" w:space="0" w:color="auto"/>
              <w:left w:val="single" w:sz="2" w:space="0" w:color="auto"/>
              <w:bottom w:val="single" w:sz="2" w:space="0" w:color="auto"/>
              <w:right w:val="single" w:sz="2" w:space="0" w:color="auto"/>
            </w:tcBorders>
            <w:vAlign w:val="center"/>
          </w:tcPr>
          <w:p w14:paraId="50BA805A"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1DDAD7F6"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1,935,484.39</w:t>
            </w:r>
          </w:p>
        </w:tc>
        <w:tc>
          <w:tcPr>
            <w:tcW w:w="661" w:type="pct"/>
            <w:tcBorders>
              <w:top w:val="single" w:sz="2" w:space="0" w:color="auto"/>
              <w:left w:val="single" w:sz="2" w:space="0" w:color="auto"/>
              <w:bottom w:val="single" w:sz="2" w:space="0" w:color="auto"/>
              <w:right w:val="single" w:sz="2" w:space="0" w:color="auto"/>
            </w:tcBorders>
            <w:vAlign w:val="center"/>
          </w:tcPr>
          <w:p w14:paraId="437AFF5D"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60A36820"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7DE8F8E"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25,361,016.38</w:t>
            </w:r>
          </w:p>
        </w:tc>
        <w:tc>
          <w:tcPr>
            <w:tcW w:w="662" w:type="pct"/>
            <w:tcBorders>
              <w:top w:val="single" w:sz="2" w:space="0" w:color="auto"/>
              <w:left w:val="single" w:sz="2" w:space="0" w:color="auto"/>
              <w:bottom w:val="single" w:sz="2" w:space="0" w:color="auto"/>
              <w:right w:val="single" w:sz="2" w:space="0" w:color="auto"/>
            </w:tcBorders>
            <w:vAlign w:val="center"/>
          </w:tcPr>
          <w:p w14:paraId="3036250F"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27,296,500.77</w:t>
            </w:r>
          </w:p>
        </w:tc>
      </w:tr>
      <w:tr w:rsidR="00543F0E" w14:paraId="6C111E30"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1CC4C30E" w14:textId="77777777" w:rsidR="00543F0E" w:rsidRPr="00543F0E" w:rsidRDefault="00543F0E" w:rsidP="00543F0E">
            <w:pPr>
              <w:spacing w:before="40" w:after="40" w:line="360" w:lineRule="auto"/>
              <w:rPr>
                <w:rFonts w:ascii="Times New Roman" w:eastAsia="宋体" w:hAnsi="Times New Roman" w:cs="Times New Roman"/>
                <w:sz w:val="15"/>
                <w:szCs w:val="15"/>
              </w:rPr>
            </w:pPr>
            <w:r w:rsidRPr="00543F0E">
              <w:rPr>
                <w:rFonts w:ascii="Times New Roman" w:eastAsia="宋体" w:hAnsi="Times New Roman" w:cs="Times New Roman"/>
                <w:sz w:val="15"/>
                <w:szCs w:val="15"/>
              </w:rPr>
              <w:t>四、账面价值</w:t>
            </w:r>
          </w:p>
        </w:tc>
        <w:tc>
          <w:tcPr>
            <w:tcW w:w="661" w:type="pct"/>
            <w:tcBorders>
              <w:top w:val="single" w:sz="2" w:space="0" w:color="auto"/>
              <w:left w:val="single" w:sz="2" w:space="0" w:color="auto"/>
              <w:bottom w:val="single" w:sz="2" w:space="0" w:color="auto"/>
              <w:right w:val="single" w:sz="2" w:space="0" w:color="auto"/>
            </w:tcBorders>
            <w:vAlign w:val="center"/>
          </w:tcPr>
          <w:p w14:paraId="437BC0A2"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7D99EACD"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4EB97C29"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3CDD124D"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1" w:type="pct"/>
            <w:tcBorders>
              <w:top w:val="single" w:sz="2" w:space="0" w:color="auto"/>
              <w:left w:val="single" w:sz="2" w:space="0" w:color="auto"/>
              <w:bottom w:val="single" w:sz="2" w:space="0" w:color="auto"/>
              <w:right w:val="single" w:sz="2" w:space="0" w:color="auto"/>
            </w:tcBorders>
            <w:vAlign w:val="center"/>
          </w:tcPr>
          <w:p w14:paraId="0813F2E9" w14:textId="77777777" w:rsidR="00543F0E" w:rsidRPr="00543F0E" w:rsidRDefault="00543F0E" w:rsidP="00543F0E">
            <w:pPr>
              <w:spacing w:line="360" w:lineRule="auto"/>
              <w:jc w:val="right"/>
              <w:rPr>
                <w:rFonts w:ascii="Times New Roman" w:eastAsia="宋体" w:hAnsi="Times New Roman" w:cs="Times New Roman"/>
                <w:sz w:val="15"/>
                <w:szCs w:val="15"/>
              </w:rPr>
            </w:pPr>
          </w:p>
        </w:tc>
        <w:tc>
          <w:tcPr>
            <w:tcW w:w="662" w:type="pct"/>
            <w:tcBorders>
              <w:top w:val="single" w:sz="2" w:space="0" w:color="auto"/>
              <w:left w:val="single" w:sz="2" w:space="0" w:color="auto"/>
              <w:bottom w:val="single" w:sz="2" w:space="0" w:color="auto"/>
              <w:right w:val="single" w:sz="2" w:space="0" w:color="auto"/>
            </w:tcBorders>
            <w:vAlign w:val="center"/>
          </w:tcPr>
          <w:p w14:paraId="005A8D72" w14:textId="77777777" w:rsidR="00543F0E" w:rsidRPr="00543F0E" w:rsidRDefault="00543F0E" w:rsidP="00543F0E">
            <w:pPr>
              <w:spacing w:line="360" w:lineRule="auto"/>
              <w:jc w:val="right"/>
              <w:rPr>
                <w:rFonts w:ascii="Times New Roman" w:eastAsia="宋体" w:hAnsi="Times New Roman" w:cs="Times New Roman"/>
                <w:sz w:val="15"/>
                <w:szCs w:val="15"/>
              </w:rPr>
            </w:pPr>
          </w:p>
        </w:tc>
      </w:tr>
      <w:tr w:rsidR="00543F0E" w14:paraId="4C1905C6"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3310AE74"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1.</w:t>
            </w:r>
            <w:r w:rsidRPr="00543F0E">
              <w:rPr>
                <w:rFonts w:ascii="Times New Roman" w:eastAsia="宋体" w:hAnsi="Times New Roman" w:cs="Times New Roman"/>
                <w:sz w:val="15"/>
                <w:szCs w:val="15"/>
              </w:rPr>
              <w:t>期末账面价值</w:t>
            </w:r>
          </w:p>
        </w:tc>
        <w:tc>
          <w:tcPr>
            <w:tcW w:w="661" w:type="pct"/>
            <w:tcBorders>
              <w:top w:val="single" w:sz="2" w:space="0" w:color="auto"/>
              <w:left w:val="single" w:sz="2" w:space="0" w:color="auto"/>
              <w:bottom w:val="single" w:sz="2" w:space="0" w:color="auto"/>
              <w:right w:val="single" w:sz="2" w:space="0" w:color="auto"/>
            </w:tcBorders>
            <w:vAlign w:val="center"/>
          </w:tcPr>
          <w:p w14:paraId="220168FE"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117,659,660.39</w:t>
            </w:r>
          </w:p>
        </w:tc>
        <w:tc>
          <w:tcPr>
            <w:tcW w:w="661" w:type="pct"/>
            <w:tcBorders>
              <w:top w:val="single" w:sz="2" w:space="0" w:color="auto"/>
              <w:left w:val="single" w:sz="2" w:space="0" w:color="auto"/>
              <w:bottom w:val="single" w:sz="2" w:space="0" w:color="auto"/>
              <w:right w:val="single" w:sz="2" w:space="0" w:color="auto"/>
            </w:tcBorders>
            <w:vAlign w:val="center"/>
          </w:tcPr>
          <w:p w14:paraId="2B258B6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23,190,696.70</w:t>
            </w:r>
          </w:p>
        </w:tc>
        <w:tc>
          <w:tcPr>
            <w:tcW w:w="661" w:type="pct"/>
            <w:tcBorders>
              <w:top w:val="single" w:sz="2" w:space="0" w:color="auto"/>
              <w:left w:val="single" w:sz="2" w:space="0" w:color="auto"/>
              <w:bottom w:val="single" w:sz="2" w:space="0" w:color="auto"/>
              <w:right w:val="single" w:sz="2" w:space="0" w:color="auto"/>
            </w:tcBorders>
            <w:vAlign w:val="center"/>
          </w:tcPr>
          <w:p w14:paraId="4B5BF52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41,962,669.79</w:t>
            </w:r>
          </w:p>
        </w:tc>
        <w:tc>
          <w:tcPr>
            <w:tcW w:w="661" w:type="pct"/>
            <w:tcBorders>
              <w:top w:val="single" w:sz="2" w:space="0" w:color="auto"/>
              <w:left w:val="single" w:sz="2" w:space="0" w:color="auto"/>
              <w:bottom w:val="single" w:sz="2" w:space="0" w:color="auto"/>
              <w:right w:val="single" w:sz="2" w:space="0" w:color="auto"/>
            </w:tcBorders>
            <w:vAlign w:val="center"/>
          </w:tcPr>
          <w:p w14:paraId="21D9655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40,648,857.88</w:t>
            </w:r>
          </w:p>
        </w:tc>
        <w:tc>
          <w:tcPr>
            <w:tcW w:w="661" w:type="pct"/>
            <w:tcBorders>
              <w:top w:val="single" w:sz="2" w:space="0" w:color="auto"/>
              <w:left w:val="single" w:sz="2" w:space="0" w:color="auto"/>
              <w:bottom w:val="single" w:sz="2" w:space="0" w:color="auto"/>
              <w:right w:val="single" w:sz="2" w:space="0" w:color="auto"/>
            </w:tcBorders>
            <w:vAlign w:val="center"/>
          </w:tcPr>
          <w:p w14:paraId="2C11719B"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22,387,185.34</w:t>
            </w:r>
          </w:p>
        </w:tc>
        <w:tc>
          <w:tcPr>
            <w:tcW w:w="662" w:type="pct"/>
            <w:tcBorders>
              <w:top w:val="single" w:sz="2" w:space="0" w:color="auto"/>
              <w:left w:val="single" w:sz="2" w:space="0" w:color="auto"/>
              <w:bottom w:val="single" w:sz="2" w:space="0" w:color="auto"/>
              <w:right w:val="single" w:sz="2" w:space="0" w:color="auto"/>
            </w:tcBorders>
            <w:vAlign w:val="center"/>
          </w:tcPr>
          <w:p w14:paraId="34400739"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245,849,070.10</w:t>
            </w:r>
          </w:p>
        </w:tc>
      </w:tr>
      <w:tr w:rsidR="00543F0E" w14:paraId="3EF81AFC" w14:textId="77777777" w:rsidTr="00543F0E">
        <w:trPr>
          <w:trHeight w:val="240"/>
        </w:trPr>
        <w:tc>
          <w:tcPr>
            <w:tcW w:w="1032" w:type="pct"/>
            <w:tcBorders>
              <w:top w:val="single" w:sz="2" w:space="0" w:color="auto"/>
              <w:left w:val="single" w:sz="2" w:space="0" w:color="auto"/>
              <w:bottom w:val="single" w:sz="2" w:space="0" w:color="auto"/>
              <w:right w:val="single" w:sz="2" w:space="0" w:color="auto"/>
            </w:tcBorders>
            <w:shd w:val="clear" w:color="auto" w:fill="D3D3D3"/>
            <w:vAlign w:val="center"/>
          </w:tcPr>
          <w:p w14:paraId="22D6838B" w14:textId="77777777" w:rsidR="00543F0E" w:rsidRPr="00543F0E" w:rsidRDefault="00543F0E" w:rsidP="00543F0E">
            <w:pPr>
              <w:spacing w:before="40" w:after="40" w:line="360" w:lineRule="auto"/>
              <w:ind w:firstLineChars="200" w:firstLine="300"/>
              <w:rPr>
                <w:rFonts w:ascii="Times New Roman" w:eastAsia="宋体" w:hAnsi="Times New Roman" w:cs="Times New Roman"/>
                <w:sz w:val="15"/>
                <w:szCs w:val="15"/>
              </w:rPr>
            </w:pPr>
            <w:r w:rsidRPr="00543F0E">
              <w:rPr>
                <w:rFonts w:ascii="Times New Roman" w:eastAsia="宋体" w:hAnsi="Times New Roman" w:cs="Times New Roman"/>
                <w:sz w:val="15"/>
                <w:szCs w:val="15"/>
              </w:rPr>
              <w:t>2.</w:t>
            </w:r>
            <w:r w:rsidRPr="00543F0E">
              <w:rPr>
                <w:rFonts w:ascii="Times New Roman" w:eastAsia="宋体" w:hAnsi="Times New Roman" w:cs="Times New Roman"/>
                <w:sz w:val="15"/>
                <w:szCs w:val="15"/>
              </w:rPr>
              <w:t>期初账面价值</w:t>
            </w:r>
          </w:p>
        </w:tc>
        <w:tc>
          <w:tcPr>
            <w:tcW w:w="661" w:type="pct"/>
            <w:tcBorders>
              <w:top w:val="single" w:sz="2" w:space="0" w:color="auto"/>
              <w:left w:val="single" w:sz="2" w:space="0" w:color="auto"/>
              <w:bottom w:val="single" w:sz="2" w:space="0" w:color="auto"/>
              <w:right w:val="single" w:sz="2" w:space="0" w:color="auto"/>
            </w:tcBorders>
            <w:vAlign w:val="center"/>
          </w:tcPr>
          <w:p w14:paraId="1A812B30"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120,385,220.85</w:t>
            </w:r>
          </w:p>
        </w:tc>
        <w:tc>
          <w:tcPr>
            <w:tcW w:w="661" w:type="pct"/>
            <w:tcBorders>
              <w:top w:val="single" w:sz="2" w:space="0" w:color="auto"/>
              <w:left w:val="single" w:sz="2" w:space="0" w:color="auto"/>
              <w:bottom w:val="single" w:sz="2" w:space="0" w:color="auto"/>
              <w:right w:val="single" w:sz="2" w:space="0" w:color="auto"/>
            </w:tcBorders>
            <w:vAlign w:val="center"/>
          </w:tcPr>
          <w:p w14:paraId="6862930C"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39,085,607.84</w:t>
            </w:r>
          </w:p>
        </w:tc>
        <w:tc>
          <w:tcPr>
            <w:tcW w:w="661" w:type="pct"/>
            <w:tcBorders>
              <w:top w:val="single" w:sz="2" w:space="0" w:color="auto"/>
              <w:left w:val="single" w:sz="2" w:space="0" w:color="auto"/>
              <w:bottom w:val="single" w:sz="2" w:space="0" w:color="auto"/>
              <w:right w:val="single" w:sz="2" w:space="0" w:color="auto"/>
            </w:tcBorders>
            <w:vAlign w:val="center"/>
          </w:tcPr>
          <w:p w14:paraId="07B76F85"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43,336,354.92</w:t>
            </w:r>
          </w:p>
        </w:tc>
        <w:tc>
          <w:tcPr>
            <w:tcW w:w="661" w:type="pct"/>
            <w:tcBorders>
              <w:top w:val="single" w:sz="2" w:space="0" w:color="auto"/>
              <w:left w:val="single" w:sz="2" w:space="0" w:color="auto"/>
              <w:bottom w:val="single" w:sz="2" w:space="0" w:color="auto"/>
              <w:right w:val="single" w:sz="2" w:space="0" w:color="auto"/>
            </w:tcBorders>
            <w:vAlign w:val="center"/>
          </w:tcPr>
          <w:p w14:paraId="233DE822"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34,727,914.48</w:t>
            </w:r>
          </w:p>
        </w:tc>
        <w:tc>
          <w:tcPr>
            <w:tcW w:w="661" w:type="pct"/>
            <w:tcBorders>
              <w:top w:val="single" w:sz="2" w:space="0" w:color="auto"/>
              <w:left w:val="single" w:sz="2" w:space="0" w:color="auto"/>
              <w:bottom w:val="single" w:sz="2" w:space="0" w:color="auto"/>
              <w:right w:val="single" w:sz="2" w:space="0" w:color="auto"/>
            </w:tcBorders>
            <w:vAlign w:val="center"/>
          </w:tcPr>
          <w:p w14:paraId="18FF1747"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26,930,672.21</w:t>
            </w:r>
          </w:p>
        </w:tc>
        <w:tc>
          <w:tcPr>
            <w:tcW w:w="662" w:type="pct"/>
            <w:tcBorders>
              <w:top w:val="single" w:sz="2" w:space="0" w:color="auto"/>
              <w:left w:val="single" w:sz="2" w:space="0" w:color="auto"/>
              <w:bottom w:val="single" w:sz="2" w:space="0" w:color="auto"/>
              <w:right w:val="single" w:sz="2" w:space="0" w:color="auto"/>
            </w:tcBorders>
            <w:vAlign w:val="center"/>
          </w:tcPr>
          <w:p w14:paraId="0D2CB7BE" w14:textId="77777777" w:rsidR="00543F0E" w:rsidRPr="00543F0E" w:rsidRDefault="00543F0E" w:rsidP="00543F0E">
            <w:pPr>
              <w:spacing w:line="360" w:lineRule="auto"/>
              <w:jc w:val="right"/>
              <w:rPr>
                <w:rFonts w:ascii="Times New Roman" w:eastAsia="宋体" w:hAnsi="Times New Roman" w:cs="Times New Roman"/>
                <w:sz w:val="15"/>
                <w:szCs w:val="15"/>
              </w:rPr>
            </w:pPr>
            <w:r w:rsidRPr="00543F0E">
              <w:rPr>
                <w:rFonts w:ascii="Times New Roman" w:eastAsia="宋体" w:hAnsi="Times New Roman" w:cs="Times New Roman"/>
                <w:sz w:val="15"/>
                <w:szCs w:val="15"/>
              </w:rPr>
              <w:t>264,465,770.30</w:t>
            </w:r>
          </w:p>
        </w:tc>
      </w:tr>
    </w:tbl>
    <w:p w14:paraId="1EF47DC1"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本期末通过公司内部研发形成的无形资产占无形资产余额的比例0.00%。</w:t>
      </w:r>
    </w:p>
    <w:p w14:paraId="2489060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未办妥产权证书的土地使用权情况</w:t>
      </w:r>
    </w:p>
    <w:p w14:paraId="37B99EE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2D94E7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12B62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E2B7A8"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账面价值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AC786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未办妥产权证书的原因</w:t>
            </w:r>
          </w:p>
        </w:tc>
      </w:tr>
    </w:tbl>
    <w:p w14:paraId="05E109B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53F8369"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本集团本年无未办妥产权证书的土地使用权。</w:t>
      </w:r>
    </w:p>
    <w:p w14:paraId="10A10E44" w14:textId="26A45ECD" w:rsidR="00A46BF1" w:rsidRDefault="00543F0E" w:rsidP="00A46BF1">
      <w:pPr>
        <w:pStyle w:val="3"/>
        <w:spacing w:line="280" w:lineRule="exact"/>
        <w:jc w:val="left"/>
        <w:rPr>
          <w:rFonts w:ascii="宋体" w:hAnsi="宋体" w:cs="宋体"/>
          <w:b/>
          <w:bCs/>
        </w:rPr>
      </w:pPr>
      <w:r>
        <w:rPr>
          <w:rFonts w:ascii="宋体" w:hAnsi="宋体" w:cs="宋体"/>
          <w:b/>
          <w:bCs/>
        </w:rPr>
        <w:t>19</w:t>
      </w:r>
      <w:r w:rsidR="00A46BF1">
        <w:rPr>
          <w:rFonts w:ascii="宋体" w:hAnsi="宋体" w:cs="宋体"/>
          <w:b/>
          <w:bCs/>
        </w:rPr>
        <w:t>、商誉</w:t>
      </w:r>
    </w:p>
    <w:p w14:paraId="0DAD063F"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商誉账面原值</w:t>
      </w:r>
    </w:p>
    <w:p w14:paraId="41D5539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127"/>
        <w:gridCol w:w="1559"/>
        <w:gridCol w:w="1559"/>
        <w:gridCol w:w="992"/>
        <w:gridCol w:w="709"/>
        <w:gridCol w:w="1316"/>
        <w:gridCol w:w="1377"/>
      </w:tblGrid>
      <w:tr w:rsidR="00095F6F" w14:paraId="76C15398" w14:textId="77777777" w:rsidTr="00543F0E">
        <w:trPr>
          <w:trHeight w:val="240"/>
        </w:trPr>
        <w:tc>
          <w:tcPr>
            <w:tcW w:w="212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FF38964"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被投资单位名称或形成商誉的事项</w:t>
            </w:r>
          </w:p>
        </w:tc>
        <w:tc>
          <w:tcPr>
            <w:tcW w:w="155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EA7F25"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期初余额</w:t>
            </w:r>
          </w:p>
        </w:tc>
        <w:tc>
          <w:tcPr>
            <w:tcW w:w="255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B1C82A9"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本期增加</w:t>
            </w:r>
          </w:p>
        </w:tc>
        <w:tc>
          <w:tcPr>
            <w:tcW w:w="2025"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FCD6D87"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本期减少</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6EFAF9C"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期末余额</w:t>
            </w:r>
          </w:p>
        </w:tc>
      </w:tr>
      <w:tr w:rsidR="00095F6F" w14:paraId="296FF129" w14:textId="77777777" w:rsidTr="00543F0E">
        <w:trPr>
          <w:trHeight w:val="240"/>
        </w:trPr>
        <w:tc>
          <w:tcPr>
            <w:tcW w:w="2127" w:type="dxa"/>
            <w:vMerge/>
            <w:tcBorders>
              <w:top w:val="single" w:sz="2" w:space="0" w:color="auto"/>
              <w:left w:val="single" w:sz="2" w:space="0" w:color="auto"/>
              <w:bottom w:val="single" w:sz="2" w:space="0" w:color="auto"/>
              <w:right w:val="single" w:sz="2" w:space="0" w:color="auto"/>
            </w:tcBorders>
            <w:vAlign w:val="center"/>
          </w:tcPr>
          <w:p w14:paraId="595570CE" w14:textId="77777777" w:rsidR="00A46BF1" w:rsidRPr="00543F0E" w:rsidRDefault="00A46BF1" w:rsidP="00543F0E">
            <w:pPr>
              <w:spacing w:line="360" w:lineRule="auto"/>
              <w:rPr>
                <w:rFonts w:ascii="Times New Roman" w:hAnsi="Times New Roman" w:cs="Times New Roman"/>
              </w:rPr>
            </w:pPr>
          </w:p>
        </w:tc>
        <w:tc>
          <w:tcPr>
            <w:tcW w:w="155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D565AE" w14:textId="77777777" w:rsidR="00A46BF1" w:rsidRPr="00543F0E" w:rsidRDefault="00A46BF1" w:rsidP="00543F0E">
            <w:pPr>
              <w:spacing w:line="360" w:lineRule="auto"/>
              <w:rPr>
                <w:rFonts w:ascii="Times New Roman" w:hAnsi="Times New Roman" w:cs="Times New Roman"/>
              </w:rPr>
            </w:pP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3EAA8BB1"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企业合并形成的</w:t>
            </w:r>
          </w:p>
        </w:tc>
        <w:tc>
          <w:tcPr>
            <w:tcW w:w="992" w:type="dxa"/>
            <w:tcBorders>
              <w:top w:val="single" w:sz="2" w:space="0" w:color="auto"/>
              <w:left w:val="single" w:sz="2" w:space="0" w:color="auto"/>
              <w:bottom w:val="single" w:sz="2" w:space="0" w:color="auto"/>
              <w:right w:val="single" w:sz="2" w:space="0" w:color="auto"/>
            </w:tcBorders>
            <w:vAlign w:val="center"/>
          </w:tcPr>
          <w:p w14:paraId="2FBDEA15" w14:textId="77777777" w:rsidR="00A46BF1" w:rsidRPr="00543F0E" w:rsidRDefault="00A46BF1" w:rsidP="00543F0E">
            <w:pPr>
              <w:spacing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汇率变动</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23C9E6DF"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处置</w:t>
            </w:r>
          </w:p>
        </w:tc>
        <w:tc>
          <w:tcPr>
            <w:tcW w:w="1316" w:type="dxa"/>
            <w:tcBorders>
              <w:top w:val="single" w:sz="2" w:space="0" w:color="auto"/>
              <w:left w:val="single" w:sz="2" w:space="0" w:color="auto"/>
              <w:bottom w:val="single" w:sz="2" w:space="0" w:color="auto"/>
              <w:right w:val="single" w:sz="2" w:space="0" w:color="auto"/>
            </w:tcBorders>
            <w:vAlign w:val="center"/>
          </w:tcPr>
          <w:p w14:paraId="13AAB82E" w14:textId="77777777" w:rsidR="00A46BF1" w:rsidRPr="00543F0E" w:rsidRDefault="00A46BF1" w:rsidP="00543F0E">
            <w:pPr>
              <w:spacing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76874E9" w14:textId="77777777" w:rsidR="00A46BF1" w:rsidRPr="00543F0E" w:rsidRDefault="00A46BF1" w:rsidP="00543F0E">
            <w:pPr>
              <w:spacing w:line="360" w:lineRule="auto"/>
              <w:rPr>
                <w:rFonts w:ascii="Times New Roman" w:hAnsi="Times New Roman" w:cs="Times New Roman"/>
              </w:rPr>
            </w:pPr>
          </w:p>
        </w:tc>
      </w:tr>
      <w:tr w:rsidR="00095F6F" w14:paraId="3E698A6B" w14:textId="77777777" w:rsidTr="00543F0E">
        <w:trPr>
          <w:trHeight w:val="240"/>
        </w:trPr>
        <w:tc>
          <w:tcPr>
            <w:tcW w:w="2127" w:type="dxa"/>
            <w:tcBorders>
              <w:top w:val="single" w:sz="2" w:space="0" w:color="auto"/>
              <w:left w:val="single" w:sz="2" w:space="0" w:color="auto"/>
              <w:bottom w:val="single" w:sz="2" w:space="0" w:color="auto"/>
              <w:right w:val="single" w:sz="2" w:space="0" w:color="auto"/>
            </w:tcBorders>
            <w:vAlign w:val="center"/>
          </w:tcPr>
          <w:p w14:paraId="18CC21AD"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三诺健康管理有限公司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6A34A94F"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466,428,369.85</w:t>
            </w:r>
          </w:p>
        </w:tc>
        <w:tc>
          <w:tcPr>
            <w:tcW w:w="1559" w:type="dxa"/>
            <w:tcBorders>
              <w:top w:val="single" w:sz="2" w:space="0" w:color="auto"/>
              <w:left w:val="single" w:sz="2" w:space="0" w:color="auto"/>
              <w:bottom w:val="single" w:sz="2" w:space="0" w:color="auto"/>
              <w:right w:val="single" w:sz="2" w:space="0" w:color="auto"/>
            </w:tcBorders>
            <w:vAlign w:val="center"/>
          </w:tcPr>
          <w:p w14:paraId="01503623"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D39888B"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233846AB"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40FBCB0A"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6A90BF6"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466,428,369.85</w:t>
            </w:r>
          </w:p>
        </w:tc>
      </w:tr>
      <w:tr w:rsidR="00095F6F" w14:paraId="20DD4130" w14:textId="77777777" w:rsidTr="00543F0E">
        <w:trPr>
          <w:trHeight w:val="240"/>
        </w:trPr>
        <w:tc>
          <w:tcPr>
            <w:tcW w:w="2127" w:type="dxa"/>
            <w:tcBorders>
              <w:top w:val="single" w:sz="2" w:space="0" w:color="auto"/>
              <w:left w:val="single" w:sz="2" w:space="0" w:color="auto"/>
              <w:bottom w:val="single" w:sz="2" w:space="0" w:color="auto"/>
              <w:right w:val="single" w:sz="2" w:space="0" w:color="auto"/>
            </w:tcBorders>
            <w:vAlign w:val="center"/>
          </w:tcPr>
          <w:p w14:paraId="27020524"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北京三诺健恒糖尿病医院有限责任公司</w:t>
            </w:r>
          </w:p>
        </w:tc>
        <w:tc>
          <w:tcPr>
            <w:tcW w:w="1559" w:type="dxa"/>
            <w:tcBorders>
              <w:top w:val="single" w:sz="2" w:space="0" w:color="auto"/>
              <w:left w:val="single" w:sz="2" w:space="0" w:color="auto"/>
              <w:bottom w:val="single" w:sz="2" w:space="0" w:color="auto"/>
              <w:right w:val="single" w:sz="2" w:space="0" w:color="auto"/>
            </w:tcBorders>
            <w:vAlign w:val="center"/>
          </w:tcPr>
          <w:p w14:paraId="138BEC41"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10,536,866.33</w:t>
            </w:r>
          </w:p>
        </w:tc>
        <w:tc>
          <w:tcPr>
            <w:tcW w:w="1559" w:type="dxa"/>
            <w:tcBorders>
              <w:top w:val="single" w:sz="2" w:space="0" w:color="auto"/>
              <w:left w:val="single" w:sz="2" w:space="0" w:color="auto"/>
              <w:bottom w:val="single" w:sz="2" w:space="0" w:color="auto"/>
              <w:right w:val="single" w:sz="2" w:space="0" w:color="auto"/>
            </w:tcBorders>
            <w:vAlign w:val="center"/>
          </w:tcPr>
          <w:p w14:paraId="79F33999"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2F5A76F"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252502C0"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17E746CA"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1E935EFE"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10,536,866.33</w:t>
            </w:r>
          </w:p>
        </w:tc>
      </w:tr>
      <w:tr w:rsidR="00095F6F" w14:paraId="0BFF33C9" w14:textId="77777777" w:rsidTr="00543F0E">
        <w:trPr>
          <w:trHeight w:val="240"/>
        </w:trPr>
        <w:tc>
          <w:tcPr>
            <w:tcW w:w="2127" w:type="dxa"/>
            <w:tcBorders>
              <w:top w:val="single" w:sz="2" w:space="0" w:color="auto"/>
              <w:left w:val="single" w:sz="2" w:space="0" w:color="auto"/>
              <w:bottom w:val="single" w:sz="2" w:space="0" w:color="auto"/>
              <w:right w:val="single" w:sz="2" w:space="0" w:color="auto"/>
            </w:tcBorders>
            <w:vAlign w:val="center"/>
          </w:tcPr>
          <w:p w14:paraId="79C34D16"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东莞一测科技有限公司</w:t>
            </w:r>
          </w:p>
        </w:tc>
        <w:tc>
          <w:tcPr>
            <w:tcW w:w="1559" w:type="dxa"/>
            <w:tcBorders>
              <w:top w:val="single" w:sz="2" w:space="0" w:color="auto"/>
              <w:left w:val="single" w:sz="2" w:space="0" w:color="auto"/>
              <w:bottom w:val="single" w:sz="2" w:space="0" w:color="auto"/>
              <w:right w:val="single" w:sz="2" w:space="0" w:color="auto"/>
            </w:tcBorders>
            <w:vAlign w:val="center"/>
          </w:tcPr>
          <w:p w14:paraId="5471389B"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6,577,149.34</w:t>
            </w:r>
          </w:p>
        </w:tc>
        <w:tc>
          <w:tcPr>
            <w:tcW w:w="1559" w:type="dxa"/>
            <w:tcBorders>
              <w:top w:val="single" w:sz="2" w:space="0" w:color="auto"/>
              <w:left w:val="single" w:sz="2" w:space="0" w:color="auto"/>
              <w:bottom w:val="single" w:sz="2" w:space="0" w:color="auto"/>
              <w:right w:val="single" w:sz="2" w:space="0" w:color="auto"/>
            </w:tcBorders>
            <w:vAlign w:val="center"/>
          </w:tcPr>
          <w:p w14:paraId="169576A4"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EF52D5E"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1EDA6D68"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3CA3E4CE"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68D8B40"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6,577,149.34</w:t>
            </w:r>
          </w:p>
        </w:tc>
      </w:tr>
      <w:tr w:rsidR="00095F6F" w14:paraId="367B67D3" w14:textId="77777777" w:rsidTr="00543F0E">
        <w:trPr>
          <w:trHeight w:val="240"/>
        </w:trPr>
        <w:tc>
          <w:tcPr>
            <w:tcW w:w="2127" w:type="dxa"/>
            <w:tcBorders>
              <w:top w:val="single" w:sz="2" w:space="0" w:color="auto"/>
              <w:left w:val="single" w:sz="2" w:space="0" w:color="auto"/>
              <w:bottom w:val="single" w:sz="2" w:space="0" w:color="auto"/>
              <w:right w:val="single" w:sz="2" w:space="0" w:color="auto"/>
            </w:tcBorders>
            <w:vAlign w:val="center"/>
          </w:tcPr>
          <w:p w14:paraId="12ACDDDC"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Sinocare Vietnam L&amp;M Company Limited</w:t>
            </w:r>
          </w:p>
        </w:tc>
        <w:tc>
          <w:tcPr>
            <w:tcW w:w="1559" w:type="dxa"/>
            <w:tcBorders>
              <w:top w:val="single" w:sz="2" w:space="0" w:color="auto"/>
              <w:left w:val="single" w:sz="2" w:space="0" w:color="auto"/>
              <w:bottom w:val="single" w:sz="2" w:space="0" w:color="auto"/>
              <w:right w:val="single" w:sz="2" w:space="0" w:color="auto"/>
            </w:tcBorders>
            <w:vAlign w:val="center"/>
          </w:tcPr>
          <w:p w14:paraId="0CC80F00"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1,482,722.58</w:t>
            </w:r>
          </w:p>
        </w:tc>
        <w:tc>
          <w:tcPr>
            <w:tcW w:w="1559" w:type="dxa"/>
            <w:tcBorders>
              <w:top w:val="single" w:sz="2" w:space="0" w:color="auto"/>
              <w:left w:val="single" w:sz="2" w:space="0" w:color="auto"/>
              <w:bottom w:val="single" w:sz="2" w:space="0" w:color="auto"/>
              <w:right w:val="single" w:sz="2" w:space="0" w:color="auto"/>
            </w:tcBorders>
            <w:vAlign w:val="center"/>
          </w:tcPr>
          <w:p w14:paraId="71F430D0"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0019625"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17E9E994"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03B287F8"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2" w:space="0" w:color="auto"/>
              <w:left w:val="single" w:sz="2" w:space="0" w:color="auto"/>
              <w:bottom w:val="single" w:sz="2" w:space="0" w:color="auto"/>
              <w:right w:val="single" w:sz="2" w:space="0" w:color="auto"/>
            </w:tcBorders>
            <w:vAlign w:val="center"/>
          </w:tcPr>
          <w:p w14:paraId="7316E738"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1,482,722.58</w:t>
            </w:r>
          </w:p>
        </w:tc>
      </w:tr>
      <w:tr w:rsidR="00095F6F" w14:paraId="501A1E08" w14:textId="77777777" w:rsidTr="00543F0E">
        <w:trPr>
          <w:trHeight w:val="240"/>
        </w:trPr>
        <w:tc>
          <w:tcPr>
            <w:tcW w:w="2127" w:type="dxa"/>
            <w:tcBorders>
              <w:top w:val="single" w:sz="2" w:space="0" w:color="auto"/>
              <w:left w:val="single" w:sz="2" w:space="0" w:color="auto"/>
              <w:bottom w:val="single" w:sz="2" w:space="0" w:color="auto"/>
              <w:right w:val="single" w:sz="2" w:space="0" w:color="auto"/>
            </w:tcBorders>
            <w:vAlign w:val="center"/>
          </w:tcPr>
          <w:p w14:paraId="3A7F7F7A"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Trividia Health,Inc.</w:t>
            </w:r>
          </w:p>
        </w:tc>
        <w:tc>
          <w:tcPr>
            <w:tcW w:w="1559" w:type="dxa"/>
            <w:tcBorders>
              <w:top w:val="single" w:sz="2" w:space="0" w:color="auto"/>
              <w:left w:val="single" w:sz="2" w:space="0" w:color="auto"/>
              <w:bottom w:val="single" w:sz="2" w:space="0" w:color="auto"/>
              <w:right w:val="single" w:sz="2" w:space="0" w:color="auto"/>
            </w:tcBorders>
            <w:vAlign w:val="center"/>
          </w:tcPr>
          <w:p w14:paraId="484A32CD"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808,764,587.23</w:t>
            </w:r>
          </w:p>
        </w:tc>
        <w:tc>
          <w:tcPr>
            <w:tcW w:w="1559" w:type="dxa"/>
            <w:tcBorders>
              <w:top w:val="single" w:sz="2" w:space="0" w:color="auto"/>
              <w:left w:val="single" w:sz="2" w:space="0" w:color="auto"/>
              <w:bottom w:val="single" w:sz="2" w:space="0" w:color="auto"/>
              <w:right w:val="single" w:sz="2" w:space="0" w:color="auto"/>
            </w:tcBorders>
            <w:vAlign w:val="center"/>
          </w:tcPr>
          <w:p w14:paraId="618BC740"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A67C7DA"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0A6ADBBA"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407C26C4"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17,956,545.00</w:t>
            </w:r>
          </w:p>
        </w:tc>
        <w:tc>
          <w:tcPr>
            <w:tcW w:w="1377" w:type="dxa"/>
            <w:tcBorders>
              <w:top w:val="single" w:sz="2" w:space="0" w:color="auto"/>
              <w:left w:val="single" w:sz="2" w:space="0" w:color="auto"/>
              <w:bottom w:val="single" w:sz="2" w:space="0" w:color="auto"/>
              <w:right w:val="single" w:sz="2" w:space="0" w:color="auto"/>
            </w:tcBorders>
            <w:vAlign w:val="center"/>
          </w:tcPr>
          <w:p w14:paraId="75E80FE1"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790,808,042.23</w:t>
            </w:r>
          </w:p>
        </w:tc>
      </w:tr>
      <w:tr w:rsidR="00095F6F" w14:paraId="11D63088" w14:textId="77777777" w:rsidTr="00543F0E">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02DF029D" w14:textId="77777777" w:rsidR="00A46BF1" w:rsidRPr="00543F0E" w:rsidRDefault="00A46BF1" w:rsidP="00543F0E">
            <w:pPr>
              <w:spacing w:before="40" w:after="40"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合计</w:t>
            </w:r>
          </w:p>
        </w:tc>
        <w:tc>
          <w:tcPr>
            <w:tcW w:w="1559" w:type="dxa"/>
            <w:tcBorders>
              <w:top w:val="single" w:sz="2" w:space="0" w:color="auto"/>
              <w:left w:val="single" w:sz="2" w:space="0" w:color="auto"/>
              <w:bottom w:val="single" w:sz="2" w:space="0" w:color="auto"/>
              <w:right w:val="single" w:sz="2" w:space="0" w:color="auto"/>
            </w:tcBorders>
            <w:vAlign w:val="center"/>
          </w:tcPr>
          <w:p w14:paraId="4073EEBE"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1,293,789,695.33</w:t>
            </w:r>
          </w:p>
        </w:tc>
        <w:tc>
          <w:tcPr>
            <w:tcW w:w="1559" w:type="dxa"/>
            <w:tcBorders>
              <w:top w:val="single" w:sz="2" w:space="0" w:color="auto"/>
              <w:left w:val="single" w:sz="2" w:space="0" w:color="auto"/>
              <w:bottom w:val="single" w:sz="2" w:space="0" w:color="auto"/>
              <w:right w:val="single" w:sz="2" w:space="0" w:color="auto"/>
            </w:tcBorders>
            <w:vAlign w:val="center"/>
          </w:tcPr>
          <w:p w14:paraId="3A9AC139"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DF37C26"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2" w:space="0" w:color="auto"/>
              <w:left w:val="single" w:sz="2" w:space="0" w:color="auto"/>
              <w:bottom w:val="single" w:sz="2" w:space="0" w:color="auto"/>
              <w:right w:val="single" w:sz="2" w:space="0" w:color="auto"/>
            </w:tcBorders>
            <w:vAlign w:val="center"/>
          </w:tcPr>
          <w:p w14:paraId="60EEB2D7"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404FD7AB"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17,956,545.00</w:t>
            </w:r>
          </w:p>
        </w:tc>
        <w:tc>
          <w:tcPr>
            <w:tcW w:w="1377" w:type="dxa"/>
            <w:tcBorders>
              <w:top w:val="single" w:sz="2" w:space="0" w:color="auto"/>
              <w:left w:val="single" w:sz="2" w:space="0" w:color="auto"/>
              <w:bottom w:val="single" w:sz="2" w:space="0" w:color="auto"/>
              <w:right w:val="single" w:sz="2" w:space="0" w:color="auto"/>
            </w:tcBorders>
            <w:vAlign w:val="center"/>
          </w:tcPr>
          <w:p w14:paraId="521194BC"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1,275,833,150.33</w:t>
            </w:r>
          </w:p>
        </w:tc>
      </w:tr>
    </w:tbl>
    <w:p w14:paraId="6752E25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商誉减值准备</w:t>
      </w:r>
    </w:p>
    <w:p w14:paraId="71C263C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552"/>
        <w:gridCol w:w="1417"/>
        <w:gridCol w:w="1418"/>
        <w:gridCol w:w="992"/>
        <w:gridCol w:w="709"/>
        <w:gridCol w:w="1174"/>
        <w:gridCol w:w="1377"/>
      </w:tblGrid>
      <w:tr w:rsidR="00095F6F" w:rsidRPr="00543F0E" w14:paraId="50BE2FAC" w14:textId="77777777" w:rsidTr="00543F0E">
        <w:trPr>
          <w:cantSplit/>
          <w:trHeight w:val="240"/>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14:paraId="497B5F6D"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被投资单位名称或形成商誉的事项</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14:paraId="1D08BC08"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期初余额</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14:paraId="732233CE"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本期增加</w:t>
            </w:r>
          </w:p>
        </w:tc>
        <w:tc>
          <w:tcPr>
            <w:tcW w:w="1883"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14:paraId="022A48D2"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本期减少</w:t>
            </w:r>
          </w:p>
        </w:tc>
        <w:tc>
          <w:tcPr>
            <w:tcW w:w="1377" w:type="dxa"/>
            <w:vMerge w:val="restart"/>
            <w:tcBorders>
              <w:top w:val="single" w:sz="4" w:space="0" w:color="auto"/>
              <w:left w:val="single" w:sz="4" w:space="0" w:color="auto"/>
              <w:bottom w:val="single" w:sz="4" w:space="0" w:color="auto"/>
              <w:right w:val="single" w:sz="4" w:space="0" w:color="auto"/>
            </w:tcBorders>
            <w:shd w:val="clear" w:color="auto" w:fill="D3D3D3"/>
            <w:vAlign w:val="center"/>
          </w:tcPr>
          <w:p w14:paraId="2B3851D1"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期末余额</w:t>
            </w:r>
          </w:p>
        </w:tc>
      </w:tr>
      <w:tr w:rsidR="00095F6F" w:rsidRPr="00543F0E" w14:paraId="1229915D" w14:textId="77777777" w:rsidTr="00543F0E">
        <w:trPr>
          <w:cantSplit/>
          <w:trHeight w:val="240"/>
          <w:tblHeader/>
        </w:trPr>
        <w:tc>
          <w:tcPr>
            <w:tcW w:w="2552" w:type="dxa"/>
            <w:vMerge/>
            <w:tcBorders>
              <w:top w:val="single" w:sz="4" w:space="0" w:color="auto"/>
              <w:left w:val="single" w:sz="4" w:space="0" w:color="auto"/>
              <w:bottom w:val="single" w:sz="4" w:space="0" w:color="auto"/>
              <w:right w:val="single" w:sz="4" w:space="0" w:color="auto"/>
            </w:tcBorders>
            <w:vAlign w:val="center"/>
          </w:tcPr>
          <w:p w14:paraId="7AFB5B9B" w14:textId="77777777" w:rsidR="00A46BF1" w:rsidRPr="00543F0E" w:rsidRDefault="00A46BF1" w:rsidP="00543F0E">
            <w:pPr>
              <w:spacing w:line="360" w:lineRule="auto"/>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shd w:val="clear" w:color="auto" w:fill="D3D3D3"/>
            <w:vAlign w:val="center"/>
          </w:tcPr>
          <w:p w14:paraId="17F65175" w14:textId="77777777" w:rsidR="00A46BF1" w:rsidRPr="00543F0E" w:rsidRDefault="00A46BF1" w:rsidP="00543F0E">
            <w:pPr>
              <w:spacing w:line="360" w:lineRule="auto"/>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shd w:val="clear" w:color="auto" w:fill="D3D3D3"/>
            <w:vAlign w:val="center"/>
          </w:tcPr>
          <w:p w14:paraId="5F9FAAA0"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计提</w:t>
            </w:r>
          </w:p>
        </w:tc>
        <w:tc>
          <w:tcPr>
            <w:tcW w:w="992" w:type="dxa"/>
            <w:tcBorders>
              <w:top w:val="single" w:sz="4" w:space="0" w:color="auto"/>
              <w:left w:val="single" w:sz="4" w:space="0" w:color="auto"/>
              <w:bottom w:val="single" w:sz="4" w:space="0" w:color="auto"/>
              <w:right w:val="single" w:sz="4" w:space="0" w:color="auto"/>
            </w:tcBorders>
            <w:vAlign w:val="center"/>
          </w:tcPr>
          <w:p w14:paraId="0B61B404" w14:textId="77777777" w:rsidR="00A46BF1" w:rsidRPr="00543F0E" w:rsidRDefault="00A46BF1" w:rsidP="00543F0E">
            <w:pPr>
              <w:spacing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汇率变动</w:t>
            </w:r>
          </w:p>
        </w:tc>
        <w:tc>
          <w:tcPr>
            <w:tcW w:w="709" w:type="dxa"/>
            <w:tcBorders>
              <w:top w:val="single" w:sz="4" w:space="0" w:color="auto"/>
              <w:left w:val="single" w:sz="4" w:space="0" w:color="auto"/>
              <w:bottom w:val="single" w:sz="4" w:space="0" w:color="auto"/>
              <w:right w:val="single" w:sz="4" w:space="0" w:color="auto"/>
            </w:tcBorders>
            <w:shd w:val="clear" w:color="auto" w:fill="D3D3D3"/>
            <w:vAlign w:val="center"/>
          </w:tcPr>
          <w:p w14:paraId="3E43A28B" w14:textId="77777777" w:rsidR="00A46BF1" w:rsidRPr="00543F0E" w:rsidRDefault="00A46BF1" w:rsidP="00543F0E">
            <w:pPr>
              <w:spacing w:before="40" w:after="40"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处置</w:t>
            </w:r>
          </w:p>
        </w:tc>
        <w:tc>
          <w:tcPr>
            <w:tcW w:w="1174" w:type="dxa"/>
            <w:tcBorders>
              <w:top w:val="single" w:sz="4" w:space="0" w:color="auto"/>
              <w:left w:val="single" w:sz="4" w:space="0" w:color="auto"/>
              <w:bottom w:val="single" w:sz="4" w:space="0" w:color="auto"/>
              <w:right w:val="single" w:sz="4" w:space="0" w:color="auto"/>
            </w:tcBorders>
            <w:vAlign w:val="center"/>
          </w:tcPr>
          <w:p w14:paraId="43BF84F7" w14:textId="77777777" w:rsidR="00A46BF1" w:rsidRPr="00543F0E" w:rsidRDefault="00A46BF1" w:rsidP="00543F0E">
            <w:pPr>
              <w:spacing w:line="360" w:lineRule="auto"/>
              <w:jc w:val="center"/>
              <w:rPr>
                <w:rFonts w:ascii="Times New Roman" w:eastAsia="宋体" w:hAnsi="Times New Roman" w:cs="Times New Roman"/>
                <w:sz w:val="18"/>
                <w:szCs w:val="18"/>
              </w:rPr>
            </w:pPr>
            <w:r w:rsidRPr="00543F0E">
              <w:rPr>
                <w:rFonts w:ascii="Times New Roman" w:eastAsia="宋体" w:hAnsi="Times New Roman" w:cs="Times New Roman"/>
                <w:sz w:val="18"/>
                <w:szCs w:val="18"/>
              </w:rPr>
              <w:t>其他</w:t>
            </w:r>
          </w:p>
        </w:tc>
        <w:tc>
          <w:tcPr>
            <w:tcW w:w="1377" w:type="dxa"/>
            <w:vMerge/>
            <w:tcBorders>
              <w:top w:val="single" w:sz="4" w:space="0" w:color="auto"/>
              <w:left w:val="single" w:sz="4" w:space="0" w:color="auto"/>
              <w:bottom w:val="single" w:sz="4" w:space="0" w:color="auto"/>
              <w:right w:val="single" w:sz="4" w:space="0" w:color="auto"/>
            </w:tcBorders>
            <w:shd w:val="clear" w:color="auto" w:fill="D3D3D3"/>
            <w:vAlign w:val="center"/>
          </w:tcPr>
          <w:p w14:paraId="255CC2BC" w14:textId="77777777" w:rsidR="00A46BF1" w:rsidRPr="00543F0E" w:rsidRDefault="00A46BF1" w:rsidP="00543F0E">
            <w:pPr>
              <w:spacing w:line="360" w:lineRule="auto"/>
              <w:rPr>
                <w:rFonts w:ascii="Times New Roman" w:hAnsi="Times New Roman" w:cs="Times New Roman"/>
              </w:rPr>
            </w:pPr>
          </w:p>
        </w:tc>
      </w:tr>
      <w:tr w:rsidR="00095F6F" w:rsidRPr="00543F0E" w14:paraId="0A18E6D8" w14:textId="77777777" w:rsidTr="00543F0E">
        <w:trPr>
          <w:cantSplit/>
          <w:trHeight w:val="240"/>
          <w:tblHeader/>
        </w:trPr>
        <w:tc>
          <w:tcPr>
            <w:tcW w:w="2552" w:type="dxa"/>
            <w:tcBorders>
              <w:top w:val="single" w:sz="4" w:space="0" w:color="auto"/>
              <w:left w:val="single" w:sz="4" w:space="0" w:color="auto"/>
              <w:bottom w:val="single" w:sz="4" w:space="0" w:color="auto"/>
              <w:right w:val="single" w:sz="4" w:space="0" w:color="auto"/>
            </w:tcBorders>
            <w:vAlign w:val="center"/>
          </w:tcPr>
          <w:p w14:paraId="1DE5FC28"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三诺健康管理有限公司</w:t>
            </w:r>
          </w:p>
        </w:tc>
        <w:tc>
          <w:tcPr>
            <w:tcW w:w="1417" w:type="dxa"/>
            <w:tcBorders>
              <w:top w:val="single" w:sz="4" w:space="0" w:color="auto"/>
              <w:left w:val="single" w:sz="4" w:space="0" w:color="auto"/>
              <w:bottom w:val="single" w:sz="4" w:space="0" w:color="auto"/>
              <w:right w:val="single" w:sz="4" w:space="0" w:color="auto"/>
            </w:tcBorders>
            <w:vAlign w:val="center"/>
          </w:tcPr>
          <w:p w14:paraId="1B075B62"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65,779,940.73</w:t>
            </w:r>
          </w:p>
        </w:tc>
        <w:tc>
          <w:tcPr>
            <w:tcW w:w="1418" w:type="dxa"/>
            <w:tcBorders>
              <w:top w:val="single" w:sz="4" w:space="0" w:color="auto"/>
              <w:left w:val="single" w:sz="4" w:space="0" w:color="auto"/>
              <w:bottom w:val="single" w:sz="4" w:space="0" w:color="auto"/>
              <w:right w:val="single" w:sz="4" w:space="0" w:color="auto"/>
            </w:tcBorders>
            <w:vAlign w:val="center"/>
          </w:tcPr>
          <w:p w14:paraId="044971B5"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144,556,359.35</w:t>
            </w:r>
          </w:p>
        </w:tc>
        <w:tc>
          <w:tcPr>
            <w:tcW w:w="992" w:type="dxa"/>
            <w:tcBorders>
              <w:top w:val="single" w:sz="4" w:space="0" w:color="auto"/>
              <w:left w:val="single" w:sz="4" w:space="0" w:color="auto"/>
              <w:bottom w:val="single" w:sz="4" w:space="0" w:color="auto"/>
              <w:right w:val="single" w:sz="4" w:space="0" w:color="auto"/>
            </w:tcBorders>
            <w:vAlign w:val="center"/>
          </w:tcPr>
          <w:p w14:paraId="109BDB96"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643D120"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174" w:type="dxa"/>
            <w:tcBorders>
              <w:top w:val="single" w:sz="4" w:space="0" w:color="auto"/>
              <w:left w:val="single" w:sz="4" w:space="0" w:color="auto"/>
              <w:bottom w:val="single" w:sz="4" w:space="0" w:color="auto"/>
              <w:right w:val="single" w:sz="4" w:space="0" w:color="auto"/>
            </w:tcBorders>
            <w:vAlign w:val="center"/>
          </w:tcPr>
          <w:p w14:paraId="32BA84FA"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4" w:space="0" w:color="auto"/>
              <w:left w:val="single" w:sz="4" w:space="0" w:color="auto"/>
              <w:bottom w:val="single" w:sz="4" w:space="0" w:color="auto"/>
              <w:right w:val="single" w:sz="4" w:space="0" w:color="auto"/>
            </w:tcBorders>
            <w:vAlign w:val="center"/>
          </w:tcPr>
          <w:p w14:paraId="388C482F"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210,336,300.08</w:t>
            </w:r>
          </w:p>
        </w:tc>
      </w:tr>
      <w:tr w:rsidR="00095F6F" w:rsidRPr="00543F0E" w14:paraId="12AAAD06" w14:textId="77777777" w:rsidTr="00543F0E">
        <w:trPr>
          <w:cantSplit/>
          <w:trHeight w:val="240"/>
          <w:tblHeader/>
        </w:trPr>
        <w:tc>
          <w:tcPr>
            <w:tcW w:w="2552" w:type="dxa"/>
            <w:tcBorders>
              <w:top w:val="single" w:sz="4" w:space="0" w:color="auto"/>
              <w:left w:val="single" w:sz="4" w:space="0" w:color="auto"/>
              <w:bottom w:val="single" w:sz="4" w:space="0" w:color="auto"/>
              <w:right w:val="single" w:sz="4" w:space="0" w:color="auto"/>
            </w:tcBorders>
            <w:vAlign w:val="center"/>
          </w:tcPr>
          <w:p w14:paraId="10ABAB6E"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北京三诺健恒糖尿病医院有限责任公司</w:t>
            </w:r>
          </w:p>
        </w:tc>
        <w:tc>
          <w:tcPr>
            <w:tcW w:w="1417" w:type="dxa"/>
            <w:tcBorders>
              <w:top w:val="single" w:sz="4" w:space="0" w:color="auto"/>
              <w:left w:val="single" w:sz="4" w:space="0" w:color="auto"/>
              <w:bottom w:val="single" w:sz="4" w:space="0" w:color="auto"/>
              <w:right w:val="single" w:sz="4" w:space="0" w:color="auto"/>
            </w:tcBorders>
            <w:vAlign w:val="center"/>
          </w:tcPr>
          <w:p w14:paraId="24DC546F"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10,536,866.33</w:t>
            </w:r>
          </w:p>
        </w:tc>
        <w:tc>
          <w:tcPr>
            <w:tcW w:w="1418" w:type="dxa"/>
            <w:tcBorders>
              <w:top w:val="single" w:sz="4" w:space="0" w:color="auto"/>
              <w:left w:val="single" w:sz="4" w:space="0" w:color="auto"/>
              <w:bottom w:val="single" w:sz="4" w:space="0" w:color="auto"/>
              <w:right w:val="single" w:sz="4" w:space="0" w:color="auto"/>
            </w:tcBorders>
            <w:vAlign w:val="center"/>
          </w:tcPr>
          <w:p w14:paraId="339FE604"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847EA11"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9EB5403"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174" w:type="dxa"/>
            <w:tcBorders>
              <w:top w:val="single" w:sz="4" w:space="0" w:color="auto"/>
              <w:left w:val="single" w:sz="4" w:space="0" w:color="auto"/>
              <w:bottom w:val="single" w:sz="4" w:space="0" w:color="auto"/>
              <w:right w:val="single" w:sz="4" w:space="0" w:color="auto"/>
            </w:tcBorders>
            <w:vAlign w:val="center"/>
          </w:tcPr>
          <w:p w14:paraId="7402B5A7"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4" w:space="0" w:color="auto"/>
              <w:left w:val="single" w:sz="4" w:space="0" w:color="auto"/>
              <w:bottom w:val="single" w:sz="4" w:space="0" w:color="auto"/>
              <w:right w:val="single" w:sz="4" w:space="0" w:color="auto"/>
            </w:tcBorders>
            <w:vAlign w:val="center"/>
          </w:tcPr>
          <w:p w14:paraId="26FFBB36"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10,536,866.33</w:t>
            </w:r>
          </w:p>
        </w:tc>
      </w:tr>
      <w:tr w:rsidR="00095F6F" w:rsidRPr="00543F0E" w14:paraId="304DEB4A" w14:textId="77777777" w:rsidTr="00543F0E">
        <w:trPr>
          <w:cantSplit/>
          <w:trHeight w:val="240"/>
          <w:tblHeader/>
        </w:trPr>
        <w:tc>
          <w:tcPr>
            <w:tcW w:w="2552" w:type="dxa"/>
            <w:tcBorders>
              <w:top w:val="single" w:sz="4" w:space="0" w:color="auto"/>
              <w:left w:val="single" w:sz="4" w:space="0" w:color="auto"/>
              <w:bottom w:val="single" w:sz="4" w:space="0" w:color="auto"/>
              <w:right w:val="single" w:sz="4" w:space="0" w:color="auto"/>
            </w:tcBorders>
            <w:vAlign w:val="center"/>
          </w:tcPr>
          <w:p w14:paraId="7922F62E"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东莞一测科技有限公司</w:t>
            </w:r>
          </w:p>
        </w:tc>
        <w:tc>
          <w:tcPr>
            <w:tcW w:w="1417" w:type="dxa"/>
            <w:tcBorders>
              <w:top w:val="single" w:sz="4" w:space="0" w:color="auto"/>
              <w:left w:val="single" w:sz="4" w:space="0" w:color="auto"/>
              <w:bottom w:val="single" w:sz="4" w:space="0" w:color="auto"/>
              <w:right w:val="single" w:sz="4" w:space="0" w:color="auto"/>
            </w:tcBorders>
            <w:vAlign w:val="center"/>
          </w:tcPr>
          <w:p w14:paraId="4D4B3C78"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770,302.13</w:t>
            </w:r>
          </w:p>
        </w:tc>
        <w:tc>
          <w:tcPr>
            <w:tcW w:w="1418" w:type="dxa"/>
            <w:tcBorders>
              <w:top w:val="single" w:sz="4" w:space="0" w:color="auto"/>
              <w:left w:val="single" w:sz="4" w:space="0" w:color="auto"/>
              <w:bottom w:val="single" w:sz="4" w:space="0" w:color="auto"/>
              <w:right w:val="single" w:sz="4" w:space="0" w:color="auto"/>
            </w:tcBorders>
            <w:vAlign w:val="center"/>
          </w:tcPr>
          <w:p w14:paraId="5A5BA7E0"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94425E1"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66DD2A0"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174" w:type="dxa"/>
            <w:tcBorders>
              <w:top w:val="single" w:sz="4" w:space="0" w:color="auto"/>
              <w:left w:val="single" w:sz="4" w:space="0" w:color="auto"/>
              <w:bottom w:val="single" w:sz="4" w:space="0" w:color="auto"/>
              <w:right w:val="single" w:sz="4" w:space="0" w:color="auto"/>
            </w:tcBorders>
            <w:vAlign w:val="center"/>
          </w:tcPr>
          <w:p w14:paraId="0E360C36"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377" w:type="dxa"/>
            <w:tcBorders>
              <w:top w:val="single" w:sz="4" w:space="0" w:color="auto"/>
              <w:left w:val="single" w:sz="4" w:space="0" w:color="auto"/>
              <w:bottom w:val="single" w:sz="4" w:space="0" w:color="auto"/>
              <w:right w:val="single" w:sz="4" w:space="0" w:color="auto"/>
            </w:tcBorders>
            <w:vAlign w:val="center"/>
          </w:tcPr>
          <w:p w14:paraId="4A7F1D0D"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770,302.13</w:t>
            </w:r>
          </w:p>
        </w:tc>
      </w:tr>
      <w:tr w:rsidR="00095F6F" w:rsidRPr="00543F0E" w14:paraId="49F074D3" w14:textId="77777777" w:rsidTr="00543F0E">
        <w:trPr>
          <w:cantSplit/>
          <w:trHeight w:val="240"/>
          <w:tblHeader/>
        </w:trPr>
        <w:tc>
          <w:tcPr>
            <w:tcW w:w="2552" w:type="dxa"/>
            <w:tcBorders>
              <w:top w:val="single" w:sz="4" w:space="0" w:color="auto"/>
              <w:left w:val="single" w:sz="4" w:space="0" w:color="auto"/>
              <w:bottom w:val="single" w:sz="4" w:space="0" w:color="auto"/>
              <w:right w:val="single" w:sz="4" w:space="0" w:color="auto"/>
            </w:tcBorders>
            <w:vAlign w:val="center"/>
          </w:tcPr>
          <w:p w14:paraId="1D93895F" w14:textId="77777777" w:rsidR="00A46BF1" w:rsidRPr="00543F0E" w:rsidRDefault="00A46BF1" w:rsidP="00543F0E">
            <w:pPr>
              <w:spacing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Trividia Health,Inc.</w:t>
            </w:r>
          </w:p>
        </w:tc>
        <w:tc>
          <w:tcPr>
            <w:tcW w:w="1417" w:type="dxa"/>
            <w:tcBorders>
              <w:top w:val="single" w:sz="4" w:space="0" w:color="auto"/>
              <w:left w:val="single" w:sz="4" w:space="0" w:color="auto"/>
              <w:bottom w:val="single" w:sz="4" w:space="0" w:color="auto"/>
              <w:right w:val="single" w:sz="4" w:space="0" w:color="auto"/>
            </w:tcBorders>
            <w:vAlign w:val="center"/>
          </w:tcPr>
          <w:p w14:paraId="4009C3E6"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85,897,285.92</w:t>
            </w:r>
          </w:p>
        </w:tc>
        <w:tc>
          <w:tcPr>
            <w:tcW w:w="1418" w:type="dxa"/>
            <w:tcBorders>
              <w:top w:val="single" w:sz="4" w:space="0" w:color="auto"/>
              <w:left w:val="single" w:sz="4" w:space="0" w:color="auto"/>
              <w:bottom w:val="single" w:sz="4" w:space="0" w:color="auto"/>
              <w:right w:val="single" w:sz="4" w:space="0" w:color="auto"/>
            </w:tcBorders>
            <w:vAlign w:val="center"/>
          </w:tcPr>
          <w:p w14:paraId="51AD25D8"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7A91C0C2"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49CC4E4"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174" w:type="dxa"/>
            <w:tcBorders>
              <w:top w:val="single" w:sz="4" w:space="0" w:color="auto"/>
              <w:left w:val="single" w:sz="4" w:space="0" w:color="auto"/>
              <w:bottom w:val="single" w:sz="4" w:space="0" w:color="auto"/>
              <w:right w:val="single" w:sz="4" w:space="0" w:color="auto"/>
            </w:tcBorders>
            <w:vAlign w:val="center"/>
          </w:tcPr>
          <w:p w14:paraId="4D3A46C1"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1,907,129.10</w:t>
            </w:r>
          </w:p>
        </w:tc>
        <w:tc>
          <w:tcPr>
            <w:tcW w:w="1377" w:type="dxa"/>
            <w:tcBorders>
              <w:top w:val="single" w:sz="4" w:space="0" w:color="auto"/>
              <w:left w:val="single" w:sz="4" w:space="0" w:color="auto"/>
              <w:bottom w:val="single" w:sz="4" w:space="0" w:color="auto"/>
              <w:right w:val="single" w:sz="4" w:space="0" w:color="auto"/>
            </w:tcBorders>
            <w:vAlign w:val="center"/>
          </w:tcPr>
          <w:p w14:paraId="4FB9317B"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83,990,156.82</w:t>
            </w:r>
          </w:p>
        </w:tc>
      </w:tr>
      <w:tr w:rsidR="00095F6F" w:rsidRPr="00543F0E" w14:paraId="36384068" w14:textId="77777777" w:rsidTr="00543F0E">
        <w:trPr>
          <w:cantSplit/>
          <w:trHeight w:val="240"/>
          <w:tblHeader/>
        </w:trPr>
        <w:tc>
          <w:tcPr>
            <w:tcW w:w="2552" w:type="dxa"/>
            <w:tcBorders>
              <w:top w:val="single" w:sz="4" w:space="0" w:color="auto"/>
              <w:left w:val="single" w:sz="4" w:space="0" w:color="auto"/>
              <w:bottom w:val="single" w:sz="4" w:space="0" w:color="auto"/>
              <w:right w:val="single" w:sz="4" w:space="0" w:color="auto"/>
            </w:tcBorders>
            <w:shd w:val="clear" w:color="auto" w:fill="D3D3D3"/>
            <w:vAlign w:val="center"/>
          </w:tcPr>
          <w:p w14:paraId="7991D50F" w14:textId="77777777" w:rsidR="00A46BF1" w:rsidRPr="00543F0E" w:rsidRDefault="00A46BF1" w:rsidP="00543F0E">
            <w:pPr>
              <w:spacing w:before="40" w:after="40" w:line="360" w:lineRule="auto"/>
              <w:rPr>
                <w:rFonts w:ascii="Times New Roman" w:eastAsia="宋体" w:hAnsi="Times New Roman" w:cs="Times New Roman"/>
                <w:sz w:val="18"/>
                <w:szCs w:val="18"/>
              </w:rPr>
            </w:pPr>
            <w:r w:rsidRPr="00543F0E">
              <w:rPr>
                <w:rFonts w:ascii="Times New Roman" w:eastAsia="宋体" w:hAnsi="Times New Roman" w:cs="Times New Roman"/>
                <w:sz w:val="18"/>
                <w:szCs w:val="18"/>
              </w:rPr>
              <w:t>合计</w:t>
            </w:r>
          </w:p>
        </w:tc>
        <w:tc>
          <w:tcPr>
            <w:tcW w:w="1417" w:type="dxa"/>
            <w:tcBorders>
              <w:top w:val="single" w:sz="4" w:space="0" w:color="auto"/>
              <w:left w:val="single" w:sz="4" w:space="0" w:color="auto"/>
              <w:bottom w:val="single" w:sz="4" w:space="0" w:color="auto"/>
              <w:right w:val="single" w:sz="4" w:space="0" w:color="auto"/>
            </w:tcBorders>
            <w:vAlign w:val="center"/>
          </w:tcPr>
          <w:p w14:paraId="6AA788AC"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162,984,395.11</w:t>
            </w:r>
          </w:p>
        </w:tc>
        <w:tc>
          <w:tcPr>
            <w:tcW w:w="1418" w:type="dxa"/>
            <w:tcBorders>
              <w:top w:val="single" w:sz="4" w:space="0" w:color="auto"/>
              <w:left w:val="single" w:sz="4" w:space="0" w:color="auto"/>
              <w:bottom w:val="single" w:sz="4" w:space="0" w:color="auto"/>
              <w:right w:val="single" w:sz="4" w:space="0" w:color="auto"/>
            </w:tcBorders>
            <w:vAlign w:val="center"/>
          </w:tcPr>
          <w:p w14:paraId="383321CD"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144,556,359.35</w:t>
            </w:r>
          </w:p>
        </w:tc>
        <w:tc>
          <w:tcPr>
            <w:tcW w:w="992" w:type="dxa"/>
            <w:tcBorders>
              <w:top w:val="single" w:sz="4" w:space="0" w:color="auto"/>
              <w:left w:val="single" w:sz="4" w:space="0" w:color="auto"/>
              <w:bottom w:val="single" w:sz="4" w:space="0" w:color="auto"/>
              <w:right w:val="single" w:sz="4" w:space="0" w:color="auto"/>
            </w:tcBorders>
            <w:vAlign w:val="center"/>
          </w:tcPr>
          <w:p w14:paraId="1CA47DDB"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D7CFFDD" w14:textId="77777777" w:rsidR="00A46BF1" w:rsidRPr="00543F0E" w:rsidRDefault="00A46BF1" w:rsidP="00543F0E">
            <w:pPr>
              <w:spacing w:line="360" w:lineRule="auto"/>
              <w:jc w:val="right"/>
              <w:rPr>
                <w:rFonts w:ascii="Times New Roman" w:eastAsia="宋体" w:hAnsi="Times New Roman" w:cs="Times New Roman"/>
                <w:sz w:val="18"/>
                <w:szCs w:val="18"/>
              </w:rPr>
            </w:pPr>
          </w:p>
        </w:tc>
        <w:tc>
          <w:tcPr>
            <w:tcW w:w="1174" w:type="dxa"/>
            <w:tcBorders>
              <w:top w:val="single" w:sz="4" w:space="0" w:color="auto"/>
              <w:left w:val="single" w:sz="4" w:space="0" w:color="auto"/>
              <w:bottom w:val="single" w:sz="4" w:space="0" w:color="auto"/>
              <w:right w:val="single" w:sz="4" w:space="0" w:color="auto"/>
            </w:tcBorders>
            <w:vAlign w:val="center"/>
          </w:tcPr>
          <w:p w14:paraId="6F70C229"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1,907,129.10</w:t>
            </w:r>
          </w:p>
        </w:tc>
        <w:tc>
          <w:tcPr>
            <w:tcW w:w="1377" w:type="dxa"/>
            <w:tcBorders>
              <w:top w:val="single" w:sz="4" w:space="0" w:color="auto"/>
              <w:left w:val="single" w:sz="4" w:space="0" w:color="auto"/>
              <w:bottom w:val="single" w:sz="4" w:space="0" w:color="auto"/>
              <w:right w:val="single" w:sz="4" w:space="0" w:color="auto"/>
            </w:tcBorders>
            <w:vAlign w:val="center"/>
          </w:tcPr>
          <w:p w14:paraId="53D588EB" w14:textId="77777777" w:rsidR="00A46BF1" w:rsidRPr="00543F0E" w:rsidRDefault="00A46BF1" w:rsidP="00543F0E">
            <w:pPr>
              <w:spacing w:line="360" w:lineRule="auto"/>
              <w:jc w:val="right"/>
              <w:rPr>
                <w:rFonts w:ascii="Times New Roman" w:eastAsia="宋体" w:hAnsi="Times New Roman" w:cs="Times New Roman"/>
                <w:sz w:val="18"/>
                <w:szCs w:val="18"/>
              </w:rPr>
            </w:pPr>
            <w:r w:rsidRPr="00543F0E">
              <w:rPr>
                <w:rFonts w:ascii="Times New Roman" w:eastAsia="宋体" w:hAnsi="Times New Roman" w:cs="Times New Roman"/>
                <w:sz w:val="18"/>
                <w:szCs w:val="18"/>
              </w:rPr>
              <w:t>305,633,625.36</w:t>
            </w:r>
          </w:p>
        </w:tc>
      </w:tr>
    </w:tbl>
    <w:p w14:paraId="0E435CB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商誉所在资产组或资产组组合的相关信息</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078DEABB"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9498CF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5B18C17"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所属资产组或组合的构成及依据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7581637"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所属经营分部及依据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958F6D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是否与以前年度保持一致</w:t>
            </w:r>
          </w:p>
        </w:tc>
      </w:tr>
    </w:tbl>
    <w:p w14:paraId="5BF7E3F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资产组或资产组组合发生变化</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4C421733"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FF234D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E193A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变化前的构成</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DE9C042"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变化后的构成</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B81A15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导致变化的客观事实及依据</w:t>
            </w:r>
          </w:p>
        </w:tc>
      </w:tr>
    </w:tbl>
    <w:p w14:paraId="1AB59305"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2D5E2AF"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sz w:val="21"/>
          <w:szCs w:val="21"/>
        </w:rPr>
        <w:t>1</w:t>
      </w:r>
      <w:r w:rsidRPr="00684E6E">
        <w:rPr>
          <w:rFonts w:ascii="Times New Roman" w:hAnsi="Times New Roman" w:cs="Times New Roman" w:hint="eastAsia"/>
          <w:sz w:val="21"/>
          <w:szCs w:val="21"/>
        </w:rPr>
        <w:t>）本公司于</w:t>
      </w:r>
      <w:r w:rsidRPr="00684E6E">
        <w:rPr>
          <w:rFonts w:ascii="Times New Roman" w:hAnsi="Times New Roman" w:cs="Times New Roman"/>
          <w:sz w:val="21"/>
          <w:szCs w:val="21"/>
        </w:rPr>
        <w:t>2018</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w:t>
      </w:r>
      <w:r w:rsidRPr="00684E6E">
        <w:rPr>
          <w:rFonts w:ascii="Times New Roman" w:hAnsi="Times New Roman" w:cs="Times New Roman" w:hint="eastAsia"/>
          <w:sz w:val="21"/>
          <w:szCs w:val="21"/>
        </w:rPr>
        <w:t>月向建投嘉孚（上海）投资有限公司发行</w:t>
      </w:r>
      <w:r w:rsidRPr="00684E6E">
        <w:rPr>
          <w:rFonts w:ascii="Times New Roman" w:hAnsi="Times New Roman" w:cs="Times New Roman"/>
          <w:sz w:val="21"/>
          <w:szCs w:val="21"/>
        </w:rPr>
        <w:t>14,590,935</w:t>
      </w:r>
      <w:r w:rsidRPr="00684E6E">
        <w:rPr>
          <w:rFonts w:ascii="Times New Roman" w:hAnsi="Times New Roman" w:cs="Times New Roman" w:hint="eastAsia"/>
          <w:sz w:val="21"/>
          <w:szCs w:val="21"/>
        </w:rPr>
        <w:t>股股份、向长城国融投资管理有限公司发行</w:t>
      </w:r>
      <w:r w:rsidRPr="00684E6E">
        <w:rPr>
          <w:rFonts w:ascii="Times New Roman" w:hAnsi="Times New Roman" w:cs="Times New Roman"/>
          <w:sz w:val="21"/>
          <w:szCs w:val="21"/>
        </w:rPr>
        <w:t>14,590,935</w:t>
      </w:r>
      <w:r w:rsidRPr="00684E6E">
        <w:rPr>
          <w:rFonts w:ascii="Times New Roman" w:hAnsi="Times New Roman" w:cs="Times New Roman" w:hint="eastAsia"/>
          <w:sz w:val="21"/>
          <w:szCs w:val="21"/>
        </w:rPr>
        <w:t>股股份、向建投华文投资有限责任公司发行</w:t>
      </w:r>
      <w:r w:rsidRPr="00684E6E">
        <w:rPr>
          <w:rFonts w:ascii="Times New Roman" w:hAnsi="Times New Roman" w:cs="Times New Roman"/>
          <w:sz w:val="21"/>
          <w:szCs w:val="21"/>
        </w:rPr>
        <w:t>6,609,710</w:t>
      </w:r>
      <w:r w:rsidRPr="00684E6E">
        <w:rPr>
          <w:rFonts w:ascii="Times New Roman" w:hAnsi="Times New Roman" w:cs="Times New Roman" w:hint="eastAsia"/>
          <w:sz w:val="21"/>
          <w:szCs w:val="21"/>
        </w:rPr>
        <w:t>股股份购买三诺健康管理有限公司（以下简称三诺健康）</w:t>
      </w:r>
      <w:r w:rsidRPr="00684E6E">
        <w:rPr>
          <w:rFonts w:ascii="Times New Roman" w:hAnsi="Times New Roman" w:cs="Times New Roman"/>
          <w:sz w:val="21"/>
          <w:szCs w:val="21"/>
        </w:rPr>
        <w:t>64.98%</w:t>
      </w:r>
      <w:r w:rsidRPr="00684E6E">
        <w:rPr>
          <w:rFonts w:ascii="Times New Roman" w:hAnsi="Times New Roman" w:cs="Times New Roman" w:hint="eastAsia"/>
          <w:sz w:val="21"/>
          <w:szCs w:val="21"/>
        </w:rPr>
        <w:t>股权产生</w:t>
      </w:r>
      <w:r w:rsidRPr="00684E6E">
        <w:rPr>
          <w:rFonts w:ascii="Times New Roman" w:hAnsi="Times New Roman" w:cs="Times New Roman"/>
          <w:sz w:val="21"/>
          <w:szCs w:val="21"/>
        </w:rPr>
        <w:t>466,428,369.85</w:t>
      </w:r>
      <w:r w:rsidRPr="00684E6E">
        <w:rPr>
          <w:rFonts w:ascii="Times New Roman" w:hAnsi="Times New Roman" w:cs="Times New Roman" w:hint="eastAsia"/>
          <w:sz w:val="21"/>
          <w:szCs w:val="21"/>
        </w:rPr>
        <w:t>元商誉。收购后三诺健康均作为独立的经济实体运行，现金流相对独立。三诺健康成立的目的为收购</w:t>
      </w:r>
      <w:r w:rsidRPr="00684E6E">
        <w:rPr>
          <w:rFonts w:ascii="Times New Roman" w:hAnsi="Times New Roman" w:cs="Times New Roman"/>
          <w:sz w:val="21"/>
          <w:szCs w:val="21"/>
        </w:rPr>
        <w:t>Polymer Technology  Systems,Inc.</w:t>
      </w:r>
      <w:r w:rsidRPr="00684E6E">
        <w:rPr>
          <w:rFonts w:ascii="Times New Roman" w:hAnsi="Times New Roman" w:cs="Times New Roman" w:hint="eastAsia"/>
          <w:sz w:val="21"/>
          <w:szCs w:val="21"/>
        </w:rPr>
        <w:t>（以下简称</w:t>
      </w:r>
      <w:r w:rsidRPr="00684E6E">
        <w:rPr>
          <w:rFonts w:ascii="Times New Roman" w:hAnsi="Times New Roman" w:cs="Times New Roman"/>
          <w:sz w:val="21"/>
          <w:szCs w:val="21"/>
        </w:rPr>
        <w:t>PTS</w:t>
      </w:r>
      <w:r w:rsidRPr="00684E6E">
        <w:rPr>
          <w:rFonts w:ascii="Times New Roman" w:hAnsi="Times New Roman" w:cs="Times New Roman" w:hint="eastAsia"/>
          <w:sz w:val="21"/>
          <w:szCs w:val="21"/>
        </w:rPr>
        <w:t>）的持股平台公司，三诺健康的主要资产即为持有</w:t>
      </w:r>
      <w:r w:rsidRPr="00684E6E">
        <w:rPr>
          <w:rFonts w:ascii="Times New Roman" w:hAnsi="Times New Roman" w:cs="Times New Roman"/>
          <w:sz w:val="21"/>
          <w:szCs w:val="21"/>
        </w:rPr>
        <w:t>PTS</w:t>
      </w:r>
      <w:r w:rsidRPr="00684E6E">
        <w:rPr>
          <w:rFonts w:ascii="Times New Roman" w:hAnsi="Times New Roman" w:cs="Times New Roman" w:hint="eastAsia"/>
          <w:sz w:val="21"/>
          <w:szCs w:val="21"/>
        </w:rPr>
        <w:t>的股权。形成商誉时三诺健康未包含募投项目、电子商务业务及医院业务，因此本年减值测试本公司将以剔除募集资金形成的相关资产负债、电子商务业务及相关医院业务相关资产负债后的三诺健康管理中与全资子公司</w:t>
      </w:r>
      <w:r w:rsidRPr="00684E6E">
        <w:rPr>
          <w:rFonts w:ascii="Times New Roman" w:hAnsi="Times New Roman" w:cs="Times New Roman"/>
          <w:sz w:val="21"/>
          <w:szCs w:val="21"/>
        </w:rPr>
        <w:t>PTS</w:t>
      </w:r>
      <w:r w:rsidRPr="00684E6E">
        <w:rPr>
          <w:rFonts w:ascii="Times New Roman" w:hAnsi="Times New Roman" w:cs="Times New Roman" w:hint="eastAsia"/>
          <w:sz w:val="21"/>
          <w:szCs w:val="21"/>
        </w:rPr>
        <w:t>血糖、血脂、服务类产品经营业务相关的全部经营性资产和经营性负债作为资产组，与收购日形成商誉时的资产组保持了一致。</w:t>
      </w:r>
    </w:p>
    <w:p w14:paraId="22663270"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sz w:val="21"/>
          <w:szCs w:val="21"/>
        </w:rPr>
        <w:t>2</w:t>
      </w:r>
      <w:r w:rsidRPr="00684E6E">
        <w:rPr>
          <w:rFonts w:ascii="Times New Roman" w:hAnsi="Times New Roman" w:cs="Times New Roman" w:hint="eastAsia"/>
          <w:sz w:val="21"/>
          <w:szCs w:val="21"/>
        </w:rPr>
        <w:t>）本公司之子公司三诺健康管理有限公司于</w:t>
      </w:r>
      <w:r w:rsidRPr="00684E6E">
        <w:rPr>
          <w:rFonts w:ascii="Times New Roman" w:hAnsi="Times New Roman" w:cs="Times New Roman"/>
          <w:sz w:val="21"/>
          <w:szCs w:val="21"/>
        </w:rPr>
        <w:t>2020</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5</w:t>
      </w:r>
      <w:r w:rsidRPr="00684E6E">
        <w:rPr>
          <w:rFonts w:ascii="Times New Roman" w:hAnsi="Times New Roman" w:cs="Times New Roman" w:hint="eastAsia"/>
          <w:sz w:val="21"/>
          <w:szCs w:val="21"/>
        </w:rPr>
        <w:t>月收购北京三诺健恒糖尿病医院有限责任公司</w:t>
      </w:r>
      <w:r w:rsidRPr="00684E6E">
        <w:rPr>
          <w:rFonts w:ascii="Times New Roman" w:hAnsi="Times New Roman" w:cs="Times New Roman"/>
          <w:sz w:val="21"/>
          <w:szCs w:val="21"/>
        </w:rPr>
        <w:t>100%</w:t>
      </w:r>
      <w:r w:rsidRPr="00684E6E">
        <w:rPr>
          <w:rFonts w:ascii="Times New Roman" w:hAnsi="Times New Roman" w:cs="Times New Roman" w:hint="eastAsia"/>
          <w:sz w:val="21"/>
          <w:szCs w:val="21"/>
        </w:rPr>
        <w:t>股权，形成商誉</w:t>
      </w:r>
      <w:r w:rsidRPr="00684E6E">
        <w:rPr>
          <w:rFonts w:ascii="Times New Roman" w:hAnsi="Times New Roman" w:cs="Times New Roman"/>
          <w:sz w:val="21"/>
          <w:szCs w:val="21"/>
        </w:rPr>
        <w:t>10,536,866.33</w:t>
      </w:r>
      <w:r w:rsidRPr="00684E6E">
        <w:rPr>
          <w:rFonts w:ascii="Times New Roman" w:hAnsi="Times New Roman" w:cs="Times New Roman" w:hint="eastAsia"/>
          <w:sz w:val="21"/>
          <w:szCs w:val="21"/>
        </w:rPr>
        <w:t>元，已全额计提减值准备。</w:t>
      </w:r>
    </w:p>
    <w:p w14:paraId="45A9A484"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sz w:val="21"/>
          <w:szCs w:val="21"/>
        </w:rPr>
        <w:t>3</w:t>
      </w:r>
      <w:r w:rsidRPr="00684E6E">
        <w:rPr>
          <w:rFonts w:ascii="Times New Roman" w:hAnsi="Times New Roman" w:cs="Times New Roman" w:hint="eastAsia"/>
          <w:sz w:val="21"/>
          <w:szCs w:val="21"/>
        </w:rPr>
        <w:t>）本公司于</w:t>
      </w:r>
      <w:r w:rsidRPr="00684E6E">
        <w:rPr>
          <w:rFonts w:ascii="Times New Roman" w:hAnsi="Times New Roman" w:cs="Times New Roman"/>
          <w:sz w:val="21"/>
          <w:szCs w:val="21"/>
        </w:rPr>
        <w:t>2020</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12</w:t>
      </w:r>
      <w:r w:rsidRPr="00684E6E">
        <w:rPr>
          <w:rFonts w:ascii="Times New Roman" w:hAnsi="Times New Roman" w:cs="Times New Roman" w:hint="eastAsia"/>
          <w:sz w:val="21"/>
          <w:szCs w:val="21"/>
        </w:rPr>
        <w:t>月向东莞一测科技有限公司（以下简称东莞一测）增资取得其</w:t>
      </w:r>
      <w:r w:rsidRPr="00684E6E">
        <w:rPr>
          <w:rFonts w:ascii="Times New Roman" w:hAnsi="Times New Roman" w:cs="Times New Roman"/>
          <w:sz w:val="21"/>
          <w:szCs w:val="21"/>
        </w:rPr>
        <w:t>66.5%</w:t>
      </w:r>
      <w:r w:rsidRPr="00684E6E">
        <w:rPr>
          <w:rFonts w:ascii="Times New Roman" w:hAnsi="Times New Roman" w:cs="Times New Roman" w:hint="eastAsia"/>
          <w:sz w:val="21"/>
          <w:szCs w:val="21"/>
        </w:rPr>
        <w:t>股权，形成商誉</w:t>
      </w:r>
      <w:r w:rsidRPr="00684E6E">
        <w:rPr>
          <w:rFonts w:ascii="Times New Roman" w:hAnsi="Times New Roman" w:cs="Times New Roman"/>
          <w:sz w:val="21"/>
          <w:szCs w:val="21"/>
        </w:rPr>
        <w:t>6,577,149.34</w:t>
      </w:r>
      <w:r w:rsidRPr="00684E6E">
        <w:rPr>
          <w:rFonts w:ascii="Times New Roman" w:hAnsi="Times New Roman" w:cs="Times New Roman" w:hint="eastAsia"/>
          <w:sz w:val="21"/>
          <w:szCs w:val="21"/>
        </w:rPr>
        <w:t>元，本年减值测试本公司将东莞一测全部经营性资产作为资产组，与收购日形成商誉时的资产组保持了一致。</w:t>
      </w:r>
    </w:p>
    <w:p w14:paraId="18192DC7"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sz w:val="21"/>
          <w:szCs w:val="21"/>
        </w:rPr>
        <w:t>4</w:t>
      </w:r>
      <w:r w:rsidRPr="00684E6E">
        <w:rPr>
          <w:rFonts w:ascii="Times New Roman" w:hAnsi="Times New Roman" w:cs="Times New Roman" w:hint="eastAsia"/>
          <w:sz w:val="21"/>
          <w:szCs w:val="21"/>
        </w:rPr>
        <w:t>）本公司于</w:t>
      </w:r>
      <w:r w:rsidRPr="00684E6E">
        <w:rPr>
          <w:rFonts w:ascii="Times New Roman" w:hAnsi="Times New Roman" w:cs="Times New Roman"/>
          <w:sz w:val="21"/>
          <w:szCs w:val="21"/>
        </w:rPr>
        <w:t>2023</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5</w:t>
      </w:r>
      <w:r w:rsidRPr="00684E6E">
        <w:rPr>
          <w:rFonts w:ascii="Times New Roman" w:hAnsi="Times New Roman" w:cs="Times New Roman" w:hint="eastAsia"/>
          <w:sz w:val="21"/>
          <w:szCs w:val="21"/>
        </w:rPr>
        <w:t>月成立</w:t>
      </w:r>
      <w:r w:rsidRPr="00684E6E">
        <w:rPr>
          <w:rFonts w:ascii="Times New Roman" w:hAnsi="Times New Roman" w:cs="Times New Roman"/>
          <w:sz w:val="21"/>
          <w:szCs w:val="21"/>
        </w:rPr>
        <w:t>Sinocare Medical (Singapore) Pte.Ltd</w:t>
      </w:r>
      <w:r w:rsidRPr="00684E6E">
        <w:rPr>
          <w:rFonts w:ascii="Times New Roman" w:hAnsi="Times New Roman" w:cs="Times New Roman" w:hint="eastAsia"/>
          <w:sz w:val="21"/>
          <w:szCs w:val="21"/>
        </w:rPr>
        <w:t>，同年</w:t>
      </w:r>
      <w:r w:rsidRPr="00684E6E">
        <w:rPr>
          <w:rFonts w:ascii="Times New Roman" w:hAnsi="Times New Roman" w:cs="Times New Roman"/>
          <w:sz w:val="21"/>
          <w:szCs w:val="21"/>
        </w:rPr>
        <w:t>8</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Sinocare Medical (Singapore) Pte.Ltd</w:t>
      </w:r>
      <w:r w:rsidRPr="00684E6E">
        <w:rPr>
          <w:rFonts w:ascii="Times New Roman" w:hAnsi="Times New Roman" w:cs="Times New Roman" w:hint="eastAsia"/>
          <w:sz w:val="21"/>
          <w:szCs w:val="21"/>
        </w:rPr>
        <w:t>收购</w:t>
      </w:r>
      <w:r w:rsidRPr="00684E6E">
        <w:rPr>
          <w:rFonts w:ascii="Times New Roman" w:hAnsi="Times New Roman" w:cs="Times New Roman"/>
          <w:sz w:val="21"/>
          <w:szCs w:val="21"/>
        </w:rPr>
        <w:t>Sinocare Vietnam L</w:t>
      </w:r>
      <w:r w:rsidRPr="00684E6E">
        <w:rPr>
          <w:rFonts w:ascii="Times New Roman" w:hAnsi="Times New Roman" w:cs="Times New Roman"/>
          <w:sz w:val="21"/>
          <w:szCs w:val="21"/>
        </w:rPr>
        <w:t>＆</w:t>
      </w:r>
      <w:r w:rsidRPr="00684E6E">
        <w:rPr>
          <w:rFonts w:ascii="Times New Roman" w:hAnsi="Times New Roman" w:cs="Times New Roman"/>
          <w:sz w:val="21"/>
          <w:szCs w:val="21"/>
        </w:rPr>
        <w:t xml:space="preserve">M Company Limited </w:t>
      </w:r>
      <w:r w:rsidRPr="00684E6E">
        <w:rPr>
          <w:rFonts w:ascii="Times New Roman" w:hAnsi="Times New Roman" w:cs="Times New Roman" w:hint="eastAsia"/>
          <w:sz w:val="21"/>
          <w:szCs w:val="21"/>
        </w:rPr>
        <w:t>（以下简称三诺越南）</w:t>
      </w:r>
      <w:r w:rsidRPr="00684E6E">
        <w:rPr>
          <w:rFonts w:ascii="Times New Roman" w:hAnsi="Times New Roman" w:cs="Times New Roman"/>
          <w:sz w:val="21"/>
          <w:szCs w:val="21"/>
        </w:rPr>
        <w:t>100%</w:t>
      </w:r>
      <w:r w:rsidRPr="00684E6E">
        <w:rPr>
          <w:rFonts w:ascii="Times New Roman" w:hAnsi="Times New Roman" w:cs="Times New Roman" w:hint="eastAsia"/>
          <w:sz w:val="21"/>
          <w:szCs w:val="21"/>
        </w:rPr>
        <w:t>股权，形成商誉</w:t>
      </w:r>
      <w:r w:rsidRPr="00684E6E">
        <w:rPr>
          <w:rFonts w:ascii="Times New Roman" w:hAnsi="Times New Roman" w:cs="Times New Roman"/>
          <w:sz w:val="21"/>
          <w:szCs w:val="21"/>
        </w:rPr>
        <w:t>1,482,722.58</w:t>
      </w:r>
      <w:r w:rsidRPr="00684E6E">
        <w:rPr>
          <w:rFonts w:ascii="Times New Roman" w:hAnsi="Times New Roman" w:cs="Times New Roman" w:hint="eastAsia"/>
          <w:sz w:val="21"/>
          <w:szCs w:val="21"/>
        </w:rPr>
        <w:t>元，本年减值测试本公司将</w:t>
      </w:r>
      <w:r w:rsidRPr="00684E6E">
        <w:rPr>
          <w:rFonts w:ascii="Times New Roman" w:hAnsi="Times New Roman" w:cs="Times New Roman"/>
          <w:sz w:val="21"/>
          <w:szCs w:val="21"/>
        </w:rPr>
        <w:t>Sinocare Vietnam L</w:t>
      </w:r>
      <w:r w:rsidRPr="00684E6E">
        <w:rPr>
          <w:rFonts w:ascii="Times New Roman" w:hAnsi="Times New Roman" w:cs="Times New Roman"/>
          <w:sz w:val="21"/>
          <w:szCs w:val="21"/>
        </w:rPr>
        <w:t>＆</w:t>
      </w:r>
      <w:r w:rsidRPr="00684E6E">
        <w:rPr>
          <w:rFonts w:ascii="Times New Roman" w:hAnsi="Times New Roman" w:cs="Times New Roman"/>
          <w:sz w:val="21"/>
          <w:szCs w:val="21"/>
        </w:rPr>
        <w:t>M Company Limited</w:t>
      </w:r>
      <w:r w:rsidRPr="00684E6E">
        <w:rPr>
          <w:rFonts w:ascii="Times New Roman" w:hAnsi="Times New Roman" w:cs="Times New Roman" w:hint="eastAsia"/>
          <w:sz w:val="21"/>
          <w:szCs w:val="21"/>
        </w:rPr>
        <w:t>全部经营性资产作为资产组，与收购日形成商誉时的资产组保持了一致。</w:t>
      </w:r>
    </w:p>
    <w:p w14:paraId="18FDEC42"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sz w:val="21"/>
          <w:szCs w:val="21"/>
        </w:rPr>
        <w:t>5</w:t>
      </w:r>
      <w:r w:rsidRPr="00684E6E">
        <w:rPr>
          <w:rFonts w:ascii="Times New Roman" w:hAnsi="Times New Roman" w:cs="Times New Roman" w:hint="eastAsia"/>
          <w:sz w:val="21"/>
          <w:szCs w:val="21"/>
        </w:rPr>
        <w:t>）本公司之子公司长沙心诺健康产业投资有限公司于</w:t>
      </w:r>
      <w:r w:rsidRPr="00684E6E">
        <w:rPr>
          <w:rFonts w:ascii="Times New Roman" w:hAnsi="Times New Roman" w:cs="Times New Roman"/>
          <w:sz w:val="21"/>
          <w:szCs w:val="21"/>
        </w:rPr>
        <w:t xml:space="preserve"> 2016 </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 xml:space="preserve"> 1 </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 xml:space="preserve"> 7 </w:t>
      </w:r>
      <w:r w:rsidRPr="00684E6E">
        <w:rPr>
          <w:rFonts w:ascii="Times New Roman" w:hAnsi="Times New Roman" w:cs="Times New Roman" w:hint="eastAsia"/>
          <w:sz w:val="21"/>
          <w:szCs w:val="21"/>
        </w:rPr>
        <w:t>日以现金方式向日本</w:t>
      </w:r>
      <w:r w:rsidRPr="00684E6E">
        <w:rPr>
          <w:rFonts w:ascii="Times New Roman" w:hAnsi="Times New Roman" w:cs="Times New Roman"/>
          <w:sz w:val="21"/>
          <w:szCs w:val="21"/>
        </w:rPr>
        <w:t xml:space="preserve"> NIPRO CORPORATION</w:t>
      </w:r>
      <w:r w:rsidRPr="00684E6E">
        <w:rPr>
          <w:rFonts w:ascii="Times New Roman" w:hAnsi="Times New Roman" w:cs="Times New Roman" w:hint="eastAsia"/>
          <w:sz w:val="21"/>
          <w:szCs w:val="21"/>
        </w:rPr>
        <w:t>（尼普洛株式会社）购买</w:t>
      </w:r>
      <w:r w:rsidRPr="00684E6E">
        <w:rPr>
          <w:rFonts w:ascii="Times New Roman" w:hAnsi="Times New Roman" w:cs="Times New Roman"/>
          <w:sz w:val="21"/>
          <w:szCs w:val="21"/>
        </w:rPr>
        <w:t xml:space="preserve"> Trividia </w:t>
      </w:r>
      <w:r w:rsidRPr="00684E6E">
        <w:rPr>
          <w:rFonts w:ascii="Times New Roman" w:hAnsi="Times New Roman" w:cs="Times New Roman" w:hint="eastAsia"/>
          <w:sz w:val="21"/>
          <w:szCs w:val="21"/>
        </w:rPr>
        <w:t>公司</w:t>
      </w:r>
      <w:r w:rsidRPr="00684E6E">
        <w:rPr>
          <w:rFonts w:ascii="Times New Roman" w:hAnsi="Times New Roman" w:cs="Times New Roman"/>
          <w:sz w:val="21"/>
          <w:szCs w:val="21"/>
        </w:rPr>
        <w:t xml:space="preserve"> 100%</w:t>
      </w:r>
      <w:r w:rsidRPr="00684E6E">
        <w:rPr>
          <w:rFonts w:ascii="Times New Roman" w:hAnsi="Times New Roman" w:cs="Times New Roman" w:hint="eastAsia"/>
          <w:sz w:val="21"/>
          <w:szCs w:val="21"/>
        </w:rPr>
        <w:t>股权，形成商誉金额为</w:t>
      </w:r>
      <w:r w:rsidRPr="00684E6E">
        <w:rPr>
          <w:rFonts w:ascii="Times New Roman" w:hAnsi="Times New Roman" w:cs="Times New Roman"/>
          <w:sz w:val="21"/>
          <w:szCs w:val="21"/>
        </w:rPr>
        <w:t xml:space="preserve"> 10,886.78 </w:t>
      </w:r>
      <w:r w:rsidRPr="00684E6E">
        <w:rPr>
          <w:rFonts w:ascii="Times New Roman" w:hAnsi="Times New Roman" w:cs="Times New Roman" w:hint="eastAsia"/>
          <w:sz w:val="21"/>
          <w:szCs w:val="21"/>
        </w:rPr>
        <w:t>万美元。长沙心诺健康产业投资有限公司之孙公司</w:t>
      </w:r>
      <w:r w:rsidRPr="00684E6E">
        <w:rPr>
          <w:rFonts w:ascii="Times New Roman" w:hAnsi="Times New Roman" w:cs="Times New Roman"/>
          <w:sz w:val="21"/>
          <w:szCs w:val="21"/>
        </w:rPr>
        <w:t>NTH Brands, LLC.</w:t>
      </w:r>
      <w:r w:rsidRPr="00684E6E">
        <w:rPr>
          <w:rFonts w:ascii="Times New Roman" w:hAnsi="Times New Roman" w:cs="Times New Roman" w:hint="eastAsia"/>
          <w:sz w:val="21"/>
          <w:szCs w:val="21"/>
        </w:rPr>
        <w:t>于</w:t>
      </w:r>
      <w:r w:rsidRPr="00684E6E">
        <w:rPr>
          <w:rFonts w:ascii="Times New Roman" w:hAnsi="Times New Roman" w:cs="Times New Roman"/>
          <w:sz w:val="21"/>
          <w:szCs w:val="21"/>
        </w:rPr>
        <w:t xml:space="preserve"> 2018 </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 xml:space="preserve"> 7 </w:t>
      </w:r>
      <w:r w:rsidRPr="00684E6E">
        <w:rPr>
          <w:rFonts w:ascii="Times New Roman" w:hAnsi="Times New Roman" w:cs="Times New Roman" w:hint="eastAsia"/>
          <w:sz w:val="21"/>
          <w:szCs w:val="21"/>
        </w:rPr>
        <w:t>月成立</w:t>
      </w:r>
      <w:r w:rsidRPr="00684E6E">
        <w:rPr>
          <w:rFonts w:ascii="Times New Roman" w:hAnsi="Times New Roman" w:cs="Times New Roman"/>
          <w:sz w:val="21"/>
          <w:szCs w:val="21"/>
        </w:rPr>
        <w:t xml:space="preserve"> TD HEALTH, LLC.</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TD HEALTH, LLC.</w:t>
      </w:r>
      <w:r w:rsidRPr="00684E6E">
        <w:rPr>
          <w:rFonts w:ascii="Times New Roman" w:hAnsi="Times New Roman" w:cs="Times New Roman" w:hint="eastAsia"/>
          <w:sz w:val="21"/>
          <w:szCs w:val="21"/>
        </w:rPr>
        <w:t>与非关联方</w:t>
      </w:r>
      <w:r w:rsidRPr="00684E6E">
        <w:rPr>
          <w:rFonts w:ascii="Times New Roman" w:hAnsi="Times New Roman" w:cs="Times New Roman"/>
          <w:sz w:val="21"/>
          <w:szCs w:val="21"/>
        </w:rPr>
        <w:t xml:space="preserve"> Total Diabetes Supply,LLC.</w:t>
      </w:r>
      <w:r w:rsidRPr="00684E6E">
        <w:rPr>
          <w:rFonts w:ascii="Times New Roman" w:hAnsi="Times New Roman" w:cs="Times New Roman" w:hint="eastAsia"/>
          <w:sz w:val="21"/>
          <w:szCs w:val="21"/>
        </w:rPr>
        <w:t>签订资产购买协议，约定于</w:t>
      </w:r>
      <w:r w:rsidRPr="00684E6E">
        <w:rPr>
          <w:rFonts w:ascii="Times New Roman" w:hAnsi="Times New Roman" w:cs="Times New Roman"/>
          <w:sz w:val="21"/>
          <w:szCs w:val="21"/>
        </w:rPr>
        <w:t xml:space="preserve"> 2018 </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 xml:space="preserve"> 8 </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 xml:space="preserve"> 1 </w:t>
      </w:r>
      <w:r w:rsidRPr="00684E6E">
        <w:rPr>
          <w:rFonts w:ascii="Times New Roman" w:hAnsi="Times New Roman" w:cs="Times New Roman" w:hint="eastAsia"/>
          <w:sz w:val="21"/>
          <w:szCs w:val="21"/>
        </w:rPr>
        <w:t>日向其购买部分电商业务，构成非同一控制下的业务合并，形成商誉</w:t>
      </w:r>
      <w:r w:rsidRPr="00684E6E">
        <w:rPr>
          <w:rFonts w:ascii="Times New Roman" w:hAnsi="Times New Roman" w:cs="Times New Roman"/>
          <w:sz w:val="21"/>
          <w:szCs w:val="21"/>
        </w:rPr>
        <w:t xml:space="preserve"> 364.19 </w:t>
      </w:r>
      <w:r w:rsidRPr="00684E6E">
        <w:rPr>
          <w:rFonts w:ascii="Times New Roman" w:hAnsi="Times New Roman" w:cs="Times New Roman" w:hint="eastAsia"/>
          <w:sz w:val="21"/>
          <w:szCs w:val="21"/>
        </w:rPr>
        <w:t>万美元，本年减值测试将</w:t>
      </w:r>
      <w:r w:rsidRPr="00684E6E">
        <w:rPr>
          <w:rFonts w:ascii="Times New Roman" w:hAnsi="Times New Roman" w:cs="Times New Roman"/>
          <w:sz w:val="21"/>
          <w:szCs w:val="21"/>
        </w:rPr>
        <w:t>Trividia Health,Inc.</w:t>
      </w:r>
      <w:r w:rsidRPr="00684E6E">
        <w:rPr>
          <w:rFonts w:ascii="Times New Roman" w:hAnsi="Times New Roman" w:cs="Times New Roman" w:hint="eastAsia"/>
          <w:sz w:val="21"/>
          <w:szCs w:val="21"/>
        </w:rPr>
        <w:t>以及</w:t>
      </w:r>
      <w:r w:rsidRPr="00684E6E">
        <w:rPr>
          <w:rFonts w:ascii="Times New Roman" w:hAnsi="Times New Roman" w:cs="Times New Roman"/>
          <w:sz w:val="21"/>
          <w:szCs w:val="21"/>
        </w:rPr>
        <w:t xml:space="preserve"> TDS</w:t>
      </w:r>
      <w:r w:rsidRPr="00684E6E">
        <w:rPr>
          <w:rFonts w:ascii="Times New Roman" w:hAnsi="Times New Roman" w:cs="Times New Roman" w:hint="eastAsia"/>
          <w:sz w:val="21"/>
          <w:szCs w:val="21"/>
        </w:rPr>
        <w:t>的全部经营性资产作为资产组组合（以下简称</w:t>
      </w:r>
      <w:r w:rsidRPr="00684E6E">
        <w:rPr>
          <w:rFonts w:ascii="Times New Roman" w:hAnsi="Times New Roman" w:cs="Times New Roman"/>
          <w:sz w:val="21"/>
          <w:szCs w:val="21"/>
        </w:rPr>
        <w:t>Trividia</w:t>
      </w:r>
      <w:r w:rsidRPr="00684E6E">
        <w:rPr>
          <w:rFonts w:ascii="Times New Roman" w:hAnsi="Times New Roman" w:cs="Times New Roman" w:hint="eastAsia"/>
          <w:sz w:val="21"/>
          <w:szCs w:val="21"/>
        </w:rPr>
        <w:t>），与上年商誉减值测试时的资产组保持了一致。</w:t>
      </w:r>
    </w:p>
    <w:p w14:paraId="605D65F5"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可收回金额的具体确定方法</w:t>
      </w:r>
    </w:p>
    <w:p w14:paraId="7A1D5AD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可收回金额按公允价值减去处置费用后的净额确定</w:t>
      </w:r>
    </w:p>
    <w:p w14:paraId="5333E1F2"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86FDEF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可收回金额按预计未来现金流量的现值确定</w:t>
      </w:r>
    </w:p>
    <w:p w14:paraId="46C8E88B"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48DF54A"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913"/>
        <w:gridCol w:w="1417"/>
        <w:gridCol w:w="1418"/>
        <w:gridCol w:w="1275"/>
        <w:gridCol w:w="1001"/>
        <w:gridCol w:w="1205"/>
        <w:gridCol w:w="1205"/>
        <w:gridCol w:w="1205"/>
      </w:tblGrid>
      <w:tr w:rsidR="00095F6F" w14:paraId="4F900349" w14:textId="77777777" w:rsidTr="002F5E3A">
        <w:trPr>
          <w:trHeight w:val="240"/>
        </w:trPr>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7507D4B9"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项目</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4878A9EE"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账面价值</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581BD884"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可收回金额</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3F4E1D9D"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减值金额</w:t>
            </w:r>
          </w:p>
        </w:tc>
        <w:tc>
          <w:tcPr>
            <w:tcW w:w="1001" w:type="dxa"/>
            <w:tcBorders>
              <w:top w:val="single" w:sz="2" w:space="0" w:color="auto"/>
              <w:left w:val="single" w:sz="2" w:space="0" w:color="auto"/>
              <w:bottom w:val="single" w:sz="2" w:space="0" w:color="auto"/>
              <w:right w:val="single" w:sz="2" w:space="0" w:color="auto"/>
            </w:tcBorders>
            <w:shd w:val="clear" w:color="auto" w:fill="D3D3D3"/>
            <w:vAlign w:val="center"/>
          </w:tcPr>
          <w:p w14:paraId="32D2EBD3"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预测期的年限</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0ADC4AF"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预测期的关键参数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055F4EE9"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稳定期的关键参数</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462F240"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稳定期的关键参数的确定依据</w:t>
            </w:r>
          </w:p>
        </w:tc>
      </w:tr>
      <w:tr w:rsidR="00095F6F" w14:paraId="0415404D" w14:textId="77777777" w:rsidTr="002F5E3A">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7F01C4F2"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三诺健康</w:t>
            </w:r>
          </w:p>
        </w:tc>
        <w:tc>
          <w:tcPr>
            <w:tcW w:w="1417" w:type="dxa"/>
            <w:tcBorders>
              <w:top w:val="single" w:sz="2" w:space="0" w:color="auto"/>
              <w:left w:val="single" w:sz="2" w:space="0" w:color="auto"/>
              <w:bottom w:val="single" w:sz="2" w:space="0" w:color="auto"/>
              <w:right w:val="single" w:sz="2" w:space="0" w:color="auto"/>
            </w:tcBorders>
            <w:vAlign w:val="center"/>
          </w:tcPr>
          <w:p w14:paraId="01ED6324"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854,556,359.35</w:t>
            </w:r>
          </w:p>
        </w:tc>
        <w:tc>
          <w:tcPr>
            <w:tcW w:w="1418" w:type="dxa"/>
            <w:tcBorders>
              <w:top w:val="single" w:sz="2" w:space="0" w:color="auto"/>
              <w:left w:val="single" w:sz="2" w:space="0" w:color="auto"/>
              <w:bottom w:val="single" w:sz="2" w:space="0" w:color="auto"/>
              <w:right w:val="single" w:sz="2" w:space="0" w:color="auto"/>
            </w:tcBorders>
            <w:vAlign w:val="center"/>
          </w:tcPr>
          <w:p w14:paraId="0B010CDC"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710,000,000.00</w:t>
            </w:r>
          </w:p>
        </w:tc>
        <w:tc>
          <w:tcPr>
            <w:tcW w:w="1275" w:type="dxa"/>
            <w:tcBorders>
              <w:top w:val="single" w:sz="2" w:space="0" w:color="auto"/>
              <w:left w:val="single" w:sz="2" w:space="0" w:color="auto"/>
              <w:bottom w:val="single" w:sz="2" w:space="0" w:color="auto"/>
              <w:right w:val="single" w:sz="2" w:space="0" w:color="auto"/>
            </w:tcBorders>
            <w:vAlign w:val="center"/>
          </w:tcPr>
          <w:p w14:paraId="425710EB"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144,556,359.35</w:t>
            </w:r>
          </w:p>
        </w:tc>
        <w:tc>
          <w:tcPr>
            <w:tcW w:w="1001" w:type="dxa"/>
            <w:tcBorders>
              <w:top w:val="single" w:sz="2" w:space="0" w:color="auto"/>
              <w:left w:val="single" w:sz="2" w:space="0" w:color="auto"/>
              <w:bottom w:val="single" w:sz="2" w:space="0" w:color="auto"/>
              <w:right w:val="single" w:sz="2" w:space="0" w:color="auto"/>
            </w:tcBorders>
            <w:vAlign w:val="center"/>
          </w:tcPr>
          <w:p w14:paraId="2130CC4C"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5</w:t>
            </w:r>
            <w:r w:rsidRPr="002F5E3A">
              <w:rPr>
                <w:rFonts w:ascii="Times New Roman" w:eastAsia="宋体" w:hAnsi="Times New Roman" w:cs="Times New Roman"/>
                <w:sz w:val="18"/>
                <w:szCs w:val="18"/>
              </w:rPr>
              <w:t>年</w:t>
            </w:r>
          </w:p>
        </w:tc>
        <w:tc>
          <w:tcPr>
            <w:tcW w:w="1205" w:type="dxa"/>
            <w:tcBorders>
              <w:top w:val="single" w:sz="2" w:space="0" w:color="auto"/>
              <w:left w:val="single" w:sz="2" w:space="0" w:color="auto"/>
              <w:bottom w:val="single" w:sz="2" w:space="0" w:color="auto"/>
              <w:right w:val="single" w:sz="2" w:space="0" w:color="auto"/>
            </w:tcBorders>
            <w:vAlign w:val="center"/>
          </w:tcPr>
          <w:p w14:paraId="681A4E5B"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收入增长率</w:t>
            </w:r>
            <w:r w:rsidRPr="002F5E3A">
              <w:rPr>
                <w:rFonts w:ascii="Times New Roman" w:eastAsia="宋体" w:hAnsi="Times New Roman" w:cs="Times New Roman"/>
                <w:sz w:val="18"/>
                <w:szCs w:val="18"/>
              </w:rPr>
              <w:t>5.93%-9.74%</w:t>
            </w:r>
          </w:p>
        </w:tc>
        <w:tc>
          <w:tcPr>
            <w:tcW w:w="1205" w:type="dxa"/>
            <w:tcBorders>
              <w:top w:val="single" w:sz="2" w:space="0" w:color="auto"/>
              <w:left w:val="single" w:sz="2" w:space="0" w:color="auto"/>
              <w:bottom w:val="single" w:sz="2" w:space="0" w:color="auto"/>
              <w:right w:val="single" w:sz="2" w:space="0" w:color="auto"/>
            </w:tcBorders>
            <w:vAlign w:val="center"/>
          </w:tcPr>
          <w:p w14:paraId="543CF597"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根据历史销售额、市场发展及生产能力并考虑地区因素确定</w:t>
            </w:r>
          </w:p>
        </w:tc>
        <w:tc>
          <w:tcPr>
            <w:tcW w:w="1205" w:type="dxa"/>
            <w:tcBorders>
              <w:top w:val="single" w:sz="2" w:space="0" w:color="auto"/>
              <w:left w:val="single" w:sz="2" w:space="0" w:color="auto"/>
              <w:bottom w:val="single" w:sz="2" w:space="0" w:color="auto"/>
              <w:right w:val="single" w:sz="2" w:space="0" w:color="auto"/>
            </w:tcBorders>
            <w:vAlign w:val="center"/>
          </w:tcPr>
          <w:p w14:paraId="41A67759"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稳定期收入增长率</w:t>
            </w:r>
            <w:r w:rsidRPr="002F5E3A">
              <w:rPr>
                <w:rFonts w:ascii="Times New Roman" w:eastAsia="宋体" w:hAnsi="Times New Roman" w:cs="Times New Roman"/>
                <w:sz w:val="18"/>
                <w:szCs w:val="18"/>
              </w:rPr>
              <w:t>0.00%</w:t>
            </w:r>
            <w:r w:rsidRPr="002F5E3A">
              <w:rPr>
                <w:rFonts w:ascii="Times New Roman" w:eastAsia="宋体" w:hAnsi="Times New Roman" w:cs="Times New Roman"/>
                <w:sz w:val="18"/>
                <w:szCs w:val="18"/>
              </w:rPr>
              <w:t>，折现率</w:t>
            </w:r>
            <w:r w:rsidRPr="002F5E3A">
              <w:rPr>
                <w:rFonts w:ascii="Times New Roman" w:eastAsia="宋体" w:hAnsi="Times New Roman" w:cs="Times New Roman"/>
                <w:sz w:val="18"/>
                <w:szCs w:val="18"/>
              </w:rPr>
              <w:t>12.95%</w:t>
            </w:r>
          </w:p>
        </w:tc>
      </w:tr>
      <w:tr w:rsidR="00095F6F" w14:paraId="323127B5" w14:textId="77777777" w:rsidTr="002F5E3A">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12B817FA"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东莞一测</w:t>
            </w:r>
          </w:p>
        </w:tc>
        <w:tc>
          <w:tcPr>
            <w:tcW w:w="1417" w:type="dxa"/>
            <w:tcBorders>
              <w:top w:val="single" w:sz="2" w:space="0" w:color="auto"/>
              <w:left w:val="single" w:sz="2" w:space="0" w:color="auto"/>
              <w:bottom w:val="single" w:sz="2" w:space="0" w:color="auto"/>
              <w:right w:val="single" w:sz="2" w:space="0" w:color="auto"/>
            </w:tcBorders>
            <w:vAlign w:val="center"/>
          </w:tcPr>
          <w:p w14:paraId="3B7C8A51"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13,680,814.32</w:t>
            </w:r>
          </w:p>
        </w:tc>
        <w:tc>
          <w:tcPr>
            <w:tcW w:w="1418" w:type="dxa"/>
            <w:tcBorders>
              <w:top w:val="single" w:sz="2" w:space="0" w:color="auto"/>
              <w:left w:val="single" w:sz="2" w:space="0" w:color="auto"/>
              <w:bottom w:val="single" w:sz="2" w:space="0" w:color="auto"/>
              <w:right w:val="single" w:sz="2" w:space="0" w:color="auto"/>
            </w:tcBorders>
            <w:vAlign w:val="center"/>
          </w:tcPr>
          <w:p w14:paraId="33D31D9E"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62,600,000.00</w:t>
            </w:r>
          </w:p>
        </w:tc>
        <w:tc>
          <w:tcPr>
            <w:tcW w:w="1275" w:type="dxa"/>
            <w:tcBorders>
              <w:top w:val="single" w:sz="2" w:space="0" w:color="auto"/>
              <w:left w:val="single" w:sz="2" w:space="0" w:color="auto"/>
              <w:bottom w:val="single" w:sz="2" w:space="0" w:color="auto"/>
              <w:right w:val="single" w:sz="2" w:space="0" w:color="auto"/>
            </w:tcBorders>
            <w:vAlign w:val="center"/>
          </w:tcPr>
          <w:p w14:paraId="45240838" w14:textId="77777777" w:rsidR="00A46BF1" w:rsidRPr="002F5E3A" w:rsidRDefault="00A46BF1" w:rsidP="002F5E3A">
            <w:pPr>
              <w:spacing w:line="360" w:lineRule="auto"/>
              <w:jc w:val="right"/>
              <w:rPr>
                <w:rFonts w:ascii="Times New Roman" w:eastAsia="宋体" w:hAnsi="Times New Roman" w:cs="Times New Roman"/>
                <w:sz w:val="18"/>
                <w:szCs w:val="18"/>
              </w:rPr>
            </w:pPr>
          </w:p>
        </w:tc>
        <w:tc>
          <w:tcPr>
            <w:tcW w:w="1001" w:type="dxa"/>
            <w:tcBorders>
              <w:top w:val="single" w:sz="2" w:space="0" w:color="auto"/>
              <w:left w:val="single" w:sz="2" w:space="0" w:color="auto"/>
              <w:bottom w:val="single" w:sz="2" w:space="0" w:color="auto"/>
              <w:right w:val="single" w:sz="2" w:space="0" w:color="auto"/>
            </w:tcBorders>
            <w:vAlign w:val="center"/>
          </w:tcPr>
          <w:p w14:paraId="125C33AC"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5</w:t>
            </w:r>
            <w:r w:rsidRPr="002F5E3A">
              <w:rPr>
                <w:rFonts w:ascii="Times New Roman" w:eastAsia="宋体" w:hAnsi="Times New Roman" w:cs="Times New Roman"/>
                <w:sz w:val="18"/>
                <w:szCs w:val="18"/>
              </w:rPr>
              <w:t>年</w:t>
            </w:r>
          </w:p>
        </w:tc>
        <w:tc>
          <w:tcPr>
            <w:tcW w:w="1205" w:type="dxa"/>
            <w:tcBorders>
              <w:top w:val="single" w:sz="2" w:space="0" w:color="auto"/>
              <w:left w:val="single" w:sz="2" w:space="0" w:color="auto"/>
              <w:bottom w:val="single" w:sz="2" w:space="0" w:color="auto"/>
              <w:right w:val="single" w:sz="2" w:space="0" w:color="auto"/>
            </w:tcBorders>
            <w:vAlign w:val="center"/>
          </w:tcPr>
          <w:p w14:paraId="76371377"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收入增长率</w:t>
            </w:r>
            <w:r w:rsidRPr="002F5E3A">
              <w:rPr>
                <w:rFonts w:ascii="Times New Roman" w:eastAsia="宋体" w:hAnsi="Times New Roman" w:cs="Times New Roman"/>
                <w:sz w:val="18"/>
                <w:szCs w:val="18"/>
              </w:rPr>
              <w:t>-4.97%-15.80%</w:t>
            </w:r>
          </w:p>
        </w:tc>
        <w:tc>
          <w:tcPr>
            <w:tcW w:w="1205" w:type="dxa"/>
            <w:tcBorders>
              <w:top w:val="single" w:sz="2" w:space="0" w:color="auto"/>
              <w:left w:val="single" w:sz="2" w:space="0" w:color="auto"/>
              <w:bottom w:val="single" w:sz="2" w:space="0" w:color="auto"/>
              <w:right w:val="single" w:sz="2" w:space="0" w:color="auto"/>
            </w:tcBorders>
            <w:vAlign w:val="center"/>
          </w:tcPr>
          <w:p w14:paraId="39F2AF19"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根据历史销售额、市场发展及生产能力并考虑地区因素确定</w:t>
            </w:r>
          </w:p>
        </w:tc>
        <w:tc>
          <w:tcPr>
            <w:tcW w:w="1205" w:type="dxa"/>
            <w:tcBorders>
              <w:top w:val="single" w:sz="2" w:space="0" w:color="auto"/>
              <w:left w:val="single" w:sz="2" w:space="0" w:color="auto"/>
              <w:bottom w:val="single" w:sz="2" w:space="0" w:color="auto"/>
              <w:right w:val="single" w:sz="2" w:space="0" w:color="auto"/>
            </w:tcBorders>
            <w:vAlign w:val="center"/>
          </w:tcPr>
          <w:p w14:paraId="2E341718"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稳定期收入增长率</w:t>
            </w:r>
            <w:r w:rsidRPr="002F5E3A">
              <w:rPr>
                <w:rFonts w:ascii="Times New Roman" w:eastAsia="宋体" w:hAnsi="Times New Roman" w:cs="Times New Roman"/>
                <w:sz w:val="18"/>
                <w:szCs w:val="18"/>
              </w:rPr>
              <w:t>0.00%</w:t>
            </w:r>
            <w:r w:rsidRPr="002F5E3A">
              <w:rPr>
                <w:rFonts w:ascii="Times New Roman" w:eastAsia="宋体" w:hAnsi="Times New Roman" w:cs="Times New Roman"/>
                <w:sz w:val="18"/>
                <w:szCs w:val="18"/>
              </w:rPr>
              <w:t>，折现率</w:t>
            </w:r>
            <w:r w:rsidRPr="002F5E3A">
              <w:rPr>
                <w:rFonts w:ascii="Times New Roman" w:eastAsia="宋体" w:hAnsi="Times New Roman" w:cs="Times New Roman"/>
                <w:sz w:val="18"/>
                <w:szCs w:val="18"/>
              </w:rPr>
              <w:t>9.11%</w:t>
            </w:r>
          </w:p>
        </w:tc>
      </w:tr>
      <w:tr w:rsidR="00095F6F" w14:paraId="31863DF6" w14:textId="77777777" w:rsidTr="002F5E3A">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41D54791"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三诺越南</w:t>
            </w:r>
          </w:p>
        </w:tc>
        <w:tc>
          <w:tcPr>
            <w:tcW w:w="1417" w:type="dxa"/>
            <w:tcBorders>
              <w:top w:val="single" w:sz="2" w:space="0" w:color="auto"/>
              <w:left w:val="single" w:sz="2" w:space="0" w:color="auto"/>
              <w:bottom w:val="single" w:sz="2" w:space="0" w:color="auto"/>
              <w:right w:val="single" w:sz="2" w:space="0" w:color="auto"/>
            </w:tcBorders>
            <w:vAlign w:val="center"/>
          </w:tcPr>
          <w:p w14:paraId="2E275ED8"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2,614,333.35</w:t>
            </w:r>
          </w:p>
        </w:tc>
        <w:tc>
          <w:tcPr>
            <w:tcW w:w="1418" w:type="dxa"/>
            <w:tcBorders>
              <w:top w:val="single" w:sz="2" w:space="0" w:color="auto"/>
              <w:left w:val="single" w:sz="2" w:space="0" w:color="auto"/>
              <w:bottom w:val="single" w:sz="2" w:space="0" w:color="auto"/>
              <w:right w:val="single" w:sz="2" w:space="0" w:color="auto"/>
            </w:tcBorders>
            <w:vAlign w:val="center"/>
          </w:tcPr>
          <w:p w14:paraId="376E3DCA"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11,300,000.00</w:t>
            </w:r>
          </w:p>
        </w:tc>
        <w:tc>
          <w:tcPr>
            <w:tcW w:w="1275" w:type="dxa"/>
            <w:tcBorders>
              <w:top w:val="single" w:sz="2" w:space="0" w:color="auto"/>
              <w:left w:val="single" w:sz="2" w:space="0" w:color="auto"/>
              <w:bottom w:val="single" w:sz="2" w:space="0" w:color="auto"/>
              <w:right w:val="single" w:sz="2" w:space="0" w:color="auto"/>
            </w:tcBorders>
            <w:vAlign w:val="center"/>
          </w:tcPr>
          <w:p w14:paraId="1B454680" w14:textId="77777777" w:rsidR="00A46BF1" w:rsidRPr="002F5E3A" w:rsidRDefault="00A46BF1" w:rsidP="002F5E3A">
            <w:pPr>
              <w:spacing w:line="360" w:lineRule="auto"/>
              <w:jc w:val="right"/>
              <w:rPr>
                <w:rFonts w:ascii="Times New Roman" w:eastAsia="宋体" w:hAnsi="Times New Roman" w:cs="Times New Roman"/>
                <w:sz w:val="18"/>
                <w:szCs w:val="18"/>
              </w:rPr>
            </w:pPr>
          </w:p>
        </w:tc>
        <w:tc>
          <w:tcPr>
            <w:tcW w:w="1001" w:type="dxa"/>
            <w:tcBorders>
              <w:top w:val="single" w:sz="2" w:space="0" w:color="auto"/>
              <w:left w:val="single" w:sz="2" w:space="0" w:color="auto"/>
              <w:bottom w:val="single" w:sz="2" w:space="0" w:color="auto"/>
              <w:right w:val="single" w:sz="2" w:space="0" w:color="auto"/>
            </w:tcBorders>
            <w:vAlign w:val="center"/>
          </w:tcPr>
          <w:p w14:paraId="4BAE675A"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5</w:t>
            </w:r>
            <w:r w:rsidRPr="002F5E3A">
              <w:rPr>
                <w:rFonts w:ascii="Times New Roman" w:eastAsia="宋体" w:hAnsi="Times New Roman" w:cs="Times New Roman"/>
                <w:sz w:val="18"/>
                <w:szCs w:val="18"/>
              </w:rPr>
              <w:t>年</w:t>
            </w:r>
          </w:p>
        </w:tc>
        <w:tc>
          <w:tcPr>
            <w:tcW w:w="1205" w:type="dxa"/>
            <w:tcBorders>
              <w:top w:val="single" w:sz="2" w:space="0" w:color="auto"/>
              <w:left w:val="single" w:sz="2" w:space="0" w:color="auto"/>
              <w:bottom w:val="single" w:sz="2" w:space="0" w:color="auto"/>
              <w:right w:val="single" w:sz="2" w:space="0" w:color="auto"/>
            </w:tcBorders>
            <w:vAlign w:val="center"/>
          </w:tcPr>
          <w:p w14:paraId="7CBFD324"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收入增长率</w:t>
            </w:r>
            <w:r w:rsidRPr="002F5E3A">
              <w:rPr>
                <w:rFonts w:ascii="Times New Roman" w:eastAsia="宋体" w:hAnsi="Times New Roman" w:cs="Times New Roman"/>
                <w:sz w:val="18"/>
                <w:szCs w:val="18"/>
              </w:rPr>
              <w:t>5.00%-50.41%</w:t>
            </w:r>
          </w:p>
        </w:tc>
        <w:tc>
          <w:tcPr>
            <w:tcW w:w="1205" w:type="dxa"/>
            <w:tcBorders>
              <w:top w:val="single" w:sz="2" w:space="0" w:color="auto"/>
              <w:left w:val="single" w:sz="2" w:space="0" w:color="auto"/>
              <w:bottom w:val="single" w:sz="2" w:space="0" w:color="auto"/>
              <w:right w:val="single" w:sz="2" w:space="0" w:color="auto"/>
            </w:tcBorders>
            <w:vAlign w:val="center"/>
          </w:tcPr>
          <w:p w14:paraId="6613F80C"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根据历史销售额、市场发展及生产能力并考虑地区因素确定</w:t>
            </w:r>
          </w:p>
        </w:tc>
        <w:tc>
          <w:tcPr>
            <w:tcW w:w="1205" w:type="dxa"/>
            <w:tcBorders>
              <w:top w:val="single" w:sz="2" w:space="0" w:color="auto"/>
              <w:left w:val="single" w:sz="2" w:space="0" w:color="auto"/>
              <w:bottom w:val="single" w:sz="2" w:space="0" w:color="auto"/>
              <w:right w:val="single" w:sz="2" w:space="0" w:color="auto"/>
            </w:tcBorders>
            <w:vAlign w:val="center"/>
          </w:tcPr>
          <w:p w14:paraId="271FDAD3"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稳定期收入增长率</w:t>
            </w:r>
            <w:r w:rsidRPr="002F5E3A">
              <w:rPr>
                <w:rFonts w:ascii="Times New Roman" w:eastAsia="宋体" w:hAnsi="Times New Roman" w:cs="Times New Roman"/>
                <w:sz w:val="18"/>
                <w:szCs w:val="18"/>
              </w:rPr>
              <w:t>0.00%</w:t>
            </w:r>
            <w:r w:rsidRPr="002F5E3A">
              <w:rPr>
                <w:rFonts w:ascii="Times New Roman" w:eastAsia="宋体" w:hAnsi="Times New Roman" w:cs="Times New Roman"/>
                <w:sz w:val="18"/>
                <w:szCs w:val="18"/>
              </w:rPr>
              <w:t>，折现率</w:t>
            </w:r>
            <w:r w:rsidRPr="002F5E3A">
              <w:rPr>
                <w:rFonts w:ascii="Times New Roman" w:eastAsia="宋体" w:hAnsi="Times New Roman" w:cs="Times New Roman"/>
                <w:sz w:val="18"/>
                <w:szCs w:val="18"/>
              </w:rPr>
              <w:t>15.30%</w:t>
            </w:r>
          </w:p>
        </w:tc>
      </w:tr>
      <w:tr w:rsidR="00095F6F" w14:paraId="5EB457CD" w14:textId="77777777" w:rsidTr="002F5E3A">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714B8C26"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Trividia</w:t>
            </w:r>
          </w:p>
        </w:tc>
        <w:tc>
          <w:tcPr>
            <w:tcW w:w="1417" w:type="dxa"/>
            <w:tcBorders>
              <w:top w:val="single" w:sz="2" w:space="0" w:color="auto"/>
              <w:left w:val="single" w:sz="2" w:space="0" w:color="auto"/>
              <w:bottom w:val="single" w:sz="2" w:space="0" w:color="auto"/>
              <w:right w:val="single" w:sz="2" w:space="0" w:color="auto"/>
            </w:tcBorders>
            <w:vAlign w:val="center"/>
          </w:tcPr>
          <w:p w14:paraId="7A4C780D"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945,628,131.75</w:t>
            </w:r>
          </w:p>
        </w:tc>
        <w:tc>
          <w:tcPr>
            <w:tcW w:w="1418" w:type="dxa"/>
            <w:tcBorders>
              <w:top w:val="single" w:sz="2" w:space="0" w:color="auto"/>
              <w:left w:val="single" w:sz="2" w:space="0" w:color="auto"/>
              <w:bottom w:val="single" w:sz="2" w:space="0" w:color="auto"/>
              <w:right w:val="single" w:sz="2" w:space="0" w:color="auto"/>
            </w:tcBorders>
            <w:vAlign w:val="center"/>
          </w:tcPr>
          <w:p w14:paraId="62A67A70"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1,054,320,000.00</w:t>
            </w:r>
          </w:p>
        </w:tc>
        <w:tc>
          <w:tcPr>
            <w:tcW w:w="1275" w:type="dxa"/>
            <w:tcBorders>
              <w:top w:val="single" w:sz="2" w:space="0" w:color="auto"/>
              <w:left w:val="single" w:sz="2" w:space="0" w:color="auto"/>
              <w:bottom w:val="single" w:sz="2" w:space="0" w:color="auto"/>
              <w:right w:val="single" w:sz="2" w:space="0" w:color="auto"/>
            </w:tcBorders>
            <w:vAlign w:val="center"/>
          </w:tcPr>
          <w:p w14:paraId="27B4144C" w14:textId="77777777" w:rsidR="00A46BF1" w:rsidRPr="002F5E3A" w:rsidRDefault="00A46BF1" w:rsidP="002F5E3A">
            <w:pPr>
              <w:spacing w:line="360" w:lineRule="auto"/>
              <w:jc w:val="right"/>
              <w:rPr>
                <w:rFonts w:ascii="Times New Roman" w:eastAsia="宋体" w:hAnsi="Times New Roman" w:cs="Times New Roman"/>
                <w:sz w:val="18"/>
                <w:szCs w:val="18"/>
              </w:rPr>
            </w:pPr>
          </w:p>
        </w:tc>
        <w:tc>
          <w:tcPr>
            <w:tcW w:w="1001" w:type="dxa"/>
            <w:tcBorders>
              <w:top w:val="single" w:sz="2" w:space="0" w:color="auto"/>
              <w:left w:val="single" w:sz="2" w:space="0" w:color="auto"/>
              <w:bottom w:val="single" w:sz="2" w:space="0" w:color="auto"/>
              <w:right w:val="single" w:sz="2" w:space="0" w:color="auto"/>
            </w:tcBorders>
            <w:vAlign w:val="center"/>
          </w:tcPr>
          <w:p w14:paraId="427B79E1"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5</w:t>
            </w:r>
            <w:r w:rsidRPr="002F5E3A">
              <w:rPr>
                <w:rFonts w:ascii="Times New Roman" w:eastAsia="宋体" w:hAnsi="Times New Roman" w:cs="Times New Roman"/>
                <w:sz w:val="18"/>
                <w:szCs w:val="18"/>
              </w:rPr>
              <w:t>年</w:t>
            </w:r>
          </w:p>
        </w:tc>
        <w:tc>
          <w:tcPr>
            <w:tcW w:w="1205" w:type="dxa"/>
            <w:tcBorders>
              <w:top w:val="single" w:sz="2" w:space="0" w:color="auto"/>
              <w:left w:val="single" w:sz="2" w:space="0" w:color="auto"/>
              <w:bottom w:val="single" w:sz="2" w:space="0" w:color="auto"/>
              <w:right w:val="single" w:sz="2" w:space="0" w:color="auto"/>
            </w:tcBorders>
            <w:vAlign w:val="center"/>
          </w:tcPr>
          <w:p w14:paraId="15FF9784"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收入增长率</w:t>
            </w:r>
            <w:r w:rsidRPr="002F5E3A">
              <w:rPr>
                <w:rFonts w:ascii="Times New Roman" w:eastAsia="宋体" w:hAnsi="Times New Roman" w:cs="Times New Roman"/>
                <w:sz w:val="18"/>
                <w:szCs w:val="18"/>
              </w:rPr>
              <w:t>-0.69%-14.50%</w:t>
            </w:r>
          </w:p>
        </w:tc>
        <w:tc>
          <w:tcPr>
            <w:tcW w:w="1205" w:type="dxa"/>
            <w:tcBorders>
              <w:top w:val="single" w:sz="2" w:space="0" w:color="auto"/>
              <w:left w:val="single" w:sz="2" w:space="0" w:color="auto"/>
              <w:bottom w:val="single" w:sz="2" w:space="0" w:color="auto"/>
              <w:right w:val="single" w:sz="2" w:space="0" w:color="auto"/>
            </w:tcBorders>
            <w:vAlign w:val="center"/>
          </w:tcPr>
          <w:p w14:paraId="09645037"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根据历史销售额、市场发展及生产能力并考虑地区因素确定</w:t>
            </w:r>
          </w:p>
        </w:tc>
        <w:tc>
          <w:tcPr>
            <w:tcW w:w="1205" w:type="dxa"/>
            <w:tcBorders>
              <w:top w:val="single" w:sz="2" w:space="0" w:color="auto"/>
              <w:left w:val="single" w:sz="2" w:space="0" w:color="auto"/>
              <w:bottom w:val="single" w:sz="2" w:space="0" w:color="auto"/>
              <w:right w:val="single" w:sz="2" w:space="0" w:color="auto"/>
            </w:tcBorders>
            <w:vAlign w:val="center"/>
          </w:tcPr>
          <w:p w14:paraId="6865F65D"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稳定期收入增长率</w:t>
            </w:r>
            <w:r w:rsidRPr="002F5E3A">
              <w:rPr>
                <w:rFonts w:ascii="Times New Roman" w:eastAsia="宋体" w:hAnsi="Times New Roman" w:cs="Times New Roman"/>
                <w:sz w:val="18"/>
                <w:szCs w:val="18"/>
              </w:rPr>
              <w:t>0.00%</w:t>
            </w:r>
            <w:r w:rsidRPr="002F5E3A">
              <w:rPr>
                <w:rFonts w:ascii="Times New Roman" w:eastAsia="宋体" w:hAnsi="Times New Roman" w:cs="Times New Roman"/>
                <w:sz w:val="18"/>
                <w:szCs w:val="18"/>
              </w:rPr>
              <w:t>，折现率</w:t>
            </w:r>
            <w:r w:rsidRPr="002F5E3A">
              <w:rPr>
                <w:rFonts w:ascii="Times New Roman" w:eastAsia="宋体" w:hAnsi="Times New Roman" w:cs="Times New Roman"/>
                <w:sz w:val="18"/>
                <w:szCs w:val="18"/>
              </w:rPr>
              <w:t>14.00%</w:t>
            </w:r>
          </w:p>
        </w:tc>
      </w:tr>
      <w:tr w:rsidR="00095F6F" w14:paraId="5EBBF612" w14:textId="77777777" w:rsidTr="002F5E3A">
        <w:trPr>
          <w:trHeight w:val="240"/>
        </w:trPr>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3B94DAEB" w14:textId="77777777" w:rsidR="00A46BF1" w:rsidRPr="002F5E3A" w:rsidRDefault="00A46BF1" w:rsidP="002F5E3A">
            <w:pPr>
              <w:spacing w:before="40" w:after="40"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合计</w:t>
            </w:r>
          </w:p>
        </w:tc>
        <w:tc>
          <w:tcPr>
            <w:tcW w:w="1417" w:type="dxa"/>
            <w:tcBorders>
              <w:top w:val="single" w:sz="2" w:space="0" w:color="auto"/>
              <w:left w:val="single" w:sz="2" w:space="0" w:color="auto"/>
              <w:bottom w:val="single" w:sz="2" w:space="0" w:color="auto"/>
              <w:right w:val="single" w:sz="2" w:space="0" w:color="auto"/>
            </w:tcBorders>
            <w:vAlign w:val="center"/>
          </w:tcPr>
          <w:p w14:paraId="589F4CE0"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1,816,479,638.77</w:t>
            </w:r>
          </w:p>
        </w:tc>
        <w:tc>
          <w:tcPr>
            <w:tcW w:w="1418" w:type="dxa"/>
            <w:tcBorders>
              <w:top w:val="single" w:sz="2" w:space="0" w:color="auto"/>
              <w:left w:val="single" w:sz="2" w:space="0" w:color="auto"/>
              <w:bottom w:val="single" w:sz="2" w:space="0" w:color="auto"/>
              <w:right w:val="single" w:sz="2" w:space="0" w:color="auto"/>
            </w:tcBorders>
            <w:vAlign w:val="center"/>
          </w:tcPr>
          <w:p w14:paraId="72550F9A"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1,838,220,000.00</w:t>
            </w:r>
          </w:p>
        </w:tc>
        <w:tc>
          <w:tcPr>
            <w:tcW w:w="1275" w:type="dxa"/>
            <w:tcBorders>
              <w:top w:val="single" w:sz="2" w:space="0" w:color="auto"/>
              <w:left w:val="single" w:sz="2" w:space="0" w:color="auto"/>
              <w:bottom w:val="single" w:sz="2" w:space="0" w:color="auto"/>
              <w:right w:val="single" w:sz="2" w:space="0" w:color="auto"/>
            </w:tcBorders>
            <w:vAlign w:val="center"/>
          </w:tcPr>
          <w:p w14:paraId="44448C2B"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144,556,359.35</w:t>
            </w:r>
          </w:p>
        </w:tc>
        <w:tc>
          <w:tcPr>
            <w:tcW w:w="1001" w:type="dxa"/>
            <w:tcBorders>
              <w:top w:val="single" w:sz="2" w:space="0" w:color="auto"/>
              <w:left w:val="single" w:sz="2" w:space="0" w:color="auto"/>
              <w:bottom w:val="single" w:sz="2" w:space="0" w:color="auto"/>
              <w:right w:val="single" w:sz="2" w:space="0" w:color="auto"/>
            </w:tcBorders>
            <w:shd w:val="clear" w:color="auto" w:fill="D3D3D3"/>
            <w:vAlign w:val="center"/>
          </w:tcPr>
          <w:p w14:paraId="14C225F7" w14:textId="77777777" w:rsidR="00A46BF1" w:rsidRPr="002F5E3A" w:rsidRDefault="00A46BF1" w:rsidP="002F5E3A">
            <w:pPr>
              <w:spacing w:line="360" w:lineRule="auto"/>
              <w:rPr>
                <w:rFonts w:ascii="Times New Roman" w:hAnsi="Times New Roman" w:cs="Times New Roman"/>
              </w:rPr>
            </w:pP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77372E1F" w14:textId="77777777" w:rsidR="00A46BF1" w:rsidRPr="002F5E3A" w:rsidRDefault="00A46BF1" w:rsidP="002F5E3A">
            <w:pPr>
              <w:spacing w:line="360" w:lineRule="auto"/>
              <w:rPr>
                <w:rFonts w:ascii="Times New Roman" w:hAnsi="Times New Roman" w:cs="Times New Roman"/>
              </w:rPr>
            </w:pP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1AF160B6" w14:textId="77777777" w:rsidR="00A46BF1" w:rsidRPr="002F5E3A" w:rsidRDefault="00A46BF1" w:rsidP="002F5E3A">
            <w:pPr>
              <w:spacing w:line="360" w:lineRule="auto"/>
              <w:rPr>
                <w:rFonts w:ascii="Times New Roman" w:hAnsi="Times New Roman" w:cs="Times New Roman"/>
              </w:rPr>
            </w:pP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3917ECED" w14:textId="77777777" w:rsidR="00A46BF1" w:rsidRPr="002F5E3A" w:rsidRDefault="00A46BF1" w:rsidP="002F5E3A">
            <w:pPr>
              <w:spacing w:line="360" w:lineRule="auto"/>
              <w:rPr>
                <w:rFonts w:ascii="Times New Roman" w:hAnsi="Times New Roman" w:cs="Times New Roman"/>
              </w:rPr>
            </w:pPr>
          </w:p>
        </w:tc>
      </w:tr>
    </w:tbl>
    <w:p w14:paraId="3892550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前述信息与以前年度减值测试采用的信息或外部信息明显不一致的差异原因</w:t>
      </w:r>
    </w:p>
    <w:p w14:paraId="60D40FE2" w14:textId="77777777" w:rsidR="00A46BF1" w:rsidRPr="002F5E3A" w:rsidRDefault="00A46BF1" w:rsidP="002F5E3A">
      <w:pPr>
        <w:spacing w:before="100" w:after="100" w:line="240" w:lineRule="exact"/>
        <w:rPr>
          <w:rFonts w:ascii="宋体" w:eastAsia="宋体" w:hAnsi="宋体" w:cs="宋体"/>
          <w:sz w:val="18"/>
          <w:szCs w:val="18"/>
        </w:rPr>
      </w:pPr>
      <w:r w:rsidRPr="002F5E3A">
        <w:rPr>
          <w:rFonts w:ascii="宋体" w:eastAsia="宋体" w:hAnsi="宋体" w:cs="宋体" w:hint="eastAsia"/>
          <w:sz w:val="18"/>
          <w:szCs w:val="18"/>
        </w:rPr>
        <w:t>不适用</w:t>
      </w:r>
    </w:p>
    <w:p w14:paraId="427228F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公司以前年度减值测试采用信息与当年实际情况明显不一致的差异原因</w:t>
      </w:r>
    </w:p>
    <w:p w14:paraId="309B7496" w14:textId="77777777" w:rsidR="00A46BF1" w:rsidRPr="002F5E3A" w:rsidRDefault="00A46BF1" w:rsidP="002F5E3A">
      <w:pPr>
        <w:spacing w:before="100" w:after="100" w:line="240" w:lineRule="exact"/>
        <w:rPr>
          <w:rFonts w:ascii="宋体" w:eastAsia="宋体" w:hAnsi="宋体" w:cs="宋体"/>
          <w:sz w:val="18"/>
          <w:szCs w:val="18"/>
        </w:rPr>
      </w:pPr>
      <w:r w:rsidRPr="002F5E3A">
        <w:rPr>
          <w:rFonts w:ascii="宋体" w:eastAsia="宋体" w:hAnsi="宋体" w:cs="宋体" w:hint="eastAsia"/>
          <w:sz w:val="18"/>
          <w:szCs w:val="18"/>
        </w:rPr>
        <w:t>不适用</w:t>
      </w:r>
    </w:p>
    <w:p w14:paraId="56D46FF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（5） 业绩承诺完成及对应商誉减值情况</w:t>
      </w:r>
    </w:p>
    <w:p w14:paraId="2ED7350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形成商誉时存在业绩承诺且报告期或报告期上一期间处于业绩承诺期内</w:t>
      </w:r>
    </w:p>
    <w:p w14:paraId="111A74DC"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F01E68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tbl>
      <w:tblPr>
        <w:tblW w:w="5006" w:type="pct"/>
        <w:jc w:val="center"/>
        <w:tblCellMar>
          <w:left w:w="0" w:type="dxa"/>
          <w:right w:w="0" w:type="dxa"/>
        </w:tblCellMar>
        <w:tblLook w:val="04A0" w:firstRow="1" w:lastRow="0" w:firstColumn="1" w:lastColumn="0" w:noHBand="0" w:noVBand="1"/>
      </w:tblPr>
      <w:tblGrid>
        <w:gridCol w:w="3516"/>
        <w:gridCol w:w="994"/>
        <w:gridCol w:w="1377"/>
        <w:gridCol w:w="1251"/>
        <w:gridCol w:w="1251"/>
        <w:gridCol w:w="1476"/>
      </w:tblGrid>
      <w:tr w:rsidR="00A46BF1" w14:paraId="3A4EB437" w14:textId="77777777" w:rsidTr="002F5E3A">
        <w:trPr>
          <w:trHeight w:val="247"/>
          <w:tblHeader/>
          <w:jc w:val="center"/>
        </w:trPr>
        <w:tc>
          <w:tcPr>
            <w:tcW w:w="17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F685C4" w14:textId="77777777" w:rsidR="00A46BF1" w:rsidRPr="002F5E3A" w:rsidRDefault="00A46BF1" w:rsidP="002F5E3A">
            <w:pPr>
              <w:pStyle w:val="a9"/>
              <w:spacing w:before="48" w:beforeAutospacing="0" w:after="48" w:afterAutospacing="0" w:line="360" w:lineRule="auto"/>
              <w:rPr>
                <w:rFonts w:ascii="Times New Roman" w:hAnsi="Times New Roman" w:cs="Times New Roman"/>
                <w:sz w:val="18"/>
                <w:szCs w:val="18"/>
              </w:rPr>
            </w:pPr>
            <w:r w:rsidRPr="002F5E3A">
              <w:rPr>
                <w:rStyle w:val="aa"/>
                <w:rFonts w:ascii="Times New Roman" w:hAnsi="Times New Roman" w:cs="Times New Roman"/>
                <w:sz w:val="18"/>
                <w:szCs w:val="18"/>
              </w:rPr>
              <w:t>项目</w:t>
            </w:r>
          </w:p>
        </w:tc>
        <w:tc>
          <w:tcPr>
            <w:tcW w:w="5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76822C"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Style w:val="aa"/>
                <w:rFonts w:ascii="Times New Roman" w:hAnsi="Times New Roman" w:cs="Times New Roman"/>
                <w:sz w:val="18"/>
                <w:szCs w:val="18"/>
              </w:rPr>
              <w:t>计算过程</w:t>
            </w:r>
          </w:p>
        </w:tc>
        <w:tc>
          <w:tcPr>
            <w:tcW w:w="6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6CC740" w14:textId="77777777" w:rsidR="00A46BF1" w:rsidRPr="002F5E3A" w:rsidRDefault="00A46BF1" w:rsidP="002F5E3A">
            <w:pPr>
              <w:pStyle w:val="a9"/>
              <w:spacing w:before="0" w:beforeAutospacing="0" w:after="0" w:afterAutospacing="0" w:line="360" w:lineRule="auto"/>
              <w:jc w:val="center"/>
              <w:rPr>
                <w:rFonts w:ascii="Times New Roman" w:hAnsi="Times New Roman" w:cs="Times New Roman"/>
                <w:sz w:val="18"/>
                <w:szCs w:val="18"/>
              </w:rPr>
            </w:pPr>
            <w:r w:rsidRPr="002F5E3A">
              <w:rPr>
                <w:rStyle w:val="aa"/>
                <w:rFonts w:ascii="Times New Roman" w:hAnsi="Times New Roman" w:cs="Times New Roman"/>
                <w:color w:val="000000"/>
                <w:sz w:val="18"/>
                <w:szCs w:val="18"/>
              </w:rPr>
              <w:t>三诺健康</w:t>
            </w:r>
          </w:p>
        </w:tc>
        <w:tc>
          <w:tcPr>
            <w:tcW w:w="63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24A010" w14:textId="77777777" w:rsidR="00A46BF1" w:rsidRPr="002F5E3A" w:rsidRDefault="00A46BF1" w:rsidP="002F5E3A">
            <w:pPr>
              <w:pStyle w:val="a9"/>
              <w:spacing w:before="0" w:beforeAutospacing="0" w:after="0" w:afterAutospacing="0" w:line="360" w:lineRule="auto"/>
              <w:jc w:val="center"/>
              <w:rPr>
                <w:rFonts w:ascii="Times New Roman" w:hAnsi="Times New Roman" w:cs="Times New Roman"/>
                <w:sz w:val="18"/>
                <w:szCs w:val="18"/>
              </w:rPr>
            </w:pPr>
            <w:r w:rsidRPr="002F5E3A">
              <w:rPr>
                <w:rStyle w:val="aa"/>
                <w:rFonts w:ascii="Times New Roman" w:hAnsi="Times New Roman" w:cs="Times New Roman"/>
                <w:color w:val="000000"/>
                <w:sz w:val="18"/>
                <w:szCs w:val="18"/>
              </w:rPr>
              <w:t>东莞一测</w:t>
            </w:r>
          </w:p>
        </w:tc>
        <w:tc>
          <w:tcPr>
            <w:tcW w:w="63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1D8065" w14:textId="77777777" w:rsidR="00A46BF1" w:rsidRPr="002F5E3A" w:rsidRDefault="00A46BF1" w:rsidP="002F5E3A">
            <w:pPr>
              <w:pStyle w:val="a9"/>
              <w:spacing w:before="0" w:beforeAutospacing="0" w:after="0" w:afterAutospacing="0" w:line="360" w:lineRule="auto"/>
              <w:jc w:val="center"/>
              <w:rPr>
                <w:rFonts w:ascii="Times New Roman" w:hAnsi="Times New Roman" w:cs="Times New Roman"/>
                <w:sz w:val="18"/>
                <w:szCs w:val="18"/>
              </w:rPr>
            </w:pPr>
            <w:r w:rsidRPr="002F5E3A">
              <w:rPr>
                <w:rStyle w:val="aa"/>
                <w:rFonts w:ascii="Times New Roman" w:hAnsi="Times New Roman" w:cs="Times New Roman"/>
                <w:color w:val="000000"/>
                <w:sz w:val="18"/>
                <w:szCs w:val="18"/>
              </w:rPr>
              <w:t>三诺越南</w:t>
            </w:r>
          </w:p>
        </w:tc>
        <w:tc>
          <w:tcPr>
            <w:tcW w:w="7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D382D3" w14:textId="77777777" w:rsidR="00A46BF1" w:rsidRPr="002F5E3A" w:rsidRDefault="00A46BF1" w:rsidP="002F5E3A">
            <w:pPr>
              <w:pStyle w:val="a9"/>
              <w:spacing w:before="0" w:beforeAutospacing="0" w:after="0" w:afterAutospacing="0" w:line="360" w:lineRule="auto"/>
              <w:jc w:val="center"/>
              <w:rPr>
                <w:rFonts w:ascii="Times New Roman" w:hAnsi="Times New Roman" w:cs="Times New Roman"/>
                <w:sz w:val="18"/>
                <w:szCs w:val="18"/>
              </w:rPr>
            </w:pPr>
            <w:r w:rsidRPr="002F5E3A">
              <w:rPr>
                <w:rStyle w:val="aa"/>
                <w:rFonts w:ascii="Times New Roman" w:hAnsi="Times New Roman" w:cs="Times New Roman"/>
                <w:sz w:val="18"/>
                <w:szCs w:val="18"/>
              </w:rPr>
              <w:t>Trividia</w:t>
            </w:r>
          </w:p>
        </w:tc>
      </w:tr>
      <w:tr w:rsidR="00A46BF1" w14:paraId="16E23CFA"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647A78"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商誉账面余额</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B3B4A"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a</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DE5CBA"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466,428,369.85</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8130D"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6,577,149.34</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FBE80"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1,482,722.58</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DC1A1B"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790,808,042.23</w:t>
            </w:r>
          </w:p>
        </w:tc>
      </w:tr>
      <w:tr w:rsidR="00A46BF1" w14:paraId="7D4E6477"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49FB06"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商誉减值准备余额</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2FB6A3"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b</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7E55D0"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65,779,940.73</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EB477"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770,302.13</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DF54A" w14:textId="59CF33F4"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7CE9F"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83,990,156.82</w:t>
            </w:r>
          </w:p>
        </w:tc>
      </w:tr>
      <w:tr w:rsidR="00A46BF1" w14:paraId="2BA5B9DA"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71225A"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商誉的账面价值</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FB554"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c=a-b</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1C412A"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400,648,429.12</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FCC672"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5,806,847.21</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5C340"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1,482,722.58</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30652A"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706,817,885.41</w:t>
            </w:r>
          </w:p>
        </w:tc>
      </w:tr>
      <w:tr w:rsidR="00A46BF1" w14:paraId="1F06CC73"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79F83"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未确认归属于少数股东权益的商誉价值</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0F2AB9"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d</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6D5A6" w14:textId="3E9164A1"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9EFDFF" w14:textId="7F3F25D8"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r w:rsidRPr="002F5E3A">
              <w:rPr>
                <w:rFonts w:ascii="Times New Roman" w:hAnsi="Times New Roman" w:cs="Times New Roman"/>
                <w:snapToGrid w:val="0"/>
                <w:color w:val="000000"/>
                <w:sz w:val="18"/>
                <w:szCs w:val="18"/>
              </w:rPr>
              <w:t>2,925,253.86</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82FE6C" w14:textId="349BC602"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74676" w14:textId="5707FBFD"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p>
        </w:tc>
      </w:tr>
      <w:tr w:rsidR="00A46BF1" w14:paraId="72E1B683"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DE185D"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包含未确认归属于少数股东权益的商誉价值</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5997A6"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e=c+d</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1BC2C6"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400,648,429.12</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C0F5A" w14:textId="685AFAC4"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snapToGrid w:val="0"/>
                <w:color w:val="000000"/>
                <w:sz w:val="18"/>
                <w:szCs w:val="18"/>
              </w:rPr>
              <w:t>8,732,101.07</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5DF6A"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1,482,722.58</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8B8AE"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706,817,885.41</w:t>
            </w:r>
          </w:p>
        </w:tc>
      </w:tr>
      <w:tr w:rsidR="00A46BF1" w14:paraId="20C259B0"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3AE7C"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资产组的账面价值</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E99E4A"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f</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A7584"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453,907,930.23</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B33E1"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4,948,713.25</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1FA01"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1,131,610.77</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0EC34" w14:textId="5F2327EC"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r w:rsidRPr="002F5E3A">
              <w:rPr>
                <w:rFonts w:ascii="Times New Roman" w:hAnsi="Times New Roman" w:cs="Times New Roman"/>
                <w:color w:val="000000"/>
                <w:sz w:val="18"/>
                <w:szCs w:val="18"/>
              </w:rPr>
              <w:t>238,810,246.34</w:t>
            </w:r>
          </w:p>
        </w:tc>
      </w:tr>
      <w:tr w:rsidR="00A46BF1" w14:paraId="467A52F9"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F783C3"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包含整体商誉的资产组的账面价值</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6ACF9"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g=e+f</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6C432"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854,556,359.35</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16FAF"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snapToGrid w:val="0"/>
                <w:color w:val="000000"/>
                <w:sz w:val="18"/>
                <w:szCs w:val="18"/>
              </w:rPr>
              <w:t>13,680,814.32</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644EC"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2,614,333.35</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EDBFD" w14:textId="6779C1EE"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r w:rsidRPr="002F5E3A">
              <w:rPr>
                <w:rFonts w:ascii="Times New Roman" w:hAnsi="Times New Roman" w:cs="Times New Roman"/>
                <w:color w:val="000000"/>
                <w:sz w:val="18"/>
                <w:szCs w:val="18"/>
              </w:rPr>
              <w:t>945,628,131.75</w:t>
            </w:r>
          </w:p>
        </w:tc>
      </w:tr>
      <w:tr w:rsidR="00A46BF1" w14:paraId="62B13DEC"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CE0108"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资产组可收回金额</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0A834C" w14:textId="77777777" w:rsidR="00A46BF1" w:rsidRPr="002F5E3A" w:rsidRDefault="00A46BF1" w:rsidP="002F5E3A">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h</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5BC9F6"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710,000,000.00</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5FA38E"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62,600,000.00</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125979"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11,300,000.00</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F5D75" w14:textId="515D0D86" w:rsidR="00A46BF1" w:rsidRPr="002F5E3A" w:rsidRDefault="00A46BF1" w:rsidP="002F5E3A">
            <w:pPr>
              <w:pStyle w:val="a9"/>
              <w:spacing w:before="0" w:beforeAutospacing="0" w:after="0" w:afterAutospacing="0" w:line="360" w:lineRule="auto"/>
              <w:jc w:val="right"/>
              <w:rPr>
                <w:rFonts w:ascii="Times New Roman" w:hAnsi="Times New Roman" w:cs="Times New Roman"/>
                <w:sz w:val="18"/>
                <w:szCs w:val="18"/>
              </w:rPr>
            </w:pPr>
            <w:r w:rsidRPr="002F5E3A">
              <w:rPr>
                <w:rFonts w:ascii="Times New Roman" w:hAnsi="Times New Roman" w:cs="Times New Roman"/>
                <w:color w:val="000000"/>
                <w:sz w:val="18"/>
                <w:szCs w:val="18"/>
              </w:rPr>
              <w:t>1,054,320,000.00</w:t>
            </w:r>
          </w:p>
        </w:tc>
      </w:tr>
      <w:tr w:rsidR="00A46BF1" w14:paraId="442412E1" w14:textId="77777777" w:rsidTr="002F5E3A">
        <w:trPr>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A18091" w14:textId="77777777" w:rsidR="00A46BF1" w:rsidRPr="002F5E3A" w:rsidRDefault="00A46BF1" w:rsidP="002F5E3A">
            <w:pPr>
              <w:pStyle w:val="a9"/>
              <w:spacing w:before="48" w:beforeAutospacing="0" w:after="48" w:afterAutospacing="0" w:line="360" w:lineRule="auto"/>
              <w:ind w:left="-100" w:right="-100"/>
              <w:rPr>
                <w:rFonts w:ascii="Times New Roman" w:hAnsi="Times New Roman" w:cs="Times New Roman"/>
                <w:sz w:val="18"/>
                <w:szCs w:val="18"/>
              </w:rPr>
            </w:pPr>
            <w:r w:rsidRPr="002F5E3A">
              <w:rPr>
                <w:rFonts w:ascii="Times New Roman" w:hAnsi="Times New Roman" w:cs="Times New Roman"/>
                <w:sz w:val="18"/>
                <w:szCs w:val="18"/>
              </w:rPr>
              <w:t>商誉资产减值损失</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F5869B" w14:textId="50FD2CD2" w:rsidR="00A46BF1" w:rsidRPr="002F5E3A" w:rsidRDefault="00A46BF1">
            <w:pPr>
              <w:pStyle w:val="a9"/>
              <w:spacing w:before="48" w:beforeAutospacing="0" w:after="48"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sz w:val="18"/>
                <w:szCs w:val="18"/>
              </w:rPr>
              <w:t>i=g-h</w:t>
            </w:r>
            <w:r w:rsidRPr="002F5E3A">
              <w:rPr>
                <w:rFonts w:ascii="Times New Roman" w:hAnsi="Times New Roman" w:cs="Times New Roman"/>
                <w:sz w:val="18"/>
                <w:szCs w:val="18"/>
              </w:rPr>
              <w:t>（大于</w:t>
            </w:r>
            <w:r w:rsidRPr="002F5E3A">
              <w:rPr>
                <w:rFonts w:ascii="Times New Roman" w:hAnsi="Times New Roman" w:cs="Times New Roman"/>
                <w:sz w:val="18"/>
                <w:szCs w:val="18"/>
              </w:rPr>
              <w:t>0</w:t>
            </w:r>
            <w:r w:rsidRPr="002F5E3A">
              <w:rPr>
                <w:rFonts w:ascii="Times New Roman" w:hAnsi="Times New Roman" w:cs="Times New Roman"/>
                <w:sz w:val="18"/>
                <w:szCs w:val="18"/>
              </w:rPr>
              <w:t>时）</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39BD0E"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144,556,359.35</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169D46"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不减值</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C6272"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不减值</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7964FD"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不减值</w:t>
            </w:r>
          </w:p>
        </w:tc>
      </w:tr>
      <w:tr w:rsidR="00A46BF1" w14:paraId="2891882D" w14:textId="77777777" w:rsidTr="002F5E3A">
        <w:trPr>
          <w:trHeight w:val="408"/>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F51AD4" w14:textId="77777777" w:rsidR="00A46BF1" w:rsidRPr="002F5E3A" w:rsidRDefault="00A46BF1" w:rsidP="002F5E3A">
            <w:pPr>
              <w:pStyle w:val="a9"/>
              <w:spacing w:before="0" w:beforeAutospacing="0" w:after="0" w:afterAutospacing="0" w:line="360" w:lineRule="auto"/>
              <w:ind w:left="-100" w:right="-100"/>
              <w:rPr>
                <w:rFonts w:ascii="Times New Roman" w:hAnsi="Times New Roman" w:cs="Times New Roman"/>
                <w:sz w:val="18"/>
                <w:szCs w:val="18"/>
              </w:rPr>
            </w:pPr>
            <w:r w:rsidRPr="002F5E3A">
              <w:rPr>
                <w:rFonts w:ascii="Times New Roman" w:hAnsi="Times New Roman" w:cs="Times New Roman"/>
                <w:color w:val="000000"/>
                <w:sz w:val="18"/>
                <w:szCs w:val="18"/>
              </w:rPr>
              <w:t>持股比例</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30FBA" w14:textId="77777777" w:rsidR="00A46BF1" w:rsidRPr="002F5E3A" w:rsidRDefault="00A46BF1" w:rsidP="002F5E3A">
            <w:pPr>
              <w:pStyle w:val="a9"/>
              <w:spacing w:before="0" w:beforeAutospacing="0" w:after="0"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color w:val="000000"/>
                <w:sz w:val="18"/>
                <w:szCs w:val="18"/>
              </w:rPr>
              <w:t>j</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4F552C"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100.00%</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34389"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66.50%</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C2D4B4"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100.00%</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6F9FF" w14:textId="77777777" w:rsidR="00A46BF1" w:rsidRPr="002F5E3A" w:rsidRDefault="00A46BF1" w:rsidP="002F5E3A">
            <w:pPr>
              <w:pStyle w:val="a9"/>
              <w:spacing w:before="0" w:beforeAutospacing="0" w:after="0" w:afterAutospacing="0" w:line="360" w:lineRule="auto"/>
              <w:jc w:val="center"/>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100.00%</w:t>
            </w:r>
          </w:p>
        </w:tc>
      </w:tr>
      <w:tr w:rsidR="00A46BF1" w14:paraId="71E5EF03" w14:textId="77777777" w:rsidTr="002F5E3A">
        <w:trPr>
          <w:trHeight w:val="412"/>
          <w:jc w:val="center"/>
        </w:trPr>
        <w:tc>
          <w:tcPr>
            <w:tcW w:w="17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21E655" w14:textId="77777777" w:rsidR="00A46BF1" w:rsidRPr="002F5E3A" w:rsidRDefault="00A46BF1" w:rsidP="002F5E3A">
            <w:pPr>
              <w:pStyle w:val="a9"/>
              <w:spacing w:before="0" w:beforeAutospacing="0" w:after="0" w:afterAutospacing="0" w:line="360" w:lineRule="auto"/>
              <w:ind w:left="-100" w:right="-100"/>
              <w:rPr>
                <w:rFonts w:ascii="Times New Roman" w:hAnsi="Times New Roman" w:cs="Times New Roman"/>
                <w:sz w:val="18"/>
                <w:szCs w:val="18"/>
              </w:rPr>
            </w:pPr>
            <w:r w:rsidRPr="002F5E3A">
              <w:rPr>
                <w:rFonts w:ascii="Times New Roman" w:hAnsi="Times New Roman" w:cs="Times New Roman"/>
                <w:color w:val="000000"/>
                <w:sz w:val="18"/>
                <w:szCs w:val="18"/>
              </w:rPr>
              <w:t>公司应计提的商誉资产减值损失</w:t>
            </w:r>
          </w:p>
        </w:tc>
        <w:tc>
          <w:tcPr>
            <w:tcW w:w="5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E4FBB" w14:textId="77777777" w:rsidR="00A46BF1" w:rsidRPr="002F5E3A" w:rsidRDefault="00A46BF1" w:rsidP="002F5E3A">
            <w:pPr>
              <w:pStyle w:val="a9"/>
              <w:spacing w:before="0" w:beforeAutospacing="0" w:after="0" w:afterAutospacing="0" w:line="360" w:lineRule="auto"/>
              <w:ind w:left="-100" w:right="-100"/>
              <w:jc w:val="center"/>
              <w:rPr>
                <w:rFonts w:ascii="Times New Roman" w:hAnsi="Times New Roman" w:cs="Times New Roman"/>
                <w:sz w:val="18"/>
                <w:szCs w:val="18"/>
              </w:rPr>
            </w:pPr>
            <w:r w:rsidRPr="002F5E3A">
              <w:rPr>
                <w:rFonts w:ascii="Times New Roman" w:hAnsi="Times New Roman" w:cs="Times New Roman"/>
                <w:color w:val="000000"/>
                <w:sz w:val="18"/>
                <w:szCs w:val="18"/>
              </w:rPr>
              <w:t>k=i*j</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56E5D" w14:textId="77777777"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r w:rsidRPr="002F5E3A">
              <w:rPr>
                <w:rFonts w:ascii="Times New Roman" w:hAnsi="Times New Roman" w:cs="Times New Roman"/>
                <w:color w:val="000000"/>
                <w:sz w:val="18"/>
                <w:szCs w:val="18"/>
              </w:rPr>
              <w:t>144,556,359.35</w:t>
            </w: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78675" w14:textId="79DC9DED"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p>
        </w:tc>
        <w:tc>
          <w:tcPr>
            <w:tcW w:w="6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DF17A" w14:textId="1FA37B8B"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586EC" w14:textId="5DC75371" w:rsidR="00A46BF1" w:rsidRPr="002F5E3A" w:rsidRDefault="00A46BF1" w:rsidP="002F5E3A">
            <w:pPr>
              <w:pStyle w:val="a9"/>
              <w:spacing w:before="0" w:beforeAutospacing="0" w:after="0" w:afterAutospacing="0" w:line="360" w:lineRule="auto"/>
              <w:jc w:val="right"/>
              <w:textAlignment w:val="center"/>
              <w:rPr>
                <w:rFonts w:ascii="Times New Roman" w:hAnsi="Times New Roman" w:cs="Times New Roman"/>
                <w:sz w:val="18"/>
                <w:szCs w:val="18"/>
              </w:rPr>
            </w:pPr>
          </w:p>
        </w:tc>
      </w:tr>
    </w:tbl>
    <w:p w14:paraId="1D0F39C8"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商誉减值测试工作由本公司聘请的金证（上海）资产评估有限公司协助进行，相关成果报告号分别为金证评报字【</w:t>
      </w:r>
      <w:r w:rsidRPr="00684E6E">
        <w:rPr>
          <w:rFonts w:ascii="Times New Roman" w:hAnsi="Times New Roman" w:cs="Times New Roman"/>
          <w:sz w:val="21"/>
          <w:szCs w:val="21"/>
        </w:rPr>
        <w:t>2026</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A0284</w:t>
      </w:r>
      <w:r w:rsidRPr="00684E6E">
        <w:rPr>
          <w:rFonts w:ascii="Times New Roman" w:hAnsi="Times New Roman" w:cs="Times New Roman" w:hint="eastAsia"/>
          <w:sz w:val="21"/>
          <w:szCs w:val="21"/>
        </w:rPr>
        <w:t>号、金证评报字【</w:t>
      </w:r>
      <w:r w:rsidRPr="00684E6E">
        <w:rPr>
          <w:rFonts w:ascii="Times New Roman" w:hAnsi="Times New Roman" w:cs="Times New Roman"/>
          <w:sz w:val="21"/>
          <w:szCs w:val="21"/>
        </w:rPr>
        <w:t>2026</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A0201</w:t>
      </w:r>
      <w:r w:rsidRPr="00684E6E">
        <w:rPr>
          <w:rFonts w:ascii="Times New Roman" w:hAnsi="Times New Roman" w:cs="Times New Roman" w:hint="eastAsia"/>
          <w:sz w:val="21"/>
          <w:szCs w:val="21"/>
        </w:rPr>
        <w:t>号、金证评报字【</w:t>
      </w:r>
      <w:r w:rsidRPr="00684E6E">
        <w:rPr>
          <w:rFonts w:ascii="Times New Roman" w:hAnsi="Times New Roman" w:cs="Times New Roman"/>
          <w:sz w:val="21"/>
          <w:szCs w:val="21"/>
        </w:rPr>
        <w:t>2026</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A0180</w:t>
      </w:r>
      <w:r w:rsidRPr="00684E6E">
        <w:rPr>
          <w:rFonts w:ascii="Times New Roman" w:hAnsi="Times New Roman" w:cs="Times New Roman" w:hint="eastAsia"/>
          <w:sz w:val="21"/>
          <w:szCs w:val="21"/>
        </w:rPr>
        <w:t>号、金证评报字【</w:t>
      </w:r>
      <w:r w:rsidRPr="00684E6E">
        <w:rPr>
          <w:rFonts w:ascii="Times New Roman" w:hAnsi="Times New Roman" w:cs="Times New Roman"/>
          <w:sz w:val="21"/>
          <w:szCs w:val="21"/>
        </w:rPr>
        <w:t>2026</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A0279</w:t>
      </w:r>
      <w:r w:rsidRPr="00684E6E">
        <w:rPr>
          <w:rFonts w:ascii="Times New Roman" w:hAnsi="Times New Roman" w:cs="Times New Roman" w:hint="eastAsia"/>
          <w:sz w:val="21"/>
          <w:szCs w:val="21"/>
        </w:rPr>
        <w:t>号。</w:t>
      </w:r>
    </w:p>
    <w:p w14:paraId="6C287283" w14:textId="78D57662" w:rsidR="00A46BF1" w:rsidRDefault="00A46BF1" w:rsidP="00A46BF1">
      <w:pPr>
        <w:pStyle w:val="3"/>
        <w:spacing w:line="280" w:lineRule="exact"/>
        <w:jc w:val="left"/>
        <w:rPr>
          <w:rFonts w:ascii="宋体" w:hAnsi="宋体" w:cs="宋体"/>
          <w:b/>
          <w:bCs/>
        </w:rPr>
      </w:pPr>
      <w:r>
        <w:rPr>
          <w:rFonts w:ascii="宋体" w:hAnsi="宋体" w:cs="宋体"/>
          <w:b/>
          <w:bCs/>
        </w:rPr>
        <w:t>2</w:t>
      </w:r>
      <w:r w:rsidR="002C1280">
        <w:rPr>
          <w:rFonts w:ascii="宋体" w:hAnsi="宋体" w:cs="宋体"/>
          <w:b/>
          <w:bCs/>
        </w:rPr>
        <w:t>0</w:t>
      </w:r>
      <w:r>
        <w:rPr>
          <w:rFonts w:ascii="宋体" w:hAnsi="宋体" w:cs="宋体"/>
          <w:b/>
          <w:bCs/>
        </w:rPr>
        <w:t>、长期待摊费用</w:t>
      </w:r>
    </w:p>
    <w:p w14:paraId="66BE090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72F9EC06"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36CE15B"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30E200D"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FF04AD7"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本期增加金额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0741C2E"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本期摊销金额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3169F724"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其他减少金额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93ADF3E" w14:textId="77777777" w:rsidR="00A46BF1" w:rsidRPr="002F5E3A" w:rsidRDefault="00A46BF1" w:rsidP="002F5E3A">
            <w:pPr>
              <w:spacing w:before="40" w:after="40" w:line="360" w:lineRule="auto"/>
              <w:jc w:val="center"/>
              <w:rPr>
                <w:rFonts w:ascii="Times New Roman" w:eastAsia="宋体" w:hAnsi="Times New Roman" w:cs="Times New Roman"/>
                <w:sz w:val="18"/>
                <w:szCs w:val="18"/>
              </w:rPr>
            </w:pPr>
            <w:r w:rsidRPr="002F5E3A">
              <w:rPr>
                <w:rFonts w:ascii="Times New Roman" w:eastAsia="宋体" w:hAnsi="Times New Roman" w:cs="Times New Roman"/>
                <w:sz w:val="18"/>
                <w:szCs w:val="18"/>
              </w:rPr>
              <w:t>期末余额</w:t>
            </w:r>
          </w:p>
        </w:tc>
      </w:tr>
      <w:tr w:rsidR="00095F6F" w14:paraId="59360437"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30F0450"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装修改造费</w:t>
            </w:r>
          </w:p>
        </w:tc>
        <w:tc>
          <w:tcPr>
            <w:tcW w:w="1606" w:type="dxa"/>
            <w:tcBorders>
              <w:top w:val="single" w:sz="2" w:space="0" w:color="auto"/>
              <w:left w:val="single" w:sz="2" w:space="0" w:color="auto"/>
              <w:bottom w:val="single" w:sz="2" w:space="0" w:color="auto"/>
              <w:right w:val="single" w:sz="2" w:space="0" w:color="auto"/>
            </w:tcBorders>
            <w:vAlign w:val="center"/>
          </w:tcPr>
          <w:p w14:paraId="42252D15"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13,505,860.13</w:t>
            </w:r>
          </w:p>
        </w:tc>
        <w:tc>
          <w:tcPr>
            <w:tcW w:w="1606" w:type="dxa"/>
            <w:tcBorders>
              <w:top w:val="single" w:sz="2" w:space="0" w:color="auto"/>
              <w:left w:val="single" w:sz="2" w:space="0" w:color="auto"/>
              <w:bottom w:val="single" w:sz="2" w:space="0" w:color="auto"/>
              <w:right w:val="single" w:sz="2" w:space="0" w:color="auto"/>
            </w:tcBorders>
            <w:vAlign w:val="center"/>
          </w:tcPr>
          <w:p w14:paraId="273F4510"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3,042,709.23</w:t>
            </w:r>
          </w:p>
        </w:tc>
        <w:tc>
          <w:tcPr>
            <w:tcW w:w="1606" w:type="dxa"/>
            <w:tcBorders>
              <w:top w:val="single" w:sz="2" w:space="0" w:color="auto"/>
              <w:left w:val="single" w:sz="2" w:space="0" w:color="auto"/>
              <w:bottom w:val="single" w:sz="2" w:space="0" w:color="auto"/>
              <w:right w:val="single" w:sz="2" w:space="0" w:color="auto"/>
            </w:tcBorders>
            <w:vAlign w:val="center"/>
          </w:tcPr>
          <w:p w14:paraId="414946C3"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4,211,192.45</w:t>
            </w:r>
          </w:p>
        </w:tc>
        <w:tc>
          <w:tcPr>
            <w:tcW w:w="1606" w:type="dxa"/>
            <w:tcBorders>
              <w:top w:val="single" w:sz="2" w:space="0" w:color="auto"/>
              <w:left w:val="single" w:sz="2" w:space="0" w:color="auto"/>
              <w:bottom w:val="single" w:sz="2" w:space="0" w:color="auto"/>
              <w:right w:val="single" w:sz="2" w:space="0" w:color="auto"/>
            </w:tcBorders>
            <w:vAlign w:val="center"/>
          </w:tcPr>
          <w:p w14:paraId="332C7969"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38,675.29</w:t>
            </w:r>
          </w:p>
        </w:tc>
        <w:tc>
          <w:tcPr>
            <w:tcW w:w="1606" w:type="dxa"/>
            <w:tcBorders>
              <w:top w:val="single" w:sz="2" w:space="0" w:color="auto"/>
              <w:left w:val="single" w:sz="2" w:space="0" w:color="auto"/>
              <w:bottom w:val="single" w:sz="2" w:space="0" w:color="auto"/>
              <w:right w:val="single" w:sz="2" w:space="0" w:color="auto"/>
            </w:tcBorders>
            <w:vAlign w:val="center"/>
          </w:tcPr>
          <w:p w14:paraId="4C3A916D"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12,298,701.62</w:t>
            </w:r>
          </w:p>
        </w:tc>
      </w:tr>
      <w:tr w:rsidR="00095F6F" w14:paraId="7C494133"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vAlign w:val="center"/>
          </w:tcPr>
          <w:p w14:paraId="12134B55" w14:textId="77777777" w:rsidR="00A46BF1" w:rsidRPr="002F5E3A" w:rsidRDefault="00A46BF1" w:rsidP="002F5E3A">
            <w:pPr>
              <w:spacing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其他</w:t>
            </w:r>
          </w:p>
        </w:tc>
        <w:tc>
          <w:tcPr>
            <w:tcW w:w="1606" w:type="dxa"/>
            <w:tcBorders>
              <w:top w:val="single" w:sz="2" w:space="0" w:color="auto"/>
              <w:left w:val="single" w:sz="2" w:space="0" w:color="auto"/>
              <w:bottom w:val="single" w:sz="2" w:space="0" w:color="auto"/>
              <w:right w:val="single" w:sz="2" w:space="0" w:color="auto"/>
            </w:tcBorders>
            <w:vAlign w:val="center"/>
          </w:tcPr>
          <w:p w14:paraId="093DC40A"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1,913,758.19</w:t>
            </w:r>
          </w:p>
        </w:tc>
        <w:tc>
          <w:tcPr>
            <w:tcW w:w="1606" w:type="dxa"/>
            <w:tcBorders>
              <w:top w:val="single" w:sz="2" w:space="0" w:color="auto"/>
              <w:left w:val="single" w:sz="2" w:space="0" w:color="auto"/>
              <w:bottom w:val="single" w:sz="2" w:space="0" w:color="auto"/>
              <w:right w:val="single" w:sz="2" w:space="0" w:color="auto"/>
            </w:tcBorders>
            <w:vAlign w:val="center"/>
          </w:tcPr>
          <w:p w14:paraId="2196640A"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16,193.85</w:t>
            </w:r>
          </w:p>
        </w:tc>
        <w:tc>
          <w:tcPr>
            <w:tcW w:w="1606" w:type="dxa"/>
            <w:tcBorders>
              <w:top w:val="single" w:sz="2" w:space="0" w:color="auto"/>
              <w:left w:val="single" w:sz="2" w:space="0" w:color="auto"/>
              <w:bottom w:val="single" w:sz="2" w:space="0" w:color="auto"/>
              <w:right w:val="single" w:sz="2" w:space="0" w:color="auto"/>
            </w:tcBorders>
            <w:vAlign w:val="center"/>
          </w:tcPr>
          <w:p w14:paraId="21889426"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1,313,616.34</w:t>
            </w:r>
          </w:p>
        </w:tc>
        <w:tc>
          <w:tcPr>
            <w:tcW w:w="1606" w:type="dxa"/>
            <w:tcBorders>
              <w:top w:val="single" w:sz="2" w:space="0" w:color="auto"/>
              <w:left w:val="single" w:sz="2" w:space="0" w:color="auto"/>
              <w:bottom w:val="single" w:sz="2" w:space="0" w:color="auto"/>
              <w:right w:val="single" w:sz="2" w:space="0" w:color="auto"/>
            </w:tcBorders>
            <w:vAlign w:val="center"/>
          </w:tcPr>
          <w:p w14:paraId="0FA83858"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5,920.60</w:t>
            </w:r>
          </w:p>
        </w:tc>
        <w:tc>
          <w:tcPr>
            <w:tcW w:w="1606" w:type="dxa"/>
            <w:tcBorders>
              <w:top w:val="single" w:sz="2" w:space="0" w:color="auto"/>
              <w:left w:val="single" w:sz="2" w:space="0" w:color="auto"/>
              <w:bottom w:val="single" w:sz="2" w:space="0" w:color="auto"/>
              <w:right w:val="single" w:sz="2" w:space="0" w:color="auto"/>
            </w:tcBorders>
            <w:vAlign w:val="center"/>
          </w:tcPr>
          <w:p w14:paraId="438646D5"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610,415.10</w:t>
            </w:r>
          </w:p>
        </w:tc>
      </w:tr>
      <w:tr w:rsidR="00095F6F" w14:paraId="28E0D2F2"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F942C4" w14:textId="77777777" w:rsidR="00A46BF1" w:rsidRPr="002F5E3A" w:rsidRDefault="00A46BF1" w:rsidP="002F5E3A">
            <w:pPr>
              <w:spacing w:before="40" w:after="40" w:line="360" w:lineRule="auto"/>
              <w:rPr>
                <w:rFonts w:ascii="Times New Roman" w:eastAsia="宋体" w:hAnsi="Times New Roman" w:cs="Times New Roman"/>
                <w:sz w:val="18"/>
                <w:szCs w:val="18"/>
              </w:rPr>
            </w:pPr>
            <w:r w:rsidRPr="002F5E3A">
              <w:rPr>
                <w:rFonts w:ascii="Times New Roman" w:eastAsia="宋体" w:hAnsi="Times New Roman" w:cs="Times New Roman"/>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528313A5"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15,419,618.32</w:t>
            </w:r>
          </w:p>
        </w:tc>
        <w:tc>
          <w:tcPr>
            <w:tcW w:w="1606" w:type="dxa"/>
            <w:tcBorders>
              <w:top w:val="single" w:sz="2" w:space="0" w:color="auto"/>
              <w:left w:val="single" w:sz="2" w:space="0" w:color="auto"/>
              <w:bottom w:val="single" w:sz="2" w:space="0" w:color="auto"/>
              <w:right w:val="single" w:sz="2" w:space="0" w:color="auto"/>
            </w:tcBorders>
            <w:vAlign w:val="center"/>
          </w:tcPr>
          <w:p w14:paraId="099594DD"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3,058,903.08</w:t>
            </w:r>
          </w:p>
        </w:tc>
        <w:tc>
          <w:tcPr>
            <w:tcW w:w="1606" w:type="dxa"/>
            <w:tcBorders>
              <w:top w:val="single" w:sz="2" w:space="0" w:color="auto"/>
              <w:left w:val="single" w:sz="2" w:space="0" w:color="auto"/>
              <w:bottom w:val="single" w:sz="2" w:space="0" w:color="auto"/>
              <w:right w:val="single" w:sz="2" w:space="0" w:color="auto"/>
            </w:tcBorders>
            <w:vAlign w:val="center"/>
          </w:tcPr>
          <w:p w14:paraId="4A7C8653"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5,524,808.79</w:t>
            </w:r>
          </w:p>
        </w:tc>
        <w:tc>
          <w:tcPr>
            <w:tcW w:w="1606" w:type="dxa"/>
            <w:tcBorders>
              <w:top w:val="single" w:sz="2" w:space="0" w:color="auto"/>
              <w:left w:val="single" w:sz="2" w:space="0" w:color="auto"/>
              <w:bottom w:val="single" w:sz="2" w:space="0" w:color="auto"/>
              <w:right w:val="single" w:sz="2" w:space="0" w:color="auto"/>
            </w:tcBorders>
            <w:vAlign w:val="center"/>
          </w:tcPr>
          <w:p w14:paraId="263A0628"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44,595.89</w:t>
            </w:r>
          </w:p>
        </w:tc>
        <w:tc>
          <w:tcPr>
            <w:tcW w:w="1606" w:type="dxa"/>
            <w:tcBorders>
              <w:top w:val="single" w:sz="2" w:space="0" w:color="auto"/>
              <w:left w:val="single" w:sz="2" w:space="0" w:color="auto"/>
              <w:bottom w:val="single" w:sz="2" w:space="0" w:color="auto"/>
              <w:right w:val="single" w:sz="2" w:space="0" w:color="auto"/>
            </w:tcBorders>
            <w:vAlign w:val="center"/>
          </w:tcPr>
          <w:p w14:paraId="1B0AE481" w14:textId="77777777" w:rsidR="00A46BF1" w:rsidRPr="002F5E3A" w:rsidRDefault="00A46BF1" w:rsidP="002F5E3A">
            <w:pPr>
              <w:spacing w:line="360" w:lineRule="auto"/>
              <w:jc w:val="right"/>
              <w:rPr>
                <w:rFonts w:ascii="Times New Roman" w:eastAsia="宋体" w:hAnsi="Times New Roman" w:cs="Times New Roman"/>
                <w:sz w:val="18"/>
                <w:szCs w:val="18"/>
              </w:rPr>
            </w:pPr>
            <w:r w:rsidRPr="002F5E3A">
              <w:rPr>
                <w:rFonts w:ascii="Times New Roman" w:eastAsia="宋体" w:hAnsi="Times New Roman" w:cs="Times New Roman"/>
                <w:sz w:val="18"/>
                <w:szCs w:val="18"/>
              </w:rPr>
              <w:t>12,909,116.72</w:t>
            </w:r>
          </w:p>
        </w:tc>
      </w:tr>
    </w:tbl>
    <w:p w14:paraId="1CBEB9E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BEDF7CE"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其他减少金额为汇率变动减少导致。</w:t>
      </w:r>
    </w:p>
    <w:p w14:paraId="53487878" w14:textId="5ACB93F0" w:rsidR="00A46BF1" w:rsidRDefault="00A46BF1" w:rsidP="00A46BF1">
      <w:pPr>
        <w:pStyle w:val="3"/>
        <w:spacing w:line="280" w:lineRule="exact"/>
        <w:jc w:val="left"/>
        <w:rPr>
          <w:rFonts w:ascii="宋体" w:hAnsi="宋体" w:cs="宋体"/>
          <w:b/>
          <w:bCs/>
        </w:rPr>
      </w:pPr>
      <w:r>
        <w:rPr>
          <w:rFonts w:ascii="宋体" w:hAnsi="宋体" w:cs="宋体"/>
          <w:b/>
          <w:bCs/>
        </w:rPr>
        <w:t>2</w:t>
      </w:r>
      <w:r w:rsidR="002A3111">
        <w:rPr>
          <w:rFonts w:ascii="宋体" w:hAnsi="宋体" w:cs="宋体"/>
          <w:b/>
          <w:bCs/>
        </w:rPr>
        <w:t>1</w:t>
      </w:r>
      <w:r>
        <w:rPr>
          <w:rFonts w:ascii="宋体" w:hAnsi="宋体" w:cs="宋体"/>
          <w:b/>
          <w:bCs/>
        </w:rPr>
        <w:t>、递延所得税资产/递延所得税负债</w:t>
      </w:r>
    </w:p>
    <w:p w14:paraId="1E427D3F"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未经抵销的递延所得税资产</w:t>
      </w:r>
    </w:p>
    <w:p w14:paraId="77CB91B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694"/>
        <w:gridCol w:w="1736"/>
        <w:gridCol w:w="1736"/>
        <w:gridCol w:w="1736"/>
        <w:gridCol w:w="1737"/>
      </w:tblGrid>
      <w:tr w:rsidR="00095F6F" w:rsidRPr="002A3111" w14:paraId="03E1B6B3" w14:textId="77777777" w:rsidTr="002A3111">
        <w:trPr>
          <w:trHeight w:val="240"/>
        </w:trPr>
        <w:tc>
          <w:tcPr>
            <w:tcW w:w="269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A1B2F4"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项目</w:t>
            </w:r>
          </w:p>
        </w:tc>
        <w:tc>
          <w:tcPr>
            <w:tcW w:w="347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15B318D"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期末余额</w:t>
            </w:r>
          </w:p>
        </w:tc>
        <w:tc>
          <w:tcPr>
            <w:tcW w:w="347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288D22D"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期初余额</w:t>
            </w:r>
          </w:p>
        </w:tc>
      </w:tr>
      <w:tr w:rsidR="00095F6F" w:rsidRPr="002A3111" w14:paraId="50AAD263" w14:textId="77777777" w:rsidTr="002A3111">
        <w:trPr>
          <w:trHeight w:val="240"/>
        </w:trPr>
        <w:tc>
          <w:tcPr>
            <w:tcW w:w="269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A05086A" w14:textId="77777777" w:rsidR="00A46BF1" w:rsidRPr="002A3111" w:rsidRDefault="00A46BF1" w:rsidP="002A3111">
            <w:pPr>
              <w:spacing w:line="360" w:lineRule="auto"/>
              <w:rPr>
                <w:rFonts w:ascii="Times New Roman" w:hAnsi="Times New Roman" w:cs="Times New Roman"/>
              </w:rPr>
            </w:pPr>
          </w:p>
        </w:tc>
        <w:tc>
          <w:tcPr>
            <w:tcW w:w="1736" w:type="dxa"/>
            <w:tcBorders>
              <w:top w:val="single" w:sz="2" w:space="0" w:color="auto"/>
              <w:left w:val="single" w:sz="2" w:space="0" w:color="auto"/>
              <w:bottom w:val="single" w:sz="2" w:space="0" w:color="auto"/>
              <w:right w:val="single" w:sz="2" w:space="0" w:color="auto"/>
            </w:tcBorders>
            <w:shd w:val="clear" w:color="auto" w:fill="D3D3D3"/>
            <w:vAlign w:val="center"/>
          </w:tcPr>
          <w:p w14:paraId="0E20C312"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可抵扣暂时性差异</w:t>
            </w:r>
          </w:p>
        </w:tc>
        <w:tc>
          <w:tcPr>
            <w:tcW w:w="1736" w:type="dxa"/>
            <w:tcBorders>
              <w:top w:val="single" w:sz="2" w:space="0" w:color="auto"/>
              <w:left w:val="single" w:sz="2" w:space="0" w:color="auto"/>
              <w:bottom w:val="single" w:sz="2" w:space="0" w:color="auto"/>
              <w:right w:val="single" w:sz="2" w:space="0" w:color="auto"/>
            </w:tcBorders>
            <w:shd w:val="clear" w:color="auto" w:fill="D3D3D3"/>
            <w:vAlign w:val="center"/>
          </w:tcPr>
          <w:p w14:paraId="19E846FC"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递延所得税资产</w:t>
            </w:r>
          </w:p>
        </w:tc>
        <w:tc>
          <w:tcPr>
            <w:tcW w:w="1736" w:type="dxa"/>
            <w:tcBorders>
              <w:top w:val="single" w:sz="2" w:space="0" w:color="auto"/>
              <w:left w:val="single" w:sz="2" w:space="0" w:color="auto"/>
              <w:bottom w:val="single" w:sz="2" w:space="0" w:color="auto"/>
              <w:right w:val="single" w:sz="2" w:space="0" w:color="auto"/>
            </w:tcBorders>
            <w:shd w:val="clear" w:color="auto" w:fill="D3D3D3"/>
            <w:vAlign w:val="center"/>
          </w:tcPr>
          <w:p w14:paraId="7EF7E2EC"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可抵扣暂时性差异</w:t>
            </w:r>
          </w:p>
        </w:tc>
        <w:tc>
          <w:tcPr>
            <w:tcW w:w="1737" w:type="dxa"/>
            <w:tcBorders>
              <w:top w:val="single" w:sz="2" w:space="0" w:color="auto"/>
              <w:left w:val="single" w:sz="2" w:space="0" w:color="auto"/>
              <w:bottom w:val="single" w:sz="2" w:space="0" w:color="auto"/>
              <w:right w:val="single" w:sz="2" w:space="0" w:color="auto"/>
            </w:tcBorders>
            <w:shd w:val="clear" w:color="auto" w:fill="D3D3D3"/>
            <w:vAlign w:val="center"/>
          </w:tcPr>
          <w:p w14:paraId="06C96C7A"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递延所得税资产</w:t>
            </w:r>
          </w:p>
        </w:tc>
      </w:tr>
      <w:tr w:rsidR="00095F6F" w:rsidRPr="002A3111" w14:paraId="32A1F6E5"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2B905EC8"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资产减值准备</w:t>
            </w:r>
          </w:p>
        </w:tc>
        <w:tc>
          <w:tcPr>
            <w:tcW w:w="1736" w:type="dxa"/>
            <w:tcBorders>
              <w:top w:val="single" w:sz="2" w:space="0" w:color="auto"/>
              <w:left w:val="single" w:sz="2" w:space="0" w:color="auto"/>
              <w:bottom w:val="single" w:sz="2" w:space="0" w:color="auto"/>
              <w:right w:val="single" w:sz="2" w:space="0" w:color="auto"/>
            </w:tcBorders>
            <w:vAlign w:val="center"/>
          </w:tcPr>
          <w:p w14:paraId="5C90F832"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240,190,183.19</w:t>
            </w:r>
          </w:p>
        </w:tc>
        <w:tc>
          <w:tcPr>
            <w:tcW w:w="1736" w:type="dxa"/>
            <w:tcBorders>
              <w:top w:val="single" w:sz="2" w:space="0" w:color="auto"/>
              <w:left w:val="single" w:sz="2" w:space="0" w:color="auto"/>
              <w:bottom w:val="single" w:sz="2" w:space="0" w:color="auto"/>
              <w:right w:val="single" w:sz="2" w:space="0" w:color="auto"/>
            </w:tcBorders>
            <w:vAlign w:val="center"/>
          </w:tcPr>
          <w:p w14:paraId="408E725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38,275,865.95</w:t>
            </w:r>
          </w:p>
        </w:tc>
        <w:tc>
          <w:tcPr>
            <w:tcW w:w="1736" w:type="dxa"/>
            <w:tcBorders>
              <w:top w:val="single" w:sz="2" w:space="0" w:color="auto"/>
              <w:left w:val="single" w:sz="2" w:space="0" w:color="auto"/>
              <w:bottom w:val="single" w:sz="2" w:space="0" w:color="auto"/>
              <w:right w:val="single" w:sz="2" w:space="0" w:color="auto"/>
            </w:tcBorders>
            <w:vAlign w:val="center"/>
          </w:tcPr>
          <w:p w14:paraId="33C4C40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227,069,155.38</w:t>
            </w:r>
          </w:p>
        </w:tc>
        <w:tc>
          <w:tcPr>
            <w:tcW w:w="1737" w:type="dxa"/>
            <w:tcBorders>
              <w:top w:val="single" w:sz="2" w:space="0" w:color="auto"/>
              <w:left w:val="single" w:sz="2" w:space="0" w:color="auto"/>
              <w:bottom w:val="single" w:sz="2" w:space="0" w:color="auto"/>
              <w:right w:val="single" w:sz="2" w:space="0" w:color="auto"/>
            </w:tcBorders>
            <w:vAlign w:val="center"/>
          </w:tcPr>
          <w:p w14:paraId="1EA10D4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35,785,860.15</w:t>
            </w:r>
          </w:p>
        </w:tc>
      </w:tr>
      <w:tr w:rsidR="00095F6F" w:rsidRPr="002A3111" w14:paraId="587D7389"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09C83AF5"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预计负债</w:t>
            </w:r>
          </w:p>
        </w:tc>
        <w:tc>
          <w:tcPr>
            <w:tcW w:w="1736" w:type="dxa"/>
            <w:tcBorders>
              <w:top w:val="single" w:sz="2" w:space="0" w:color="auto"/>
              <w:left w:val="single" w:sz="2" w:space="0" w:color="auto"/>
              <w:bottom w:val="single" w:sz="2" w:space="0" w:color="auto"/>
              <w:right w:val="single" w:sz="2" w:space="0" w:color="auto"/>
            </w:tcBorders>
            <w:vAlign w:val="center"/>
          </w:tcPr>
          <w:p w14:paraId="618A7C0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63,676,893.78</w:t>
            </w:r>
          </w:p>
        </w:tc>
        <w:tc>
          <w:tcPr>
            <w:tcW w:w="1736" w:type="dxa"/>
            <w:tcBorders>
              <w:top w:val="single" w:sz="2" w:space="0" w:color="auto"/>
              <w:left w:val="single" w:sz="2" w:space="0" w:color="auto"/>
              <w:bottom w:val="single" w:sz="2" w:space="0" w:color="auto"/>
              <w:right w:val="single" w:sz="2" w:space="0" w:color="auto"/>
            </w:tcBorders>
            <w:vAlign w:val="center"/>
          </w:tcPr>
          <w:p w14:paraId="18C50D22"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9,747,178.25</w:t>
            </w:r>
          </w:p>
        </w:tc>
        <w:tc>
          <w:tcPr>
            <w:tcW w:w="1736" w:type="dxa"/>
            <w:tcBorders>
              <w:top w:val="single" w:sz="2" w:space="0" w:color="auto"/>
              <w:left w:val="single" w:sz="2" w:space="0" w:color="auto"/>
              <w:bottom w:val="single" w:sz="2" w:space="0" w:color="auto"/>
              <w:right w:val="single" w:sz="2" w:space="0" w:color="auto"/>
            </w:tcBorders>
            <w:vAlign w:val="center"/>
          </w:tcPr>
          <w:p w14:paraId="5A959D1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36,048,178.08</w:t>
            </w:r>
          </w:p>
        </w:tc>
        <w:tc>
          <w:tcPr>
            <w:tcW w:w="1737" w:type="dxa"/>
            <w:tcBorders>
              <w:top w:val="single" w:sz="2" w:space="0" w:color="auto"/>
              <w:left w:val="single" w:sz="2" w:space="0" w:color="auto"/>
              <w:bottom w:val="single" w:sz="2" w:space="0" w:color="auto"/>
              <w:right w:val="single" w:sz="2" w:space="0" w:color="auto"/>
            </w:tcBorders>
            <w:vAlign w:val="center"/>
          </w:tcPr>
          <w:p w14:paraId="38B8E0C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5,554,558.95</w:t>
            </w:r>
          </w:p>
        </w:tc>
      </w:tr>
      <w:tr w:rsidR="00095F6F" w:rsidRPr="002A3111" w14:paraId="518F0925"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022FF571"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政府补助</w:t>
            </w:r>
          </w:p>
        </w:tc>
        <w:tc>
          <w:tcPr>
            <w:tcW w:w="1736" w:type="dxa"/>
            <w:tcBorders>
              <w:top w:val="single" w:sz="2" w:space="0" w:color="auto"/>
              <w:left w:val="single" w:sz="2" w:space="0" w:color="auto"/>
              <w:bottom w:val="single" w:sz="2" w:space="0" w:color="auto"/>
              <w:right w:val="single" w:sz="2" w:space="0" w:color="auto"/>
            </w:tcBorders>
            <w:vAlign w:val="center"/>
          </w:tcPr>
          <w:p w14:paraId="04E79F5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131,086,331.13</w:t>
            </w:r>
          </w:p>
        </w:tc>
        <w:tc>
          <w:tcPr>
            <w:tcW w:w="1736" w:type="dxa"/>
            <w:tcBorders>
              <w:top w:val="single" w:sz="2" w:space="0" w:color="auto"/>
              <w:left w:val="single" w:sz="2" w:space="0" w:color="auto"/>
              <w:bottom w:val="single" w:sz="2" w:space="0" w:color="auto"/>
              <w:right w:val="single" w:sz="2" w:space="0" w:color="auto"/>
            </w:tcBorders>
            <w:vAlign w:val="center"/>
          </w:tcPr>
          <w:p w14:paraId="44D84AF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19,662,949.67</w:t>
            </w:r>
          </w:p>
        </w:tc>
        <w:tc>
          <w:tcPr>
            <w:tcW w:w="1736" w:type="dxa"/>
            <w:tcBorders>
              <w:top w:val="single" w:sz="2" w:space="0" w:color="auto"/>
              <w:left w:val="single" w:sz="2" w:space="0" w:color="auto"/>
              <w:bottom w:val="single" w:sz="2" w:space="0" w:color="auto"/>
              <w:right w:val="single" w:sz="2" w:space="0" w:color="auto"/>
            </w:tcBorders>
            <w:vAlign w:val="center"/>
          </w:tcPr>
          <w:p w14:paraId="38C089FD"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133,547,466.20</w:t>
            </w:r>
          </w:p>
        </w:tc>
        <w:tc>
          <w:tcPr>
            <w:tcW w:w="1737" w:type="dxa"/>
            <w:tcBorders>
              <w:top w:val="single" w:sz="2" w:space="0" w:color="auto"/>
              <w:left w:val="single" w:sz="2" w:space="0" w:color="auto"/>
              <w:bottom w:val="single" w:sz="2" w:space="0" w:color="auto"/>
              <w:right w:val="single" w:sz="2" w:space="0" w:color="auto"/>
            </w:tcBorders>
            <w:vAlign w:val="center"/>
          </w:tcPr>
          <w:p w14:paraId="4D7A762B"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20,032,119.93</w:t>
            </w:r>
          </w:p>
        </w:tc>
      </w:tr>
      <w:tr w:rsidR="00095F6F" w:rsidRPr="002A3111" w14:paraId="03FF919E"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150916BE"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费用计提</w:t>
            </w:r>
          </w:p>
        </w:tc>
        <w:tc>
          <w:tcPr>
            <w:tcW w:w="1736" w:type="dxa"/>
            <w:tcBorders>
              <w:top w:val="single" w:sz="2" w:space="0" w:color="auto"/>
              <w:left w:val="single" w:sz="2" w:space="0" w:color="auto"/>
              <w:bottom w:val="single" w:sz="2" w:space="0" w:color="auto"/>
              <w:right w:val="single" w:sz="2" w:space="0" w:color="auto"/>
            </w:tcBorders>
            <w:vAlign w:val="center"/>
          </w:tcPr>
          <w:p w14:paraId="18BA3524"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127,695,314.56</w:t>
            </w:r>
          </w:p>
        </w:tc>
        <w:tc>
          <w:tcPr>
            <w:tcW w:w="1736" w:type="dxa"/>
            <w:tcBorders>
              <w:top w:val="single" w:sz="2" w:space="0" w:color="auto"/>
              <w:left w:val="single" w:sz="2" w:space="0" w:color="auto"/>
              <w:bottom w:val="single" w:sz="2" w:space="0" w:color="auto"/>
              <w:right w:val="single" w:sz="2" w:space="0" w:color="auto"/>
            </w:tcBorders>
            <w:vAlign w:val="center"/>
          </w:tcPr>
          <w:p w14:paraId="3A956FC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19,719,380.18</w:t>
            </w:r>
          </w:p>
        </w:tc>
        <w:tc>
          <w:tcPr>
            <w:tcW w:w="1736" w:type="dxa"/>
            <w:tcBorders>
              <w:top w:val="single" w:sz="2" w:space="0" w:color="auto"/>
              <w:left w:val="single" w:sz="2" w:space="0" w:color="auto"/>
              <w:bottom w:val="single" w:sz="2" w:space="0" w:color="auto"/>
              <w:right w:val="single" w:sz="2" w:space="0" w:color="auto"/>
            </w:tcBorders>
            <w:vAlign w:val="center"/>
          </w:tcPr>
          <w:p w14:paraId="11EF27D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100,448,808.11</w:t>
            </w:r>
          </w:p>
        </w:tc>
        <w:tc>
          <w:tcPr>
            <w:tcW w:w="1737" w:type="dxa"/>
            <w:tcBorders>
              <w:top w:val="single" w:sz="2" w:space="0" w:color="auto"/>
              <w:left w:val="single" w:sz="2" w:space="0" w:color="auto"/>
              <w:bottom w:val="single" w:sz="2" w:space="0" w:color="auto"/>
              <w:right w:val="single" w:sz="2" w:space="0" w:color="auto"/>
            </w:tcBorders>
            <w:vAlign w:val="center"/>
          </w:tcPr>
          <w:p w14:paraId="1ED88CE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15,067,321.22</w:t>
            </w:r>
          </w:p>
        </w:tc>
      </w:tr>
      <w:tr w:rsidR="00095F6F" w:rsidRPr="002A3111" w14:paraId="60CDBFDA"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04A46A39"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员工持股计划</w:t>
            </w:r>
          </w:p>
        </w:tc>
        <w:tc>
          <w:tcPr>
            <w:tcW w:w="1736" w:type="dxa"/>
            <w:tcBorders>
              <w:top w:val="single" w:sz="2" w:space="0" w:color="auto"/>
              <w:left w:val="single" w:sz="2" w:space="0" w:color="auto"/>
              <w:bottom w:val="single" w:sz="2" w:space="0" w:color="auto"/>
              <w:right w:val="single" w:sz="2" w:space="0" w:color="auto"/>
            </w:tcBorders>
            <w:vAlign w:val="center"/>
          </w:tcPr>
          <w:p w14:paraId="328BC4AE"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9,828,199.69</w:t>
            </w:r>
          </w:p>
        </w:tc>
        <w:tc>
          <w:tcPr>
            <w:tcW w:w="1736" w:type="dxa"/>
            <w:tcBorders>
              <w:top w:val="single" w:sz="2" w:space="0" w:color="auto"/>
              <w:left w:val="single" w:sz="2" w:space="0" w:color="auto"/>
              <w:bottom w:val="single" w:sz="2" w:space="0" w:color="auto"/>
              <w:right w:val="single" w:sz="2" w:space="0" w:color="auto"/>
            </w:tcBorders>
            <w:vAlign w:val="center"/>
          </w:tcPr>
          <w:p w14:paraId="370514FD"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1,474,229.95</w:t>
            </w:r>
          </w:p>
        </w:tc>
        <w:tc>
          <w:tcPr>
            <w:tcW w:w="1736" w:type="dxa"/>
            <w:tcBorders>
              <w:top w:val="single" w:sz="2" w:space="0" w:color="auto"/>
              <w:left w:val="single" w:sz="2" w:space="0" w:color="auto"/>
              <w:bottom w:val="single" w:sz="2" w:space="0" w:color="auto"/>
              <w:right w:val="single" w:sz="2" w:space="0" w:color="auto"/>
            </w:tcBorders>
            <w:vAlign w:val="center"/>
          </w:tcPr>
          <w:p w14:paraId="5902F63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30,652,122.08</w:t>
            </w:r>
          </w:p>
        </w:tc>
        <w:tc>
          <w:tcPr>
            <w:tcW w:w="1737" w:type="dxa"/>
            <w:tcBorders>
              <w:top w:val="single" w:sz="2" w:space="0" w:color="auto"/>
              <w:left w:val="single" w:sz="2" w:space="0" w:color="auto"/>
              <w:bottom w:val="single" w:sz="2" w:space="0" w:color="auto"/>
              <w:right w:val="single" w:sz="2" w:space="0" w:color="auto"/>
            </w:tcBorders>
            <w:vAlign w:val="center"/>
          </w:tcPr>
          <w:p w14:paraId="61AC80A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4,597,818.31</w:t>
            </w:r>
          </w:p>
        </w:tc>
      </w:tr>
      <w:tr w:rsidR="00095F6F" w:rsidRPr="002A3111" w14:paraId="282ACD2E"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50C912E7"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经营性亏损</w:t>
            </w:r>
            <w:r w:rsidRPr="002A3111">
              <w:rPr>
                <w:rFonts w:ascii="Times New Roman" w:eastAsia="宋体" w:hAnsi="Times New Roman" w:cs="Times New Roman"/>
                <w:sz w:val="18"/>
                <w:szCs w:val="18"/>
              </w:rPr>
              <w:t>US</w:t>
            </w:r>
          </w:p>
        </w:tc>
        <w:tc>
          <w:tcPr>
            <w:tcW w:w="1736" w:type="dxa"/>
            <w:tcBorders>
              <w:top w:val="single" w:sz="2" w:space="0" w:color="auto"/>
              <w:left w:val="single" w:sz="2" w:space="0" w:color="auto"/>
              <w:bottom w:val="single" w:sz="2" w:space="0" w:color="auto"/>
              <w:right w:val="single" w:sz="2" w:space="0" w:color="auto"/>
            </w:tcBorders>
            <w:vAlign w:val="center"/>
          </w:tcPr>
          <w:p w14:paraId="4CE7061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70,184,956.23</w:t>
            </w:r>
          </w:p>
        </w:tc>
        <w:tc>
          <w:tcPr>
            <w:tcW w:w="1736" w:type="dxa"/>
            <w:tcBorders>
              <w:top w:val="single" w:sz="2" w:space="0" w:color="auto"/>
              <w:left w:val="single" w:sz="2" w:space="0" w:color="auto"/>
              <w:bottom w:val="single" w:sz="2" w:space="0" w:color="auto"/>
              <w:right w:val="single" w:sz="2" w:space="0" w:color="auto"/>
            </w:tcBorders>
            <w:vAlign w:val="center"/>
          </w:tcPr>
          <w:p w14:paraId="55E1F9A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15,508,110.83</w:t>
            </w:r>
          </w:p>
        </w:tc>
        <w:tc>
          <w:tcPr>
            <w:tcW w:w="1736" w:type="dxa"/>
            <w:tcBorders>
              <w:top w:val="single" w:sz="2" w:space="0" w:color="auto"/>
              <w:left w:val="single" w:sz="2" w:space="0" w:color="auto"/>
              <w:bottom w:val="single" w:sz="2" w:space="0" w:color="auto"/>
              <w:right w:val="single" w:sz="2" w:space="0" w:color="auto"/>
            </w:tcBorders>
            <w:vAlign w:val="center"/>
          </w:tcPr>
          <w:p w14:paraId="593325D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31,453,170.56</w:t>
            </w:r>
          </w:p>
        </w:tc>
        <w:tc>
          <w:tcPr>
            <w:tcW w:w="1737" w:type="dxa"/>
            <w:tcBorders>
              <w:top w:val="single" w:sz="2" w:space="0" w:color="auto"/>
              <w:left w:val="single" w:sz="2" w:space="0" w:color="auto"/>
              <w:bottom w:val="single" w:sz="2" w:space="0" w:color="auto"/>
              <w:right w:val="single" w:sz="2" w:space="0" w:color="auto"/>
            </w:tcBorders>
            <w:vAlign w:val="center"/>
          </w:tcPr>
          <w:p w14:paraId="1A40002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7,294,053.16</w:t>
            </w:r>
          </w:p>
        </w:tc>
      </w:tr>
      <w:tr w:rsidR="00095F6F" w:rsidRPr="002A3111" w14:paraId="734846FB"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0F8A362F"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研发费用</w:t>
            </w:r>
            <w:r w:rsidRPr="002A3111">
              <w:rPr>
                <w:rFonts w:ascii="Times New Roman" w:eastAsia="宋体" w:hAnsi="Times New Roman" w:cs="Times New Roman"/>
                <w:sz w:val="18"/>
                <w:szCs w:val="18"/>
              </w:rPr>
              <w:t>US</w:t>
            </w:r>
          </w:p>
        </w:tc>
        <w:tc>
          <w:tcPr>
            <w:tcW w:w="1736" w:type="dxa"/>
            <w:tcBorders>
              <w:top w:val="single" w:sz="2" w:space="0" w:color="auto"/>
              <w:left w:val="single" w:sz="2" w:space="0" w:color="auto"/>
              <w:bottom w:val="single" w:sz="2" w:space="0" w:color="auto"/>
              <w:right w:val="single" w:sz="2" w:space="0" w:color="auto"/>
            </w:tcBorders>
            <w:vAlign w:val="center"/>
          </w:tcPr>
          <w:p w14:paraId="444D5D2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14,210,117.71</w:t>
            </w:r>
          </w:p>
        </w:tc>
        <w:tc>
          <w:tcPr>
            <w:tcW w:w="1736" w:type="dxa"/>
            <w:tcBorders>
              <w:top w:val="single" w:sz="2" w:space="0" w:color="auto"/>
              <w:left w:val="single" w:sz="2" w:space="0" w:color="auto"/>
              <w:bottom w:val="single" w:sz="2" w:space="0" w:color="auto"/>
              <w:right w:val="single" w:sz="2" w:space="0" w:color="auto"/>
            </w:tcBorders>
            <w:vAlign w:val="center"/>
          </w:tcPr>
          <w:p w14:paraId="66FB5DDC"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3,146,125.88</w:t>
            </w:r>
          </w:p>
        </w:tc>
        <w:tc>
          <w:tcPr>
            <w:tcW w:w="1736" w:type="dxa"/>
            <w:tcBorders>
              <w:top w:val="single" w:sz="2" w:space="0" w:color="auto"/>
              <w:left w:val="single" w:sz="2" w:space="0" w:color="auto"/>
              <w:bottom w:val="single" w:sz="2" w:space="0" w:color="auto"/>
              <w:right w:val="single" w:sz="2" w:space="0" w:color="auto"/>
            </w:tcBorders>
            <w:vAlign w:val="center"/>
          </w:tcPr>
          <w:p w14:paraId="544C9FB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10,103,073.28</w:t>
            </w:r>
          </w:p>
        </w:tc>
        <w:tc>
          <w:tcPr>
            <w:tcW w:w="1737" w:type="dxa"/>
            <w:tcBorders>
              <w:top w:val="single" w:sz="2" w:space="0" w:color="auto"/>
              <w:left w:val="single" w:sz="2" w:space="0" w:color="auto"/>
              <w:bottom w:val="single" w:sz="2" w:space="0" w:color="auto"/>
              <w:right w:val="single" w:sz="2" w:space="0" w:color="auto"/>
            </w:tcBorders>
            <w:vAlign w:val="center"/>
          </w:tcPr>
          <w:p w14:paraId="1A97B3FB"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2,342,922.90</w:t>
            </w:r>
          </w:p>
        </w:tc>
      </w:tr>
      <w:tr w:rsidR="00095F6F" w:rsidRPr="002A3111" w14:paraId="183CB218"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60FA46CA"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预提费用</w:t>
            </w:r>
            <w:r w:rsidRPr="002A3111">
              <w:rPr>
                <w:rFonts w:ascii="Times New Roman" w:eastAsia="宋体" w:hAnsi="Times New Roman" w:cs="Times New Roman"/>
                <w:sz w:val="18"/>
                <w:szCs w:val="18"/>
              </w:rPr>
              <w:t>US</w:t>
            </w:r>
          </w:p>
        </w:tc>
        <w:tc>
          <w:tcPr>
            <w:tcW w:w="1736" w:type="dxa"/>
            <w:tcBorders>
              <w:top w:val="single" w:sz="2" w:space="0" w:color="auto"/>
              <w:left w:val="single" w:sz="2" w:space="0" w:color="auto"/>
              <w:bottom w:val="single" w:sz="2" w:space="0" w:color="auto"/>
              <w:right w:val="single" w:sz="2" w:space="0" w:color="auto"/>
            </w:tcBorders>
            <w:vAlign w:val="center"/>
          </w:tcPr>
          <w:p w14:paraId="7C7AA33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25,125,538.86</w:t>
            </w:r>
          </w:p>
        </w:tc>
        <w:tc>
          <w:tcPr>
            <w:tcW w:w="1736" w:type="dxa"/>
            <w:tcBorders>
              <w:top w:val="single" w:sz="2" w:space="0" w:color="auto"/>
              <w:left w:val="single" w:sz="2" w:space="0" w:color="auto"/>
              <w:bottom w:val="single" w:sz="2" w:space="0" w:color="auto"/>
              <w:right w:val="single" w:sz="2" w:space="0" w:color="auto"/>
            </w:tcBorders>
            <w:vAlign w:val="center"/>
          </w:tcPr>
          <w:p w14:paraId="07D5AF5C"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5,562,804.59</w:t>
            </w:r>
          </w:p>
        </w:tc>
        <w:tc>
          <w:tcPr>
            <w:tcW w:w="1736" w:type="dxa"/>
            <w:tcBorders>
              <w:top w:val="single" w:sz="2" w:space="0" w:color="auto"/>
              <w:left w:val="single" w:sz="2" w:space="0" w:color="auto"/>
              <w:bottom w:val="single" w:sz="2" w:space="0" w:color="auto"/>
              <w:right w:val="single" w:sz="2" w:space="0" w:color="auto"/>
            </w:tcBorders>
            <w:vAlign w:val="center"/>
          </w:tcPr>
          <w:p w14:paraId="2BB51F7C"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25,740,687.32</w:t>
            </w:r>
          </w:p>
        </w:tc>
        <w:tc>
          <w:tcPr>
            <w:tcW w:w="1737" w:type="dxa"/>
            <w:tcBorders>
              <w:top w:val="single" w:sz="2" w:space="0" w:color="auto"/>
              <w:left w:val="single" w:sz="2" w:space="0" w:color="auto"/>
              <w:bottom w:val="single" w:sz="2" w:space="0" w:color="auto"/>
              <w:right w:val="single" w:sz="2" w:space="0" w:color="auto"/>
            </w:tcBorders>
            <w:vAlign w:val="center"/>
          </w:tcPr>
          <w:p w14:paraId="5E85A15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5,969,316.87</w:t>
            </w:r>
          </w:p>
        </w:tc>
      </w:tr>
      <w:tr w:rsidR="00095F6F" w:rsidRPr="002A3111" w14:paraId="03EEA496"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35B56545"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未实现内部交易损益</w:t>
            </w:r>
          </w:p>
        </w:tc>
        <w:tc>
          <w:tcPr>
            <w:tcW w:w="1736" w:type="dxa"/>
            <w:tcBorders>
              <w:top w:val="single" w:sz="2" w:space="0" w:color="auto"/>
              <w:left w:val="single" w:sz="2" w:space="0" w:color="auto"/>
              <w:bottom w:val="single" w:sz="2" w:space="0" w:color="auto"/>
              <w:right w:val="single" w:sz="2" w:space="0" w:color="auto"/>
            </w:tcBorders>
            <w:vAlign w:val="center"/>
          </w:tcPr>
          <w:p w14:paraId="0AFAD03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18,301,282.20</w:t>
            </w:r>
          </w:p>
        </w:tc>
        <w:tc>
          <w:tcPr>
            <w:tcW w:w="1736" w:type="dxa"/>
            <w:tcBorders>
              <w:top w:val="single" w:sz="2" w:space="0" w:color="auto"/>
              <w:left w:val="single" w:sz="2" w:space="0" w:color="auto"/>
              <w:bottom w:val="single" w:sz="2" w:space="0" w:color="auto"/>
              <w:right w:val="single" w:sz="2" w:space="0" w:color="auto"/>
            </w:tcBorders>
            <w:vAlign w:val="center"/>
          </w:tcPr>
          <w:p w14:paraId="5312F17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2,745,192.33</w:t>
            </w:r>
          </w:p>
        </w:tc>
        <w:tc>
          <w:tcPr>
            <w:tcW w:w="1736" w:type="dxa"/>
            <w:tcBorders>
              <w:top w:val="single" w:sz="2" w:space="0" w:color="auto"/>
              <w:left w:val="single" w:sz="2" w:space="0" w:color="auto"/>
              <w:bottom w:val="single" w:sz="2" w:space="0" w:color="auto"/>
              <w:right w:val="single" w:sz="2" w:space="0" w:color="auto"/>
            </w:tcBorders>
            <w:vAlign w:val="center"/>
          </w:tcPr>
          <w:p w14:paraId="18C695D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17,220,686.60</w:t>
            </w:r>
          </w:p>
        </w:tc>
        <w:tc>
          <w:tcPr>
            <w:tcW w:w="1737" w:type="dxa"/>
            <w:tcBorders>
              <w:top w:val="single" w:sz="2" w:space="0" w:color="auto"/>
              <w:left w:val="single" w:sz="2" w:space="0" w:color="auto"/>
              <w:bottom w:val="single" w:sz="2" w:space="0" w:color="auto"/>
              <w:right w:val="single" w:sz="2" w:space="0" w:color="auto"/>
            </w:tcBorders>
            <w:vAlign w:val="center"/>
          </w:tcPr>
          <w:p w14:paraId="156EF548"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2,583,102.99</w:t>
            </w:r>
          </w:p>
        </w:tc>
      </w:tr>
      <w:tr w:rsidR="00095F6F" w:rsidRPr="002A3111" w14:paraId="4F81EB21"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7AEFCADD"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其他权益工具投资公允值变动</w:t>
            </w:r>
          </w:p>
        </w:tc>
        <w:tc>
          <w:tcPr>
            <w:tcW w:w="1736" w:type="dxa"/>
            <w:tcBorders>
              <w:top w:val="single" w:sz="2" w:space="0" w:color="auto"/>
              <w:left w:val="single" w:sz="2" w:space="0" w:color="auto"/>
              <w:bottom w:val="single" w:sz="2" w:space="0" w:color="auto"/>
              <w:right w:val="single" w:sz="2" w:space="0" w:color="auto"/>
            </w:tcBorders>
            <w:vAlign w:val="center"/>
          </w:tcPr>
          <w:p w14:paraId="5C46737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61,002,698.43</w:t>
            </w:r>
          </w:p>
        </w:tc>
        <w:tc>
          <w:tcPr>
            <w:tcW w:w="1736" w:type="dxa"/>
            <w:tcBorders>
              <w:top w:val="single" w:sz="2" w:space="0" w:color="auto"/>
              <w:left w:val="single" w:sz="2" w:space="0" w:color="auto"/>
              <w:bottom w:val="single" w:sz="2" w:space="0" w:color="auto"/>
              <w:right w:val="single" w:sz="2" w:space="0" w:color="auto"/>
            </w:tcBorders>
            <w:vAlign w:val="center"/>
          </w:tcPr>
          <w:p w14:paraId="15C7E3A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9,150,404.76</w:t>
            </w:r>
          </w:p>
        </w:tc>
        <w:tc>
          <w:tcPr>
            <w:tcW w:w="1736" w:type="dxa"/>
            <w:tcBorders>
              <w:top w:val="single" w:sz="2" w:space="0" w:color="auto"/>
              <w:left w:val="single" w:sz="2" w:space="0" w:color="auto"/>
              <w:bottom w:val="single" w:sz="2" w:space="0" w:color="auto"/>
              <w:right w:val="single" w:sz="2" w:space="0" w:color="auto"/>
            </w:tcBorders>
            <w:vAlign w:val="center"/>
          </w:tcPr>
          <w:p w14:paraId="30759EE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55,634,914.11</w:t>
            </w:r>
          </w:p>
        </w:tc>
        <w:tc>
          <w:tcPr>
            <w:tcW w:w="1737" w:type="dxa"/>
            <w:tcBorders>
              <w:top w:val="single" w:sz="2" w:space="0" w:color="auto"/>
              <w:left w:val="single" w:sz="2" w:space="0" w:color="auto"/>
              <w:bottom w:val="single" w:sz="2" w:space="0" w:color="auto"/>
              <w:right w:val="single" w:sz="2" w:space="0" w:color="auto"/>
            </w:tcBorders>
            <w:vAlign w:val="center"/>
          </w:tcPr>
          <w:p w14:paraId="2B5E4CA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8,345,237.12</w:t>
            </w:r>
          </w:p>
        </w:tc>
      </w:tr>
      <w:tr w:rsidR="00095F6F" w:rsidRPr="002A3111" w14:paraId="42AA48A7"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7412125F"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租赁负债税会差异</w:t>
            </w:r>
          </w:p>
        </w:tc>
        <w:tc>
          <w:tcPr>
            <w:tcW w:w="1736" w:type="dxa"/>
            <w:tcBorders>
              <w:top w:val="single" w:sz="2" w:space="0" w:color="auto"/>
              <w:left w:val="single" w:sz="2" w:space="0" w:color="auto"/>
              <w:bottom w:val="single" w:sz="2" w:space="0" w:color="auto"/>
              <w:right w:val="single" w:sz="2" w:space="0" w:color="auto"/>
            </w:tcBorders>
            <w:vAlign w:val="center"/>
          </w:tcPr>
          <w:p w14:paraId="7457CC7B"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2,601,214.04</w:t>
            </w:r>
          </w:p>
        </w:tc>
        <w:tc>
          <w:tcPr>
            <w:tcW w:w="1736" w:type="dxa"/>
            <w:tcBorders>
              <w:top w:val="single" w:sz="2" w:space="0" w:color="auto"/>
              <w:left w:val="single" w:sz="2" w:space="0" w:color="auto"/>
              <w:bottom w:val="single" w:sz="2" w:space="0" w:color="auto"/>
              <w:right w:val="single" w:sz="2" w:space="0" w:color="auto"/>
            </w:tcBorders>
            <w:vAlign w:val="center"/>
          </w:tcPr>
          <w:p w14:paraId="674C8231"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407,001.52</w:t>
            </w:r>
          </w:p>
        </w:tc>
        <w:tc>
          <w:tcPr>
            <w:tcW w:w="1736" w:type="dxa"/>
            <w:tcBorders>
              <w:top w:val="single" w:sz="2" w:space="0" w:color="auto"/>
              <w:left w:val="single" w:sz="2" w:space="0" w:color="auto"/>
              <w:bottom w:val="single" w:sz="2" w:space="0" w:color="auto"/>
              <w:right w:val="single" w:sz="2" w:space="0" w:color="auto"/>
            </w:tcBorders>
            <w:vAlign w:val="center"/>
          </w:tcPr>
          <w:p w14:paraId="7D2B873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4,883,581.19</w:t>
            </w:r>
          </w:p>
        </w:tc>
        <w:tc>
          <w:tcPr>
            <w:tcW w:w="1737" w:type="dxa"/>
            <w:tcBorders>
              <w:top w:val="single" w:sz="2" w:space="0" w:color="auto"/>
              <w:left w:val="single" w:sz="2" w:space="0" w:color="auto"/>
              <w:bottom w:val="single" w:sz="2" w:space="0" w:color="auto"/>
              <w:right w:val="single" w:sz="2" w:space="0" w:color="auto"/>
            </w:tcBorders>
            <w:vAlign w:val="center"/>
          </w:tcPr>
          <w:p w14:paraId="09EF14A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756,511.57</w:t>
            </w:r>
          </w:p>
        </w:tc>
      </w:tr>
      <w:tr w:rsidR="00095F6F" w:rsidRPr="002A3111" w14:paraId="5C148AE2"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vAlign w:val="center"/>
          </w:tcPr>
          <w:p w14:paraId="5A038029"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其他</w:t>
            </w:r>
          </w:p>
        </w:tc>
        <w:tc>
          <w:tcPr>
            <w:tcW w:w="1736" w:type="dxa"/>
            <w:tcBorders>
              <w:top w:val="single" w:sz="2" w:space="0" w:color="auto"/>
              <w:left w:val="single" w:sz="2" w:space="0" w:color="auto"/>
              <w:bottom w:val="single" w:sz="2" w:space="0" w:color="auto"/>
              <w:right w:val="single" w:sz="2" w:space="0" w:color="auto"/>
            </w:tcBorders>
            <w:vAlign w:val="center"/>
          </w:tcPr>
          <w:p w14:paraId="5358972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14,865,106.81</w:t>
            </w:r>
          </w:p>
        </w:tc>
        <w:tc>
          <w:tcPr>
            <w:tcW w:w="1736" w:type="dxa"/>
            <w:tcBorders>
              <w:top w:val="single" w:sz="2" w:space="0" w:color="auto"/>
              <w:left w:val="single" w:sz="2" w:space="0" w:color="auto"/>
              <w:bottom w:val="single" w:sz="2" w:space="0" w:color="auto"/>
              <w:right w:val="single" w:sz="2" w:space="0" w:color="auto"/>
            </w:tcBorders>
            <w:vAlign w:val="center"/>
          </w:tcPr>
          <w:p w14:paraId="08ABD9D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2,250,893.12</w:t>
            </w:r>
          </w:p>
        </w:tc>
        <w:tc>
          <w:tcPr>
            <w:tcW w:w="1736" w:type="dxa"/>
            <w:tcBorders>
              <w:top w:val="single" w:sz="2" w:space="0" w:color="auto"/>
              <w:left w:val="single" w:sz="2" w:space="0" w:color="auto"/>
              <w:bottom w:val="single" w:sz="2" w:space="0" w:color="auto"/>
              <w:right w:val="single" w:sz="2" w:space="0" w:color="auto"/>
            </w:tcBorders>
            <w:vAlign w:val="center"/>
          </w:tcPr>
          <w:p w14:paraId="43CFB2D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14,795,003.99</w:t>
            </w:r>
          </w:p>
        </w:tc>
        <w:tc>
          <w:tcPr>
            <w:tcW w:w="1737" w:type="dxa"/>
            <w:tcBorders>
              <w:top w:val="single" w:sz="2" w:space="0" w:color="auto"/>
              <w:left w:val="single" w:sz="2" w:space="0" w:color="auto"/>
              <w:bottom w:val="single" w:sz="2" w:space="0" w:color="auto"/>
              <w:right w:val="single" w:sz="2" w:space="0" w:color="auto"/>
            </w:tcBorders>
            <w:vAlign w:val="center"/>
          </w:tcPr>
          <w:p w14:paraId="120CB761"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2,245,333.26</w:t>
            </w:r>
          </w:p>
        </w:tc>
      </w:tr>
      <w:tr w:rsidR="00095F6F" w:rsidRPr="002A3111" w14:paraId="57C5B3AB" w14:textId="77777777" w:rsidTr="002A3111">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155C8C8E"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合计</w:t>
            </w:r>
          </w:p>
        </w:tc>
        <w:tc>
          <w:tcPr>
            <w:tcW w:w="1736" w:type="dxa"/>
            <w:tcBorders>
              <w:top w:val="single" w:sz="2" w:space="0" w:color="auto"/>
              <w:left w:val="single" w:sz="2" w:space="0" w:color="auto"/>
              <w:bottom w:val="single" w:sz="2" w:space="0" w:color="auto"/>
              <w:right w:val="single" w:sz="2" w:space="0" w:color="auto"/>
            </w:tcBorders>
            <w:vAlign w:val="center"/>
          </w:tcPr>
          <w:p w14:paraId="1A88DAF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778,767,836.63</w:t>
            </w:r>
          </w:p>
        </w:tc>
        <w:tc>
          <w:tcPr>
            <w:tcW w:w="1736" w:type="dxa"/>
            <w:tcBorders>
              <w:top w:val="single" w:sz="2" w:space="0" w:color="auto"/>
              <w:left w:val="single" w:sz="2" w:space="0" w:color="auto"/>
              <w:bottom w:val="single" w:sz="2" w:space="0" w:color="auto"/>
              <w:right w:val="single" w:sz="2" w:space="0" w:color="auto"/>
            </w:tcBorders>
            <w:vAlign w:val="center"/>
          </w:tcPr>
          <w:p w14:paraId="0F44CBC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127,650,137.03</w:t>
            </w:r>
          </w:p>
        </w:tc>
        <w:tc>
          <w:tcPr>
            <w:tcW w:w="1736" w:type="dxa"/>
            <w:tcBorders>
              <w:top w:val="single" w:sz="2" w:space="0" w:color="auto"/>
              <w:left w:val="single" w:sz="2" w:space="0" w:color="auto"/>
              <w:bottom w:val="single" w:sz="2" w:space="0" w:color="auto"/>
              <w:right w:val="single" w:sz="2" w:space="0" w:color="auto"/>
            </w:tcBorders>
            <w:vAlign w:val="center"/>
          </w:tcPr>
          <w:p w14:paraId="5D49BAC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687,596,846.90</w:t>
            </w:r>
          </w:p>
        </w:tc>
        <w:tc>
          <w:tcPr>
            <w:tcW w:w="1737" w:type="dxa"/>
            <w:tcBorders>
              <w:top w:val="single" w:sz="2" w:space="0" w:color="auto"/>
              <w:left w:val="single" w:sz="2" w:space="0" w:color="auto"/>
              <w:bottom w:val="single" w:sz="2" w:space="0" w:color="auto"/>
              <w:right w:val="single" w:sz="2" w:space="0" w:color="auto"/>
            </w:tcBorders>
            <w:vAlign w:val="center"/>
          </w:tcPr>
          <w:p w14:paraId="708E3974"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110,574,156.43</w:t>
            </w:r>
          </w:p>
        </w:tc>
      </w:tr>
    </w:tbl>
    <w:p w14:paraId="5DA06607"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未经抵销的递延所得税负债</w:t>
      </w:r>
    </w:p>
    <w:p w14:paraId="6D76F0B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977"/>
        <w:gridCol w:w="1665"/>
        <w:gridCol w:w="1666"/>
        <w:gridCol w:w="1665"/>
        <w:gridCol w:w="1666"/>
      </w:tblGrid>
      <w:tr w:rsidR="00095F6F" w:rsidRPr="002A3111" w14:paraId="1BE0DF44" w14:textId="77777777" w:rsidTr="002A3111">
        <w:trPr>
          <w:trHeight w:val="240"/>
        </w:trPr>
        <w:tc>
          <w:tcPr>
            <w:tcW w:w="29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6FD4B9D"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项目</w:t>
            </w:r>
          </w:p>
        </w:tc>
        <w:tc>
          <w:tcPr>
            <w:tcW w:w="333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E4A8341"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期末余额</w:t>
            </w:r>
          </w:p>
        </w:tc>
        <w:tc>
          <w:tcPr>
            <w:tcW w:w="333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B9A1773"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期初余额</w:t>
            </w:r>
          </w:p>
        </w:tc>
      </w:tr>
      <w:tr w:rsidR="00095F6F" w:rsidRPr="002A3111" w14:paraId="20C22925" w14:textId="77777777" w:rsidTr="002A3111">
        <w:trPr>
          <w:trHeight w:val="240"/>
        </w:trPr>
        <w:tc>
          <w:tcPr>
            <w:tcW w:w="29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449AD85" w14:textId="77777777" w:rsidR="00A46BF1" w:rsidRPr="002A3111" w:rsidRDefault="00A46BF1" w:rsidP="002A3111">
            <w:pPr>
              <w:spacing w:line="360" w:lineRule="auto"/>
              <w:rPr>
                <w:rFonts w:ascii="Times New Roman" w:hAnsi="Times New Roman" w:cs="Times New Roman"/>
              </w:rPr>
            </w:pPr>
          </w:p>
        </w:tc>
        <w:tc>
          <w:tcPr>
            <w:tcW w:w="1665" w:type="dxa"/>
            <w:tcBorders>
              <w:top w:val="single" w:sz="2" w:space="0" w:color="auto"/>
              <w:left w:val="single" w:sz="2" w:space="0" w:color="auto"/>
              <w:bottom w:val="single" w:sz="2" w:space="0" w:color="auto"/>
              <w:right w:val="single" w:sz="2" w:space="0" w:color="auto"/>
            </w:tcBorders>
            <w:shd w:val="clear" w:color="auto" w:fill="D3D3D3"/>
            <w:vAlign w:val="center"/>
          </w:tcPr>
          <w:p w14:paraId="099295C5"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应纳税暂时性差异</w:t>
            </w:r>
          </w:p>
        </w:tc>
        <w:tc>
          <w:tcPr>
            <w:tcW w:w="1666" w:type="dxa"/>
            <w:tcBorders>
              <w:top w:val="single" w:sz="2" w:space="0" w:color="auto"/>
              <w:left w:val="single" w:sz="2" w:space="0" w:color="auto"/>
              <w:bottom w:val="single" w:sz="2" w:space="0" w:color="auto"/>
              <w:right w:val="single" w:sz="2" w:space="0" w:color="auto"/>
            </w:tcBorders>
            <w:shd w:val="clear" w:color="auto" w:fill="D3D3D3"/>
            <w:vAlign w:val="center"/>
          </w:tcPr>
          <w:p w14:paraId="578860DC"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递延所得税负债</w:t>
            </w:r>
          </w:p>
        </w:tc>
        <w:tc>
          <w:tcPr>
            <w:tcW w:w="1665" w:type="dxa"/>
            <w:tcBorders>
              <w:top w:val="single" w:sz="2" w:space="0" w:color="auto"/>
              <w:left w:val="single" w:sz="2" w:space="0" w:color="auto"/>
              <w:bottom w:val="single" w:sz="2" w:space="0" w:color="auto"/>
              <w:right w:val="single" w:sz="2" w:space="0" w:color="auto"/>
            </w:tcBorders>
            <w:shd w:val="clear" w:color="auto" w:fill="D3D3D3"/>
            <w:vAlign w:val="center"/>
          </w:tcPr>
          <w:p w14:paraId="25F8BDE7"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应纳税暂时性差异</w:t>
            </w:r>
          </w:p>
        </w:tc>
        <w:tc>
          <w:tcPr>
            <w:tcW w:w="1666" w:type="dxa"/>
            <w:tcBorders>
              <w:top w:val="single" w:sz="2" w:space="0" w:color="auto"/>
              <w:left w:val="single" w:sz="2" w:space="0" w:color="auto"/>
              <w:bottom w:val="single" w:sz="2" w:space="0" w:color="auto"/>
              <w:right w:val="single" w:sz="2" w:space="0" w:color="auto"/>
            </w:tcBorders>
            <w:shd w:val="clear" w:color="auto" w:fill="D3D3D3"/>
            <w:vAlign w:val="center"/>
          </w:tcPr>
          <w:p w14:paraId="529A028F"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递延所得税负债</w:t>
            </w:r>
          </w:p>
        </w:tc>
      </w:tr>
      <w:tr w:rsidR="00095F6F" w:rsidRPr="002A3111" w14:paraId="5039E355"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1CECCD42"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非同一控制企业合并资产评估增值</w:t>
            </w:r>
          </w:p>
        </w:tc>
        <w:tc>
          <w:tcPr>
            <w:tcW w:w="1665" w:type="dxa"/>
            <w:tcBorders>
              <w:top w:val="single" w:sz="2" w:space="0" w:color="auto"/>
              <w:left w:val="single" w:sz="2" w:space="0" w:color="auto"/>
              <w:bottom w:val="single" w:sz="2" w:space="0" w:color="auto"/>
              <w:right w:val="single" w:sz="2" w:space="0" w:color="auto"/>
            </w:tcBorders>
            <w:vAlign w:val="center"/>
          </w:tcPr>
          <w:p w14:paraId="438B2DD3"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666" w:type="dxa"/>
            <w:tcBorders>
              <w:top w:val="single" w:sz="2" w:space="0" w:color="auto"/>
              <w:left w:val="single" w:sz="2" w:space="0" w:color="auto"/>
              <w:bottom w:val="single" w:sz="2" w:space="0" w:color="auto"/>
              <w:right w:val="single" w:sz="2" w:space="0" w:color="auto"/>
            </w:tcBorders>
            <w:vAlign w:val="center"/>
          </w:tcPr>
          <w:p w14:paraId="4D69D11E"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665" w:type="dxa"/>
            <w:tcBorders>
              <w:top w:val="single" w:sz="2" w:space="0" w:color="auto"/>
              <w:left w:val="single" w:sz="2" w:space="0" w:color="auto"/>
              <w:bottom w:val="single" w:sz="2" w:space="0" w:color="auto"/>
              <w:right w:val="single" w:sz="2" w:space="0" w:color="auto"/>
            </w:tcBorders>
            <w:vAlign w:val="center"/>
          </w:tcPr>
          <w:p w14:paraId="6F88411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995,041.77</w:t>
            </w:r>
          </w:p>
        </w:tc>
        <w:tc>
          <w:tcPr>
            <w:tcW w:w="1666" w:type="dxa"/>
            <w:tcBorders>
              <w:top w:val="single" w:sz="2" w:space="0" w:color="auto"/>
              <w:left w:val="single" w:sz="2" w:space="0" w:color="auto"/>
              <w:bottom w:val="single" w:sz="2" w:space="0" w:color="auto"/>
              <w:right w:val="single" w:sz="2" w:space="0" w:color="auto"/>
            </w:tcBorders>
            <w:vAlign w:val="center"/>
          </w:tcPr>
          <w:p w14:paraId="5935FD5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243,513.57</w:t>
            </w:r>
          </w:p>
        </w:tc>
      </w:tr>
      <w:tr w:rsidR="00095F6F" w:rsidRPr="002A3111" w14:paraId="57911434"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049DD3B9"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其他权益工具投资公允价值变动</w:t>
            </w:r>
          </w:p>
        </w:tc>
        <w:tc>
          <w:tcPr>
            <w:tcW w:w="1665" w:type="dxa"/>
            <w:tcBorders>
              <w:top w:val="single" w:sz="2" w:space="0" w:color="auto"/>
              <w:left w:val="single" w:sz="2" w:space="0" w:color="auto"/>
              <w:bottom w:val="single" w:sz="2" w:space="0" w:color="auto"/>
              <w:right w:val="single" w:sz="2" w:space="0" w:color="auto"/>
            </w:tcBorders>
            <w:vAlign w:val="center"/>
          </w:tcPr>
          <w:p w14:paraId="35D0201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72,994,968.76</w:t>
            </w:r>
          </w:p>
        </w:tc>
        <w:tc>
          <w:tcPr>
            <w:tcW w:w="1666" w:type="dxa"/>
            <w:tcBorders>
              <w:top w:val="single" w:sz="2" w:space="0" w:color="auto"/>
              <w:left w:val="single" w:sz="2" w:space="0" w:color="auto"/>
              <w:bottom w:val="single" w:sz="2" w:space="0" w:color="auto"/>
              <w:right w:val="single" w:sz="2" w:space="0" w:color="auto"/>
            </w:tcBorders>
            <w:vAlign w:val="center"/>
          </w:tcPr>
          <w:p w14:paraId="0C6D1CC8"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11,594,169.84</w:t>
            </w:r>
          </w:p>
        </w:tc>
        <w:tc>
          <w:tcPr>
            <w:tcW w:w="1665" w:type="dxa"/>
            <w:tcBorders>
              <w:top w:val="single" w:sz="2" w:space="0" w:color="auto"/>
              <w:left w:val="single" w:sz="2" w:space="0" w:color="auto"/>
              <w:bottom w:val="single" w:sz="2" w:space="0" w:color="auto"/>
              <w:right w:val="single" w:sz="2" w:space="0" w:color="auto"/>
            </w:tcBorders>
            <w:vAlign w:val="center"/>
          </w:tcPr>
          <w:p w14:paraId="50F5DE2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103,603,792.35</w:t>
            </w:r>
          </w:p>
        </w:tc>
        <w:tc>
          <w:tcPr>
            <w:tcW w:w="1666" w:type="dxa"/>
            <w:tcBorders>
              <w:top w:val="single" w:sz="2" w:space="0" w:color="auto"/>
              <w:left w:val="single" w:sz="2" w:space="0" w:color="auto"/>
              <w:bottom w:val="single" w:sz="2" w:space="0" w:color="auto"/>
              <w:right w:val="single" w:sz="2" w:space="0" w:color="auto"/>
            </w:tcBorders>
            <w:vAlign w:val="center"/>
          </w:tcPr>
          <w:p w14:paraId="035757AE"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16,201,787.51</w:t>
            </w:r>
          </w:p>
        </w:tc>
      </w:tr>
      <w:tr w:rsidR="00095F6F" w:rsidRPr="002A3111" w14:paraId="4C22CECB"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vAlign w:val="center"/>
          </w:tcPr>
          <w:p w14:paraId="3FB4147C"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固定资产税会差异</w:t>
            </w:r>
          </w:p>
        </w:tc>
        <w:tc>
          <w:tcPr>
            <w:tcW w:w="1665" w:type="dxa"/>
            <w:tcBorders>
              <w:top w:val="single" w:sz="2" w:space="0" w:color="auto"/>
              <w:left w:val="single" w:sz="2" w:space="0" w:color="auto"/>
              <w:bottom w:val="single" w:sz="2" w:space="0" w:color="auto"/>
              <w:right w:val="single" w:sz="2" w:space="0" w:color="auto"/>
            </w:tcBorders>
            <w:vAlign w:val="center"/>
          </w:tcPr>
          <w:p w14:paraId="7A82BDF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54,972,692.96</w:t>
            </w:r>
          </w:p>
        </w:tc>
        <w:tc>
          <w:tcPr>
            <w:tcW w:w="1666" w:type="dxa"/>
            <w:tcBorders>
              <w:top w:val="single" w:sz="2" w:space="0" w:color="auto"/>
              <w:left w:val="single" w:sz="2" w:space="0" w:color="auto"/>
              <w:bottom w:val="single" w:sz="2" w:space="0" w:color="auto"/>
              <w:right w:val="single" w:sz="2" w:space="0" w:color="auto"/>
            </w:tcBorders>
            <w:vAlign w:val="center"/>
          </w:tcPr>
          <w:p w14:paraId="04BEED0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11,940,221.35</w:t>
            </w:r>
          </w:p>
        </w:tc>
        <w:tc>
          <w:tcPr>
            <w:tcW w:w="1665" w:type="dxa"/>
            <w:tcBorders>
              <w:top w:val="single" w:sz="2" w:space="0" w:color="auto"/>
              <w:left w:val="single" w:sz="2" w:space="0" w:color="auto"/>
              <w:bottom w:val="single" w:sz="2" w:space="0" w:color="auto"/>
              <w:right w:val="single" w:sz="2" w:space="0" w:color="auto"/>
            </w:tcBorders>
            <w:vAlign w:val="center"/>
          </w:tcPr>
          <w:p w14:paraId="2B96D01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50,056,406.76</w:t>
            </w:r>
          </w:p>
        </w:tc>
        <w:tc>
          <w:tcPr>
            <w:tcW w:w="1666" w:type="dxa"/>
            <w:tcBorders>
              <w:top w:val="single" w:sz="2" w:space="0" w:color="auto"/>
              <w:left w:val="single" w:sz="2" w:space="0" w:color="auto"/>
              <w:bottom w:val="single" w:sz="2" w:space="0" w:color="auto"/>
              <w:right w:val="single" w:sz="2" w:space="0" w:color="auto"/>
            </w:tcBorders>
            <w:vAlign w:val="center"/>
          </w:tcPr>
          <w:p w14:paraId="53B92FC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11,608,180.84</w:t>
            </w:r>
          </w:p>
        </w:tc>
      </w:tr>
      <w:tr w:rsidR="00095F6F" w:rsidRPr="002A3111" w14:paraId="11A5999E"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vAlign w:val="center"/>
          </w:tcPr>
          <w:p w14:paraId="5EBB93B7"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无形资产税会差异</w:t>
            </w:r>
          </w:p>
        </w:tc>
        <w:tc>
          <w:tcPr>
            <w:tcW w:w="1665" w:type="dxa"/>
            <w:tcBorders>
              <w:top w:val="single" w:sz="2" w:space="0" w:color="auto"/>
              <w:left w:val="single" w:sz="2" w:space="0" w:color="auto"/>
              <w:bottom w:val="single" w:sz="2" w:space="0" w:color="auto"/>
              <w:right w:val="single" w:sz="2" w:space="0" w:color="auto"/>
            </w:tcBorders>
            <w:vAlign w:val="center"/>
          </w:tcPr>
          <w:p w14:paraId="5D1EB60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12,924,034.82</w:t>
            </w:r>
          </w:p>
        </w:tc>
        <w:tc>
          <w:tcPr>
            <w:tcW w:w="1666" w:type="dxa"/>
            <w:tcBorders>
              <w:top w:val="single" w:sz="2" w:space="0" w:color="auto"/>
              <w:left w:val="single" w:sz="2" w:space="0" w:color="auto"/>
              <w:bottom w:val="single" w:sz="2" w:space="0" w:color="auto"/>
              <w:right w:val="single" w:sz="2" w:space="0" w:color="auto"/>
            </w:tcBorders>
            <w:vAlign w:val="center"/>
          </w:tcPr>
          <w:p w14:paraId="7E397C7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2,861,386.60</w:t>
            </w:r>
          </w:p>
        </w:tc>
        <w:tc>
          <w:tcPr>
            <w:tcW w:w="1665" w:type="dxa"/>
            <w:tcBorders>
              <w:top w:val="single" w:sz="2" w:space="0" w:color="auto"/>
              <w:left w:val="single" w:sz="2" w:space="0" w:color="auto"/>
              <w:bottom w:val="single" w:sz="2" w:space="0" w:color="auto"/>
              <w:right w:val="single" w:sz="2" w:space="0" w:color="auto"/>
            </w:tcBorders>
            <w:vAlign w:val="center"/>
          </w:tcPr>
          <w:p w14:paraId="7E689FDE"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14,105,877.44</w:t>
            </w:r>
          </w:p>
        </w:tc>
        <w:tc>
          <w:tcPr>
            <w:tcW w:w="1666" w:type="dxa"/>
            <w:tcBorders>
              <w:top w:val="single" w:sz="2" w:space="0" w:color="auto"/>
              <w:left w:val="single" w:sz="2" w:space="0" w:color="auto"/>
              <w:bottom w:val="single" w:sz="2" w:space="0" w:color="auto"/>
              <w:right w:val="single" w:sz="2" w:space="0" w:color="auto"/>
            </w:tcBorders>
            <w:vAlign w:val="center"/>
          </w:tcPr>
          <w:p w14:paraId="0ECA022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3,271,181.19</w:t>
            </w:r>
          </w:p>
        </w:tc>
      </w:tr>
      <w:tr w:rsidR="00095F6F" w:rsidRPr="002A3111" w14:paraId="1FEA77B5"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vAlign w:val="center"/>
          </w:tcPr>
          <w:p w14:paraId="7B021937"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使用权资产税会差异</w:t>
            </w:r>
          </w:p>
        </w:tc>
        <w:tc>
          <w:tcPr>
            <w:tcW w:w="1665" w:type="dxa"/>
            <w:tcBorders>
              <w:top w:val="single" w:sz="2" w:space="0" w:color="auto"/>
              <w:left w:val="single" w:sz="2" w:space="0" w:color="auto"/>
              <w:bottom w:val="single" w:sz="2" w:space="0" w:color="auto"/>
              <w:right w:val="single" w:sz="2" w:space="0" w:color="auto"/>
            </w:tcBorders>
            <w:vAlign w:val="center"/>
          </w:tcPr>
          <w:p w14:paraId="1A8E4D7E"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2,319,164.24</w:t>
            </w:r>
          </w:p>
        </w:tc>
        <w:tc>
          <w:tcPr>
            <w:tcW w:w="1666" w:type="dxa"/>
            <w:tcBorders>
              <w:top w:val="single" w:sz="2" w:space="0" w:color="auto"/>
              <w:left w:val="single" w:sz="2" w:space="0" w:color="auto"/>
              <w:bottom w:val="single" w:sz="2" w:space="0" w:color="auto"/>
              <w:right w:val="single" w:sz="2" w:space="0" w:color="auto"/>
            </w:tcBorders>
            <w:vAlign w:val="center"/>
          </w:tcPr>
          <w:p w14:paraId="603F8DA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364,434.10</w:t>
            </w:r>
          </w:p>
        </w:tc>
        <w:tc>
          <w:tcPr>
            <w:tcW w:w="1665" w:type="dxa"/>
            <w:tcBorders>
              <w:top w:val="single" w:sz="2" w:space="0" w:color="auto"/>
              <w:left w:val="single" w:sz="2" w:space="0" w:color="auto"/>
              <w:bottom w:val="single" w:sz="2" w:space="0" w:color="auto"/>
              <w:right w:val="single" w:sz="2" w:space="0" w:color="auto"/>
            </w:tcBorders>
            <w:vAlign w:val="center"/>
          </w:tcPr>
          <w:p w14:paraId="0129FFF6"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4,271,126.23</w:t>
            </w:r>
          </w:p>
        </w:tc>
        <w:tc>
          <w:tcPr>
            <w:tcW w:w="1666" w:type="dxa"/>
            <w:tcBorders>
              <w:top w:val="single" w:sz="2" w:space="0" w:color="auto"/>
              <w:left w:val="single" w:sz="2" w:space="0" w:color="auto"/>
              <w:bottom w:val="single" w:sz="2" w:space="0" w:color="auto"/>
              <w:right w:val="single" w:sz="2" w:space="0" w:color="auto"/>
            </w:tcBorders>
            <w:vAlign w:val="center"/>
          </w:tcPr>
          <w:p w14:paraId="434D2E0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664,144.73</w:t>
            </w:r>
          </w:p>
        </w:tc>
      </w:tr>
      <w:tr w:rsidR="00095F6F" w:rsidRPr="002A3111" w14:paraId="55A36A27"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vAlign w:val="center"/>
          </w:tcPr>
          <w:p w14:paraId="796C8175"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未实现汇兑损益</w:t>
            </w:r>
          </w:p>
        </w:tc>
        <w:tc>
          <w:tcPr>
            <w:tcW w:w="1665" w:type="dxa"/>
            <w:tcBorders>
              <w:top w:val="single" w:sz="2" w:space="0" w:color="auto"/>
              <w:left w:val="single" w:sz="2" w:space="0" w:color="auto"/>
              <w:bottom w:val="single" w:sz="2" w:space="0" w:color="auto"/>
              <w:right w:val="single" w:sz="2" w:space="0" w:color="auto"/>
            </w:tcBorders>
            <w:vAlign w:val="center"/>
          </w:tcPr>
          <w:p w14:paraId="52AF5B38"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811,335.80</w:t>
            </w:r>
          </w:p>
        </w:tc>
        <w:tc>
          <w:tcPr>
            <w:tcW w:w="1666" w:type="dxa"/>
            <w:tcBorders>
              <w:top w:val="single" w:sz="2" w:space="0" w:color="auto"/>
              <w:left w:val="single" w:sz="2" w:space="0" w:color="auto"/>
              <w:bottom w:val="single" w:sz="2" w:space="0" w:color="auto"/>
              <w:right w:val="single" w:sz="2" w:space="0" w:color="auto"/>
            </w:tcBorders>
            <w:vAlign w:val="center"/>
          </w:tcPr>
          <w:p w14:paraId="2C4B4B8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162,267.16</w:t>
            </w:r>
          </w:p>
        </w:tc>
        <w:tc>
          <w:tcPr>
            <w:tcW w:w="1665" w:type="dxa"/>
            <w:tcBorders>
              <w:top w:val="single" w:sz="2" w:space="0" w:color="auto"/>
              <w:left w:val="single" w:sz="2" w:space="0" w:color="auto"/>
              <w:bottom w:val="single" w:sz="2" w:space="0" w:color="auto"/>
              <w:right w:val="single" w:sz="2" w:space="0" w:color="auto"/>
            </w:tcBorders>
            <w:vAlign w:val="center"/>
          </w:tcPr>
          <w:p w14:paraId="5F9D989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4,312,393.05</w:t>
            </w:r>
          </w:p>
        </w:tc>
        <w:tc>
          <w:tcPr>
            <w:tcW w:w="1666" w:type="dxa"/>
            <w:tcBorders>
              <w:top w:val="single" w:sz="2" w:space="0" w:color="auto"/>
              <w:left w:val="single" w:sz="2" w:space="0" w:color="auto"/>
              <w:bottom w:val="single" w:sz="2" w:space="0" w:color="auto"/>
              <w:right w:val="single" w:sz="2" w:space="0" w:color="auto"/>
            </w:tcBorders>
            <w:vAlign w:val="center"/>
          </w:tcPr>
          <w:p w14:paraId="3BF3C02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862,478.61</w:t>
            </w:r>
          </w:p>
        </w:tc>
      </w:tr>
      <w:tr w:rsidR="00095F6F" w:rsidRPr="002A3111" w14:paraId="33326711"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vAlign w:val="center"/>
          </w:tcPr>
          <w:p w14:paraId="2969B8F4"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公允价值变动收益</w:t>
            </w:r>
          </w:p>
        </w:tc>
        <w:tc>
          <w:tcPr>
            <w:tcW w:w="1665" w:type="dxa"/>
            <w:tcBorders>
              <w:top w:val="single" w:sz="2" w:space="0" w:color="auto"/>
              <w:left w:val="single" w:sz="2" w:space="0" w:color="auto"/>
              <w:bottom w:val="single" w:sz="2" w:space="0" w:color="auto"/>
              <w:right w:val="single" w:sz="2" w:space="0" w:color="auto"/>
            </w:tcBorders>
            <w:vAlign w:val="center"/>
          </w:tcPr>
          <w:p w14:paraId="57E92D93"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1,345,429.99</w:t>
            </w:r>
          </w:p>
        </w:tc>
        <w:tc>
          <w:tcPr>
            <w:tcW w:w="1666" w:type="dxa"/>
            <w:tcBorders>
              <w:top w:val="single" w:sz="2" w:space="0" w:color="auto"/>
              <w:left w:val="single" w:sz="2" w:space="0" w:color="auto"/>
              <w:bottom w:val="single" w:sz="2" w:space="0" w:color="auto"/>
              <w:right w:val="single" w:sz="2" w:space="0" w:color="auto"/>
            </w:tcBorders>
            <w:vAlign w:val="center"/>
          </w:tcPr>
          <w:p w14:paraId="27863E7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201,814.50</w:t>
            </w:r>
          </w:p>
        </w:tc>
        <w:tc>
          <w:tcPr>
            <w:tcW w:w="1665" w:type="dxa"/>
            <w:tcBorders>
              <w:top w:val="single" w:sz="2" w:space="0" w:color="auto"/>
              <w:left w:val="single" w:sz="2" w:space="0" w:color="auto"/>
              <w:bottom w:val="single" w:sz="2" w:space="0" w:color="auto"/>
              <w:right w:val="single" w:sz="2" w:space="0" w:color="auto"/>
            </w:tcBorders>
            <w:vAlign w:val="center"/>
          </w:tcPr>
          <w:p w14:paraId="641626F3"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666" w:type="dxa"/>
            <w:tcBorders>
              <w:top w:val="single" w:sz="2" w:space="0" w:color="auto"/>
              <w:left w:val="single" w:sz="2" w:space="0" w:color="auto"/>
              <w:bottom w:val="single" w:sz="2" w:space="0" w:color="auto"/>
              <w:right w:val="single" w:sz="2" w:space="0" w:color="auto"/>
            </w:tcBorders>
            <w:vAlign w:val="center"/>
          </w:tcPr>
          <w:p w14:paraId="40E1376E" w14:textId="77777777" w:rsidR="00A46BF1" w:rsidRPr="002A3111" w:rsidRDefault="00A46BF1" w:rsidP="002A3111">
            <w:pPr>
              <w:spacing w:line="360" w:lineRule="auto"/>
              <w:jc w:val="right"/>
              <w:rPr>
                <w:rFonts w:ascii="Times New Roman" w:eastAsia="宋体" w:hAnsi="Times New Roman" w:cs="Times New Roman"/>
                <w:sz w:val="18"/>
                <w:szCs w:val="18"/>
              </w:rPr>
            </w:pPr>
          </w:p>
        </w:tc>
      </w:tr>
      <w:tr w:rsidR="00095F6F" w:rsidRPr="002A3111" w14:paraId="77D7F59C"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vAlign w:val="center"/>
          </w:tcPr>
          <w:p w14:paraId="1047E9FB"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其他</w:t>
            </w:r>
          </w:p>
        </w:tc>
        <w:tc>
          <w:tcPr>
            <w:tcW w:w="1665" w:type="dxa"/>
            <w:tcBorders>
              <w:top w:val="single" w:sz="2" w:space="0" w:color="auto"/>
              <w:left w:val="single" w:sz="2" w:space="0" w:color="auto"/>
              <w:bottom w:val="single" w:sz="2" w:space="0" w:color="auto"/>
              <w:right w:val="single" w:sz="2" w:space="0" w:color="auto"/>
            </w:tcBorders>
            <w:vAlign w:val="center"/>
          </w:tcPr>
          <w:p w14:paraId="31E80B2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392,009.50</w:t>
            </w:r>
          </w:p>
        </w:tc>
        <w:tc>
          <w:tcPr>
            <w:tcW w:w="1666" w:type="dxa"/>
            <w:tcBorders>
              <w:top w:val="single" w:sz="2" w:space="0" w:color="auto"/>
              <w:left w:val="single" w:sz="2" w:space="0" w:color="auto"/>
              <w:bottom w:val="single" w:sz="2" w:space="0" w:color="auto"/>
              <w:right w:val="single" w:sz="2" w:space="0" w:color="auto"/>
            </w:tcBorders>
            <w:vAlign w:val="center"/>
          </w:tcPr>
          <w:p w14:paraId="2E0120F4"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78,401.90</w:t>
            </w:r>
          </w:p>
        </w:tc>
        <w:tc>
          <w:tcPr>
            <w:tcW w:w="1665" w:type="dxa"/>
            <w:tcBorders>
              <w:top w:val="single" w:sz="2" w:space="0" w:color="auto"/>
              <w:left w:val="single" w:sz="2" w:space="0" w:color="auto"/>
              <w:bottom w:val="single" w:sz="2" w:space="0" w:color="auto"/>
              <w:right w:val="single" w:sz="2" w:space="0" w:color="auto"/>
            </w:tcBorders>
            <w:vAlign w:val="center"/>
          </w:tcPr>
          <w:p w14:paraId="7C59EA2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362,003.85</w:t>
            </w:r>
          </w:p>
        </w:tc>
        <w:tc>
          <w:tcPr>
            <w:tcW w:w="1666" w:type="dxa"/>
            <w:tcBorders>
              <w:top w:val="single" w:sz="2" w:space="0" w:color="auto"/>
              <w:left w:val="single" w:sz="2" w:space="0" w:color="auto"/>
              <w:bottom w:val="single" w:sz="2" w:space="0" w:color="auto"/>
              <w:right w:val="single" w:sz="2" w:space="0" w:color="auto"/>
            </w:tcBorders>
            <w:vAlign w:val="center"/>
          </w:tcPr>
          <w:p w14:paraId="2079FA1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72,400.77</w:t>
            </w:r>
          </w:p>
        </w:tc>
      </w:tr>
      <w:tr w:rsidR="00095F6F" w:rsidRPr="002A3111" w14:paraId="2E190286" w14:textId="77777777" w:rsidTr="002A3111">
        <w:trPr>
          <w:trHeight w:val="240"/>
        </w:trPr>
        <w:tc>
          <w:tcPr>
            <w:tcW w:w="2977" w:type="dxa"/>
            <w:tcBorders>
              <w:top w:val="single" w:sz="2" w:space="0" w:color="auto"/>
              <w:left w:val="single" w:sz="2" w:space="0" w:color="auto"/>
              <w:bottom w:val="single" w:sz="2" w:space="0" w:color="auto"/>
              <w:right w:val="single" w:sz="2" w:space="0" w:color="auto"/>
            </w:tcBorders>
            <w:shd w:val="clear" w:color="auto" w:fill="D3D3D3"/>
            <w:vAlign w:val="center"/>
          </w:tcPr>
          <w:p w14:paraId="7608607A"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合计</w:t>
            </w:r>
          </w:p>
        </w:tc>
        <w:tc>
          <w:tcPr>
            <w:tcW w:w="1665" w:type="dxa"/>
            <w:tcBorders>
              <w:top w:val="single" w:sz="2" w:space="0" w:color="auto"/>
              <w:left w:val="single" w:sz="2" w:space="0" w:color="auto"/>
              <w:bottom w:val="single" w:sz="2" w:space="0" w:color="auto"/>
              <w:right w:val="single" w:sz="2" w:space="0" w:color="auto"/>
            </w:tcBorders>
            <w:vAlign w:val="center"/>
          </w:tcPr>
          <w:p w14:paraId="3A6A2BF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145,759,636.07</w:t>
            </w:r>
          </w:p>
        </w:tc>
        <w:tc>
          <w:tcPr>
            <w:tcW w:w="1666" w:type="dxa"/>
            <w:tcBorders>
              <w:top w:val="single" w:sz="2" w:space="0" w:color="auto"/>
              <w:left w:val="single" w:sz="2" w:space="0" w:color="auto"/>
              <w:bottom w:val="single" w:sz="2" w:space="0" w:color="auto"/>
              <w:right w:val="single" w:sz="2" w:space="0" w:color="auto"/>
            </w:tcBorders>
            <w:vAlign w:val="center"/>
          </w:tcPr>
          <w:p w14:paraId="1625BF6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27,202,695.45</w:t>
            </w:r>
          </w:p>
        </w:tc>
        <w:tc>
          <w:tcPr>
            <w:tcW w:w="1665" w:type="dxa"/>
            <w:tcBorders>
              <w:top w:val="single" w:sz="2" w:space="0" w:color="auto"/>
              <w:left w:val="single" w:sz="2" w:space="0" w:color="auto"/>
              <w:bottom w:val="single" w:sz="2" w:space="0" w:color="auto"/>
              <w:right w:val="single" w:sz="2" w:space="0" w:color="auto"/>
            </w:tcBorders>
            <w:vAlign w:val="center"/>
          </w:tcPr>
          <w:p w14:paraId="412CCB5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177,706,641.45</w:t>
            </w:r>
          </w:p>
        </w:tc>
        <w:tc>
          <w:tcPr>
            <w:tcW w:w="1666" w:type="dxa"/>
            <w:tcBorders>
              <w:top w:val="single" w:sz="2" w:space="0" w:color="auto"/>
              <w:left w:val="single" w:sz="2" w:space="0" w:color="auto"/>
              <w:bottom w:val="single" w:sz="2" w:space="0" w:color="auto"/>
              <w:right w:val="single" w:sz="2" w:space="0" w:color="auto"/>
            </w:tcBorders>
            <w:vAlign w:val="center"/>
          </w:tcPr>
          <w:p w14:paraId="6E821BF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32,923,687.22</w:t>
            </w:r>
          </w:p>
        </w:tc>
      </w:tr>
    </w:tbl>
    <w:p w14:paraId="6DBC2D0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未确认递延所得税资产明细</w:t>
      </w:r>
    </w:p>
    <w:p w14:paraId="6718A0B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7E0F38ED"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36DA5C6E"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7218BA87"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期末余额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39B8D3B1"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期初余额</w:t>
            </w:r>
          </w:p>
        </w:tc>
      </w:tr>
      <w:tr w:rsidR="00095F6F" w14:paraId="2DF463C9"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020A8D0"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可抵扣亏损</w:t>
            </w:r>
          </w:p>
        </w:tc>
        <w:tc>
          <w:tcPr>
            <w:tcW w:w="3047" w:type="dxa"/>
            <w:tcBorders>
              <w:top w:val="single" w:sz="2" w:space="0" w:color="auto"/>
              <w:left w:val="single" w:sz="2" w:space="0" w:color="auto"/>
              <w:bottom w:val="single" w:sz="2" w:space="0" w:color="auto"/>
              <w:right w:val="single" w:sz="2" w:space="0" w:color="auto"/>
            </w:tcBorders>
            <w:vAlign w:val="center"/>
          </w:tcPr>
          <w:p w14:paraId="7FF8D128"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1,019,126,774.31</w:t>
            </w:r>
          </w:p>
        </w:tc>
        <w:tc>
          <w:tcPr>
            <w:tcW w:w="3048" w:type="dxa"/>
            <w:tcBorders>
              <w:top w:val="single" w:sz="2" w:space="0" w:color="auto"/>
              <w:left w:val="single" w:sz="2" w:space="0" w:color="auto"/>
              <w:bottom w:val="single" w:sz="2" w:space="0" w:color="auto"/>
              <w:right w:val="single" w:sz="2" w:space="0" w:color="auto"/>
            </w:tcBorders>
            <w:vAlign w:val="center"/>
          </w:tcPr>
          <w:p w14:paraId="077CF912"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1,024,066,147.79</w:t>
            </w:r>
          </w:p>
        </w:tc>
      </w:tr>
      <w:tr w:rsidR="00095F6F" w14:paraId="39B23B2C"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23034E0B"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资产减值准备及坏账准备</w:t>
            </w:r>
          </w:p>
        </w:tc>
        <w:tc>
          <w:tcPr>
            <w:tcW w:w="3047" w:type="dxa"/>
            <w:tcBorders>
              <w:top w:val="single" w:sz="2" w:space="0" w:color="auto"/>
              <w:left w:val="single" w:sz="2" w:space="0" w:color="auto"/>
              <w:bottom w:val="single" w:sz="2" w:space="0" w:color="auto"/>
              <w:right w:val="single" w:sz="2" w:space="0" w:color="auto"/>
            </w:tcBorders>
            <w:vAlign w:val="center"/>
          </w:tcPr>
          <w:p w14:paraId="50D5C3D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429,469,744.01</w:t>
            </w:r>
          </w:p>
        </w:tc>
        <w:tc>
          <w:tcPr>
            <w:tcW w:w="3048" w:type="dxa"/>
            <w:tcBorders>
              <w:top w:val="single" w:sz="2" w:space="0" w:color="auto"/>
              <w:left w:val="single" w:sz="2" w:space="0" w:color="auto"/>
              <w:bottom w:val="single" w:sz="2" w:space="0" w:color="auto"/>
              <w:right w:val="single" w:sz="2" w:space="0" w:color="auto"/>
            </w:tcBorders>
            <w:vAlign w:val="center"/>
          </w:tcPr>
          <w:p w14:paraId="33C76374"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273,144,752.53</w:t>
            </w:r>
          </w:p>
        </w:tc>
      </w:tr>
      <w:tr w:rsidR="00095F6F" w14:paraId="3A653D21"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2940681E"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预计返利、市场费用、产品质量保证等</w:t>
            </w:r>
          </w:p>
        </w:tc>
        <w:tc>
          <w:tcPr>
            <w:tcW w:w="3047" w:type="dxa"/>
            <w:tcBorders>
              <w:top w:val="single" w:sz="2" w:space="0" w:color="auto"/>
              <w:left w:val="single" w:sz="2" w:space="0" w:color="auto"/>
              <w:bottom w:val="single" w:sz="2" w:space="0" w:color="auto"/>
              <w:right w:val="single" w:sz="2" w:space="0" w:color="auto"/>
            </w:tcBorders>
            <w:vAlign w:val="center"/>
          </w:tcPr>
          <w:p w14:paraId="26E713DB"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270,888,410.91</w:t>
            </w:r>
          </w:p>
        </w:tc>
        <w:tc>
          <w:tcPr>
            <w:tcW w:w="3048" w:type="dxa"/>
            <w:tcBorders>
              <w:top w:val="single" w:sz="2" w:space="0" w:color="auto"/>
              <w:left w:val="single" w:sz="2" w:space="0" w:color="auto"/>
              <w:bottom w:val="single" w:sz="2" w:space="0" w:color="auto"/>
              <w:right w:val="single" w:sz="2" w:space="0" w:color="auto"/>
            </w:tcBorders>
            <w:vAlign w:val="center"/>
          </w:tcPr>
          <w:p w14:paraId="09F1719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230,396,788.14</w:t>
            </w:r>
          </w:p>
        </w:tc>
      </w:tr>
      <w:tr w:rsidR="00095F6F" w14:paraId="2D2073A6"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0936A0DA"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研发加计扣除</w:t>
            </w:r>
          </w:p>
        </w:tc>
        <w:tc>
          <w:tcPr>
            <w:tcW w:w="3047" w:type="dxa"/>
            <w:tcBorders>
              <w:top w:val="single" w:sz="2" w:space="0" w:color="auto"/>
              <w:left w:val="single" w:sz="2" w:space="0" w:color="auto"/>
              <w:bottom w:val="single" w:sz="2" w:space="0" w:color="auto"/>
              <w:right w:val="single" w:sz="2" w:space="0" w:color="auto"/>
            </w:tcBorders>
            <w:vAlign w:val="center"/>
          </w:tcPr>
          <w:p w14:paraId="0FC58EC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381,929,749.70</w:t>
            </w:r>
          </w:p>
        </w:tc>
        <w:tc>
          <w:tcPr>
            <w:tcW w:w="3048" w:type="dxa"/>
            <w:tcBorders>
              <w:top w:val="single" w:sz="2" w:space="0" w:color="auto"/>
              <w:left w:val="single" w:sz="2" w:space="0" w:color="auto"/>
              <w:bottom w:val="single" w:sz="2" w:space="0" w:color="auto"/>
              <w:right w:val="single" w:sz="2" w:space="0" w:color="auto"/>
            </w:tcBorders>
            <w:vAlign w:val="center"/>
          </w:tcPr>
          <w:p w14:paraId="2903625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414,279,285.00</w:t>
            </w:r>
          </w:p>
        </w:tc>
      </w:tr>
      <w:tr w:rsidR="00095F6F" w14:paraId="40292C9B"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2CDA708E"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研发税收抵免及资本化</w:t>
            </w:r>
          </w:p>
        </w:tc>
        <w:tc>
          <w:tcPr>
            <w:tcW w:w="3047" w:type="dxa"/>
            <w:tcBorders>
              <w:top w:val="single" w:sz="2" w:space="0" w:color="auto"/>
              <w:left w:val="single" w:sz="2" w:space="0" w:color="auto"/>
              <w:bottom w:val="single" w:sz="2" w:space="0" w:color="auto"/>
              <w:right w:val="single" w:sz="2" w:space="0" w:color="auto"/>
            </w:tcBorders>
            <w:vAlign w:val="center"/>
          </w:tcPr>
          <w:p w14:paraId="531CCD7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3,454,278.18</w:t>
            </w:r>
          </w:p>
        </w:tc>
        <w:tc>
          <w:tcPr>
            <w:tcW w:w="3048" w:type="dxa"/>
            <w:tcBorders>
              <w:top w:val="single" w:sz="2" w:space="0" w:color="auto"/>
              <w:left w:val="single" w:sz="2" w:space="0" w:color="auto"/>
              <w:bottom w:val="single" w:sz="2" w:space="0" w:color="auto"/>
              <w:right w:val="single" w:sz="2" w:space="0" w:color="auto"/>
            </w:tcBorders>
            <w:vAlign w:val="center"/>
          </w:tcPr>
          <w:p w14:paraId="1302D221" w14:textId="77777777" w:rsidR="00A46BF1" w:rsidRPr="002A3111" w:rsidRDefault="00A46BF1" w:rsidP="002A3111">
            <w:pPr>
              <w:spacing w:line="360" w:lineRule="auto"/>
              <w:jc w:val="right"/>
              <w:rPr>
                <w:rFonts w:ascii="Times New Roman" w:eastAsia="宋体" w:hAnsi="Times New Roman" w:cs="Times New Roman"/>
                <w:sz w:val="18"/>
                <w:szCs w:val="18"/>
              </w:rPr>
            </w:pPr>
          </w:p>
        </w:tc>
      </w:tr>
      <w:tr w:rsidR="00095F6F" w14:paraId="6DF7DC53" w14:textId="77777777" w:rsidTr="002A3111">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1D5DC6B"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合计</w:t>
            </w:r>
          </w:p>
        </w:tc>
        <w:tc>
          <w:tcPr>
            <w:tcW w:w="3047" w:type="dxa"/>
            <w:tcBorders>
              <w:top w:val="single" w:sz="2" w:space="0" w:color="auto"/>
              <w:left w:val="single" w:sz="2" w:space="0" w:color="auto"/>
              <w:bottom w:val="single" w:sz="2" w:space="0" w:color="auto"/>
              <w:right w:val="single" w:sz="2" w:space="0" w:color="auto"/>
            </w:tcBorders>
            <w:vAlign w:val="center"/>
          </w:tcPr>
          <w:p w14:paraId="4475BB8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2,104,868,957.11</w:t>
            </w:r>
          </w:p>
        </w:tc>
        <w:tc>
          <w:tcPr>
            <w:tcW w:w="3048" w:type="dxa"/>
            <w:tcBorders>
              <w:top w:val="single" w:sz="2" w:space="0" w:color="auto"/>
              <w:left w:val="single" w:sz="2" w:space="0" w:color="auto"/>
              <w:bottom w:val="single" w:sz="2" w:space="0" w:color="auto"/>
              <w:right w:val="single" w:sz="2" w:space="0" w:color="auto"/>
            </w:tcBorders>
            <w:vAlign w:val="center"/>
          </w:tcPr>
          <w:p w14:paraId="73A80EE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1,941,886,973.46</w:t>
            </w:r>
          </w:p>
        </w:tc>
      </w:tr>
    </w:tbl>
    <w:p w14:paraId="51AA4152" w14:textId="67F5BEF7" w:rsidR="00A46BF1" w:rsidRDefault="00A46BF1" w:rsidP="00A46BF1">
      <w:pPr>
        <w:pStyle w:val="3"/>
        <w:spacing w:line="280" w:lineRule="exact"/>
        <w:jc w:val="left"/>
        <w:rPr>
          <w:rFonts w:ascii="宋体" w:hAnsi="宋体" w:cs="宋体"/>
          <w:b/>
          <w:bCs/>
        </w:rPr>
      </w:pPr>
      <w:r>
        <w:rPr>
          <w:rFonts w:ascii="宋体" w:hAnsi="宋体" w:cs="宋体"/>
          <w:b/>
          <w:bCs/>
        </w:rPr>
        <w:t>2</w:t>
      </w:r>
      <w:r w:rsidR="00D43E8F">
        <w:rPr>
          <w:rFonts w:ascii="宋体" w:hAnsi="宋体" w:cs="宋体"/>
          <w:b/>
          <w:bCs/>
        </w:rPr>
        <w:t>2</w:t>
      </w:r>
      <w:r>
        <w:rPr>
          <w:rFonts w:ascii="宋体" w:hAnsi="宋体" w:cs="宋体"/>
          <w:b/>
          <w:bCs/>
        </w:rPr>
        <w:t>、其他非流动资产</w:t>
      </w:r>
    </w:p>
    <w:p w14:paraId="0B98CCB2"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560"/>
        <w:gridCol w:w="1346"/>
        <w:gridCol w:w="1347"/>
        <w:gridCol w:w="1346"/>
        <w:gridCol w:w="1347"/>
        <w:gridCol w:w="1346"/>
        <w:gridCol w:w="1347"/>
      </w:tblGrid>
      <w:tr w:rsidR="00095F6F" w:rsidRPr="002A3111" w14:paraId="319E50A4" w14:textId="77777777" w:rsidTr="002A3111">
        <w:trPr>
          <w:trHeight w:val="240"/>
        </w:trPr>
        <w:tc>
          <w:tcPr>
            <w:tcW w:w="156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FF17D56"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项目</w:t>
            </w:r>
          </w:p>
        </w:tc>
        <w:tc>
          <w:tcPr>
            <w:tcW w:w="403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E6240AE"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期末余额</w:t>
            </w:r>
          </w:p>
        </w:tc>
        <w:tc>
          <w:tcPr>
            <w:tcW w:w="4040"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4A58378A"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期初余额</w:t>
            </w:r>
          </w:p>
        </w:tc>
      </w:tr>
      <w:tr w:rsidR="00095F6F" w:rsidRPr="002A3111" w14:paraId="07A89871" w14:textId="77777777" w:rsidTr="002A3111">
        <w:trPr>
          <w:trHeight w:val="240"/>
        </w:trPr>
        <w:tc>
          <w:tcPr>
            <w:tcW w:w="156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A8A4DA4" w14:textId="77777777" w:rsidR="00A46BF1" w:rsidRPr="002A3111" w:rsidRDefault="00A46BF1" w:rsidP="002A3111">
            <w:pPr>
              <w:spacing w:line="360" w:lineRule="auto"/>
              <w:rPr>
                <w:rFonts w:ascii="Times New Roman" w:hAnsi="Times New Roman" w:cs="Times New Roman"/>
              </w:rPr>
            </w:pPr>
          </w:p>
        </w:tc>
        <w:tc>
          <w:tcPr>
            <w:tcW w:w="1346" w:type="dxa"/>
            <w:tcBorders>
              <w:top w:val="single" w:sz="2" w:space="0" w:color="auto"/>
              <w:left w:val="single" w:sz="2" w:space="0" w:color="auto"/>
              <w:bottom w:val="single" w:sz="2" w:space="0" w:color="auto"/>
              <w:right w:val="single" w:sz="2" w:space="0" w:color="auto"/>
            </w:tcBorders>
            <w:shd w:val="clear" w:color="auto" w:fill="D3D3D3"/>
            <w:vAlign w:val="center"/>
          </w:tcPr>
          <w:p w14:paraId="26D18B22"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账面余额</w:t>
            </w:r>
          </w:p>
        </w:tc>
        <w:tc>
          <w:tcPr>
            <w:tcW w:w="1347" w:type="dxa"/>
            <w:tcBorders>
              <w:top w:val="single" w:sz="2" w:space="0" w:color="auto"/>
              <w:left w:val="single" w:sz="2" w:space="0" w:color="auto"/>
              <w:bottom w:val="single" w:sz="2" w:space="0" w:color="auto"/>
              <w:right w:val="single" w:sz="2" w:space="0" w:color="auto"/>
            </w:tcBorders>
            <w:shd w:val="clear" w:color="auto" w:fill="D3D3D3"/>
            <w:vAlign w:val="center"/>
          </w:tcPr>
          <w:p w14:paraId="4FD3693F"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减值准备</w:t>
            </w:r>
          </w:p>
        </w:tc>
        <w:tc>
          <w:tcPr>
            <w:tcW w:w="1346" w:type="dxa"/>
            <w:tcBorders>
              <w:top w:val="single" w:sz="2" w:space="0" w:color="auto"/>
              <w:left w:val="single" w:sz="2" w:space="0" w:color="auto"/>
              <w:bottom w:val="single" w:sz="2" w:space="0" w:color="auto"/>
              <w:right w:val="single" w:sz="2" w:space="0" w:color="auto"/>
            </w:tcBorders>
            <w:shd w:val="clear" w:color="auto" w:fill="D3D3D3"/>
            <w:vAlign w:val="center"/>
          </w:tcPr>
          <w:p w14:paraId="7C79842E"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账面价值</w:t>
            </w:r>
          </w:p>
        </w:tc>
        <w:tc>
          <w:tcPr>
            <w:tcW w:w="1347" w:type="dxa"/>
            <w:tcBorders>
              <w:top w:val="single" w:sz="2" w:space="0" w:color="auto"/>
              <w:left w:val="single" w:sz="2" w:space="0" w:color="auto"/>
              <w:bottom w:val="single" w:sz="2" w:space="0" w:color="auto"/>
              <w:right w:val="single" w:sz="2" w:space="0" w:color="auto"/>
            </w:tcBorders>
            <w:shd w:val="clear" w:color="auto" w:fill="D3D3D3"/>
            <w:vAlign w:val="center"/>
          </w:tcPr>
          <w:p w14:paraId="5CD0C0EF"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账面余额</w:t>
            </w:r>
          </w:p>
        </w:tc>
        <w:tc>
          <w:tcPr>
            <w:tcW w:w="1346" w:type="dxa"/>
            <w:tcBorders>
              <w:top w:val="single" w:sz="2" w:space="0" w:color="auto"/>
              <w:left w:val="single" w:sz="2" w:space="0" w:color="auto"/>
              <w:bottom w:val="single" w:sz="2" w:space="0" w:color="auto"/>
              <w:right w:val="single" w:sz="2" w:space="0" w:color="auto"/>
            </w:tcBorders>
            <w:shd w:val="clear" w:color="auto" w:fill="D3D3D3"/>
            <w:vAlign w:val="center"/>
          </w:tcPr>
          <w:p w14:paraId="4F868423"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减值准备</w:t>
            </w:r>
          </w:p>
        </w:tc>
        <w:tc>
          <w:tcPr>
            <w:tcW w:w="1347" w:type="dxa"/>
            <w:tcBorders>
              <w:top w:val="single" w:sz="2" w:space="0" w:color="auto"/>
              <w:left w:val="single" w:sz="2" w:space="0" w:color="auto"/>
              <w:bottom w:val="single" w:sz="2" w:space="0" w:color="auto"/>
              <w:right w:val="single" w:sz="2" w:space="0" w:color="auto"/>
            </w:tcBorders>
            <w:shd w:val="clear" w:color="auto" w:fill="D3D3D3"/>
            <w:vAlign w:val="center"/>
          </w:tcPr>
          <w:p w14:paraId="76882175" w14:textId="77777777" w:rsidR="00A46BF1" w:rsidRPr="002A3111" w:rsidRDefault="00A46BF1" w:rsidP="002A3111">
            <w:pPr>
              <w:spacing w:before="40" w:after="40" w:line="360" w:lineRule="auto"/>
              <w:jc w:val="center"/>
              <w:rPr>
                <w:rFonts w:ascii="Times New Roman" w:eastAsia="宋体" w:hAnsi="Times New Roman" w:cs="Times New Roman"/>
                <w:sz w:val="18"/>
                <w:szCs w:val="18"/>
              </w:rPr>
            </w:pPr>
            <w:r w:rsidRPr="002A3111">
              <w:rPr>
                <w:rFonts w:ascii="Times New Roman" w:eastAsia="宋体" w:hAnsi="Times New Roman" w:cs="Times New Roman"/>
                <w:sz w:val="18"/>
                <w:szCs w:val="18"/>
              </w:rPr>
              <w:t>账面价值</w:t>
            </w:r>
          </w:p>
        </w:tc>
      </w:tr>
      <w:tr w:rsidR="00095F6F" w:rsidRPr="002A3111" w14:paraId="3E1823C2" w14:textId="77777777" w:rsidTr="002A3111">
        <w:trPr>
          <w:trHeight w:val="240"/>
        </w:trPr>
        <w:tc>
          <w:tcPr>
            <w:tcW w:w="1560" w:type="dxa"/>
            <w:tcBorders>
              <w:top w:val="single" w:sz="2" w:space="0" w:color="auto"/>
              <w:left w:val="single" w:sz="2" w:space="0" w:color="auto"/>
              <w:bottom w:val="single" w:sz="2" w:space="0" w:color="auto"/>
              <w:right w:val="single" w:sz="2" w:space="0" w:color="auto"/>
            </w:tcBorders>
            <w:vAlign w:val="center"/>
          </w:tcPr>
          <w:p w14:paraId="2A9AA5F0"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预付设备款等</w:t>
            </w:r>
          </w:p>
        </w:tc>
        <w:tc>
          <w:tcPr>
            <w:tcW w:w="1346" w:type="dxa"/>
            <w:tcBorders>
              <w:top w:val="single" w:sz="2" w:space="0" w:color="auto"/>
              <w:left w:val="single" w:sz="2" w:space="0" w:color="auto"/>
              <w:bottom w:val="single" w:sz="2" w:space="0" w:color="auto"/>
              <w:right w:val="single" w:sz="2" w:space="0" w:color="auto"/>
            </w:tcBorders>
            <w:vAlign w:val="center"/>
          </w:tcPr>
          <w:p w14:paraId="09DCB2D2"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19,604,160.16</w:t>
            </w:r>
          </w:p>
        </w:tc>
        <w:tc>
          <w:tcPr>
            <w:tcW w:w="1347" w:type="dxa"/>
            <w:tcBorders>
              <w:top w:val="single" w:sz="2" w:space="0" w:color="auto"/>
              <w:left w:val="single" w:sz="2" w:space="0" w:color="auto"/>
              <w:bottom w:val="single" w:sz="2" w:space="0" w:color="auto"/>
              <w:right w:val="single" w:sz="2" w:space="0" w:color="auto"/>
            </w:tcBorders>
            <w:vAlign w:val="center"/>
          </w:tcPr>
          <w:p w14:paraId="72C4D277"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6" w:type="dxa"/>
            <w:tcBorders>
              <w:top w:val="single" w:sz="2" w:space="0" w:color="auto"/>
              <w:left w:val="single" w:sz="2" w:space="0" w:color="auto"/>
              <w:bottom w:val="single" w:sz="2" w:space="0" w:color="auto"/>
              <w:right w:val="single" w:sz="2" w:space="0" w:color="auto"/>
            </w:tcBorders>
            <w:vAlign w:val="center"/>
          </w:tcPr>
          <w:p w14:paraId="03CB1792"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19,604,160.16</w:t>
            </w:r>
          </w:p>
        </w:tc>
        <w:tc>
          <w:tcPr>
            <w:tcW w:w="1347" w:type="dxa"/>
            <w:tcBorders>
              <w:top w:val="single" w:sz="2" w:space="0" w:color="auto"/>
              <w:left w:val="single" w:sz="2" w:space="0" w:color="auto"/>
              <w:bottom w:val="single" w:sz="2" w:space="0" w:color="auto"/>
              <w:right w:val="single" w:sz="2" w:space="0" w:color="auto"/>
            </w:tcBorders>
            <w:vAlign w:val="center"/>
          </w:tcPr>
          <w:p w14:paraId="2153E4BA"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12,687,303.85</w:t>
            </w:r>
          </w:p>
        </w:tc>
        <w:tc>
          <w:tcPr>
            <w:tcW w:w="1346" w:type="dxa"/>
            <w:tcBorders>
              <w:top w:val="single" w:sz="2" w:space="0" w:color="auto"/>
              <w:left w:val="single" w:sz="2" w:space="0" w:color="auto"/>
              <w:bottom w:val="single" w:sz="2" w:space="0" w:color="auto"/>
              <w:right w:val="single" w:sz="2" w:space="0" w:color="auto"/>
            </w:tcBorders>
            <w:vAlign w:val="center"/>
          </w:tcPr>
          <w:p w14:paraId="2A7A7F40"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7" w:type="dxa"/>
            <w:tcBorders>
              <w:top w:val="single" w:sz="2" w:space="0" w:color="auto"/>
              <w:left w:val="single" w:sz="2" w:space="0" w:color="auto"/>
              <w:bottom w:val="single" w:sz="2" w:space="0" w:color="auto"/>
              <w:right w:val="single" w:sz="2" w:space="0" w:color="auto"/>
            </w:tcBorders>
            <w:vAlign w:val="center"/>
          </w:tcPr>
          <w:p w14:paraId="38707F42"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12,687,303.85</w:t>
            </w:r>
          </w:p>
        </w:tc>
      </w:tr>
      <w:tr w:rsidR="00095F6F" w:rsidRPr="002A3111" w14:paraId="632BC054" w14:textId="77777777" w:rsidTr="002A3111">
        <w:trPr>
          <w:trHeight w:val="240"/>
        </w:trPr>
        <w:tc>
          <w:tcPr>
            <w:tcW w:w="1560" w:type="dxa"/>
            <w:tcBorders>
              <w:top w:val="single" w:sz="2" w:space="0" w:color="auto"/>
              <w:left w:val="single" w:sz="2" w:space="0" w:color="auto"/>
              <w:bottom w:val="single" w:sz="2" w:space="0" w:color="auto"/>
              <w:right w:val="single" w:sz="2" w:space="0" w:color="auto"/>
            </w:tcBorders>
            <w:vAlign w:val="center"/>
          </w:tcPr>
          <w:p w14:paraId="733FD053"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待摊销仪器成本</w:t>
            </w:r>
          </w:p>
        </w:tc>
        <w:tc>
          <w:tcPr>
            <w:tcW w:w="1346" w:type="dxa"/>
            <w:tcBorders>
              <w:top w:val="single" w:sz="2" w:space="0" w:color="auto"/>
              <w:left w:val="single" w:sz="2" w:space="0" w:color="auto"/>
              <w:bottom w:val="single" w:sz="2" w:space="0" w:color="auto"/>
              <w:right w:val="single" w:sz="2" w:space="0" w:color="auto"/>
            </w:tcBorders>
            <w:vAlign w:val="center"/>
          </w:tcPr>
          <w:p w14:paraId="7227FFAD"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4,226,231.94</w:t>
            </w:r>
          </w:p>
        </w:tc>
        <w:tc>
          <w:tcPr>
            <w:tcW w:w="1347" w:type="dxa"/>
            <w:tcBorders>
              <w:top w:val="single" w:sz="2" w:space="0" w:color="auto"/>
              <w:left w:val="single" w:sz="2" w:space="0" w:color="auto"/>
              <w:bottom w:val="single" w:sz="2" w:space="0" w:color="auto"/>
              <w:right w:val="single" w:sz="2" w:space="0" w:color="auto"/>
            </w:tcBorders>
            <w:vAlign w:val="center"/>
          </w:tcPr>
          <w:p w14:paraId="0388960C"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6" w:type="dxa"/>
            <w:tcBorders>
              <w:top w:val="single" w:sz="2" w:space="0" w:color="auto"/>
              <w:left w:val="single" w:sz="2" w:space="0" w:color="auto"/>
              <w:bottom w:val="single" w:sz="2" w:space="0" w:color="auto"/>
              <w:right w:val="single" w:sz="2" w:space="0" w:color="auto"/>
            </w:tcBorders>
            <w:vAlign w:val="center"/>
          </w:tcPr>
          <w:p w14:paraId="29F10A2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4,226,231.94</w:t>
            </w:r>
          </w:p>
        </w:tc>
        <w:tc>
          <w:tcPr>
            <w:tcW w:w="1347" w:type="dxa"/>
            <w:tcBorders>
              <w:top w:val="single" w:sz="2" w:space="0" w:color="auto"/>
              <w:left w:val="single" w:sz="2" w:space="0" w:color="auto"/>
              <w:bottom w:val="single" w:sz="2" w:space="0" w:color="auto"/>
              <w:right w:val="single" w:sz="2" w:space="0" w:color="auto"/>
            </w:tcBorders>
            <w:vAlign w:val="center"/>
          </w:tcPr>
          <w:p w14:paraId="1F1E3735"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9,718,259.54</w:t>
            </w:r>
          </w:p>
        </w:tc>
        <w:tc>
          <w:tcPr>
            <w:tcW w:w="1346" w:type="dxa"/>
            <w:tcBorders>
              <w:top w:val="single" w:sz="2" w:space="0" w:color="auto"/>
              <w:left w:val="single" w:sz="2" w:space="0" w:color="auto"/>
              <w:bottom w:val="single" w:sz="2" w:space="0" w:color="auto"/>
              <w:right w:val="single" w:sz="2" w:space="0" w:color="auto"/>
            </w:tcBorders>
            <w:vAlign w:val="center"/>
          </w:tcPr>
          <w:p w14:paraId="6538ADF7"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7" w:type="dxa"/>
            <w:tcBorders>
              <w:top w:val="single" w:sz="2" w:space="0" w:color="auto"/>
              <w:left w:val="single" w:sz="2" w:space="0" w:color="auto"/>
              <w:bottom w:val="single" w:sz="2" w:space="0" w:color="auto"/>
              <w:right w:val="single" w:sz="2" w:space="0" w:color="auto"/>
            </w:tcBorders>
            <w:vAlign w:val="center"/>
          </w:tcPr>
          <w:p w14:paraId="4A76C20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9,718,259.54</w:t>
            </w:r>
          </w:p>
        </w:tc>
      </w:tr>
      <w:tr w:rsidR="00095F6F" w:rsidRPr="002A3111" w14:paraId="254B36A3" w14:textId="77777777" w:rsidTr="002A3111">
        <w:trPr>
          <w:trHeight w:val="240"/>
        </w:trPr>
        <w:tc>
          <w:tcPr>
            <w:tcW w:w="1560" w:type="dxa"/>
            <w:tcBorders>
              <w:top w:val="single" w:sz="2" w:space="0" w:color="auto"/>
              <w:left w:val="single" w:sz="2" w:space="0" w:color="auto"/>
              <w:bottom w:val="single" w:sz="2" w:space="0" w:color="auto"/>
              <w:right w:val="single" w:sz="2" w:space="0" w:color="auto"/>
            </w:tcBorders>
            <w:vAlign w:val="center"/>
          </w:tcPr>
          <w:p w14:paraId="6AD6F8C7" w14:textId="77777777" w:rsidR="00A46BF1" w:rsidRPr="002A3111" w:rsidRDefault="00A46BF1" w:rsidP="002A3111">
            <w:pPr>
              <w:spacing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保函保证金</w:t>
            </w:r>
          </w:p>
        </w:tc>
        <w:tc>
          <w:tcPr>
            <w:tcW w:w="1346" w:type="dxa"/>
            <w:tcBorders>
              <w:top w:val="single" w:sz="2" w:space="0" w:color="auto"/>
              <w:left w:val="single" w:sz="2" w:space="0" w:color="auto"/>
              <w:bottom w:val="single" w:sz="2" w:space="0" w:color="auto"/>
              <w:right w:val="single" w:sz="2" w:space="0" w:color="auto"/>
            </w:tcBorders>
            <w:vAlign w:val="center"/>
          </w:tcPr>
          <w:p w14:paraId="5412CB7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1,000,000.00</w:t>
            </w:r>
          </w:p>
        </w:tc>
        <w:tc>
          <w:tcPr>
            <w:tcW w:w="1347" w:type="dxa"/>
            <w:tcBorders>
              <w:top w:val="single" w:sz="2" w:space="0" w:color="auto"/>
              <w:left w:val="single" w:sz="2" w:space="0" w:color="auto"/>
              <w:bottom w:val="single" w:sz="2" w:space="0" w:color="auto"/>
              <w:right w:val="single" w:sz="2" w:space="0" w:color="auto"/>
            </w:tcBorders>
            <w:vAlign w:val="center"/>
          </w:tcPr>
          <w:p w14:paraId="7014D16C"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6" w:type="dxa"/>
            <w:tcBorders>
              <w:top w:val="single" w:sz="2" w:space="0" w:color="auto"/>
              <w:left w:val="single" w:sz="2" w:space="0" w:color="auto"/>
              <w:bottom w:val="single" w:sz="2" w:space="0" w:color="auto"/>
              <w:right w:val="single" w:sz="2" w:space="0" w:color="auto"/>
            </w:tcBorders>
            <w:vAlign w:val="center"/>
          </w:tcPr>
          <w:p w14:paraId="69B30EB9"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1,000,000.00</w:t>
            </w:r>
          </w:p>
        </w:tc>
        <w:tc>
          <w:tcPr>
            <w:tcW w:w="1347" w:type="dxa"/>
            <w:tcBorders>
              <w:top w:val="single" w:sz="2" w:space="0" w:color="auto"/>
              <w:left w:val="single" w:sz="2" w:space="0" w:color="auto"/>
              <w:bottom w:val="single" w:sz="2" w:space="0" w:color="auto"/>
              <w:right w:val="single" w:sz="2" w:space="0" w:color="auto"/>
            </w:tcBorders>
            <w:vAlign w:val="center"/>
          </w:tcPr>
          <w:p w14:paraId="1548BE07"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2,670,000.00</w:t>
            </w:r>
          </w:p>
        </w:tc>
        <w:tc>
          <w:tcPr>
            <w:tcW w:w="1346" w:type="dxa"/>
            <w:tcBorders>
              <w:top w:val="single" w:sz="2" w:space="0" w:color="auto"/>
              <w:left w:val="single" w:sz="2" w:space="0" w:color="auto"/>
              <w:bottom w:val="single" w:sz="2" w:space="0" w:color="auto"/>
              <w:right w:val="single" w:sz="2" w:space="0" w:color="auto"/>
            </w:tcBorders>
            <w:vAlign w:val="center"/>
          </w:tcPr>
          <w:p w14:paraId="22AEDED2"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7" w:type="dxa"/>
            <w:tcBorders>
              <w:top w:val="single" w:sz="2" w:space="0" w:color="auto"/>
              <w:left w:val="single" w:sz="2" w:space="0" w:color="auto"/>
              <w:bottom w:val="single" w:sz="2" w:space="0" w:color="auto"/>
              <w:right w:val="single" w:sz="2" w:space="0" w:color="auto"/>
            </w:tcBorders>
            <w:vAlign w:val="center"/>
          </w:tcPr>
          <w:p w14:paraId="29A6F4AF"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2,670,000.00</w:t>
            </w:r>
          </w:p>
        </w:tc>
      </w:tr>
      <w:tr w:rsidR="00095F6F" w:rsidRPr="002A3111" w14:paraId="14EA6B7B" w14:textId="77777777" w:rsidTr="002A3111">
        <w:trPr>
          <w:trHeight w:val="240"/>
        </w:trPr>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4415B4D0" w14:textId="77777777" w:rsidR="00A46BF1" w:rsidRPr="002A3111" w:rsidRDefault="00A46BF1" w:rsidP="002A3111">
            <w:pPr>
              <w:spacing w:before="40" w:after="40" w:line="360" w:lineRule="auto"/>
              <w:rPr>
                <w:rFonts w:ascii="Times New Roman" w:eastAsia="宋体" w:hAnsi="Times New Roman" w:cs="Times New Roman"/>
                <w:sz w:val="18"/>
                <w:szCs w:val="18"/>
              </w:rPr>
            </w:pPr>
            <w:r w:rsidRPr="002A3111">
              <w:rPr>
                <w:rFonts w:ascii="Times New Roman" w:eastAsia="宋体" w:hAnsi="Times New Roman" w:cs="Times New Roman"/>
                <w:sz w:val="18"/>
                <w:szCs w:val="18"/>
              </w:rPr>
              <w:t>合计</w:t>
            </w:r>
          </w:p>
        </w:tc>
        <w:tc>
          <w:tcPr>
            <w:tcW w:w="1346" w:type="dxa"/>
            <w:tcBorders>
              <w:top w:val="single" w:sz="2" w:space="0" w:color="auto"/>
              <w:left w:val="single" w:sz="2" w:space="0" w:color="auto"/>
              <w:bottom w:val="single" w:sz="2" w:space="0" w:color="auto"/>
              <w:right w:val="single" w:sz="2" w:space="0" w:color="auto"/>
            </w:tcBorders>
            <w:vAlign w:val="center"/>
          </w:tcPr>
          <w:p w14:paraId="0FC672EC"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24,830,392.10</w:t>
            </w:r>
          </w:p>
        </w:tc>
        <w:tc>
          <w:tcPr>
            <w:tcW w:w="1347" w:type="dxa"/>
            <w:tcBorders>
              <w:top w:val="single" w:sz="2" w:space="0" w:color="auto"/>
              <w:left w:val="single" w:sz="2" w:space="0" w:color="auto"/>
              <w:bottom w:val="single" w:sz="2" w:space="0" w:color="auto"/>
              <w:right w:val="single" w:sz="2" w:space="0" w:color="auto"/>
            </w:tcBorders>
            <w:vAlign w:val="center"/>
          </w:tcPr>
          <w:p w14:paraId="4B3375AA"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6" w:type="dxa"/>
            <w:tcBorders>
              <w:top w:val="single" w:sz="2" w:space="0" w:color="auto"/>
              <w:left w:val="single" w:sz="2" w:space="0" w:color="auto"/>
              <w:bottom w:val="single" w:sz="2" w:space="0" w:color="auto"/>
              <w:right w:val="single" w:sz="2" w:space="0" w:color="auto"/>
            </w:tcBorders>
            <w:vAlign w:val="center"/>
          </w:tcPr>
          <w:p w14:paraId="1035E1DD"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24,830,392.10</w:t>
            </w:r>
          </w:p>
        </w:tc>
        <w:tc>
          <w:tcPr>
            <w:tcW w:w="1347" w:type="dxa"/>
            <w:tcBorders>
              <w:top w:val="single" w:sz="2" w:space="0" w:color="auto"/>
              <w:left w:val="single" w:sz="2" w:space="0" w:color="auto"/>
              <w:bottom w:val="single" w:sz="2" w:space="0" w:color="auto"/>
              <w:right w:val="single" w:sz="2" w:space="0" w:color="auto"/>
            </w:tcBorders>
            <w:vAlign w:val="center"/>
          </w:tcPr>
          <w:p w14:paraId="7E268C5C"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25,075,563.39</w:t>
            </w:r>
          </w:p>
        </w:tc>
        <w:tc>
          <w:tcPr>
            <w:tcW w:w="1346" w:type="dxa"/>
            <w:tcBorders>
              <w:top w:val="single" w:sz="2" w:space="0" w:color="auto"/>
              <w:left w:val="single" w:sz="2" w:space="0" w:color="auto"/>
              <w:bottom w:val="single" w:sz="2" w:space="0" w:color="auto"/>
              <w:right w:val="single" w:sz="2" w:space="0" w:color="auto"/>
            </w:tcBorders>
            <w:vAlign w:val="center"/>
          </w:tcPr>
          <w:p w14:paraId="27E3A4A7" w14:textId="77777777" w:rsidR="00A46BF1" w:rsidRPr="002A3111" w:rsidRDefault="00A46BF1" w:rsidP="002A3111">
            <w:pPr>
              <w:spacing w:line="360" w:lineRule="auto"/>
              <w:jc w:val="right"/>
              <w:rPr>
                <w:rFonts w:ascii="Times New Roman" w:eastAsia="宋体" w:hAnsi="Times New Roman" w:cs="Times New Roman"/>
                <w:sz w:val="18"/>
                <w:szCs w:val="18"/>
              </w:rPr>
            </w:pPr>
          </w:p>
        </w:tc>
        <w:tc>
          <w:tcPr>
            <w:tcW w:w="1347" w:type="dxa"/>
            <w:tcBorders>
              <w:top w:val="single" w:sz="2" w:space="0" w:color="auto"/>
              <w:left w:val="single" w:sz="2" w:space="0" w:color="auto"/>
              <w:bottom w:val="single" w:sz="2" w:space="0" w:color="auto"/>
              <w:right w:val="single" w:sz="2" w:space="0" w:color="auto"/>
            </w:tcBorders>
            <w:vAlign w:val="center"/>
          </w:tcPr>
          <w:p w14:paraId="63305EA0" w14:textId="77777777" w:rsidR="00A46BF1" w:rsidRPr="002A3111" w:rsidRDefault="00A46BF1" w:rsidP="002A3111">
            <w:pPr>
              <w:spacing w:line="360" w:lineRule="auto"/>
              <w:jc w:val="right"/>
              <w:rPr>
                <w:rFonts w:ascii="Times New Roman" w:eastAsia="宋体" w:hAnsi="Times New Roman" w:cs="Times New Roman"/>
                <w:sz w:val="18"/>
                <w:szCs w:val="18"/>
              </w:rPr>
            </w:pPr>
            <w:r w:rsidRPr="002A3111">
              <w:rPr>
                <w:rFonts w:ascii="Times New Roman" w:eastAsia="宋体" w:hAnsi="Times New Roman" w:cs="Times New Roman"/>
                <w:sz w:val="18"/>
                <w:szCs w:val="18"/>
              </w:rPr>
              <w:t>25,075,563.39</w:t>
            </w:r>
          </w:p>
        </w:tc>
      </w:tr>
    </w:tbl>
    <w:p w14:paraId="2B9138D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D3F96EE" w14:textId="77777777" w:rsidR="00A46BF1" w:rsidRPr="002A3111" w:rsidRDefault="00A46BF1" w:rsidP="002A3111">
      <w:pPr>
        <w:spacing w:before="100" w:after="100" w:line="240" w:lineRule="exact"/>
        <w:rPr>
          <w:rFonts w:ascii="宋体" w:eastAsia="宋体" w:hAnsi="宋体" w:cs="宋体"/>
          <w:sz w:val="18"/>
          <w:szCs w:val="18"/>
        </w:rPr>
      </w:pPr>
      <w:r w:rsidRPr="002A3111">
        <w:rPr>
          <w:rFonts w:ascii="宋体" w:eastAsia="宋体" w:hAnsi="宋体" w:cs="宋体" w:hint="eastAsia"/>
          <w:sz w:val="18"/>
          <w:szCs w:val="18"/>
        </w:rPr>
        <w:t>无</w:t>
      </w:r>
    </w:p>
    <w:p w14:paraId="0B8E1316" w14:textId="16076033" w:rsidR="00A46BF1" w:rsidRDefault="00A46BF1" w:rsidP="00A46BF1">
      <w:pPr>
        <w:pStyle w:val="3"/>
        <w:spacing w:line="280" w:lineRule="exact"/>
        <w:jc w:val="left"/>
        <w:rPr>
          <w:rFonts w:ascii="宋体" w:hAnsi="宋体" w:cs="宋体"/>
          <w:b/>
          <w:bCs/>
        </w:rPr>
      </w:pPr>
      <w:r>
        <w:rPr>
          <w:rFonts w:ascii="宋体" w:hAnsi="宋体" w:cs="宋体"/>
          <w:b/>
          <w:bCs/>
        </w:rPr>
        <w:t>2</w:t>
      </w:r>
      <w:r w:rsidR="00D43E8F">
        <w:rPr>
          <w:rFonts w:ascii="宋体" w:hAnsi="宋体" w:cs="宋体"/>
          <w:b/>
          <w:bCs/>
        </w:rPr>
        <w:t>3</w:t>
      </w:r>
      <w:r>
        <w:rPr>
          <w:rFonts w:ascii="宋体" w:hAnsi="宋体" w:cs="宋体"/>
          <w:b/>
          <w:bCs/>
        </w:rPr>
        <w:t>、所有权或使用权受到限制的资产</w:t>
      </w:r>
    </w:p>
    <w:p w14:paraId="647EF8C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1196"/>
        <w:gridCol w:w="1055"/>
        <w:gridCol w:w="1055"/>
        <w:gridCol w:w="1056"/>
        <w:gridCol w:w="1055"/>
        <w:gridCol w:w="1055"/>
        <w:gridCol w:w="1056"/>
        <w:gridCol w:w="1055"/>
        <w:gridCol w:w="1056"/>
      </w:tblGrid>
      <w:tr w:rsidR="00095F6F" w:rsidRPr="00AA236E" w14:paraId="6A160A0D" w14:textId="77777777" w:rsidTr="00AA236E">
        <w:trPr>
          <w:trHeight w:val="240"/>
        </w:trPr>
        <w:tc>
          <w:tcPr>
            <w:tcW w:w="119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19BBB5"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项目</w:t>
            </w:r>
          </w:p>
        </w:tc>
        <w:tc>
          <w:tcPr>
            <w:tcW w:w="4221"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443066A"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期末</w:t>
            </w:r>
          </w:p>
        </w:tc>
        <w:tc>
          <w:tcPr>
            <w:tcW w:w="4222"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A59ED7F"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期初</w:t>
            </w:r>
          </w:p>
        </w:tc>
      </w:tr>
      <w:tr w:rsidR="00095F6F" w:rsidRPr="00AA236E" w14:paraId="2B62E8E0" w14:textId="77777777" w:rsidTr="00AA236E">
        <w:trPr>
          <w:trHeight w:val="240"/>
        </w:trPr>
        <w:tc>
          <w:tcPr>
            <w:tcW w:w="119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565A12A" w14:textId="77777777" w:rsidR="00A46BF1" w:rsidRPr="00AA236E" w:rsidRDefault="00A46BF1" w:rsidP="002A3111">
            <w:pPr>
              <w:spacing w:line="360" w:lineRule="auto"/>
              <w:rPr>
                <w:rFonts w:ascii="Times New Roman"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46E47FDB"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账面余额</w:t>
            </w: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4709C5DB"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账面价值</w:t>
            </w:r>
          </w:p>
        </w:tc>
        <w:tc>
          <w:tcPr>
            <w:tcW w:w="1056" w:type="dxa"/>
            <w:tcBorders>
              <w:top w:val="single" w:sz="2" w:space="0" w:color="auto"/>
              <w:left w:val="single" w:sz="2" w:space="0" w:color="auto"/>
              <w:bottom w:val="single" w:sz="2" w:space="0" w:color="auto"/>
              <w:right w:val="single" w:sz="2" w:space="0" w:color="auto"/>
            </w:tcBorders>
            <w:shd w:val="clear" w:color="auto" w:fill="D3D3D3"/>
            <w:vAlign w:val="center"/>
          </w:tcPr>
          <w:p w14:paraId="5CF83F78"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受限类型</w:t>
            </w: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3AA7C16D"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受限情况</w:t>
            </w: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50B43C7A"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账面余额</w:t>
            </w:r>
          </w:p>
        </w:tc>
        <w:tc>
          <w:tcPr>
            <w:tcW w:w="1056" w:type="dxa"/>
            <w:tcBorders>
              <w:top w:val="single" w:sz="2" w:space="0" w:color="auto"/>
              <w:left w:val="single" w:sz="2" w:space="0" w:color="auto"/>
              <w:bottom w:val="single" w:sz="2" w:space="0" w:color="auto"/>
              <w:right w:val="single" w:sz="2" w:space="0" w:color="auto"/>
            </w:tcBorders>
            <w:shd w:val="clear" w:color="auto" w:fill="D3D3D3"/>
            <w:vAlign w:val="center"/>
          </w:tcPr>
          <w:p w14:paraId="2D80F1E8"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账面价值</w:t>
            </w: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46CD261A"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受限类型</w:t>
            </w:r>
          </w:p>
        </w:tc>
        <w:tc>
          <w:tcPr>
            <w:tcW w:w="1056" w:type="dxa"/>
            <w:tcBorders>
              <w:top w:val="single" w:sz="2" w:space="0" w:color="auto"/>
              <w:left w:val="single" w:sz="2" w:space="0" w:color="auto"/>
              <w:bottom w:val="single" w:sz="2" w:space="0" w:color="auto"/>
              <w:right w:val="single" w:sz="2" w:space="0" w:color="auto"/>
            </w:tcBorders>
            <w:shd w:val="clear" w:color="auto" w:fill="D3D3D3"/>
            <w:vAlign w:val="center"/>
          </w:tcPr>
          <w:p w14:paraId="473B7E99" w14:textId="77777777" w:rsidR="00A46BF1" w:rsidRPr="00AA236E" w:rsidRDefault="00A46BF1" w:rsidP="002A3111">
            <w:pPr>
              <w:spacing w:before="40" w:after="40" w:line="360" w:lineRule="auto"/>
              <w:jc w:val="center"/>
              <w:rPr>
                <w:rFonts w:ascii="Times New Roman" w:eastAsia="宋体" w:hAnsi="Times New Roman" w:cs="Times New Roman"/>
                <w:sz w:val="15"/>
                <w:szCs w:val="15"/>
              </w:rPr>
            </w:pPr>
            <w:r w:rsidRPr="00AA236E">
              <w:rPr>
                <w:rFonts w:ascii="Times New Roman" w:eastAsia="宋体" w:hAnsi="Times New Roman" w:cs="Times New Roman"/>
                <w:sz w:val="15"/>
                <w:szCs w:val="15"/>
              </w:rPr>
              <w:t>受限情况</w:t>
            </w:r>
          </w:p>
        </w:tc>
      </w:tr>
      <w:tr w:rsidR="00095F6F" w:rsidRPr="00AA236E" w14:paraId="0D0073F1" w14:textId="77777777" w:rsidTr="00AA236E">
        <w:trPr>
          <w:trHeight w:val="240"/>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23734D9F" w14:textId="77777777" w:rsidR="00A46BF1" w:rsidRPr="00AA236E" w:rsidRDefault="00A46BF1" w:rsidP="002A3111">
            <w:pPr>
              <w:spacing w:before="40" w:after="40"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货币资金</w:t>
            </w:r>
          </w:p>
        </w:tc>
        <w:tc>
          <w:tcPr>
            <w:tcW w:w="1055" w:type="dxa"/>
            <w:tcBorders>
              <w:top w:val="single" w:sz="2" w:space="0" w:color="auto"/>
              <w:left w:val="single" w:sz="2" w:space="0" w:color="auto"/>
              <w:bottom w:val="single" w:sz="2" w:space="0" w:color="auto"/>
              <w:right w:val="single" w:sz="2" w:space="0" w:color="auto"/>
            </w:tcBorders>
            <w:vAlign w:val="center"/>
          </w:tcPr>
          <w:p w14:paraId="19759E49"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8,192,291.52</w:t>
            </w:r>
          </w:p>
        </w:tc>
        <w:tc>
          <w:tcPr>
            <w:tcW w:w="1055" w:type="dxa"/>
            <w:tcBorders>
              <w:top w:val="single" w:sz="2" w:space="0" w:color="auto"/>
              <w:left w:val="single" w:sz="2" w:space="0" w:color="auto"/>
              <w:bottom w:val="single" w:sz="2" w:space="0" w:color="auto"/>
              <w:right w:val="single" w:sz="2" w:space="0" w:color="auto"/>
            </w:tcBorders>
            <w:vAlign w:val="center"/>
          </w:tcPr>
          <w:p w14:paraId="504621F9"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8,192,291.52</w:t>
            </w:r>
          </w:p>
        </w:tc>
        <w:tc>
          <w:tcPr>
            <w:tcW w:w="1056" w:type="dxa"/>
            <w:tcBorders>
              <w:top w:val="single" w:sz="2" w:space="0" w:color="auto"/>
              <w:left w:val="single" w:sz="2" w:space="0" w:color="auto"/>
              <w:bottom w:val="single" w:sz="2" w:space="0" w:color="auto"/>
              <w:right w:val="single" w:sz="2" w:space="0" w:color="auto"/>
            </w:tcBorders>
            <w:vAlign w:val="center"/>
          </w:tcPr>
          <w:p w14:paraId="2D9223ED"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r w:rsidRPr="00AA236E">
              <w:rPr>
                <w:rFonts w:ascii="Times New Roman" w:eastAsia="宋体" w:hAnsi="Times New Roman" w:cs="Times New Roman"/>
                <w:sz w:val="15"/>
                <w:szCs w:val="15"/>
              </w:rPr>
              <w:t>/</w:t>
            </w:r>
            <w:r w:rsidRPr="00AA236E">
              <w:rPr>
                <w:rFonts w:ascii="Times New Roman" w:eastAsia="宋体" w:hAnsi="Times New Roman" w:cs="Times New Roman"/>
                <w:sz w:val="15"/>
                <w:szCs w:val="15"/>
              </w:rPr>
              <w:t>质押</w:t>
            </w:r>
          </w:p>
        </w:tc>
        <w:tc>
          <w:tcPr>
            <w:tcW w:w="1055" w:type="dxa"/>
            <w:tcBorders>
              <w:top w:val="single" w:sz="2" w:space="0" w:color="auto"/>
              <w:left w:val="single" w:sz="2" w:space="0" w:color="auto"/>
              <w:bottom w:val="single" w:sz="2" w:space="0" w:color="auto"/>
              <w:right w:val="single" w:sz="2" w:space="0" w:color="auto"/>
            </w:tcBorders>
            <w:vAlign w:val="center"/>
          </w:tcPr>
          <w:p w14:paraId="5A790619"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r w:rsidRPr="00AA236E">
              <w:rPr>
                <w:rFonts w:ascii="Times New Roman" w:eastAsia="宋体" w:hAnsi="Times New Roman" w:cs="Times New Roman"/>
                <w:sz w:val="15"/>
                <w:szCs w:val="15"/>
              </w:rPr>
              <w:t>/</w:t>
            </w:r>
            <w:r w:rsidRPr="00AA236E">
              <w:rPr>
                <w:rFonts w:ascii="Times New Roman" w:eastAsia="宋体" w:hAnsi="Times New Roman" w:cs="Times New Roman"/>
                <w:sz w:val="15"/>
                <w:szCs w:val="15"/>
              </w:rPr>
              <w:t>质押</w:t>
            </w:r>
          </w:p>
        </w:tc>
        <w:tc>
          <w:tcPr>
            <w:tcW w:w="1055" w:type="dxa"/>
            <w:tcBorders>
              <w:top w:val="single" w:sz="2" w:space="0" w:color="auto"/>
              <w:left w:val="single" w:sz="2" w:space="0" w:color="auto"/>
              <w:bottom w:val="single" w:sz="2" w:space="0" w:color="auto"/>
              <w:right w:val="single" w:sz="2" w:space="0" w:color="auto"/>
            </w:tcBorders>
            <w:vAlign w:val="center"/>
          </w:tcPr>
          <w:p w14:paraId="6FEBE677"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2,241,551.54</w:t>
            </w:r>
          </w:p>
        </w:tc>
        <w:tc>
          <w:tcPr>
            <w:tcW w:w="1056" w:type="dxa"/>
            <w:tcBorders>
              <w:top w:val="single" w:sz="2" w:space="0" w:color="auto"/>
              <w:left w:val="single" w:sz="2" w:space="0" w:color="auto"/>
              <w:bottom w:val="single" w:sz="2" w:space="0" w:color="auto"/>
              <w:right w:val="single" w:sz="2" w:space="0" w:color="auto"/>
            </w:tcBorders>
            <w:vAlign w:val="center"/>
          </w:tcPr>
          <w:p w14:paraId="47F546F6"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2,241,551.54</w:t>
            </w:r>
          </w:p>
        </w:tc>
        <w:tc>
          <w:tcPr>
            <w:tcW w:w="1055" w:type="dxa"/>
            <w:tcBorders>
              <w:top w:val="single" w:sz="2" w:space="0" w:color="auto"/>
              <w:left w:val="single" w:sz="2" w:space="0" w:color="auto"/>
              <w:bottom w:val="single" w:sz="2" w:space="0" w:color="auto"/>
              <w:right w:val="single" w:sz="2" w:space="0" w:color="auto"/>
            </w:tcBorders>
            <w:vAlign w:val="center"/>
          </w:tcPr>
          <w:p w14:paraId="27B01C37"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r w:rsidRPr="00AA236E">
              <w:rPr>
                <w:rFonts w:ascii="Times New Roman" w:eastAsia="宋体" w:hAnsi="Times New Roman" w:cs="Times New Roman"/>
                <w:sz w:val="15"/>
                <w:szCs w:val="15"/>
              </w:rPr>
              <w:t>/</w:t>
            </w:r>
            <w:r w:rsidRPr="00AA236E">
              <w:rPr>
                <w:rFonts w:ascii="Times New Roman" w:eastAsia="宋体" w:hAnsi="Times New Roman" w:cs="Times New Roman"/>
                <w:sz w:val="15"/>
                <w:szCs w:val="15"/>
              </w:rPr>
              <w:t>质押</w:t>
            </w:r>
          </w:p>
        </w:tc>
        <w:tc>
          <w:tcPr>
            <w:tcW w:w="1056" w:type="dxa"/>
            <w:tcBorders>
              <w:top w:val="single" w:sz="2" w:space="0" w:color="auto"/>
              <w:left w:val="single" w:sz="2" w:space="0" w:color="auto"/>
              <w:bottom w:val="single" w:sz="2" w:space="0" w:color="auto"/>
              <w:right w:val="single" w:sz="2" w:space="0" w:color="auto"/>
            </w:tcBorders>
            <w:vAlign w:val="center"/>
          </w:tcPr>
          <w:p w14:paraId="2A374372"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r w:rsidRPr="00AA236E">
              <w:rPr>
                <w:rFonts w:ascii="Times New Roman" w:eastAsia="宋体" w:hAnsi="Times New Roman" w:cs="Times New Roman"/>
                <w:sz w:val="15"/>
                <w:szCs w:val="15"/>
              </w:rPr>
              <w:t>/</w:t>
            </w:r>
            <w:r w:rsidRPr="00AA236E">
              <w:rPr>
                <w:rFonts w:ascii="Times New Roman" w:eastAsia="宋体" w:hAnsi="Times New Roman" w:cs="Times New Roman"/>
                <w:sz w:val="15"/>
                <w:szCs w:val="15"/>
              </w:rPr>
              <w:t>质押</w:t>
            </w:r>
          </w:p>
        </w:tc>
      </w:tr>
      <w:tr w:rsidR="00095F6F" w:rsidRPr="00AA236E" w14:paraId="108747F0" w14:textId="77777777" w:rsidTr="00AA236E">
        <w:trPr>
          <w:trHeight w:val="240"/>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5498C54D" w14:textId="77777777" w:rsidR="00A46BF1" w:rsidRPr="00AA236E" w:rsidRDefault="00A46BF1" w:rsidP="002A3111">
            <w:pPr>
              <w:spacing w:before="40" w:after="40"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固定资产</w:t>
            </w:r>
          </w:p>
        </w:tc>
        <w:tc>
          <w:tcPr>
            <w:tcW w:w="1055" w:type="dxa"/>
            <w:tcBorders>
              <w:top w:val="single" w:sz="2" w:space="0" w:color="auto"/>
              <w:left w:val="single" w:sz="2" w:space="0" w:color="auto"/>
              <w:bottom w:val="single" w:sz="2" w:space="0" w:color="auto"/>
              <w:right w:val="single" w:sz="2" w:space="0" w:color="auto"/>
            </w:tcBorders>
            <w:vAlign w:val="center"/>
          </w:tcPr>
          <w:p w14:paraId="03D60DB1" w14:textId="77777777" w:rsidR="00A46BF1" w:rsidRPr="00AA236E" w:rsidRDefault="00A46BF1" w:rsidP="002A3111">
            <w:pPr>
              <w:spacing w:line="360" w:lineRule="auto"/>
              <w:jc w:val="right"/>
              <w:rPr>
                <w:rFonts w:ascii="Times New Roman" w:eastAsia="宋体"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45D7F64C" w14:textId="77777777" w:rsidR="00A46BF1" w:rsidRPr="00AA236E" w:rsidRDefault="00A46BF1" w:rsidP="002A3111">
            <w:pPr>
              <w:spacing w:line="360" w:lineRule="auto"/>
              <w:jc w:val="right"/>
              <w:rPr>
                <w:rFonts w:ascii="Times New Roman" w:eastAsia="宋体" w:hAnsi="Times New Roman" w:cs="Times New Roman"/>
                <w:sz w:val="15"/>
                <w:szCs w:val="15"/>
              </w:rPr>
            </w:pPr>
          </w:p>
        </w:tc>
        <w:tc>
          <w:tcPr>
            <w:tcW w:w="1056" w:type="dxa"/>
            <w:tcBorders>
              <w:top w:val="single" w:sz="2" w:space="0" w:color="auto"/>
              <w:left w:val="single" w:sz="2" w:space="0" w:color="auto"/>
              <w:bottom w:val="single" w:sz="2" w:space="0" w:color="auto"/>
              <w:right w:val="single" w:sz="2" w:space="0" w:color="auto"/>
            </w:tcBorders>
            <w:vAlign w:val="center"/>
          </w:tcPr>
          <w:p w14:paraId="0910A7E4" w14:textId="77777777" w:rsidR="00A46BF1" w:rsidRPr="00AA236E" w:rsidRDefault="00A46BF1" w:rsidP="002A3111">
            <w:pPr>
              <w:spacing w:line="360" w:lineRule="auto"/>
              <w:rPr>
                <w:rFonts w:ascii="Times New Roman" w:eastAsia="宋体"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5F0586FB" w14:textId="77777777" w:rsidR="00A46BF1" w:rsidRPr="00AA236E" w:rsidRDefault="00A46BF1" w:rsidP="002A3111">
            <w:pPr>
              <w:spacing w:line="360" w:lineRule="auto"/>
              <w:rPr>
                <w:rFonts w:ascii="Times New Roman" w:eastAsia="宋体"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72182B04"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209,127,751.90</w:t>
            </w:r>
          </w:p>
        </w:tc>
        <w:tc>
          <w:tcPr>
            <w:tcW w:w="1056" w:type="dxa"/>
            <w:tcBorders>
              <w:top w:val="single" w:sz="2" w:space="0" w:color="auto"/>
              <w:left w:val="single" w:sz="2" w:space="0" w:color="auto"/>
              <w:bottom w:val="single" w:sz="2" w:space="0" w:color="auto"/>
              <w:right w:val="single" w:sz="2" w:space="0" w:color="auto"/>
            </w:tcBorders>
            <w:vAlign w:val="center"/>
          </w:tcPr>
          <w:p w14:paraId="24371E82"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155,080,572.62</w:t>
            </w:r>
          </w:p>
        </w:tc>
        <w:tc>
          <w:tcPr>
            <w:tcW w:w="1055" w:type="dxa"/>
            <w:tcBorders>
              <w:top w:val="single" w:sz="2" w:space="0" w:color="auto"/>
              <w:left w:val="single" w:sz="2" w:space="0" w:color="auto"/>
              <w:bottom w:val="single" w:sz="2" w:space="0" w:color="auto"/>
              <w:right w:val="single" w:sz="2" w:space="0" w:color="auto"/>
            </w:tcBorders>
            <w:vAlign w:val="center"/>
          </w:tcPr>
          <w:p w14:paraId="719A23FC"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抵押</w:t>
            </w:r>
          </w:p>
        </w:tc>
        <w:tc>
          <w:tcPr>
            <w:tcW w:w="1056" w:type="dxa"/>
            <w:tcBorders>
              <w:top w:val="single" w:sz="2" w:space="0" w:color="auto"/>
              <w:left w:val="single" w:sz="2" w:space="0" w:color="auto"/>
              <w:bottom w:val="single" w:sz="2" w:space="0" w:color="auto"/>
              <w:right w:val="single" w:sz="2" w:space="0" w:color="auto"/>
            </w:tcBorders>
            <w:vAlign w:val="center"/>
          </w:tcPr>
          <w:p w14:paraId="416374AE"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抵押</w:t>
            </w:r>
          </w:p>
        </w:tc>
      </w:tr>
      <w:tr w:rsidR="00095F6F" w:rsidRPr="00AA236E" w14:paraId="05FFBFF6" w14:textId="77777777" w:rsidTr="00AA236E">
        <w:trPr>
          <w:trHeight w:val="240"/>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0F8DEC3A" w14:textId="77777777" w:rsidR="00A46BF1" w:rsidRPr="00AA236E" w:rsidRDefault="00A46BF1" w:rsidP="002A3111">
            <w:pPr>
              <w:spacing w:before="40" w:after="40"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无形资产</w:t>
            </w:r>
          </w:p>
        </w:tc>
        <w:tc>
          <w:tcPr>
            <w:tcW w:w="1055" w:type="dxa"/>
            <w:tcBorders>
              <w:top w:val="single" w:sz="2" w:space="0" w:color="auto"/>
              <w:left w:val="single" w:sz="2" w:space="0" w:color="auto"/>
              <w:bottom w:val="single" w:sz="2" w:space="0" w:color="auto"/>
              <w:right w:val="single" w:sz="2" w:space="0" w:color="auto"/>
            </w:tcBorders>
            <w:vAlign w:val="center"/>
          </w:tcPr>
          <w:p w14:paraId="52AC14B5" w14:textId="77777777" w:rsidR="00A46BF1" w:rsidRPr="00AA236E" w:rsidRDefault="00A46BF1" w:rsidP="002A3111">
            <w:pPr>
              <w:spacing w:line="360" w:lineRule="auto"/>
              <w:jc w:val="right"/>
              <w:rPr>
                <w:rFonts w:ascii="Times New Roman" w:eastAsia="宋体"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2EA340F7" w14:textId="77777777" w:rsidR="00A46BF1" w:rsidRPr="00AA236E" w:rsidRDefault="00A46BF1" w:rsidP="002A3111">
            <w:pPr>
              <w:spacing w:line="360" w:lineRule="auto"/>
              <w:jc w:val="right"/>
              <w:rPr>
                <w:rFonts w:ascii="Times New Roman" w:eastAsia="宋体" w:hAnsi="Times New Roman" w:cs="Times New Roman"/>
                <w:sz w:val="15"/>
                <w:szCs w:val="15"/>
              </w:rPr>
            </w:pPr>
          </w:p>
        </w:tc>
        <w:tc>
          <w:tcPr>
            <w:tcW w:w="1056" w:type="dxa"/>
            <w:tcBorders>
              <w:top w:val="single" w:sz="2" w:space="0" w:color="auto"/>
              <w:left w:val="single" w:sz="2" w:space="0" w:color="auto"/>
              <w:bottom w:val="single" w:sz="2" w:space="0" w:color="auto"/>
              <w:right w:val="single" w:sz="2" w:space="0" w:color="auto"/>
            </w:tcBorders>
            <w:vAlign w:val="center"/>
          </w:tcPr>
          <w:p w14:paraId="48001C12" w14:textId="77777777" w:rsidR="00A46BF1" w:rsidRPr="00AA236E" w:rsidRDefault="00A46BF1" w:rsidP="002A3111">
            <w:pPr>
              <w:spacing w:line="360" w:lineRule="auto"/>
              <w:rPr>
                <w:rFonts w:ascii="Times New Roman" w:eastAsia="宋体"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4741BE4C" w14:textId="77777777" w:rsidR="00A46BF1" w:rsidRPr="00AA236E" w:rsidRDefault="00A46BF1" w:rsidP="002A3111">
            <w:pPr>
              <w:spacing w:line="360" w:lineRule="auto"/>
              <w:rPr>
                <w:rFonts w:ascii="Times New Roman" w:eastAsia="宋体"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402E48B2"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23,399,214.00</w:t>
            </w:r>
          </w:p>
        </w:tc>
        <w:tc>
          <w:tcPr>
            <w:tcW w:w="1056" w:type="dxa"/>
            <w:tcBorders>
              <w:top w:val="single" w:sz="2" w:space="0" w:color="auto"/>
              <w:left w:val="single" w:sz="2" w:space="0" w:color="auto"/>
              <w:bottom w:val="single" w:sz="2" w:space="0" w:color="auto"/>
              <w:right w:val="single" w:sz="2" w:space="0" w:color="auto"/>
            </w:tcBorders>
            <w:vAlign w:val="center"/>
          </w:tcPr>
          <w:p w14:paraId="4AA79B65"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17,125,590.99</w:t>
            </w:r>
          </w:p>
        </w:tc>
        <w:tc>
          <w:tcPr>
            <w:tcW w:w="1055" w:type="dxa"/>
            <w:tcBorders>
              <w:top w:val="single" w:sz="2" w:space="0" w:color="auto"/>
              <w:left w:val="single" w:sz="2" w:space="0" w:color="auto"/>
              <w:bottom w:val="single" w:sz="2" w:space="0" w:color="auto"/>
              <w:right w:val="single" w:sz="2" w:space="0" w:color="auto"/>
            </w:tcBorders>
            <w:vAlign w:val="center"/>
          </w:tcPr>
          <w:p w14:paraId="1B015D84"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抵押</w:t>
            </w:r>
          </w:p>
        </w:tc>
        <w:tc>
          <w:tcPr>
            <w:tcW w:w="1056" w:type="dxa"/>
            <w:tcBorders>
              <w:top w:val="single" w:sz="2" w:space="0" w:color="auto"/>
              <w:left w:val="single" w:sz="2" w:space="0" w:color="auto"/>
              <w:bottom w:val="single" w:sz="2" w:space="0" w:color="auto"/>
              <w:right w:val="single" w:sz="2" w:space="0" w:color="auto"/>
            </w:tcBorders>
            <w:vAlign w:val="center"/>
          </w:tcPr>
          <w:p w14:paraId="1E6D530B"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抵押</w:t>
            </w:r>
          </w:p>
        </w:tc>
      </w:tr>
      <w:tr w:rsidR="00095F6F" w:rsidRPr="00AA236E" w14:paraId="5F92094D" w14:textId="77777777" w:rsidTr="00AA236E">
        <w:trPr>
          <w:trHeight w:val="240"/>
        </w:trPr>
        <w:tc>
          <w:tcPr>
            <w:tcW w:w="1196" w:type="dxa"/>
            <w:tcBorders>
              <w:top w:val="single" w:sz="2" w:space="0" w:color="auto"/>
              <w:left w:val="single" w:sz="2" w:space="0" w:color="auto"/>
              <w:bottom w:val="single" w:sz="2" w:space="0" w:color="auto"/>
              <w:right w:val="single" w:sz="2" w:space="0" w:color="auto"/>
            </w:tcBorders>
            <w:vAlign w:val="center"/>
          </w:tcPr>
          <w:p w14:paraId="18D925EC"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其他非流动资产</w:t>
            </w:r>
          </w:p>
        </w:tc>
        <w:tc>
          <w:tcPr>
            <w:tcW w:w="1055" w:type="dxa"/>
            <w:tcBorders>
              <w:top w:val="single" w:sz="2" w:space="0" w:color="auto"/>
              <w:left w:val="single" w:sz="2" w:space="0" w:color="auto"/>
              <w:bottom w:val="single" w:sz="2" w:space="0" w:color="auto"/>
              <w:right w:val="single" w:sz="2" w:space="0" w:color="auto"/>
            </w:tcBorders>
            <w:vAlign w:val="center"/>
          </w:tcPr>
          <w:p w14:paraId="5D909949"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1,000,000.00</w:t>
            </w:r>
          </w:p>
        </w:tc>
        <w:tc>
          <w:tcPr>
            <w:tcW w:w="1055" w:type="dxa"/>
            <w:tcBorders>
              <w:top w:val="single" w:sz="2" w:space="0" w:color="auto"/>
              <w:left w:val="single" w:sz="2" w:space="0" w:color="auto"/>
              <w:bottom w:val="single" w:sz="2" w:space="0" w:color="auto"/>
              <w:right w:val="single" w:sz="2" w:space="0" w:color="auto"/>
            </w:tcBorders>
            <w:vAlign w:val="center"/>
          </w:tcPr>
          <w:p w14:paraId="0F557B76"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1,000,000.00</w:t>
            </w:r>
          </w:p>
        </w:tc>
        <w:tc>
          <w:tcPr>
            <w:tcW w:w="1056" w:type="dxa"/>
            <w:tcBorders>
              <w:top w:val="single" w:sz="2" w:space="0" w:color="auto"/>
              <w:left w:val="single" w:sz="2" w:space="0" w:color="auto"/>
              <w:bottom w:val="single" w:sz="2" w:space="0" w:color="auto"/>
              <w:right w:val="single" w:sz="2" w:space="0" w:color="auto"/>
            </w:tcBorders>
            <w:vAlign w:val="center"/>
          </w:tcPr>
          <w:p w14:paraId="5D6E0D98"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p>
        </w:tc>
        <w:tc>
          <w:tcPr>
            <w:tcW w:w="1055" w:type="dxa"/>
            <w:tcBorders>
              <w:top w:val="single" w:sz="2" w:space="0" w:color="auto"/>
              <w:left w:val="single" w:sz="2" w:space="0" w:color="auto"/>
              <w:bottom w:val="single" w:sz="2" w:space="0" w:color="auto"/>
              <w:right w:val="single" w:sz="2" w:space="0" w:color="auto"/>
            </w:tcBorders>
            <w:vAlign w:val="center"/>
          </w:tcPr>
          <w:p w14:paraId="620C751B"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p>
        </w:tc>
        <w:tc>
          <w:tcPr>
            <w:tcW w:w="1055" w:type="dxa"/>
            <w:tcBorders>
              <w:top w:val="single" w:sz="2" w:space="0" w:color="auto"/>
              <w:left w:val="single" w:sz="2" w:space="0" w:color="auto"/>
              <w:bottom w:val="single" w:sz="2" w:space="0" w:color="auto"/>
              <w:right w:val="single" w:sz="2" w:space="0" w:color="auto"/>
            </w:tcBorders>
            <w:vAlign w:val="center"/>
          </w:tcPr>
          <w:p w14:paraId="12F57470"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2,670,000.00</w:t>
            </w:r>
          </w:p>
        </w:tc>
        <w:tc>
          <w:tcPr>
            <w:tcW w:w="1056" w:type="dxa"/>
            <w:tcBorders>
              <w:top w:val="single" w:sz="2" w:space="0" w:color="auto"/>
              <w:left w:val="single" w:sz="2" w:space="0" w:color="auto"/>
              <w:bottom w:val="single" w:sz="2" w:space="0" w:color="auto"/>
              <w:right w:val="single" w:sz="2" w:space="0" w:color="auto"/>
            </w:tcBorders>
            <w:vAlign w:val="center"/>
          </w:tcPr>
          <w:p w14:paraId="6D80A82E"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2,670,000.00</w:t>
            </w:r>
          </w:p>
        </w:tc>
        <w:tc>
          <w:tcPr>
            <w:tcW w:w="1055" w:type="dxa"/>
            <w:tcBorders>
              <w:top w:val="single" w:sz="2" w:space="0" w:color="auto"/>
              <w:left w:val="single" w:sz="2" w:space="0" w:color="auto"/>
              <w:bottom w:val="single" w:sz="2" w:space="0" w:color="auto"/>
              <w:right w:val="single" w:sz="2" w:space="0" w:color="auto"/>
            </w:tcBorders>
            <w:vAlign w:val="center"/>
          </w:tcPr>
          <w:p w14:paraId="7BC0CF17"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p>
        </w:tc>
        <w:tc>
          <w:tcPr>
            <w:tcW w:w="1056" w:type="dxa"/>
            <w:tcBorders>
              <w:top w:val="single" w:sz="2" w:space="0" w:color="auto"/>
              <w:left w:val="single" w:sz="2" w:space="0" w:color="auto"/>
              <w:bottom w:val="single" w:sz="2" w:space="0" w:color="auto"/>
              <w:right w:val="single" w:sz="2" w:space="0" w:color="auto"/>
            </w:tcBorders>
            <w:vAlign w:val="center"/>
          </w:tcPr>
          <w:p w14:paraId="2ED5923A" w14:textId="77777777" w:rsidR="00A46BF1" w:rsidRPr="00AA236E" w:rsidRDefault="00A46BF1" w:rsidP="002A3111">
            <w:pPr>
              <w:spacing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保证</w:t>
            </w:r>
          </w:p>
        </w:tc>
      </w:tr>
      <w:tr w:rsidR="00095F6F" w:rsidRPr="00AA236E" w14:paraId="25DF4484" w14:textId="77777777" w:rsidTr="00AA236E">
        <w:trPr>
          <w:trHeight w:val="240"/>
        </w:trPr>
        <w:tc>
          <w:tcPr>
            <w:tcW w:w="1196" w:type="dxa"/>
            <w:tcBorders>
              <w:top w:val="single" w:sz="2" w:space="0" w:color="auto"/>
              <w:left w:val="single" w:sz="2" w:space="0" w:color="auto"/>
              <w:bottom w:val="single" w:sz="2" w:space="0" w:color="auto"/>
              <w:right w:val="single" w:sz="2" w:space="0" w:color="auto"/>
            </w:tcBorders>
            <w:shd w:val="clear" w:color="auto" w:fill="D3D3D3"/>
            <w:vAlign w:val="center"/>
          </w:tcPr>
          <w:p w14:paraId="048B453C" w14:textId="77777777" w:rsidR="00A46BF1" w:rsidRPr="00AA236E" w:rsidRDefault="00A46BF1" w:rsidP="002A3111">
            <w:pPr>
              <w:spacing w:before="40" w:after="40" w:line="360" w:lineRule="auto"/>
              <w:rPr>
                <w:rFonts w:ascii="Times New Roman" w:eastAsia="宋体" w:hAnsi="Times New Roman" w:cs="Times New Roman"/>
                <w:sz w:val="15"/>
                <w:szCs w:val="15"/>
              </w:rPr>
            </w:pPr>
            <w:r w:rsidRPr="00AA236E">
              <w:rPr>
                <w:rFonts w:ascii="Times New Roman" w:eastAsia="宋体" w:hAnsi="Times New Roman" w:cs="Times New Roman"/>
                <w:sz w:val="15"/>
                <w:szCs w:val="15"/>
              </w:rPr>
              <w:t>合计</w:t>
            </w:r>
          </w:p>
        </w:tc>
        <w:tc>
          <w:tcPr>
            <w:tcW w:w="1055" w:type="dxa"/>
            <w:tcBorders>
              <w:top w:val="single" w:sz="2" w:space="0" w:color="auto"/>
              <w:left w:val="single" w:sz="2" w:space="0" w:color="auto"/>
              <w:bottom w:val="single" w:sz="2" w:space="0" w:color="auto"/>
              <w:right w:val="single" w:sz="2" w:space="0" w:color="auto"/>
            </w:tcBorders>
            <w:vAlign w:val="center"/>
          </w:tcPr>
          <w:p w14:paraId="6DEBC4F8"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9,192,291.52</w:t>
            </w:r>
          </w:p>
        </w:tc>
        <w:tc>
          <w:tcPr>
            <w:tcW w:w="1055" w:type="dxa"/>
            <w:tcBorders>
              <w:top w:val="single" w:sz="2" w:space="0" w:color="auto"/>
              <w:left w:val="single" w:sz="2" w:space="0" w:color="auto"/>
              <w:bottom w:val="single" w:sz="2" w:space="0" w:color="auto"/>
              <w:right w:val="single" w:sz="2" w:space="0" w:color="auto"/>
            </w:tcBorders>
            <w:vAlign w:val="center"/>
          </w:tcPr>
          <w:p w14:paraId="08F04473"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9,192,291.52</w:t>
            </w:r>
          </w:p>
        </w:tc>
        <w:tc>
          <w:tcPr>
            <w:tcW w:w="1056" w:type="dxa"/>
            <w:tcBorders>
              <w:top w:val="single" w:sz="2" w:space="0" w:color="auto"/>
              <w:left w:val="single" w:sz="2" w:space="0" w:color="auto"/>
              <w:bottom w:val="single" w:sz="2" w:space="0" w:color="auto"/>
              <w:right w:val="single" w:sz="2" w:space="0" w:color="auto"/>
            </w:tcBorders>
            <w:shd w:val="clear" w:color="auto" w:fill="D3D3D3"/>
            <w:vAlign w:val="center"/>
          </w:tcPr>
          <w:p w14:paraId="047EA80D" w14:textId="77777777" w:rsidR="00A46BF1" w:rsidRPr="00AA236E" w:rsidRDefault="00A46BF1" w:rsidP="002A3111">
            <w:pPr>
              <w:spacing w:line="360" w:lineRule="auto"/>
              <w:rPr>
                <w:rFonts w:ascii="Times New Roman"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0A01BE03" w14:textId="77777777" w:rsidR="00A46BF1" w:rsidRPr="00AA236E" w:rsidRDefault="00A46BF1" w:rsidP="002A3111">
            <w:pPr>
              <w:spacing w:line="360" w:lineRule="auto"/>
              <w:rPr>
                <w:rFonts w:ascii="Times New Roman" w:hAnsi="Times New Roman" w:cs="Times New Roman"/>
                <w:sz w:val="15"/>
                <w:szCs w:val="15"/>
              </w:rPr>
            </w:pPr>
          </w:p>
        </w:tc>
        <w:tc>
          <w:tcPr>
            <w:tcW w:w="1055" w:type="dxa"/>
            <w:tcBorders>
              <w:top w:val="single" w:sz="2" w:space="0" w:color="auto"/>
              <w:left w:val="single" w:sz="2" w:space="0" w:color="auto"/>
              <w:bottom w:val="single" w:sz="2" w:space="0" w:color="auto"/>
              <w:right w:val="single" w:sz="2" w:space="0" w:color="auto"/>
            </w:tcBorders>
            <w:vAlign w:val="center"/>
          </w:tcPr>
          <w:p w14:paraId="7FE330E8"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237,438,517.44</w:t>
            </w:r>
          </w:p>
        </w:tc>
        <w:tc>
          <w:tcPr>
            <w:tcW w:w="1056" w:type="dxa"/>
            <w:tcBorders>
              <w:top w:val="single" w:sz="2" w:space="0" w:color="auto"/>
              <w:left w:val="single" w:sz="2" w:space="0" w:color="auto"/>
              <w:bottom w:val="single" w:sz="2" w:space="0" w:color="auto"/>
              <w:right w:val="single" w:sz="2" w:space="0" w:color="auto"/>
            </w:tcBorders>
            <w:vAlign w:val="center"/>
          </w:tcPr>
          <w:p w14:paraId="49D840D9" w14:textId="77777777" w:rsidR="00A46BF1" w:rsidRPr="00AA236E" w:rsidRDefault="00A46BF1" w:rsidP="002A3111">
            <w:pPr>
              <w:spacing w:line="360" w:lineRule="auto"/>
              <w:jc w:val="right"/>
              <w:rPr>
                <w:rFonts w:ascii="Times New Roman" w:eastAsia="宋体" w:hAnsi="Times New Roman" w:cs="Times New Roman"/>
                <w:sz w:val="15"/>
                <w:szCs w:val="15"/>
              </w:rPr>
            </w:pPr>
            <w:r w:rsidRPr="00AA236E">
              <w:rPr>
                <w:rFonts w:ascii="Times New Roman" w:eastAsia="宋体" w:hAnsi="Times New Roman" w:cs="Times New Roman"/>
                <w:sz w:val="15"/>
                <w:szCs w:val="15"/>
              </w:rPr>
              <w:t>177,117,715.15</w:t>
            </w:r>
          </w:p>
        </w:tc>
        <w:tc>
          <w:tcPr>
            <w:tcW w:w="1055" w:type="dxa"/>
            <w:tcBorders>
              <w:top w:val="single" w:sz="2" w:space="0" w:color="auto"/>
              <w:left w:val="single" w:sz="2" w:space="0" w:color="auto"/>
              <w:bottom w:val="single" w:sz="2" w:space="0" w:color="auto"/>
              <w:right w:val="single" w:sz="2" w:space="0" w:color="auto"/>
            </w:tcBorders>
            <w:shd w:val="clear" w:color="auto" w:fill="D3D3D3"/>
            <w:vAlign w:val="center"/>
          </w:tcPr>
          <w:p w14:paraId="083C9562" w14:textId="77777777" w:rsidR="00A46BF1" w:rsidRPr="00AA236E" w:rsidRDefault="00A46BF1" w:rsidP="002A3111">
            <w:pPr>
              <w:spacing w:line="360" w:lineRule="auto"/>
              <w:rPr>
                <w:rFonts w:ascii="Times New Roman" w:hAnsi="Times New Roman" w:cs="Times New Roman"/>
                <w:sz w:val="15"/>
                <w:szCs w:val="15"/>
              </w:rPr>
            </w:pPr>
          </w:p>
        </w:tc>
        <w:tc>
          <w:tcPr>
            <w:tcW w:w="1056" w:type="dxa"/>
            <w:tcBorders>
              <w:top w:val="single" w:sz="2" w:space="0" w:color="auto"/>
              <w:left w:val="single" w:sz="2" w:space="0" w:color="auto"/>
              <w:bottom w:val="single" w:sz="2" w:space="0" w:color="auto"/>
              <w:right w:val="single" w:sz="2" w:space="0" w:color="auto"/>
            </w:tcBorders>
            <w:shd w:val="clear" w:color="auto" w:fill="D3D3D3"/>
            <w:vAlign w:val="center"/>
          </w:tcPr>
          <w:p w14:paraId="173B8E32" w14:textId="77777777" w:rsidR="00A46BF1" w:rsidRPr="00AA236E" w:rsidRDefault="00A46BF1" w:rsidP="002A3111">
            <w:pPr>
              <w:spacing w:line="360" w:lineRule="auto"/>
              <w:rPr>
                <w:rFonts w:ascii="Times New Roman" w:hAnsi="Times New Roman" w:cs="Times New Roman"/>
                <w:sz w:val="15"/>
                <w:szCs w:val="15"/>
              </w:rPr>
            </w:pPr>
          </w:p>
        </w:tc>
      </w:tr>
    </w:tbl>
    <w:p w14:paraId="1A1FDBD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340BB5D"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主要受限原因如下：</w:t>
      </w:r>
    </w:p>
    <w:p w14:paraId="7560C1D6"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注</w:t>
      </w:r>
      <w:r w:rsidRPr="00684E6E">
        <w:rPr>
          <w:rFonts w:ascii="Times New Roman" w:hAnsi="Times New Roman" w:cs="Times New Roman"/>
          <w:sz w:val="21"/>
          <w:szCs w:val="21"/>
        </w:rPr>
        <w:t>1</w:t>
      </w:r>
      <w:r w:rsidRPr="00684E6E">
        <w:rPr>
          <w:rFonts w:ascii="Times New Roman" w:hAnsi="Times New Roman" w:cs="Times New Roman" w:hint="eastAsia"/>
          <w:sz w:val="21"/>
          <w:szCs w:val="21"/>
        </w:rPr>
        <w:t>：据台湾三伟达医疗器材股份有限公司与中国台湾科技管理当局新竹科学工业园区管理局签订房屋租赁协议，以其定期存款质押作为租赁保证金，</w:t>
      </w:r>
      <w:r w:rsidRPr="00684E6E">
        <w:rPr>
          <w:rFonts w:ascii="Times New Roman" w:hAnsi="Times New Roman" w:cs="Times New Roman"/>
          <w:sz w:val="21"/>
          <w:szCs w:val="21"/>
        </w:rPr>
        <w:t xml:space="preserve"> 2025</w:t>
      </w:r>
      <w:r w:rsidRPr="00684E6E">
        <w:rPr>
          <w:rFonts w:ascii="Times New Roman" w:hAnsi="Times New Roman" w:cs="Times New Roman" w:hint="eastAsia"/>
          <w:sz w:val="21"/>
          <w:szCs w:val="21"/>
        </w:rPr>
        <w:t>年年末保证金金额为</w:t>
      </w:r>
      <w:r w:rsidRPr="00684E6E">
        <w:rPr>
          <w:rFonts w:ascii="Times New Roman" w:hAnsi="Times New Roman" w:cs="Times New Roman"/>
          <w:sz w:val="21"/>
          <w:szCs w:val="21"/>
        </w:rPr>
        <w:t>5,116,192.00</w:t>
      </w:r>
      <w:r w:rsidRPr="00684E6E">
        <w:rPr>
          <w:rFonts w:ascii="Times New Roman" w:hAnsi="Times New Roman" w:cs="Times New Roman" w:hint="eastAsia"/>
          <w:sz w:val="21"/>
          <w:szCs w:val="21"/>
        </w:rPr>
        <w:t>新台币，折合人民币</w:t>
      </w:r>
      <w:r w:rsidRPr="00684E6E">
        <w:rPr>
          <w:rFonts w:ascii="Times New Roman" w:hAnsi="Times New Roman" w:cs="Times New Roman"/>
          <w:sz w:val="21"/>
          <w:szCs w:val="21"/>
        </w:rPr>
        <w:t>114.63</w:t>
      </w:r>
      <w:r w:rsidRPr="00684E6E">
        <w:rPr>
          <w:rFonts w:ascii="Times New Roman" w:hAnsi="Times New Roman" w:cs="Times New Roman" w:hint="eastAsia"/>
          <w:sz w:val="21"/>
          <w:szCs w:val="21"/>
        </w:rPr>
        <w:t>万元，质押期限与租赁期限相同；</w:t>
      </w:r>
    </w:p>
    <w:p w14:paraId="1BF933E4" w14:textId="7BB0535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注</w:t>
      </w:r>
      <w:r w:rsidRPr="00684E6E">
        <w:rPr>
          <w:rFonts w:ascii="Times New Roman" w:hAnsi="Times New Roman" w:cs="Times New Roman"/>
          <w:sz w:val="21"/>
          <w:szCs w:val="21"/>
        </w:rPr>
        <w:t>2</w:t>
      </w:r>
      <w:r w:rsidRPr="00684E6E">
        <w:rPr>
          <w:rFonts w:ascii="Times New Roman" w:hAnsi="Times New Roman" w:cs="Times New Roman" w:hint="eastAsia"/>
          <w:sz w:val="21"/>
          <w:szCs w:val="21"/>
        </w:rPr>
        <w:t>：</w:t>
      </w:r>
      <w:r w:rsidR="00AA236E" w:rsidRPr="00AA236E">
        <w:rPr>
          <w:rFonts w:ascii="Times New Roman" w:hAnsi="Times New Roman" w:cs="Times New Roman" w:hint="eastAsia"/>
          <w:sz w:val="21"/>
          <w:szCs w:val="21"/>
        </w:rPr>
        <w:t>本公司与招商银行股份有限公司签订银行承兑协议，担保承兑汇票到期付款，按在招商银行股份有限公司开具银行承兑汇票票面金额的</w:t>
      </w:r>
      <w:r w:rsidR="00AA236E" w:rsidRPr="00AA236E">
        <w:rPr>
          <w:rFonts w:ascii="Times New Roman" w:hAnsi="Times New Roman" w:cs="Times New Roman"/>
          <w:sz w:val="21"/>
          <w:szCs w:val="21"/>
        </w:rPr>
        <w:t>20%</w:t>
      </w:r>
      <w:r w:rsidR="00AA236E" w:rsidRPr="00AA236E">
        <w:rPr>
          <w:rFonts w:ascii="Times New Roman" w:hAnsi="Times New Roman" w:cs="Times New Roman"/>
          <w:sz w:val="21"/>
          <w:szCs w:val="21"/>
        </w:rPr>
        <w:t>，在中国光大银行股份有限公司票面金额的</w:t>
      </w:r>
      <w:r w:rsidR="00AA236E" w:rsidRPr="00AA236E">
        <w:rPr>
          <w:rFonts w:ascii="Times New Roman" w:hAnsi="Times New Roman" w:cs="Times New Roman"/>
          <w:sz w:val="21"/>
          <w:szCs w:val="21"/>
        </w:rPr>
        <w:t>10%</w:t>
      </w:r>
      <w:r w:rsidR="00AA236E" w:rsidRPr="00AA236E">
        <w:rPr>
          <w:rFonts w:ascii="Times New Roman" w:hAnsi="Times New Roman" w:cs="Times New Roman"/>
          <w:sz w:val="21"/>
          <w:szCs w:val="21"/>
        </w:rPr>
        <w:t>存入保证金账户作为质押标的，以担保承兑汇票到期付款，截至</w:t>
      </w:r>
      <w:r w:rsidR="00AA236E" w:rsidRPr="00AA236E">
        <w:rPr>
          <w:rFonts w:ascii="Times New Roman" w:hAnsi="Times New Roman" w:cs="Times New Roman"/>
          <w:sz w:val="21"/>
          <w:szCs w:val="21"/>
        </w:rPr>
        <w:t>2025</w:t>
      </w:r>
      <w:r w:rsidR="00AA236E" w:rsidRPr="00AA236E">
        <w:rPr>
          <w:rFonts w:ascii="Times New Roman" w:hAnsi="Times New Roman" w:cs="Times New Roman"/>
          <w:sz w:val="21"/>
          <w:szCs w:val="21"/>
        </w:rPr>
        <w:t>年</w:t>
      </w:r>
      <w:r w:rsidR="00AA236E" w:rsidRPr="00AA236E">
        <w:rPr>
          <w:rFonts w:ascii="Times New Roman" w:hAnsi="Times New Roman" w:cs="Times New Roman"/>
          <w:sz w:val="21"/>
          <w:szCs w:val="21"/>
        </w:rPr>
        <w:t>12</w:t>
      </w:r>
      <w:r w:rsidR="00AA236E" w:rsidRPr="00AA236E">
        <w:rPr>
          <w:rFonts w:ascii="Times New Roman" w:hAnsi="Times New Roman" w:cs="Times New Roman"/>
          <w:sz w:val="21"/>
          <w:szCs w:val="21"/>
        </w:rPr>
        <w:t>月</w:t>
      </w:r>
      <w:r w:rsidR="00AA236E" w:rsidRPr="00AA236E">
        <w:rPr>
          <w:rFonts w:ascii="Times New Roman" w:hAnsi="Times New Roman" w:cs="Times New Roman"/>
          <w:sz w:val="21"/>
          <w:szCs w:val="21"/>
        </w:rPr>
        <w:t>31</w:t>
      </w:r>
      <w:r w:rsidR="00AA236E" w:rsidRPr="00AA236E">
        <w:rPr>
          <w:rFonts w:ascii="Times New Roman" w:hAnsi="Times New Roman" w:cs="Times New Roman"/>
          <w:sz w:val="21"/>
          <w:szCs w:val="21"/>
        </w:rPr>
        <w:t>日，本公司在招商银行股份有限公司开具银行承兑汇票</w:t>
      </w:r>
      <w:r w:rsidR="00AA236E" w:rsidRPr="00AA236E">
        <w:rPr>
          <w:rFonts w:ascii="Times New Roman" w:hAnsi="Times New Roman" w:cs="Times New Roman"/>
          <w:sz w:val="21"/>
          <w:szCs w:val="21"/>
        </w:rPr>
        <w:t>2,305.00</w:t>
      </w:r>
      <w:r w:rsidR="00AA236E" w:rsidRPr="00AA236E">
        <w:rPr>
          <w:rFonts w:ascii="Times New Roman" w:hAnsi="Times New Roman" w:cs="Times New Roman"/>
          <w:sz w:val="21"/>
          <w:szCs w:val="21"/>
        </w:rPr>
        <w:t>万元，在中国光大银行股份有限公司开具</w:t>
      </w:r>
      <w:r w:rsidR="00AA236E" w:rsidRPr="00AA236E">
        <w:rPr>
          <w:rFonts w:ascii="Times New Roman" w:hAnsi="Times New Roman" w:cs="Times New Roman"/>
          <w:sz w:val="21"/>
          <w:szCs w:val="21"/>
        </w:rPr>
        <w:t>690.77</w:t>
      </w:r>
      <w:r w:rsidR="00AA236E" w:rsidRPr="00AA236E">
        <w:rPr>
          <w:rFonts w:ascii="Times New Roman" w:hAnsi="Times New Roman" w:cs="Times New Roman"/>
          <w:sz w:val="21"/>
          <w:szCs w:val="21"/>
        </w:rPr>
        <w:t>万元，期末在招商银行和光大银行的保证金账户余额分别为</w:t>
      </w:r>
      <w:r w:rsidR="00AA236E" w:rsidRPr="00AA236E">
        <w:rPr>
          <w:rFonts w:ascii="Times New Roman" w:hAnsi="Times New Roman" w:cs="Times New Roman"/>
          <w:sz w:val="21"/>
          <w:szCs w:val="21"/>
        </w:rPr>
        <w:t>461.00</w:t>
      </w:r>
      <w:r w:rsidR="00AA236E" w:rsidRPr="00AA236E">
        <w:rPr>
          <w:rFonts w:ascii="Times New Roman" w:hAnsi="Times New Roman" w:cs="Times New Roman"/>
          <w:sz w:val="21"/>
          <w:szCs w:val="21"/>
        </w:rPr>
        <w:t>万元、</w:t>
      </w:r>
      <w:r w:rsidR="00AA236E" w:rsidRPr="00AA236E">
        <w:rPr>
          <w:rFonts w:ascii="Times New Roman" w:hAnsi="Times New Roman" w:cs="Times New Roman"/>
          <w:sz w:val="21"/>
          <w:szCs w:val="21"/>
        </w:rPr>
        <w:t>69.08</w:t>
      </w:r>
      <w:r w:rsidR="00AA236E" w:rsidRPr="00AA236E">
        <w:rPr>
          <w:rFonts w:ascii="Times New Roman" w:hAnsi="Times New Roman" w:cs="Times New Roman"/>
          <w:sz w:val="21"/>
          <w:szCs w:val="21"/>
        </w:rPr>
        <w:t>万元；</w:t>
      </w:r>
    </w:p>
    <w:p w14:paraId="42488320"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注</w:t>
      </w:r>
      <w:r w:rsidRPr="00684E6E">
        <w:rPr>
          <w:rFonts w:ascii="Times New Roman" w:hAnsi="Times New Roman" w:cs="Times New Roman"/>
          <w:sz w:val="21"/>
          <w:szCs w:val="21"/>
        </w:rPr>
        <w:t>3</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2024</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9</w:t>
      </w:r>
      <w:r w:rsidRPr="00684E6E">
        <w:rPr>
          <w:rFonts w:ascii="Times New Roman" w:hAnsi="Times New Roman" w:cs="Times New Roman" w:hint="eastAsia"/>
          <w:sz w:val="21"/>
          <w:szCs w:val="21"/>
        </w:rPr>
        <w:t>日，本公司与中国建设银行股份有限公司长沙河西支行（以下简称“建设银行长沙河西支行”）签订保函协议，以定期保证金</w:t>
      </w:r>
      <w:r w:rsidRPr="00684E6E">
        <w:rPr>
          <w:rFonts w:ascii="Times New Roman" w:hAnsi="Times New Roman" w:cs="Times New Roman"/>
          <w:sz w:val="21"/>
          <w:szCs w:val="21"/>
        </w:rPr>
        <w:t>167.00</w:t>
      </w:r>
      <w:r w:rsidRPr="00684E6E">
        <w:rPr>
          <w:rFonts w:ascii="Times New Roman" w:hAnsi="Times New Roman" w:cs="Times New Roman" w:hint="eastAsia"/>
          <w:sz w:val="21"/>
          <w:szCs w:val="21"/>
        </w:rPr>
        <w:t>万元为担保，由建设银行长沙河西支行向湖南通晟润建设工程有限公司高新分公司出具金额为人民币</w:t>
      </w:r>
      <w:r w:rsidRPr="00684E6E">
        <w:rPr>
          <w:rFonts w:ascii="Times New Roman" w:hAnsi="Times New Roman" w:cs="Times New Roman"/>
          <w:sz w:val="21"/>
          <w:szCs w:val="21"/>
        </w:rPr>
        <w:t>835.00</w:t>
      </w:r>
      <w:r w:rsidRPr="00684E6E">
        <w:rPr>
          <w:rFonts w:ascii="Times New Roman" w:hAnsi="Times New Roman" w:cs="Times New Roman" w:hint="eastAsia"/>
          <w:sz w:val="21"/>
          <w:szCs w:val="21"/>
        </w:rPr>
        <w:t>万元的履约保函，期限为二年；截至</w:t>
      </w:r>
      <w:r w:rsidRPr="00684E6E">
        <w:rPr>
          <w:rFonts w:ascii="Times New Roman" w:hAnsi="Times New Roman" w:cs="Times New Roman"/>
          <w:sz w:val="21"/>
          <w:szCs w:val="21"/>
        </w:rPr>
        <w:t>2025</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12</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31</w:t>
      </w:r>
      <w:r w:rsidRPr="00684E6E">
        <w:rPr>
          <w:rFonts w:ascii="Times New Roman" w:hAnsi="Times New Roman" w:cs="Times New Roman" w:hint="eastAsia"/>
          <w:sz w:val="21"/>
          <w:szCs w:val="21"/>
        </w:rPr>
        <w:t>日，保证金账户余额为</w:t>
      </w:r>
      <w:r w:rsidRPr="00684E6E">
        <w:rPr>
          <w:rFonts w:ascii="Times New Roman" w:hAnsi="Times New Roman" w:cs="Times New Roman"/>
          <w:sz w:val="21"/>
          <w:szCs w:val="21"/>
        </w:rPr>
        <w:t>167.00</w:t>
      </w:r>
      <w:r w:rsidRPr="00684E6E">
        <w:rPr>
          <w:rFonts w:ascii="Times New Roman" w:hAnsi="Times New Roman" w:cs="Times New Roman" w:hint="eastAsia"/>
          <w:sz w:val="21"/>
          <w:szCs w:val="21"/>
        </w:rPr>
        <w:t>万元；</w:t>
      </w:r>
    </w:p>
    <w:p w14:paraId="72DB3F89"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注</w:t>
      </w:r>
      <w:r w:rsidRPr="00684E6E">
        <w:rPr>
          <w:rFonts w:ascii="Times New Roman" w:hAnsi="Times New Roman" w:cs="Times New Roman"/>
          <w:sz w:val="21"/>
          <w:szCs w:val="21"/>
        </w:rPr>
        <w:t>4</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2024</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3</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15</w:t>
      </w:r>
      <w:r w:rsidRPr="00684E6E">
        <w:rPr>
          <w:rFonts w:ascii="Times New Roman" w:hAnsi="Times New Roman" w:cs="Times New Roman" w:hint="eastAsia"/>
          <w:sz w:val="21"/>
          <w:szCs w:val="21"/>
        </w:rPr>
        <w:t>日，本公司之控股子公司东莞一测科技有限公司与招商银行股份有限公司东莞分行（以下简称“招商银行东莞分行”）签订保函协议，以定期保证金</w:t>
      </w:r>
      <w:r w:rsidRPr="00684E6E">
        <w:rPr>
          <w:rFonts w:ascii="Times New Roman" w:hAnsi="Times New Roman" w:cs="Times New Roman"/>
          <w:sz w:val="21"/>
          <w:szCs w:val="21"/>
        </w:rPr>
        <w:t>100.00</w:t>
      </w:r>
      <w:r w:rsidRPr="00684E6E">
        <w:rPr>
          <w:rFonts w:ascii="Times New Roman" w:hAnsi="Times New Roman" w:cs="Times New Roman" w:hint="eastAsia"/>
          <w:sz w:val="21"/>
          <w:szCs w:val="21"/>
        </w:rPr>
        <w:t>万元为担保，由招商银行东莞分行向东莞东深经济发展有限公司出具金额为人民币</w:t>
      </w:r>
      <w:r w:rsidRPr="00684E6E">
        <w:rPr>
          <w:rFonts w:ascii="Times New Roman" w:hAnsi="Times New Roman" w:cs="Times New Roman"/>
          <w:sz w:val="21"/>
          <w:szCs w:val="21"/>
        </w:rPr>
        <w:t>100.00</w:t>
      </w:r>
      <w:r w:rsidRPr="00684E6E">
        <w:rPr>
          <w:rFonts w:ascii="Times New Roman" w:hAnsi="Times New Roman" w:cs="Times New Roman" w:hint="eastAsia"/>
          <w:sz w:val="21"/>
          <w:szCs w:val="21"/>
        </w:rPr>
        <w:t>万元的履约保函，期限为三年；</w:t>
      </w:r>
    </w:p>
    <w:p w14:paraId="60214D99" w14:textId="31327266" w:rsidR="00A46BF1" w:rsidRDefault="00A46BF1" w:rsidP="00A46BF1">
      <w:pPr>
        <w:pStyle w:val="3"/>
        <w:spacing w:line="280" w:lineRule="exact"/>
        <w:jc w:val="left"/>
        <w:rPr>
          <w:rFonts w:ascii="宋体" w:hAnsi="宋体" w:cs="宋体"/>
          <w:b/>
          <w:bCs/>
        </w:rPr>
      </w:pPr>
      <w:r>
        <w:rPr>
          <w:rFonts w:ascii="宋体" w:hAnsi="宋体" w:cs="宋体"/>
          <w:b/>
          <w:bCs/>
        </w:rPr>
        <w:t>2</w:t>
      </w:r>
      <w:r w:rsidR="00D43E8F">
        <w:rPr>
          <w:rFonts w:ascii="宋体" w:hAnsi="宋体" w:cs="宋体"/>
          <w:b/>
          <w:bCs/>
        </w:rPr>
        <w:t>4</w:t>
      </w:r>
      <w:r>
        <w:rPr>
          <w:rFonts w:ascii="宋体" w:hAnsi="宋体" w:cs="宋体"/>
          <w:b/>
          <w:bCs/>
        </w:rPr>
        <w:t>、短期借款</w:t>
      </w:r>
    </w:p>
    <w:p w14:paraId="78AAD6E5"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短期借款分类</w:t>
      </w:r>
    </w:p>
    <w:p w14:paraId="4D031A1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A55567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0D7506"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4F1A48"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B01159"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r>
      <w:tr w:rsidR="00095F6F" w14:paraId="5978A69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866FDF"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14:paraId="7A7E750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112,327,085.86</w:t>
            </w:r>
          </w:p>
        </w:tc>
        <w:tc>
          <w:tcPr>
            <w:tcW w:w="3213" w:type="dxa"/>
            <w:tcBorders>
              <w:top w:val="single" w:sz="2" w:space="0" w:color="auto"/>
              <w:left w:val="single" w:sz="2" w:space="0" w:color="auto"/>
              <w:bottom w:val="single" w:sz="2" w:space="0" w:color="auto"/>
              <w:right w:val="single" w:sz="2" w:space="0" w:color="auto"/>
            </w:tcBorders>
            <w:vAlign w:val="center"/>
          </w:tcPr>
          <w:p w14:paraId="605BB40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130,076,388.25</w:t>
            </w:r>
          </w:p>
        </w:tc>
      </w:tr>
      <w:tr w:rsidR="00095F6F" w14:paraId="0C54BD6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7CB4CDF"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D50C78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112,327,085.86</w:t>
            </w:r>
          </w:p>
        </w:tc>
        <w:tc>
          <w:tcPr>
            <w:tcW w:w="3213" w:type="dxa"/>
            <w:tcBorders>
              <w:top w:val="single" w:sz="2" w:space="0" w:color="auto"/>
              <w:left w:val="single" w:sz="2" w:space="0" w:color="auto"/>
              <w:bottom w:val="single" w:sz="2" w:space="0" w:color="auto"/>
              <w:right w:val="single" w:sz="2" w:space="0" w:color="auto"/>
            </w:tcBorders>
            <w:vAlign w:val="center"/>
          </w:tcPr>
          <w:p w14:paraId="3F03489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130,076,388.25</w:t>
            </w:r>
          </w:p>
        </w:tc>
      </w:tr>
    </w:tbl>
    <w:p w14:paraId="49580B5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短期借款分类的说明：</w:t>
      </w:r>
    </w:p>
    <w:p w14:paraId="51B73C1A" w14:textId="77777777" w:rsidR="00A46BF1" w:rsidRPr="00D43E8F" w:rsidRDefault="00A46BF1" w:rsidP="00D43E8F">
      <w:pPr>
        <w:spacing w:before="100" w:after="100" w:line="240" w:lineRule="exact"/>
        <w:rPr>
          <w:rFonts w:ascii="宋体" w:eastAsia="宋体" w:hAnsi="宋体" w:cs="宋体"/>
          <w:sz w:val="18"/>
          <w:szCs w:val="18"/>
        </w:rPr>
      </w:pPr>
      <w:r w:rsidRPr="00D43E8F">
        <w:rPr>
          <w:rFonts w:ascii="宋体" w:eastAsia="宋体" w:hAnsi="宋体" w:cs="宋体" w:hint="eastAsia"/>
          <w:sz w:val="18"/>
          <w:szCs w:val="18"/>
        </w:rPr>
        <w:t>无</w:t>
      </w:r>
    </w:p>
    <w:p w14:paraId="7D89A030" w14:textId="05A90D3C" w:rsidR="00A46BF1" w:rsidRDefault="00A46BF1" w:rsidP="00A46BF1">
      <w:pPr>
        <w:pStyle w:val="3"/>
        <w:spacing w:line="280" w:lineRule="exact"/>
        <w:jc w:val="left"/>
        <w:rPr>
          <w:rFonts w:ascii="宋体" w:hAnsi="宋体" w:cs="宋体"/>
          <w:b/>
          <w:bCs/>
        </w:rPr>
      </w:pPr>
      <w:r>
        <w:rPr>
          <w:rFonts w:ascii="宋体" w:hAnsi="宋体" w:cs="宋体"/>
          <w:b/>
          <w:bCs/>
        </w:rPr>
        <w:t>2</w:t>
      </w:r>
      <w:r w:rsidR="00D43E8F">
        <w:rPr>
          <w:rFonts w:ascii="宋体" w:hAnsi="宋体" w:cs="宋体"/>
          <w:b/>
          <w:bCs/>
        </w:rPr>
        <w:t>5</w:t>
      </w:r>
      <w:r>
        <w:rPr>
          <w:rFonts w:ascii="宋体" w:hAnsi="宋体" w:cs="宋体"/>
          <w:b/>
          <w:bCs/>
        </w:rPr>
        <w:t>、应付票据</w:t>
      </w:r>
    </w:p>
    <w:p w14:paraId="23D33D1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3A46B15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DC35C2"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种类</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074479"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DA8624"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r>
      <w:tr w:rsidR="00095F6F" w14:paraId="7492485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9834D6"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银行承兑汇票</w:t>
            </w:r>
          </w:p>
        </w:tc>
        <w:tc>
          <w:tcPr>
            <w:tcW w:w="3213" w:type="dxa"/>
            <w:tcBorders>
              <w:top w:val="single" w:sz="2" w:space="0" w:color="auto"/>
              <w:left w:val="single" w:sz="2" w:space="0" w:color="auto"/>
              <w:bottom w:val="single" w:sz="2" w:space="0" w:color="auto"/>
              <w:right w:val="single" w:sz="2" w:space="0" w:color="auto"/>
            </w:tcBorders>
            <w:vAlign w:val="center"/>
          </w:tcPr>
          <w:p w14:paraId="042FF0D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6,907,681.66</w:t>
            </w:r>
          </w:p>
        </w:tc>
        <w:tc>
          <w:tcPr>
            <w:tcW w:w="3213" w:type="dxa"/>
            <w:tcBorders>
              <w:top w:val="single" w:sz="2" w:space="0" w:color="auto"/>
              <w:left w:val="single" w:sz="2" w:space="0" w:color="auto"/>
              <w:bottom w:val="single" w:sz="2" w:space="0" w:color="auto"/>
              <w:right w:val="single" w:sz="2" w:space="0" w:color="auto"/>
            </w:tcBorders>
            <w:vAlign w:val="center"/>
          </w:tcPr>
          <w:p w14:paraId="3E379F6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3,920,000.00</w:t>
            </w:r>
          </w:p>
        </w:tc>
      </w:tr>
      <w:tr w:rsidR="00095F6F" w14:paraId="23DC336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72CB8B"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BF7422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6,907,681.66</w:t>
            </w:r>
          </w:p>
        </w:tc>
        <w:tc>
          <w:tcPr>
            <w:tcW w:w="3213" w:type="dxa"/>
            <w:tcBorders>
              <w:top w:val="single" w:sz="2" w:space="0" w:color="auto"/>
              <w:left w:val="single" w:sz="2" w:space="0" w:color="auto"/>
              <w:bottom w:val="single" w:sz="2" w:space="0" w:color="auto"/>
              <w:right w:val="single" w:sz="2" w:space="0" w:color="auto"/>
            </w:tcBorders>
            <w:vAlign w:val="center"/>
          </w:tcPr>
          <w:p w14:paraId="57B29868"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3,920,000.00</w:t>
            </w:r>
          </w:p>
        </w:tc>
      </w:tr>
    </w:tbl>
    <w:p w14:paraId="49A0D93A"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本期末已到期未支付的应付票据总额为0.00元，到期未付的原因为不适用。</w:t>
      </w:r>
    </w:p>
    <w:p w14:paraId="3ABA6B4D" w14:textId="73E7EE33" w:rsidR="00A46BF1" w:rsidRDefault="00A46BF1" w:rsidP="00A46BF1">
      <w:pPr>
        <w:pStyle w:val="3"/>
        <w:spacing w:line="280" w:lineRule="exact"/>
        <w:jc w:val="left"/>
        <w:rPr>
          <w:rFonts w:ascii="宋体" w:hAnsi="宋体" w:cs="宋体"/>
          <w:b/>
          <w:bCs/>
        </w:rPr>
      </w:pPr>
      <w:r>
        <w:rPr>
          <w:rFonts w:ascii="宋体" w:hAnsi="宋体" w:cs="宋体"/>
          <w:b/>
          <w:bCs/>
        </w:rPr>
        <w:t>2</w:t>
      </w:r>
      <w:r w:rsidR="00D43E8F">
        <w:rPr>
          <w:rFonts w:ascii="宋体" w:hAnsi="宋体" w:cs="宋体"/>
          <w:b/>
          <w:bCs/>
        </w:rPr>
        <w:t>6</w:t>
      </w:r>
      <w:r>
        <w:rPr>
          <w:rFonts w:ascii="宋体" w:hAnsi="宋体" w:cs="宋体"/>
          <w:b/>
          <w:bCs/>
        </w:rPr>
        <w:t>、应付账款</w:t>
      </w:r>
    </w:p>
    <w:p w14:paraId="1CB32BA9"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应付账款列示</w:t>
      </w:r>
    </w:p>
    <w:p w14:paraId="209EBF33"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A180FA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19C1FA"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333B02"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6B957D"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r>
      <w:tr w:rsidR="00095F6F" w14:paraId="7FC50AF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A19EE9"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应付货款</w:t>
            </w:r>
          </w:p>
        </w:tc>
        <w:tc>
          <w:tcPr>
            <w:tcW w:w="3213" w:type="dxa"/>
            <w:tcBorders>
              <w:top w:val="single" w:sz="2" w:space="0" w:color="auto"/>
              <w:left w:val="single" w:sz="2" w:space="0" w:color="auto"/>
              <w:bottom w:val="single" w:sz="2" w:space="0" w:color="auto"/>
              <w:right w:val="single" w:sz="2" w:space="0" w:color="auto"/>
            </w:tcBorders>
            <w:vAlign w:val="center"/>
          </w:tcPr>
          <w:p w14:paraId="2459FF1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290,640,008.93</w:t>
            </w:r>
          </w:p>
        </w:tc>
        <w:tc>
          <w:tcPr>
            <w:tcW w:w="3213" w:type="dxa"/>
            <w:tcBorders>
              <w:top w:val="single" w:sz="2" w:space="0" w:color="auto"/>
              <w:left w:val="single" w:sz="2" w:space="0" w:color="auto"/>
              <w:bottom w:val="single" w:sz="2" w:space="0" w:color="auto"/>
              <w:right w:val="single" w:sz="2" w:space="0" w:color="auto"/>
            </w:tcBorders>
            <w:vAlign w:val="center"/>
          </w:tcPr>
          <w:p w14:paraId="2B9C539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273,174,867.82</w:t>
            </w:r>
          </w:p>
        </w:tc>
      </w:tr>
      <w:tr w:rsidR="00095F6F" w14:paraId="485249A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BBB8A9E"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应付服务费</w:t>
            </w:r>
          </w:p>
        </w:tc>
        <w:tc>
          <w:tcPr>
            <w:tcW w:w="3213" w:type="dxa"/>
            <w:tcBorders>
              <w:top w:val="single" w:sz="2" w:space="0" w:color="auto"/>
              <w:left w:val="single" w:sz="2" w:space="0" w:color="auto"/>
              <w:bottom w:val="single" w:sz="2" w:space="0" w:color="auto"/>
              <w:right w:val="single" w:sz="2" w:space="0" w:color="auto"/>
            </w:tcBorders>
            <w:vAlign w:val="center"/>
          </w:tcPr>
          <w:p w14:paraId="44C1C74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45,979,780.17</w:t>
            </w:r>
          </w:p>
        </w:tc>
        <w:tc>
          <w:tcPr>
            <w:tcW w:w="3213" w:type="dxa"/>
            <w:tcBorders>
              <w:top w:val="single" w:sz="2" w:space="0" w:color="auto"/>
              <w:left w:val="single" w:sz="2" w:space="0" w:color="auto"/>
              <w:bottom w:val="single" w:sz="2" w:space="0" w:color="auto"/>
              <w:right w:val="single" w:sz="2" w:space="0" w:color="auto"/>
            </w:tcBorders>
            <w:vAlign w:val="center"/>
          </w:tcPr>
          <w:p w14:paraId="590706F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51,408,320.46</w:t>
            </w:r>
          </w:p>
        </w:tc>
      </w:tr>
      <w:tr w:rsidR="00095F6F" w14:paraId="2607EC9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FDD319"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应付工程及设备款</w:t>
            </w:r>
          </w:p>
        </w:tc>
        <w:tc>
          <w:tcPr>
            <w:tcW w:w="3213" w:type="dxa"/>
            <w:tcBorders>
              <w:top w:val="single" w:sz="2" w:space="0" w:color="auto"/>
              <w:left w:val="single" w:sz="2" w:space="0" w:color="auto"/>
              <w:bottom w:val="single" w:sz="2" w:space="0" w:color="auto"/>
              <w:right w:val="single" w:sz="2" w:space="0" w:color="auto"/>
            </w:tcBorders>
            <w:vAlign w:val="center"/>
          </w:tcPr>
          <w:p w14:paraId="0D985F8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16,969,709.91</w:t>
            </w:r>
          </w:p>
        </w:tc>
        <w:tc>
          <w:tcPr>
            <w:tcW w:w="3213" w:type="dxa"/>
            <w:tcBorders>
              <w:top w:val="single" w:sz="2" w:space="0" w:color="auto"/>
              <w:left w:val="single" w:sz="2" w:space="0" w:color="auto"/>
              <w:bottom w:val="single" w:sz="2" w:space="0" w:color="auto"/>
              <w:right w:val="single" w:sz="2" w:space="0" w:color="auto"/>
            </w:tcBorders>
            <w:vAlign w:val="center"/>
          </w:tcPr>
          <w:p w14:paraId="29961BE8"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15,887,796.66</w:t>
            </w:r>
          </w:p>
        </w:tc>
      </w:tr>
      <w:tr w:rsidR="00095F6F" w14:paraId="08B44D2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9AD7AAB"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7F47C85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906,477.85</w:t>
            </w:r>
          </w:p>
        </w:tc>
        <w:tc>
          <w:tcPr>
            <w:tcW w:w="3213" w:type="dxa"/>
            <w:tcBorders>
              <w:top w:val="single" w:sz="2" w:space="0" w:color="auto"/>
              <w:left w:val="single" w:sz="2" w:space="0" w:color="auto"/>
              <w:bottom w:val="single" w:sz="2" w:space="0" w:color="auto"/>
              <w:right w:val="single" w:sz="2" w:space="0" w:color="auto"/>
            </w:tcBorders>
            <w:vAlign w:val="center"/>
          </w:tcPr>
          <w:p w14:paraId="7FDE743E"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1,432,713.60</w:t>
            </w:r>
          </w:p>
        </w:tc>
      </w:tr>
      <w:tr w:rsidR="00095F6F" w14:paraId="7EA9B71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651D7C"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5291E7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354,495,976.86</w:t>
            </w:r>
          </w:p>
        </w:tc>
        <w:tc>
          <w:tcPr>
            <w:tcW w:w="3213" w:type="dxa"/>
            <w:tcBorders>
              <w:top w:val="single" w:sz="2" w:space="0" w:color="auto"/>
              <w:left w:val="single" w:sz="2" w:space="0" w:color="auto"/>
              <w:bottom w:val="single" w:sz="2" w:space="0" w:color="auto"/>
              <w:right w:val="single" w:sz="2" w:space="0" w:color="auto"/>
            </w:tcBorders>
            <w:vAlign w:val="center"/>
          </w:tcPr>
          <w:p w14:paraId="6582EEA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341,903,698.54</w:t>
            </w:r>
          </w:p>
        </w:tc>
      </w:tr>
    </w:tbl>
    <w:p w14:paraId="34CE973E"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（2） 账龄超过1年或逾期的重要应付账款</w:t>
      </w:r>
    </w:p>
    <w:p w14:paraId="748CE78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E9EB4A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9B4D9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FC2CA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14A3FF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未偿还或结转的原因</w:t>
            </w:r>
          </w:p>
        </w:tc>
      </w:tr>
    </w:tbl>
    <w:p w14:paraId="0E9B8DD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09DE2B7"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本集团无账龄超过</w:t>
      </w:r>
      <w:r w:rsidRPr="00684E6E">
        <w:rPr>
          <w:rFonts w:ascii="Times New Roman" w:hAnsi="Times New Roman" w:cs="Times New Roman"/>
          <w:sz w:val="21"/>
          <w:szCs w:val="21"/>
        </w:rPr>
        <w:t>1</w:t>
      </w:r>
      <w:r w:rsidRPr="00684E6E">
        <w:rPr>
          <w:rFonts w:ascii="Times New Roman" w:hAnsi="Times New Roman" w:cs="Times New Roman" w:hint="eastAsia"/>
          <w:sz w:val="21"/>
          <w:szCs w:val="21"/>
        </w:rPr>
        <w:t>年或逾期的重要应付账款。</w:t>
      </w:r>
    </w:p>
    <w:p w14:paraId="440F41A3"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（3） 是否存在逾期尚未支付中小企业款项的情况</w:t>
      </w:r>
    </w:p>
    <w:p w14:paraId="1855E06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是否属于大型企业</w:t>
      </w:r>
    </w:p>
    <w:p w14:paraId="318F6088"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是 □否</w:t>
      </w:r>
    </w:p>
    <w:p w14:paraId="64771E5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是否存在逾期尚未支付中小企业款项的情况</w:t>
      </w:r>
    </w:p>
    <w:p w14:paraId="48D2EC42"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5EBE69DB" w14:textId="6557F454" w:rsidR="00A46BF1" w:rsidRDefault="00A46BF1" w:rsidP="00A46BF1">
      <w:pPr>
        <w:pStyle w:val="3"/>
        <w:spacing w:line="280" w:lineRule="exact"/>
        <w:jc w:val="left"/>
        <w:rPr>
          <w:rFonts w:ascii="宋体" w:hAnsi="宋体" w:cs="宋体"/>
          <w:b/>
          <w:bCs/>
        </w:rPr>
      </w:pPr>
      <w:r>
        <w:rPr>
          <w:rFonts w:ascii="宋体" w:hAnsi="宋体" w:cs="宋体"/>
          <w:b/>
          <w:bCs/>
        </w:rPr>
        <w:t>2</w:t>
      </w:r>
      <w:r w:rsidR="00D43E8F">
        <w:rPr>
          <w:rFonts w:ascii="宋体" w:hAnsi="宋体" w:cs="宋体"/>
          <w:b/>
          <w:bCs/>
        </w:rPr>
        <w:t>7</w:t>
      </w:r>
      <w:r>
        <w:rPr>
          <w:rFonts w:ascii="宋体" w:hAnsi="宋体" w:cs="宋体"/>
          <w:b/>
          <w:bCs/>
        </w:rPr>
        <w:t>、其他应付款</w:t>
      </w:r>
    </w:p>
    <w:p w14:paraId="49EFD42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D2B24F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AA6443"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D5297D"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3A5A7BB"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r>
      <w:tr w:rsidR="00095F6F" w14:paraId="4B17431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BD9C80"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其他应付款</w:t>
            </w:r>
          </w:p>
        </w:tc>
        <w:tc>
          <w:tcPr>
            <w:tcW w:w="3213" w:type="dxa"/>
            <w:tcBorders>
              <w:top w:val="single" w:sz="2" w:space="0" w:color="auto"/>
              <w:left w:val="single" w:sz="2" w:space="0" w:color="auto"/>
              <w:bottom w:val="single" w:sz="2" w:space="0" w:color="auto"/>
              <w:right w:val="single" w:sz="2" w:space="0" w:color="auto"/>
            </w:tcBorders>
            <w:vAlign w:val="center"/>
          </w:tcPr>
          <w:p w14:paraId="31299DB6"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139,167,306.63</w:t>
            </w:r>
          </w:p>
        </w:tc>
        <w:tc>
          <w:tcPr>
            <w:tcW w:w="3213" w:type="dxa"/>
            <w:tcBorders>
              <w:top w:val="single" w:sz="2" w:space="0" w:color="auto"/>
              <w:left w:val="single" w:sz="2" w:space="0" w:color="auto"/>
              <w:bottom w:val="single" w:sz="2" w:space="0" w:color="auto"/>
              <w:right w:val="single" w:sz="2" w:space="0" w:color="auto"/>
            </w:tcBorders>
            <w:vAlign w:val="center"/>
          </w:tcPr>
          <w:p w14:paraId="24942656"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140,105,564.01</w:t>
            </w:r>
          </w:p>
        </w:tc>
      </w:tr>
      <w:tr w:rsidR="00095F6F" w14:paraId="1E8F01E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901C11"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791794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139,167,306.63</w:t>
            </w:r>
          </w:p>
        </w:tc>
        <w:tc>
          <w:tcPr>
            <w:tcW w:w="3213" w:type="dxa"/>
            <w:tcBorders>
              <w:top w:val="single" w:sz="2" w:space="0" w:color="auto"/>
              <w:left w:val="single" w:sz="2" w:space="0" w:color="auto"/>
              <w:bottom w:val="single" w:sz="2" w:space="0" w:color="auto"/>
              <w:right w:val="single" w:sz="2" w:space="0" w:color="auto"/>
            </w:tcBorders>
            <w:vAlign w:val="center"/>
          </w:tcPr>
          <w:p w14:paraId="42E6DFCD"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140,105,564.01</w:t>
            </w:r>
          </w:p>
        </w:tc>
      </w:tr>
    </w:tbl>
    <w:p w14:paraId="4F04D2C4"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其他应付款</w:t>
      </w:r>
    </w:p>
    <w:p w14:paraId="07168033" w14:textId="77777777" w:rsidR="00A46BF1" w:rsidRDefault="00A46BF1" w:rsidP="00A46BF1">
      <w:pPr>
        <w:keepNext/>
        <w:keepLines/>
        <w:spacing w:before="300" w:after="300" w:line="280" w:lineRule="exact"/>
        <w:outlineLvl w:val="4"/>
        <w:rPr>
          <w:rFonts w:ascii="宋体" w:eastAsia="宋体" w:hAnsi="宋体" w:cs="宋体"/>
          <w:b/>
          <w:bCs/>
          <w:sz w:val="18"/>
          <w:szCs w:val="18"/>
        </w:rPr>
      </w:pPr>
      <w:r>
        <w:rPr>
          <w:rFonts w:ascii="宋体" w:eastAsia="宋体" w:hAnsi="宋体" w:cs="宋体"/>
          <w:b/>
          <w:bCs/>
          <w:sz w:val="18"/>
          <w:szCs w:val="18"/>
        </w:rPr>
        <w:t>1） 按款项性质列示其他应付款</w:t>
      </w:r>
    </w:p>
    <w:p w14:paraId="0540D39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377E3F9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01D7AB"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BB7B1D"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6EBFA7"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r>
      <w:tr w:rsidR="00095F6F" w14:paraId="765856A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213E73"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业务已发生待支付费用</w:t>
            </w:r>
          </w:p>
        </w:tc>
        <w:tc>
          <w:tcPr>
            <w:tcW w:w="3213" w:type="dxa"/>
            <w:tcBorders>
              <w:top w:val="single" w:sz="2" w:space="0" w:color="auto"/>
              <w:left w:val="single" w:sz="2" w:space="0" w:color="auto"/>
              <w:bottom w:val="single" w:sz="2" w:space="0" w:color="auto"/>
              <w:right w:val="single" w:sz="2" w:space="0" w:color="auto"/>
            </w:tcBorders>
            <w:vAlign w:val="center"/>
          </w:tcPr>
          <w:p w14:paraId="0565A73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120,365,813.11</w:t>
            </w:r>
          </w:p>
        </w:tc>
        <w:tc>
          <w:tcPr>
            <w:tcW w:w="3213" w:type="dxa"/>
            <w:tcBorders>
              <w:top w:val="single" w:sz="2" w:space="0" w:color="auto"/>
              <w:left w:val="single" w:sz="2" w:space="0" w:color="auto"/>
              <w:bottom w:val="single" w:sz="2" w:space="0" w:color="auto"/>
              <w:right w:val="single" w:sz="2" w:space="0" w:color="auto"/>
            </w:tcBorders>
            <w:vAlign w:val="center"/>
          </w:tcPr>
          <w:p w14:paraId="27CD5A0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117,305,771.33</w:t>
            </w:r>
          </w:p>
        </w:tc>
      </w:tr>
      <w:tr w:rsidR="00095F6F" w14:paraId="418F0B0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2B451D"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保证金</w:t>
            </w:r>
          </w:p>
        </w:tc>
        <w:tc>
          <w:tcPr>
            <w:tcW w:w="3213" w:type="dxa"/>
            <w:tcBorders>
              <w:top w:val="single" w:sz="2" w:space="0" w:color="auto"/>
              <w:left w:val="single" w:sz="2" w:space="0" w:color="auto"/>
              <w:bottom w:val="single" w:sz="2" w:space="0" w:color="auto"/>
              <w:right w:val="single" w:sz="2" w:space="0" w:color="auto"/>
            </w:tcBorders>
            <w:vAlign w:val="center"/>
          </w:tcPr>
          <w:p w14:paraId="000752E3"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9,973,429.71</w:t>
            </w:r>
          </w:p>
        </w:tc>
        <w:tc>
          <w:tcPr>
            <w:tcW w:w="3213" w:type="dxa"/>
            <w:tcBorders>
              <w:top w:val="single" w:sz="2" w:space="0" w:color="auto"/>
              <w:left w:val="single" w:sz="2" w:space="0" w:color="auto"/>
              <w:bottom w:val="single" w:sz="2" w:space="0" w:color="auto"/>
              <w:right w:val="single" w:sz="2" w:space="0" w:color="auto"/>
            </w:tcBorders>
            <w:vAlign w:val="center"/>
          </w:tcPr>
          <w:p w14:paraId="340390ED"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14,313,216.17</w:t>
            </w:r>
          </w:p>
        </w:tc>
      </w:tr>
      <w:tr w:rsidR="00095F6F" w14:paraId="45D7F38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25647DF"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130FDE5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1,945,429.16</w:t>
            </w:r>
          </w:p>
        </w:tc>
        <w:tc>
          <w:tcPr>
            <w:tcW w:w="3213" w:type="dxa"/>
            <w:tcBorders>
              <w:top w:val="single" w:sz="2" w:space="0" w:color="auto"/>
              <w:left w:val="single" w:sz="2" w:space="0" w:color="auto"/>
              <w:bottom w:val="single" w:sz="2" w:space="0" w:color="auto"/>
              <w:right w:val="single" w:sz="2" w:space="0" w:color="auto"/>
            </w:tcBorders>
            <w:vAlign w:val="center"/>
          </w:tcPr>
          <w:p w14:paraId="62D0E55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1,332,966.85</w:t>
            </w:r>
          </w:p>
        </w:tc>
      </w:tr>
      <w:tr w:rsidR="00095F6F" w14:paraId="57CDC26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682C4D5"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61C5DEC5"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6,882,634.65</w:t>
            </w:r>
          </w:p>
        </w:tc>
        <w:tc>
          <w:tcPr>
            <w:tcW w:w="3213" w:type="dxa"/>
            <w:tcBorders>
              <w:top w:val="single" w:sz="2" w:space="0" w:color="auto"/>
              <w:left w:val="single" w:sz="2" w:space="0" w:color="auto"/>
              <w:bottom w:val="single" w:sz="2" w:space="0" w:color="auto"/>
              <w:right w:val="single" w:sz="2" w:space="0" w:color="auto"/>
            </w:tcBorders>
            <w:vAlign w:val="center"/>
          </w:tcPr>
          <w:p w14:paraId="7F000FA8"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7,153,609.66</w:t>
            </w:r>
          </w:p>
        </w:tc>
      </w:tr>
      <w:tr w:rsidR="00095F6F" w14:paraId="3F451DC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7535D71"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434708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139,167,306.63</w:t>
            </w:r>
          </w:p>
        </w:tc>
        <w:tc>
          <w:tcPr>
            <w:tcW w:w="3213" w:type="dxa"/>
            <w:tcBorders>
              <w:top w:val="single" w:sz="2" w:space="0" w:color="auto"/>
              <w:left w:val="single" w:sz="2" w:space="0" w:color="auto"/>
              <w:bottom w:val="single" w:sz="2" w:space="0" w:color="auto"/>
              <w:right w:val="single" w:sz="2" w:space="0" w:color="auto"/>
            </w:tcBorders>
            <w:vAlign w:val="center"/>
          </w:tcPr>
          <w:p w14:paraId="1ACE830D"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140,105,564.01</w:t>
            </w:r>
          </w:p>
        </w:tc>
      </w:tr>
    </w:tbl>
    <w:p w14:paraId="6075AAB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D223087"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本集团无账龄超过</w:t>
      </w:r>
      <w:r w:rsidRPr="00684E6E">
        <w:rPr>
          <w:rFonts w:ascii="Times New Roman" w:hAnsi="Times New Roman" w:cs="Times New Roman"/>
          <w:sz w:val="21"/>
          <w:szCs w:val="21"/>
        </w:rPr>
        <w:t>1</w:t>
      </w:r>
      <w:r w:rsidRPr="00684E6E">
        <w:rPr>
          <w:rFonts w:ascii="Times New Roman" w:hAnsi="Times New Roman" w:cs="Times New Roman" w:hint="eastAsia"/>
          <w:sz w:val="21"/>
          <w:szCs w:val="21"/>
        </w:rPr>
        <w:t>年或逾期的重要其他应付账款。</w:t>
      </w:r>
    </w:p>
    <w:p w14:paraId="43AC77EB" w14:textId="735A42E3" w:rsidR="00A46BF1" w:rsidRDefault="00D43E8F" w:rsidP="00A46BF1">
      <w:pPr>
        <w:pStyle w:val="3"/>
        <w:spacing w:line="280" w:lineRule="exact"/>
        <w:jc w:val="left"/>
        <w:rPr>
          <w:rFonts w:ascii="宋体" w:hAnsi="宋体" w:cs="宋体"/>
          <w:b/>
          <w:bCs/>
        </w:rPr>
      </w:pPr>
      <w:r>
        <w:rPr>
          <w:rFonts w:ascii="宋体" w:hAnsi="宋体" w:cs="宋体"/>
          <w:b/>
          <w:bCs/>
        </w:rPr>
        <w:t>28</w:t>
      </w:r>
      <w:r w:rsidR="00A46BF1">
        <w:rPr>
          <w:rFonts w:ascii="宋体" w:hAnsi="宋体" w:cs="宋体"/>
          <w:b/>
          <w:bCs/>
        </w:rPr>
        <w:t>、合同负债</w:t>
      </w:r>
    </w:p>
    <w:p w14:paraId="4A815A2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23ADA33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6C2D3C"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1030EF"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C322E5F"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r>
      <w:tr w:rsidR="00095F6F" w14:paraId="59DC3F5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807C798"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待抵扣或待支付折扣</w:t>
            </w:r>
          </w:p>
        </w:tc>
        <w:tc>
          <w:tcPr>
            <w:tcW w:w="3213" w:type="dxa"/>
            <w:tcBorders>
              <w:top w:val="single" w:sz="2" w:space="0" w:color="auto"/>
              <w:left w:val="single" w:sz="2" w:space="0" w:color="auto"/>
              <w:bottom w:val="single" w:sz="2" w:space="0" w:color="auto"/>
              <w:right w:val="single" w:sz="2" w:space="0" w:color="auto"/>
            </w:tcBorders>
            <w:vAlign w:val="center"/>
          </w:tcPr>
          <w:p w14:paraId="0D80F640"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450,048,046.17</w:t>
            </w:r>
          </w:p>
        </w:tc>
        <w:tc>
          <w:tcPr>
            <w:tcW w:w="3213" w:type="dxa"/>
            <w:tcBorders>
              <w:top w:val="single" w:sz="2" w:space="0" w:color="auto"/>
              <w:left w:val="single" w:sz="2" w:space="0" w:color="auto"/>
              <w:bottom w:val="single" w:sz="2" w:space="0" w:color="auto"/>
              <w:right w:val="single" w:sz="2" w:space="0" w:color="auto"/>
            </w:tcBorders>
            <w:vAlign w:val="center"/>
          </w:tcPr>
          <w:p w14:paraId="2773BB8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389,909,452.45</w:t>
            </w:r>
          </w:p>
        </w:tc>
      </w:tr>
      <w:tr w:rsidR="00095F6F" w14:paraId="7EFF3DF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7052B78"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预收货款</w:t>
            </w:r>
          </w:p>
        </w:tc>
        <w:tc>
          <w:tcPr>
            <w:tcW w:w="3213" w:type="dxa"/>
            <w:tcBorders>
              <w:top w:val="single" w:sz="2" w:space="0" w:color="auto"/>
              <w:left w:val="single" w:sz="2" w:space="0" w:color="auto"/>
              <w:bottom w:val="single" w:sz="2" w:space="0" w:color="auto"/>
              <w:right w:val="single" w:sz="2" w:space="0" w:color="auto"/>
            </w:tcBorders>
            <w:vAlign w:val="center"/>
          </w:tcPr>
          <w:p w14:paraId="7C617A20"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84,327,695.17</w:t>
            </w:r>
          </w:p>
        </w:tc>
        <w:tc>
          <w:tcPr>
            <w:tcW w:w="3213" w:type="dxa"/>
            <w:tcBorders>
              <w:top w:val="single" w:sz="2" w:space="0" w:color="auto"/>
              <w:left w:val="single" w:sz="2" w:space="0" w:color="auto"/>
              <w:bottom w:val="single" w:sz="2" w:space="0" w:color="auto"/>
              <w:right w:val="single" w:sz="2" w:space="0" w:color="auto"/>
            </w:tcBorders>
            <w:vAlign w:val="center"/>
          </w:tcPr>
          <w:p w14:paraId="42970E2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51,288,097.28</w:t>
            </w:r>
          </w:p>
        </w:tc>
      </w:tr>
      <w:tr w:rsidR="00095F6F" w14:paraId="1E0D968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35C8EC"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会员积分</w:t>
            </w:r>
          </w:p>
        </w:tc>
        <w:tc>
          <w:tcPr>
            <w:tcW w:w="3213" w:type="dxa"/>
            <w:tcBorders>
              <w:top w:val="single" w:sz="2" w:space="0" w:color="auto"/>
              <w:left w:val="single" w:sz="2" w:space="0" w:color="auto"/>
              <w:bottom w:val="single" w:sz="2" w:space="0" w:color="auto"/>
              <w:right w:val="single" w:sz="2" w:space="0" w:color="auto"/>
            </w:tcBorders>
            <w:vAlign w:val="center"/>
          </w:tcPr>
          <w:p w14:paraId="6369CA2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5,632,405.59</w:t>
            </w:r>
          </w:p>
        </w:tc>
        <w:tc>
          <w:tcPr>
            <w:tcW w:w="3213" w:type="dxa"/>
            <w:tcBorders>
              <w:top w:val="single" w:sz="2" w:space="0" w:color="auto"/>
              <w:left w:val="single" w:sz="2" w:space="0" w:color="auto"/>
              <w:bottom w:val="single" w:sz="2" w:space="0" w:color="auto"/>
              <w:right w:val="single" w:sz="2" w:space="0" w:color="auto"/>
            </w:tcBorders>
            <w:vAlign w:val="center"/>
          </w:tcPr>
          <w:p w14:paraId="6C7CC10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5,160,901.60</w:t>
            </w:r>
          </w:p>
        </w:tc>
      </w:tr>
      <w:tr w:rsidR="00095F6F" w14:paraId="5F02D37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D0D78D"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7EEA3F0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540,008,146.93</w:t>
            </w:r>
          </w:p>
        </w:tc>
        <w:tc>
          <w:tcPr>
            <w:tcW w:w="3213" w:type="dxa"/>
            <w:tcBorders>
              <w:top w:val="single" w:sz="2" w:space="0" w:color="auto"/>
              <w:left w:val="single" w:sz="2" w:space="0" w:color="auto"/>
              <w:bottom w:val="single" w:sz="2" w:space="0" w:color="auto"/>
              <w:right w:val="single" w:sz="2" w:space="0" w:color="auto"/>
            </w:tcBorders>
            <w:vAlign w:val="center"/>
          </w:tcPr>
          <w:p w14:paraId="7B818EE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446,358,451.33</w:t>
            </w:r>
          </w:p>
        </w:tc>
      </w:tr>
    </w:tbl>
    <w:p w14:paraId="09CB3C8E"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账龄超过1年的重要合同负债</w:t>
      </w:r>
    </w:p>
    <w:p w14:paraId="54DEDAC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2882"/>
        <w:gridCol w:w="3213"/>
      </w:tblGrid>
      <w:tr w:rsidR="00095F6F" w14:paraId="2557DB37" w14:textId="77777777" w:rsidTr="00D43E8F">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47B807A"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2882" w:type="dxa"/>
            <w:tcBorders>
              <w:top w:val="single" w:sz="2" w:space="0" w:color="auto"/>
              <w:left w:val="single" w:sz="2" w:space="0" w:color="auto"/>
              <w:bottom w:val="single" w:sz="2" w:space="0" w:color="auto"/>
              <w:right w:val="single" w:sz="2" w:space="0" w:color="auto"/>
            </w:tcBorders>
            <w:shd w:val="clear" w:color="auto" w:fill="D3D3D3"/>
            <w:vAlign w:val="center"/>
          </w:tcPr>
          <w:p w14:paraId="10FC71AF"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A2043E"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未偿还或结转的原因</w:t>
            </w:r>
          </w:p>
        </w:tc>
      </w:tr>
      <w:tr w:rsidR="00095F6F" w14:paraId="213DF946" w14:textId="77777777" w:rsidTr="00D43E8F">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47B8BB36"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本集团无账龄超过</w:t>
            </w:r>
            <w:r w:rsidRPr="00D43E8F">
              <w:rPr>
                <w:rFonts w:ascii="Times New Roman" w:eastAsia="宋体" w:hAnsi="Times New Roman" w:cs="Times New Roman"/>
                <w:sz w:val="18"/>
                <w:szCs w:val="18"/>
              </w:rPr>
              <w:t>1</w:t>
            </w:r>
            <w:r w:rsidRPr="00D43E8F">
              <w:rPr>
                <w:rFonts w:ascii="Times New Roman" w:eastAsia="宋体" w:hAnsi="Times New Roman" w:cs="Times New Roman"/>
                <w:sz w:val="18"/>
                <w:szCs w:val="18"/>
              </w:rPr>
              <w:t>年的重要合同负债。</w:t>
            </w:r>
          </w:p>
        </w:tc>
        <w:tc>
          <w:tcPr>
            <w:tcW w:w="2882" w:type="dxa"/>
            <w:tcBorders>
              <w:top w:val="single" w:sz="2" w:space="0" w:color="auto"/>
              <w:left w:val="single" w:sz="2" w:space="0" w:color="auto"/>
              <w:bottom w:val="single" w:sz="2" w:space="0" w:color="auto"/>
              <w:right w:val="single" w:sz="2" w:space="0" w:color="auto"/>
            </w:tcBorders>
            <w:vAlign w:val="center"/>
          </w:tcPr>
          <w:p w14:paraId="14F2E16F" w14:textId="77777777" w:rsidR="00A46BF1" w:rsidRPr="00D43E8F" w:rsidRDefault="00A46BF1" w:rsidP="00D43E8F">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4BF187F" w14:textId="77777777" w:rsidR="00A46BF1" w:rsidRPr="00D43E8F" w:rsidRDefault="00A46BF1" w:rsidP="00D43E8F">
            <w:pPr>
              <w:spacing w:line="360" w:lineRule="auto"/>
              <w:rPr>
                <w:rFonts w:ascii="Times New Roman" w:eastAsia="宋体" w:hAnsi="Times New Roman" w:cs="Times New Roman"/>
                <w:sz w:val="18"/>
                <w:szCs w:val="18"/>
              </w:rPr>
            </w:pPr>
          </w:p>
        </w:tc>
      </w:tr>
    </w:tbl>
    <w:p w14:paraId="25961886"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报告期内账面价值发生重大变动的金额和原因</w:t>
      </w:r>
    </w:p>
    <w:p w14:paraId="0A37911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695574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C5F2FB"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072F93"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变动金额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B8CA35"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变动原因</w:t>
            </w:r>
          </w:p>
        </w:tc>
      </w:tr>
      <w:tr w:rsidR="00095F6F" w14:paraId="6CE7A1A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2520AE4" w14:textId="77777777" w:rsidR="00A46BF1" w:rsidRPr="00D43E8F" w:rsidRDefault="00A46BF1" w:rsidP="00D43E8F">
            <w:pPr>
              <w:spacing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不适用</w:t>
            </w:r>
          </w:p>
        </w:tc>
        <w:tc>
          <w:tcPr>
            <w:tcW w:w="3213" w:type="dxa"/>
            <w:tcBorders>
              <w:top w:val="single" w:sz="2" w:space="0" w:color="auto"/>
              <w:left w:val="single" w:sz="2" w:space="0" w:color="auto"/>
              <w:bottom w:val="single" w:sz="2" w:space="0" w:color="auto"/>
              <w:right w:val="single" w:sz="2" w:space="0" w:color="auto"/>
            </w:tcBorders>
            <w:vAlign w:val="center"/>
          </w:tcPr>
          <w:p w14:paraId="6078AF0F" w14:textId="77777777" w:rsidR="00A46BF1" w:rsidRPr="00D43E8F" w:rsidRDefault="00A46BF1" w:rsidP="00D43E8F">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0E0B150" w14:textId="77777777" w:rsidR="00A46BF1" w:rsidRPr="00D43E8F" w:rsidRDefault="00A46BF1" w:rsidP="00D43E8F">
            <w:pPr>
              <w:spacing w:line="360" w:lineRule="auto"/>
              <w:rPr>
                <w:rFonts w:ascii="Times New Roman" w:eastAsia="宋体" w:hAnsi="Times New Roman" w:cs="Times New Roman"/>
                <w:sz w:val="18"/>
                <w:szCs w:val="18"/>
              </w:rPr>
            </w:pPr>
          </w:p>
        </w:tc>
      </w:tr>
    </w:tbl>
    <w:p w14:paraId="4F122BA6" w14:textId="2D06F9E1" w:rsidR="00A46BF1" w:rsidRDefault="00D43E8F" w:rsidP="00A46BF1">
      <w:pPr>
        <w:pStyle w:val="3"/>
        <w:spacing w:line="280" w:lineRule="exact"/>
        <w:jc w:val="left"/>
        <w:rPr>
          <w:rFonts w:ascii="宋体" w:hAnsi="宋体" w:cs="宋体"/>
          <w:b/>
          <w:bCs/>
        </w:rPr>
      </w:pPr>
      <w:r>
        <w:rPr>
          <w:rFonts w:ascii="宋体" w:hAnsi="宋体" w:cs="宋体"/>
          <w:b/>
          <w:bCs/>
        </w:rPr>
        <w:t>29</w:t>
      </w:r>
      <w:r w:rsidR="00A46BF1">
        <w:rPr>
          <w:rFonts w:ascii="宋体" w:hAnsi="宋体" w:cs="宋体"/>
          <w:b/>
          <w:bCs/>
        </w:rPr>
        <w:t>、应付职工薪酬</w:t>
      </w:r>
    </w:p>
    <w:p w14:paraId="072166A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应付职工薪酬列示</w:t>
      </w:r>
    </w:p>
    <w:p w14:paraId="276B1AD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694"/>
        <w:gridCol w:w="1736"/>
        <w:gridCol w:w="1736"/>
        <w:gridCol w:w="1736"/>
        <w:gridCol w:w="1737"/>
      </w:tblGrid>
      <w:tr w:rsidR="00095F6F" w14:paraId="4E218C77" w14:textId="77777777" w:rsidTr="00D43E8F">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52F1503E"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1736" w:type="dxa"/>
            <w:tcBorders>
              <w:top w:val="single" w:sz="2" w:space="0" w:color="auto"/>
              <w:left w:val="single" w:sz="2" w:space="0" w:color="auto"/>
              <w:bottom w:val="single" w:sz="2" w:space="0" w:color="auto"/>
              <w:right w:val="single" w:sz="2" w:space="0" w:color="auto"/>
            </w:tcBorders>
            <w:shd w:val="clear" w:color="auto" w:fill="D3D3D3"/>
            <w:vAlign w:val="center"/>
          </w:tcPr>
          <w:p w14:paraId="0EA045D3"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c>
          <w:tcPr>
            <w:tcW w:w="1736" w:type="dxa"/>
            <w:tcBorders>
              <w:top w:val="single" w:sz="2" w:space="0" w:color="auto"/>
              <w:left w:val="single" w:sz="2" w:space="0" w:color="auto"/>
              <w:bottom w:val="single" w:sz="2" w:space="0" w:color="auto"/>
              <w:right w:val="single" w:sz="2" w:space="0" w:color="auto"/>
            </w:tcBorders>
            <w:shd w:val="clear" w:color="auto" w:fill="D3D3D3"/>
            <w:vAlign w:val="center"/>
          </w:tcPr>
          <w:p w14:paraId="35A36753"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本期增加</w:t>
            </w:r>
          </w:p>
        </w:tc>
        <w:tc>
          <w:tcPr>
            <w:tcW w:w="1736" w:type="dxa"/>
            <w:tcBorders>
              <w:top w:val="single" w:sz="2" w:space="0" w:color="auto"/>
              <w:left w:val="single" w:sz="2" w:space="0" w:color="auto"/>
              <w:bottom w:val="single" w:sz="2" w:space="0" w:color="auto"/>
              <w:right w:val="single" w:sz="2" w:space="0" w:color="auto"/>
            </w:tcBorders>
            <w:shd w:val="clear" w:color="auto" w:fill="D3D3D3"/>
            <w:vAlign w:val="center"/>
          </w:tcPr>
          <w:p w14:paraId="58BFB36B"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本期减少</w:t>
            </w:r>
          </w:p>
        </w:tc>
        <w:tc>
          <w:tcPr>
            <w:tcW w:w="1737" w:type="dxa"/>
            <w:tcBorders>
              <w:top w:val="single" w:sz="2" w:space="0" w:color="auto"/>
              <w:left w:val="single" w:sz="2" w:space="0" w:color="auto"/>
              <w:bottom w:val="single" w:sz="2" w:space="0" w:color="auto"/>
              <w:right w:val="single" w:sz="2" w:space="0" w:color="auto"/>
            </w:tcBorders>
            <w:shd w:val="clear" w:color="auto" w:fill="D3D3D3"/>
            <w:vAlign w:val="center"/>
          </w:tcPr>
          <w:p w14:paraId="4D52E8A9"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r>
      <w:tr w:rsidR="00095F6F" w14:paraId="14691D23" w14:textId="77777777" w:rsidTr="00D43E8F">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2769A04E"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一、短期薪酬</w:t>
            </w:r>
          </w:p>
        </w:tc>
        <w:tc>
          <w:tcPr>
            <w:tcW w:w="1736" w:type="dxa"/>
            <w:tcBorders>
              <w:top w:val="single" w:sz="2" w:space="0" w:color="auto"/>
              <w:left w:val="single" w:sz="2" w:space="0" w:color="auto"/>
              <w:bottom w:val="single" w:sz="2" w:space="0" w:color="auto"/>
              <w:right w:val="single" w:sz="2" w:space="0" w:color="auto"/>
            </w:tcBorders>
            <w:vAlign w:val="center"/>
          </w:tcPr>
          <w:p w14:paraId="1A379952"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209,856,518.44</w:t>
            </w:r>
          </w:p>
        </w:tc>
        <w:tc>
          <w:tcPr>
            <w:tcW w:w="1736" w:type="dxa"/>
            <w:tcBorders>
              <w:top w:val="single" w:sz="2" w:space="0" w:color="auto"/>
              <w:left w:val="single" w:sz="2" w:space="0" w:color="auto"/>
              <w:bottom w:val="single" w:sz="2" w:space="0" w:color="auto"/>
              <w:right w:val="single" w:sz="2" w:space="0" w:color="auto"/>
            </w:tcBorders>
            <w:vAlign w:val="center"/>
          </w:tcPr>
          <w:p w14:paraId="62019A9E"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1,169,179,695.00</w:t>
            </w:r>
          </w:p>
        </w:tc>
        <w:tc>
          <w:tcPr>
            <w:tcW w:w="1736" w:type="dxa"/>
            <w:tcBorders>
              <w:top w:val="single" w:sz="2" w:space="0" w:color="auto"/>
              <w:left w:val="single" w:sz="2" w:space="0" w:color="auto"/>
              <w:bottom w:val="single" w:sz="2" w:space="0" w:color="auto"/>
              <w:right w:val="single" w:sz="2" w:space="0" w:color="auto"/>
            </w:tcBorders>
            <w:vAlign w:val="center"/>
          </w:tcPr>
          <w:p w14:paraId="72958DF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1,161,788,041.49</w:t>
            </w:r>
          </w:p>
        </w:tc>
        <w:tc>
          <w:tcPr>
            <w:tcW w:w="1737" w:type="dxa"/>
            <w:tcBorders>
              <w:top w:val="single" w:sz="2" w:space="0" w:color="auto"/>
              <w:left w:val="single" w:sz="2" w:space="0" w:color="auto"/>
              <w:bottom w:val="single" w:sz="2" w:space="0" w:color="auto"/>
              <w:right w:val="single" w:sz="2" w:space="0" w:color="auto"/>
            </w:tcBorders>
            <w:vAlign w:val="center"/>
          </w:tcPr>
          <w:p w14:paraId="6E73B70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217,248,171.95</w:t>
            </w:r>
          </w:p>
        </w:tc>
      </w:tr>
      <w:tr w:rsidR="00095F6F" w14:paraId="5E1F9C5A" w14:textId="77777777" w:rsidTr="00D43E8F">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3BE0ACFD"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二、离职后福利</w:t>
            </w:r>
            <w:r w:rsidRPr="00D43E8F">
              <w:rPr>
                <w:rFonts w:ascii="Times New Roman" w:eastAsia="宋体" w:hAnsi="Times New Roman" w:cs="Times New Roman"/>
                <w:sz w:val="18"/>
                <w:szCs w:val="18"/>
              </w:rPr>
              <w:t>-</w:t>
            </w:r>
            <w:r w:rsidRPr="00D43E8F">
              <w:rPr>
                <w:rFonts w:ascii="Times New Roman" w:eastAsia="宋体" w:hAnsi="Times New Roman" w:cs="Times New Roman"/>
                <w:sz w:val="18"/>
                <w:szCs w:val="18"/>
              </w:rPr>
              <w:t>设定提存计划</w:t>
            </w:r>
          </w:p>
        </w:tc>
        <w:tc>
          <w:tcPr>
            <w:tcW w:w="1736" w:type="dxa"/>
            <w:tcBorders>
              <w:top w:val="single" w:sz="2" w:space="0" w:color="auto"/>
              <w:left w:val="single" w:sz="2" w:space="0" w:color="auto"/>
              <w:bottom w:val="single" w:sz="2" w:space="0" w:color="auto"/>
              <w:right w:val="single" w:sz="2" w:space="0" w:color="auto"/>
            </w:tcBorders>
            <w:vAlign w:val="center"/>
          </w:tcPr>
          <w:p w14:paraId="355929C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5,412.46</w:t>
            </w:r>
          </w:p>
        </w:tc>
        <w:tc>
          <w:tcPr>
            <w:tcW w:w="1736" w:type="dxa"/>
            <w:tcBorders>
              <w:top w:val="single" w:sz="2" w:space="0" w:color="auto"/>
              <w:left w:val="single" w:sz="2" w:space="0" w:color="auto"/>
              <w:bottom w:val="single" w:sz="2" w:space="0" w:color="auto"/>
              <w:right w:val="single" w:sz="2" w:space="0" w:color="auto"/>
            </w:tcBorders>
            <w:vAlign w:val="center"/>
          </w:tcPr>
          <w:p w14:paraId="38A5405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53,974,563.50</w:t>
            </w:r>
          </w:p>
        </w:tc>
        <w:tc>
          <w:tcPr>
            <w:tcW w:w="1736" w:type="dxa"/>
            <w:tcBorders>
              <w:top w:val="single" w:sz="2" w:space="0" w:color="auto"/>
              <w:left w:val="single" w:sz="2" w:space="0" w:color="auto"/>
              <w:bottom w:val="single" w:sz="2" w:space="0" w:color="auto"/>
              <w:right w:val="single" w:sz="2" w:space="0" w:color="auto"/>
            </w:tcBorders>
            <w:vAlign w:val="center"/>
          </w:tcPr>
          <w:p w14:paraId="36A128A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53,979,975.96</w:t>
            </w:r>
          </w:p>
        </w:tc>
        <w:tc>
          <w:tcPr>
            <w:tcW w:w="1737" w:type="dxa"/>
            <w:tcBorders>
              <w:top w:val="single" w:sz="2" w:space="0" w:color="auto"/>
              <w:left w:val="single" w:sz="2" w:space="0" w:color="auto"/>
              <w:bottom w:val="single" w:sz="2" w:space="0" w:color="auto"/>
              <w:right w:val="single" w:sz="2" w:space="0" w:color="auto"/>
            </w:tcBorders>
            <w:vAlign w:val="center"/>
          </w:tcPr>
          <w:p w14:paraId="5FA1AEF0"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7EAA8578" w14:textId="77777777" w:rsidTr="00D43E8F">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0342662C"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三、辞退福利</w:t>
            </w:r>
          </w:p>
        </w:tc>
        <w:tc>
          <w:tcPr>
            <w:tcW w:w="1736" w:type="dxa"/>
            <w:tcBorders>
              <w:top w:val="single" w:sz="2" w:space="0" w:color="auto"/>
              <w:left w:val="single" w:sz="2" w:space="0" w:color="auto"/>
              <w:bottom w:val="single" w:sz="2" w:space="0" w:color="auto"/>
              <w:right w:val="single" w:sz="2" w:space="0" w:color="auto"/>
            </w:tcBorders>
            <w:vAlign w:val="center"/>
          </w:tcPr>
          <w:p w14:paraId="255654BE"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685,619.42</w:t>
            </w:r>
          </w:p>
        </w:tc>
        <w:tc>
          <w:tcPr>
            <w:tcW w:w="1736" w:type="dxa"/>
            <w:tcBorders>
              <w:top w:val="single" w:sz="2" w:space="0" w:color="auto"/>
              <w:left w:val="single" w:sz="2" w:space="0" w:color="auto"/>
              <w:bottom w:val="single" w:sz="2" w:space="0" w:color="auto"/>
              <w:right w:val="single" w:sz="2" w:space="0" w:color="auto"/>
            </w:tcBorders>
            <w:vAlign w:val="center"/>
          </w:tcPr>
          <w:p w14:paraId="7BFDBDB0"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12,290,150.57</w:t>
            </w:r>
          </w:p>
        </w:tc>
        <w:tc>
          <w:tcPr>
            <w:tcW w:w="1736" w:type="dxa"/>
            <w:tcBorders>
              <w:top w:val="single" w:sz="2" w:space="0" w:color="auto"/>
              <w:left w:val="single" w:sz="2" w:space="0" w:color="auto"/>
              <w:bottom w:val="single" w:sz="2" w:space="0" w:color="auto"/>
              <w:right w:val="single" w:sz="2" w:space="0" w:color="auto"/>
            </w:tcBorders>
            <w:vAlign w:val="center"/>
          </w:tcPr>
          <w:p w14:paraId="5062F06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12,078,353.99</w:t>
            </w:r>
          </w:p>
        </w:tc>
        <w:tc>
          <w:tcPr>
            <w:tcW w:w="1737" w:type="dxa"/>
            <w:tcBorders>
              <w:top w:val="single" w:sz="2" w:space="0" w:color="auto"/>
              <w:left w:val="single" w:sz="2" w:space="0" w:color="auto"/>
              <w:bottom w:val="single" w:sz="2" w:space="0" w:color="auto"/>
              <w:right w:val="single" w:sz="2" w:space="0" w:color="auto"/>
            </w:tcBorders>
            <w:vAlign w:val="center"/>
          </w:tcPr>
          <w:p w14:paraId="7EADE680"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897,416.00</w:t>
            </w:r>
          </w:p>
        </w:tc>
      </w:tr>
      <w:tr w:rsidR="00095F6F" w14:paraId="2400E5FE" w14:textId="77777777" w:rsidTr="00D43E8F">
        <w:trPr>
          <w:trHeight w:val="240"/>
        </w:trPr>
        <w:tc>
          <w:tcPr>
            <w:tcW w:w="2694" w:type="dxa"/>
            <w:tcBorders>
              <w:top w:val="single" w:sz="2" w:space="0" w:color="auto"/>
              <w:left w:val="single" w:sz="2" w:space="0" w:color="auto"/>
              <w:bottom w:val="single" w:sz="2" w:space="0" w:color="auto"/>
              <w:right w:val="single" w:sz="2" w:space="0" w:color="auto"/>
            </w:tcBorders>
            <w:shd w:val="clear" w:color="auto" w:fill="D3D3D3"/>
            <w:vAlign w:val="center"/>
          </w:tcPr>
          <w:p w14:paraId="2DD39048"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1736" w:type="dxa"/>
            <w:tcBorders>
              <w:top w:val="single" w:sz="2" w:space="0" w:color="auto"/>
              <w:left w:val="single" w:sz="2" w:space="0" w:color="auto"/>
              <w:bottom w:val="single" w:sz="2" w:space="0" w:color="auto"/>
              <w:right w:val="single" w:sz="2" w:space="0" w:color="auto"/>
            </w:tcBorders>
            <w:vAlign w:val="center"/>
          </w:tcPr>
          <w:p w14:paraId="2852F19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210,547,550.32</w:t>
            </w:r>
          </w:p>
        </w:tc>
        <w:tc>
          <w:tcPr>
            <w:tcW w:w="1736" w:type="dxa"/>
            <w:tcBorders>
              <w:top w:val="single" w:sz="2" w:space="0" w:color="auto"/>
              <w:left w:val="single" w:sz="2" w:space="0" w:color="auto"/>
              <w:bottom w:val="single" w:sz="2" w:space="0" w:color="auto"/>
              <w:right w:val="single" w:sz="2" w:space="0" w:color="auto"/>
            </w:tcBorders>
            <w:vAlign w:val="center"/>
          </w:tcPr>
          <w:p w14:paraId="110B5373"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1,235,444,409.07</w:t>
            </w:r>
          </w:p>
        </w:tc>
        <w:tc>
          <w:tcPr>
            <w:tcW w:w="1736" w:type="dxa"/>
            <w:tcBorders>
              <w:top w:val="single" w:sz="2" w:space="0" w:color="auto"/>
              <w:left w:val="single" w:sz="2" w:space="0" w:color="auto"/>
              <w:bottom w:val="single" w:sz="2" w:space="0" w:color="auto"/>
              <w:right w:val="single" w:sz="2" w:space="0" w:color="auto"/>
            </w:tcBorders>
            <w:vAlign w:val="center"/>
          </w:tcPr>
          <w:p w14:paraId="7A8D2696"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1,227,846,371.44</w:t>
            </w:r>
          </w:p>
        </w:tc>
        <w:tc>
          <w:tcPr>
            <w:tcW w:w="1737" w:type="dxa"/>
            <w:tcBorders>
              <w:top w:val="single" w:sz="2" w:space="0" w:color="auto"/>
              <w:left w:val="single" w:sz="2" w:space="0" w:color="auto"/>
              <w:bottom w:val="single" w:sz="2" w:space="0" w:color="auto"/>
              <w:right w:val="single" w:sz="2" w:space="0" w:color="auto"/>
            </w:tcBorders>
            <w:vAlign w:val="center"/>
          </w:tcPr>
          <w:p w14:paraId="140E3118"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218,145,587.95</w:t>
            </w:r>
          </w:p>
        </w:tc>
      </w:tr>
    </w:tbl>
    <w:p w14:paraId="26E0BF13"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短期薪酬列示</w:t>
      </w:r>
    </w:p>
    <w:p w14:paraId="170F075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127"/>
        <w:gridCol w:w="1878"/>
        <w:gridCol w:w="1878"/>
        <w:gridCol w:w="1878"/>
        <w:gridCol w:w="1878"/>
      </w:tblGrid>
      <w:tr w:rsidR="00095F6F" w14:paraId="52450DE6"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369A0487"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4DAC7A0C"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6CD2F161"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本期增加</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7382F9F7"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本期减少</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02BC6FF2"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r>
      <w:tr w:rsidR="00095F6F" w14:paraId="48254AB9"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556A3085"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1</w:t>
            </w:r>
            <w:r w:rsidRPr="00D43E8F">
              <w:rPr>
                <w:rFonts w:ascii="Times New Roman" w:eastAsia="宋体" w:hAnsi="Times New Roman" w:cs="Times New Roman"/>
                <w:sz w:val="18"/>
                <w:szCs w:val="18"/>
              </w:rPr>
              <w:t>、工资、奖金、津贴和补贴</w:t>
            </w:r>
          </w:p>
        </w:tc>
        <w:tc>
          <w:tcPr>
            <w:tcW w:w="1878" w:type="dxa"/>
            <w:tcBorders>
              <w:top w:val="single" w:sz="2" w:space="0" w:color="auto"/>
              <w:left w:val="single" w:sz="2" w:space="0" w:color="auto"/>
              <w:bottom w:val="single" w:sz="2" w:space="0" w:color="auto"/>
              <w:right w:val="single" w:sz="2" w:space="0" w:color="auto"/>
            </w:tcBorders>
            <w:vAlign w:val="center"/>
          </w:tcPr>
          <w:p w14:paraId="65D438D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195,487,215.48</w:t>
            </w:r>
          </w:p>
        </w:tc>
        <w:tc>
          <w:tcPr>
            <w:tcW w:w="1878" w:type="dxa"/>
            <w:tcBorders>
              <w:top w:val="single" w:sz="2" w:space="0" w:color="auto"/>
              <w:left w:val="single" w:sz="2" w:space="0" w:color="auto"/>
              <w:bottom w:val="single" w:sz="2" w:space="0" w:color="auto"/>
              <w:right w:val="single" w:sz="2" w:space="0" w:color="auto"/>
            </w:tcBorders>
            <w:vAlign w:val="center"/>
          </w:tcPr>
          <w:p w14:paraId="1995070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1,046,023,880.82</w:t>
            </w:r>
          </w:p>
        </w:tc>
        <w:tc>
          <w:tcPr>
            <w:tcW w:w="1878" w:type="dxa"/>
            <w:tcBorders>
              <w:top w:val="single" w:sz="2" w:space="0" w:color="auto"/>
              <w:left w:val="single" w:sz="2" w:space="0" w:color="auto"/>
              <w:bottom w:val="single" w:sz="2" w:space="0" w:color="auto"/>
              <w:right w:val="single" w:sz="2" w:space="0" w:color="auto"/>
            </w:tcBorders>
            <w:vAlign w:val="center"/>
          </w:tcPr>
          <w:p w14:paraId="053BE54D"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1,045,135,198.88</w:t>
            </w:r>
          </w:p>
        </w:tc>
        <w:tc>
          <w:tcPr>
            <w:tcW w:w="1878" w:type="dxa"/>
            <w:tcBorders>
              <w:top w:val="single" w:sz="2" w:space="0" w:color="auto"/>
              <w:left w:val="single" w:sz="2" w:space="0" w:color="auto"/>
              <w:bottom w:val="single" w:sz="2" w:space="0" w:color="auto"/>
              <w:right w:val="single" w:sz="2" w:space="0" w:color="auto"/>
            </w:tcBorders>
            <w:vAlign w:val="center"/>
          </w:tcPr>
          <w:p w14:paraId="65D8663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196,375,897.42</w:t>
            </w:r>
          </w:p>
        </w:tc>
      </w:tr>
      <w:tr w:rsidR="00095F6F" w14:paraId="635E89D2"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5AD9AC31"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2</w:t>
            </w:r>
            <w:r w:rsidRPr="00D43E8F">
              <w:rPr>
                <w:rFonts w:ascii="Times New Roman" w:eastAsia="宋体" w:hAnsi="Times New Roman" w:cs="Times New Roman"/>
                <w:sz w:val="18"/>
                <w:szCs w:val="18"/>
              </w:rPr>
              <w:t>、职工福利费</w:t>
            </w:r>
          </w:p>
        </w:tc>
        <w:tc>
          <w:tcPr>
            <w:tcW w:w="1878" w:type="dxa"/>
            <w:tcBorders>
              <w:top w:val="single" w:sz="2" w:space="0" w:color="auto"/>
              <w:left w:val="single" w:sz="2" w:space="0" w:color="auto"/>
              <w:bottom w:val="single" w:sz="2" w:space="0" w:color="auto"/>
              <w:right w:val="single" w:sz="2" w:space="0" w:color="auto"/>
            </w:tcBorders>
            <w:vAlign w:val="center"/>
          </w:tcPr>
          <w:p w14:paraId="6BAFC58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398,213.51</w:t>
            </w:r>
          </w:p>
        </w:tc>
        <w:tc>
          <w:tcPr>
            <w:tcW w:w="1878" w:type="dxa"/>
            <w:tcBorders>
              <w:top w:val="single" w:sz="2" w:space="0" w:color="auto"/>
              <w:left w:val="single" w:sz="2" w:space="0" w:color="auto"/>
              <w:bottom w:val="single" w:sz="2" w:space="0" w:color="auto"/>
              <w:right w:val="single" w:sz="2" w:space="0" w:color="auto"/>
            </w:tcBorders>
            <w:vAlign w:val="center"/>
          </w:tcPr>
          <w:p w14:paraId="513A34F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16,142,658.75</w:t>
            </w:r>
          </w:p>
        </w:tc>
        <w:tc>
          <w:tcPr>
            <w:tcW w:w="1878" w:type="dxa"/>
            <w:tcBorders>
              <w:top w:val="single" w:sz="2" w:space="0" w:color="auto"/>
              <w:left w:val="single" w:sz="2" w:space="0" w:color="auto"/>
              <w:bottom w:val="single" w:sz="2" w:space="0" w:color="auto"/>
              <w:right w:val="single" w:sz="2" w:space="0" w:color="auto"/>
            </w:tcBorders>
            <w:vAlign w:val="center"/>
          </w:tcPr>
          <w:p w14:paraId="410FE9D6"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15,667,485.78</w:t>
            </w:r>
          </w:p>
        </w:tc>
        <w:tc>
          <w:tcPr>
            <w:tcW w:w="1878" w:type="dxa"/>
            <w:tcBorders>
              <w:top w:val="single" w:sz="2" w:space="0" w:color="auto"/>
              <w:left w:val="single" w:sz="2" w:space="0" w:color="auto"/>
              <w:bottom w:val="single" w:sz="2" w:space="0" w:color="auto"/>
              <w:right w:val="single" w:sz="2" w:space="0" w:color="auto"/>
            </w:tcBorders>
            <w:vAlign w:val="center"/>
          </w:tcPr>
          <w:p w14:paraId="1A8A905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873,386.48</w:t>
            </w:r>
          </w:p>
        </w:tc>
      </w:tr>
      <w:tr w:rsidR="00095F6F" w14:paraId="17D84617"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76B5D530"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3</w:t>
            </w:r>
            <w:r w:rsidRPr="00D43E8F">
              <w:rPr>
                <w:rFonts w:ascii="Times New Roman" w:eastAsia="宋体" w:hAnsi="Times New Roman" w:cs="Times New Roman"/>
                <w:sz w:val="18"/>
                <w:szCs w:val="18"/>
              </w:rPr>
              <w:t>、社会保险费</w:t>
            </w:r>
          </w:p>
        </w:tc>
        <w:tc>
          <w:tcPr>
            <w:tcW w:w="1878" w:type="dxa"/>
            <w:tcBorders>
              <w:top w:val="single" w:sz="2" w:space="0" w:color="auto"/>
              <w:left w:val="single" w:sz="2" w:space="0" w:color="auto"/>
              <w:bottom w:val="single" w:sz="2" w:space="0" w:color="auto"/>
              <w:right w:val="single" w:sz="2" w:space="0" w:color="auto"/>
            </w:tcBorders>
            <w:vAlign w:val="center"/>
          </w:tcPr>
          <w:p w14:paraId="38C085E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10,521,745.99</w:t>
            </w:r>
          </w:p>
        </w:tc>
        <w:tc>
          <w:tcPr>
            <w:tcW w:w="1878" w:type="dxa"/>
            <w:tcBorders>
              <w:top w:val="single" w:sz="2" w:space="0" w:color="auto"/>
              <w:left w:val="single" w:sz="2" w:space="0" w:color="auto"/>
              <w:bottom w:val="single" w:sz="2" w:space="0" w:color="auto"/>
              <w:right w:val="single" w:sz="2" w:space="0" w:color="auto"/>
            </w:tcBorders>
            <w:vAlign w:val="center"/>
          </w:tcPr>
          <w:p w14:paraId="4CDDC54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81,316,696.34</w:t>
            </w:r>
          </w:p>
        </w:tc>
        <w:tc>
          <w:tcPr>
            <w:tcW w:w="1878" w:type="dxa"/>
            <w:tcBorders>
              <w:top w:val="single" w:sz="2" w:space="0" w:color="auto"/>
              <w:left w:val="single" w:sz="2" w:space="0" w:color="auto"/>
              <w:bottom w:val="single" w:sz="2" w:space="0" w:color="auto"/>
              <w:right w:val="single" w:sz="2" w:space="0" w:color="auto"/>
            </w:tcBorders>
            <w:vAlign w:val="center"/>
          </w:tcPr>
          <w:p w14:paraId="72E75218"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75,435,907.26</w:t>
            </w:r>
          </w:p>
        </w:tc>
        <w:tc>
          <w:tcPr>
            <w:tcW w:w="1878" w:type="dxa"/>
            <w:tcBorders>
              <w:top w:val="single" w:sz="2" w:space="0" w:color="auto"/>
              <w:left w:val="single" w:sz="2" w:space="0" w:color="auto"/>
              <w:bottom w:val="single" w:sz="2" w:space="0" w:color="auto"/>
              <w:right w:val="single" w:sz="2" w:space="0" w:color="auto"/>
            </w:tcBorders>
            <w:vAlign w:val="center"/>
          </w:tcPr>
          <w:p w14:paraId="2F45603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16,402,535.07</w:t>
            </w:r>
          </w:p>
        </w:tc>
      </w:tr>
      <w:tr w:rsidR="00095F6F" w14:paraId="7757FDC4"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15876FFB" w14:textId="77777777" w:rsidR="00A46BF1" w:rsidRPr="00D43E8F" w:rsidRDefault="00A46BF1" w:rsidP="00D43E8F">
            <w:pPr>
              <w:spacing w:before="40" w:after="40" w:line="360" w:lineRule="auto"/>
              <w:ind w:firstLineChars="200" w:firstLine="360"/>
              <w:rPr>
                <w:rFonts w:ascii="Times New Roman" w:eastAsia="宋体" w:hAnsi="Times New Roman" w:cs="Times New Roman"/>
                <w:sz w:val="18"/>
                <w:szCs w:val="18"/>
              </w:rPr>
            </w:pPr>
            <w:r w:rsidRPr="00D43E8F">
              <w:rPr>
                <w:rFonts w:ascii="Times New Roman" w:eastAsia="宋体" w:hAnsi="Times New Roman" w:cs="Times New Roman"/>
                <w:sz w:val="18"/>
                <w:szCs w:val="18"/>
              </w:rPr>
              <w:t>其中：医疗保险费</w:t>
            </w:r>
          </w:p>
        </w:tc>
        <w:tc>
          <w:tcPr>
            <w:tcW w:w="1878" w:type="dxa"/>
            <w:tcBorders>
              <w:top w:val="single" w:sz="2" w:space="0" w:color="auto"/>
              <w:left w:val="single" w:sz="2" w:space="0" w:color="auto"/>
              <w:bottom w:val="single" w:sz="2" w:space="0" w:color="auto"/>
              <w:right w:val="single" w:sz="2" w:space="0" w:color="auto"/>
            </w:tcBorders>
            <w:vAlign w:val="center"/>
          </w:tcPr>
          <w:p w14:paraId="07DFACCE"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10,389,495.82</w:t>
            </w:r>
          </w:p>
        </w:tc>
        <w:tc>
          <w:tcPr>
            <w:tcW w:w="1878" w:type="dxa"/>
            <w:tcBorders>
              <w:top w:val="single" w:sz="2" w:space="0" w:color="auto"/>
              <w:left w:val="single" w:sz="2" w:space="0" w:color="auto"/>
              <w:bottom w:val="single" w:sz="2" w:space="0" w:color="auto"/>
              <w:right w:val="single" w:sz="2" w:space="0" w:color="auto"/>
            </w:tcBorders>
            <w:vAlign w:val="center"/>
          </w:tcPr>
          <w:p w14:paraId="2AF50C4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76,798,058.76</w:t>
            </w:r>
          </w:p>
        </w:tc>
        <w:tc>
          <w:tcPr>
            <w:tcW w:w="1878" w:type="dxa"/>
            <w:tcBorders>
              <w:top w:val="single" w:sz="2" w:space="0" w:color="auto"/>
              <w:left w:val="single" w:sz="2" w:space="0" w:color="auto"/>
              <w:bottom w:val="single" w:sz="2" w:space="0" w:color="auto"/>
              <w:right w:val="single" w:sz="2" w:space="0" w:color="auto"/>
            </w:tcBorders>
            <w:vAlign w:val="center"/>
          </w:tcPr>
          <w:p w14:paraId="15E5483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70,936,501.96</w:t>
            </w:r>
          </w:p>
        </w:tc>
        <w:tc>
          <w:tcPr>
            <w:tcW w:w="1878" w:type="dxa"/>
            <w:tcBorders>
              <w:top w:val="single" w:sz="2" w:space="0" w:color="auto"/>
              <w:left w:val="single" w:sz="2" w:space="0" w:color="auto"/>
              <w:bottom w:val="single" w:sz="2" w:space="0" w:color="auto"/>
              <w:right w:val="single" w:sz="2" w:space="0" w:color="auto"/>
            </w:tcBorders>
            <w:vAlign w:val="center"/>
          </w:tcPr>
          <w:p w14:paraId="1810AEA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16,251,052.62</w:t>
            </w:r>
          </w:p>
        </w:tc>
      </w:tr>
      <w:tr w:rsidR="00095F6F" w14:paraId="319342DB"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0A30770D" w14:textId="77777777" w:rsidR="00A46BF1" w:rsidRPr="00D43E8F" w:rsidRDefault="00A46BF1" w:rsidP="00D43E8F">
            <w:pPr>
              <w:spacing w:before="40" w:after="40" w:line="360" w:lineRule="auto"/>
              <w:ind w:firstLineChars="500" w:firstLine="900"/>
              <w:rPr>
                <w:rFonts w:ascii="Times New Roman" w:eastAsia="宋体" w:hAnsi="Times New Roman" w:cs="Times New Roman"/>
                <w:sz w:val="18"/>
                <w:szCs w:val="18"/>
              </w:rPr>
            </w:pPr>
            <w:r w:rsidRPr="00D43E8F">
              <w:rPr>
                <w:rFonts w:ascii="Times New Roman" w:eastAsia="宋体" w:hAnsi="Times New Roman" w:cs="Times New Roman"/>
                <w:sz w:val="18"/>
                <w:szCs w:val="18"/>
              </w:rPr>
              <w:t>工伤保险费</w:t>
            </w:r>
          </w:p>
        </w:tc>
        <w:tc>
          <w:tcPr>
            <w:tcW w:w="1878" w:type="dxa"/>
            <w:tcBorders>
              <w:top w:val="single" w:sz="2" w:space="0" w:color="auto"/>
              <w:left w:val="single" w:sz="2" w:space="0" w:color="auto"/>
              <w:bottom w:val="single" w:sz="2" w:space="0" w:color="auto"/>
              <w:right w:val="single" w:sz="2" w:space="0" w:color="auto"/>
            </w:tcBorders>
            <w:vAlign w:val="center"/>
          </w:tcPr>
          <w:p w14:paraId="0053E699"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132,250.17</w:t>
            </w:r>
          </w:p>
        </w:tc>
        <w:tc>
          <w:tcPr>
            <w:tcW w:w="1878" w:type="dxa"/>
            <w:tcBorders>
              <w:top w:val="single" w:sz="2" w:space="0" w:color="auto"/>
              <w:left w:val="single" w:sz="2" w:space="0" w:color="auto"/>
              <w:bottom w:val="single" w:sz="2" w:space="0" w:color="auto"/>
              <w:right w:val="single" w:sz="2" w:space="0" w:color="auto"/>
            </w:tcBorders>
            <w:vAlign w:val="center"/>
          </w:tcPr>
          <w:p w14:paraId="2DC229E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4,069,771.96</w:t>
            </w:r>
          </w:p>
        </w:tc>
        <w:tc>
          <w:tcPr>
            <w:tcW w:w="1878" w:type="dxa"/>
            <w:tcBorders>
              <w:top w:val="single" w:sz="2" w:space="0" w:color="auto"/>
              <w:left w:val="single" w:sz="2" w:space="0" w:color="auto"/>
              <w:bottom w:val="single" w:sz="2" w:space="0" w:color="auto"/>
              <w:right w:val="single" w:sz="2" w:space="0" w:color="auto"/>
            </w:tcBorders>
            <w:vAlign w:val="center"/>
          </w:tcPr>
          <w:p w14:paraId="0CCDCD0D"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4,050,539.68</w:t>
            </w:r>
          </w:p>
        </w:tc>
        <w:tc>
          <w:tcPr>
            <w:tcW w:w="1878" w:type="dxa"/>
            <w:tcBorders>
              <w:top w:val="single" w:sz="2" w:space="0" w:color="auto"/>
              <w:left w:val="single" w:sz="2" w:space="0" w:color="auto"/>
              <w:bottom w:val="single" w:sz="2" w:space="0" w:color="auto"/>
              <w:right w:val="single" w:sz="2" w:space="0" w:color="auto"/>
            </w:tcBorders>
            <w:vAlign w:val="center"/>
          </w:tcPr>
          <w:p w14:paraId="4E401695"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151,482.45</w:t>
            </w:r>
          </w:p>
        </w:tc>
      </w:tr>
      <w:tr w:rsidR="00095F6F" w14:paraId="22600365"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59A1217D" w14:textId="77777777" w:rsidR="00A46BF1" w:rsidRPr="00D43E8F" w:rsidRDefault="00A46BF1" w:rsidP="00D43E8F">
            <w:pPr>
              <w:spacing w:before="40" w:after="40" w:line="360" w:lineRule="auto"/>
              <w:ind w:firstLineChars="500" w:firstLine="900"/>
              <w:rPr>
                <w:rFonts w:ascii="Times New Roman" w:eastAsia="宋体" w:hAnsi="Times New Roman" w:cs="Times New Roman"/>
                <w:sz w:val="18"/>
                <w:szCs w:val="18"/>
              </w:rPr>
            </w:pPr>
            <w:r w:rsidRPr="00D43E8F">
              <w:rPr>
                <w:rFonts w:ascii="Times New Roman" w:eastAsia="宋体" w:hAnsi="Times New Roman" w:cs="Times New Roman"/>
                <w:sz w:val="18"/>
                <w:szCs w:val="18"/>
              </w:rPr>
              <w:t>生育保险费</w:t>
            </w:r>
          </w:p>
        </w:tc>
        <w:tc>
          <w:tcPr>
            <w:tcW w:w="1878" w:type="dxa"/>
            <w:tcBorders>
              <w:top w:val="single" w:sz="2" w:space="0" w:color="auto"/>
              <w:left w:val="single" w:sz="2" w:space="0" w:color="auto"/>
              <w:bottom w:val="single" w:sz="2" w:space="0" w:color="auto"/>
              <w:right w:val="single" w:sz="2" w:space="0" w:color="auto"/>
            </w:tcBorders>
            <w:vAlign w:val="center"/>
          </w:tcPr>
          <w:p w14:paraId="158EA848" w14:textId="77777777" w:rsidR="00A46BF1" w:rsidRPr="00D43E8F" w:rsidRDefault="00A46BF1" w:rsidP="00D43E8F">
            <w:pPr>
              <w:spacing w:line="360" w:lineRule="auto"/>
              <w:jc w:val="right"/>
              <w:rPr>
                <w:rFonts w:ascii="Times New Roman" w:eastAsia="宋体" w:hAnsi="Times New Roman" w:cs="Times New Roman"/>
                <w:sz w:val="18"/>
                <w:szCs w:val="18"/>
              </w:rPr>
            </w:pPr>
          </w:p>
        </w:tc>
        <w:tc>
          <w:tcPr>
            <w:tcW w:w="1878" w:type="dxa"/>
            <w:tcBorders>
              <w:top w:val="single" w:sz="2" w:space="0" w:color="auto"/>
              <w:left w:val="single" w:sz="2" w:space="0" w:color="auto"/>
              <w:bottom w:val="single" w:sz="2" w:space="0" w:color="auto"/>
              <w:right w:val="single" w:sz="2" w:space="0" w:color="auto"/>
            </w:tcBorders>
            <w:vAlign w:val="center"/>
          </w:tcPr>
          <w:p w14:paraId="1CDA8CE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65,070.59</w:t>
            </w:r>
          </w:p>
        </w:tc>
        <w:tc>
          <w:tcPr>
            <w:tcW w:w="1878" w:type="dxa"/>
            <w:tcBorders>
              <w:top w:val="single" w:sz="2" w:space="0" w:color="auto"/>
              <w:left w:val="single" w:sz="2" w:space="0" w:color="auto"/>
              <w:bottom w:val="single" w:sz="2" w:space="0" w:color="auto"/>
              <w:right w:val="single" w:sz="2" w:space="0" w:color="auto"/>
            </w:tcBorders>
            <w:vAlign w:val="center"/>
          </w:tcPr>
          <w:p w14:paraId="075C3CF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65,070.59</w:t>
            </w:r>
          </w:p>
        </w:tc>
        <w:tc>
          <w:tcPr>
            <w:tcW w:w="1878" w:type="dxa"/>
            <w:tcBorders>
              <w:top w:val="single" w:sz="2" w:space="0" w:color="auto"/>
              <w:left w:val="single" w:sz="2" w:space="0" w:color="auto"/>
              <w:bottom w:val="single" w:sz="2" w:space="0" w:color="auto"/>
              <w:right w:val="single" w:sz="2" w:space="0" w:color="auto"/>
            </w:tcBorders>
            <w:vAlign w:val="center"/>
          </w:tcPr>
          <w:p w14:paraId="789C3276"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3647B15C"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vAlign w:val="center"/>
          </w:tcPr>
          <w:p w14:paraId="52B130D3" w14:textId="77777777" w:rsidR="00A46BF1" w:rsidRPr="00D43E8F" w:rsidRDefault="00A46BF1" w:rsidP="00D43E8F">
            <w:pPr>
              <w:spacing w:before="40" w:after="40" w:line="360" w:lineRule="auto"/>
              <w:ind w:firstLineChars="500" w:firstLine="900"/>
              <w:rPr>
                <w:rFonts w:ascii="Times New Roman" w:eastAsia="宋体" w:hAnsi="Times New Roman" w:cs="Times New Roman"/>
                <w:sz w:val="18"/>
                <w:szCs w:val="18"/>
              </w:rPr>
            </w:pPr>
            <w:r w:rsidRPr="00D43E8F">
              <w:rPr>
                <w:rFonts w:ascii="Times New Roman" w:eastAsia="宋体" w:hAnsi="Times New Roman" w:cs="Times New Roman"/>
                <w:sz w:val="18"/>
                <w:szCs w:val="18"/>
              </w:rPr>
              <w:t>其他</w:t>
            </w:r>
          </w:p>
        </w:tc>
        <w:tc>
          <w:tcPr>
            <w:tcW w:w="1878" w:type="dxa"/>
            <w:tcBorders>
              <w:top w:val="single" w:sz="2" w:space="0" w:color="auto"/>
              <w:left w:val="single" w:sz="2" w:space="0" w:color="auto"/>
              <w:bottom w:val="single" w:sz="2" w:space="0" w:color="auto"/>
              <w:right w:val="single" w:sz="2" w:space="0" w:color="auto"/>
            </w:tcBorders>
            <w:vAlign w:val="center"/>
          </w:tcPr>
          <w:p w14:paraId="72AADDC6" w14:textId="77777777" w:rsidR="00A46BF1" w:rsidRPr="00D43E8F" w:rsidRDefault="00A46BF1" w:rsidP="00D43E8F">
            <w:pPr>
              <w:spacing w:line="360" w:lineRule="auto"/>
              <w:jc w:val="right"/>
              <w:rPr>
                <w:rFonts w:ascii="Times New Roman" w:eastAsia="宋体" w:hAnsi="Times New Roman" w:cs="Times New Roman"/>
                <w:sz w:val="18"/>
                <w:szCs w:val="18"/>
              </w:rPr>
            </w:pPr>
          </w:p>
        </w:tc>
        <w:tc>
          <w:tcPr>
            <w:tcW w:w="1878" w:type="dxa"/>
            <w:tcBorders>
              <w:top w:val="single" w:sz="2" w:space="0" w:color="auto"/>
              <w:left w:val="single" w:sz="2" w:space="0" w:color="auto"/>
              <w:bottom w:val="single" w:sz="2" w:space="0" w:color="auto"/>
              <w:right w:val="single" w:sz="2" w:space="0" w:color="auto"/>
            </w:tcBorders>
            <w:vAlign w:val="center"/>
          </w:tcPr>
          <w:p w14:paraId="200AEDF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383,795.03</w:t>
            </w:r>
          </w:p>
        </w:tc>
        <w:tc>
          <w:tcPr>
            <w:tcW w:w="1878" w:type="dxa"/>
            <w:tcBorders>
              <w:top w:val="single" w:sz="2" w:space="0" w:color="auto"/>
              <w:left w:val="single" w:sz="2" w:space="0" w:color="auto"/>
              <w:bottom w:val="single" w:sz="2" w:space="0" w:color="auto"/>
              <w:right w:val="single" w:sz="2" w:space="0" w:color="auto"/>
            </w:tcBorders>
            <w:vAlign w:val="center"/>
          </w:tcPr>
          <w:p w14:paraId="5E56F783"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383,795.03</w:t>
            </w:r>
          </w:p>
        </w:tc>
        <w:tc>
          <w:tcPr>
            <w:tcW w:w="1878" w:type="dxa"/>
            <w:tcBorders>
              <w:top w:val="single" w:sz="2" w:space="0" w:color="auto"/>
              <w:left w:val="single" w:sz="2" w:space="0" w:color="auto"/>
              <w:bottom w:val="single" w:sz="2" w:space="0" w:color="auto"/>
              <w:right w:val="single" w:sz="2" w:space="0" w:color="auto"/>
            </w:tcBorders>
            <w:vAlign w:val="center"/>
          </w:tcPr>
          <w:p w14:paraId="496248F0"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7F0A78C1"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1E22AA3D"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4</w:t>
            </w:r>
            <w:r w:rsidRPr="00D43E8F">
              <w:rPr>
                <w:rFonts w:ascii="Times New Roman" w:eastAsia="宋体" w:hAnsi="Times New Roman" w:cs="Times New Roman"/>
                <w:sz w:val="18"/>
                <w:szCs w:val="18"/>
              </w:rPr>
              <w:t>、住房公积金</w:t>
            </w:r>
          </w:p>
        </w:tc>
        <w:tc>
          <w:tcPr>
            <w:tcW w:w="1878" w:type="dxa"/>
            <w:tcBorders>
              <w:top w:val="single" w:sz="2" w:space="0" w:color="auto"/>
              <w:left w:val="single" w:sz="2" w:space="0" w:color="auto"/>
              <w:bottom w:val="single" w:sz="2" w:space="0" w:color="auto"/>
              <w:right w:val="single" w:sz="2" w:space="0" w:color="auto"/>
            </w:tcBorders>
            <w:vAlign w:val="center"/>
          </w:tcPr>
          <w:p w14:paraId="32E99DD5"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6,634.00</w:t>
            </w:r>
          </w:p>
        </w:tc>
        <w:tc>
          <w:tcPr>
            <w:tcW w:w="1878" w:type="dxa"/>
            <w:tcBorders>
              <w:top w:val="single" w:sz="2" w:space="0" w:color="auto"/>
              <w:left w:val="single" w:sz="2" w:space="0" w:color="auto"/>
              <w:bottom w:val="single" w:sz="2" w:space="0" w:color="auto"/>
              <w:right w:val="single" w:sz="2" w:space="0" w:color="auto"/>
            </w:tcBorders>
            <w:vAlign w:val="center"/>
          </w:tcPr>
          <w:p w14:paraId="4758CCA5"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18,231,499.88</w:t>
            </w:r>
          </w:p>
        </w:tc>
        <w:tc>
          <w:tcPr>
            <w:tcW w:w="1878" w:type="dxa"/>
            <w:tcBorders>
              <w:top w:val="single" w:sz="2" w:space="0" w:color="auto"/>
              <w:left w:val="single" w:sz="2" w:space="0" w:color="auto"/>
              <w:bottom w:val="single" w:sz="2" w:space="0" w:color="auto"/>
              <w:right w:val="single" w:sz="2" w:space="0" w:color="auto"/>
            </w:tcBorders>
            <w:vAlign w:val="center"/>
          </w:tcPr>
          <w:p w14:paraId="34AFAEBC"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18,238,133.88</w:t>
            </w:r>
          </w:p>
        </w:tc>
        <w:tc>
          <w:tcPr>
            <w:tcW w:w="1878" w:type="dxa"/>
            <w:tcBorders>
              <w:top w:val="single" w:sz="2" w:space="0" w:color="auto"/>
              <w:left w:val="single" w:sz="2" w:space="0" w:color="auto"/>
              <w:bottom w:val="single" w:sz="2" w:space="0" w:color="auto"/>
              <w:right w:val="single" w:sz="2" w:space="0" w:color="auto"/>
            </w:tcBorders>
            <w:vAlign w:val="center"/>
          </w:tcPr>
          <w:p w14:paraId="52CF1F23"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3511DED4"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329B87AB"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5</w:t>
            </w:r>
            <w:r w:rsidRPr="00D43E8F">
              <w:rPr>
                <w:rFonts w:ascii="Times New Roman" w:eastAsia="宋体" w:hAnsi="Times New Roman" w:cs="Times New Roman"/>
                <w:sz w:val="18"/>
                <w:szCs w:val="18"/>
              </w:rPr>
              <w:t>、工会经费和职工教育经费</w:t>
            </w:r>
          </w:p>
        </w:tc>
        <w:tc>
          <w:tcPr>
            <w:tcW w:w="1878" w:type="dxa"/>
            <w:tcBorders>
              <w:top w:val="single" w:sz="2" w:space="0" w:color="auto"/>
              <w:left w:val="single" w:sz="2" w:space="0" w:color="auto"/>
              <w:bottom w:val="single" w:sz="2" w:space="0" w:color="auto"/>
              <w:right w:val="single" w:sz="2" w:space="0" w:color="auto"/>
            </w:tcBorders>
            <w:vAlign w:val="center"/>
          </w:tcPr>
          <w:p w14:paraId="13B081F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3,442,709.46</w:t>
            </w:r>
          </w:p>
        </w:tc>
        <w:tc>
          <w:tcPr>
            <w:tcW w:w="1878" w:type="dxa"/>
            <w:tcBorders>
              <w:top w:val="single" w:sz="2" w:space="0" w:color="auto"/>
              <w:left w:val="single" w:sz="2" w:space="0" w:color="auto"/>
              <w:bottom w:val="single" w:sz="2" w:space="0" w:color="auto"/>
              <w:right w:val="single" w:sz="2" w:space="0" w:color="auto"/>
            </w:tcBorders>
            <w:vAlign w:val="center"/>
          </w:tcPr>
          <w:p w14:paraId="7576A836"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7,464,959.21</w:t>
            </w:r>
          </w:p>
        </w:tc>
        <w:tc>
          <w:tcPr>
            <w:tcW w:w="1878" w:type="dxa"/>
            <w:tcBorders>
              <w:top w:val="single" w:sz="2" w:space="0" w:color="auto"/>
              <w:left w:val="single" w:sz="2" w:space="0" w:color="auto"/>
              <w:bottom w:val="single" w:sz="2" w:space="0" w:color="auto"/>
              <w:right w:val="single" w:sz="2" w:space="0" w:color="auto"/>
            </w:tcBorders>
            <w:vAlign w:val="center"/>
          </w:tcPr>
          <w:p w14:paraId="64200465"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7,311,315.69</w:t>
            </w:r>
          </w:p>
        </w:tc>
        <w:tc>
          <w:tcPr>
            <w:tcW w:w="1878" w:type="dxa"/>
            <w:tcBorders>
              <w:top w:val="single" w:sz="2" w:space="0" w:color="auto"/>
              <w:left w:val="single" w:sz="2" w:space="0" w:color="auto"/>
              <w:bottom w:val="single" w:sz="2" w:space="0" w:color="auto"/>
              <w:right w:val="single" w:sz="2" w:space="0" w:color="auto"/>
            </w:tcBorders>
            <w:vAlign w:val="center"/>
          </w:tcPr>
          <w:p w14:paraId="3B557C5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3,596,352.98</w:t>
            </w:r>
          </w:p>
        </w:tc>
      </w:tr>
      <w:tr w:rsidR="00095F6F" w14:paraId="1554934C" w14:textId="77777777" w:rsidTr="00D43E8F">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2CEBAA62"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1878" w:type="dxa"/>
            <w:tcBorders>
              <w:top w:val="single" w:sz="2" w:space="0" w:color="auto"/>
              <w:left w:val="single" w:sz="2" w:space="0" w:color="auto"/>
              <w:bottom w:val="single" w:sz="2" w:space="0" w:color="auto"/>
              <w:right w:val="single" w:sz="2" w:space="0" w:color="auto"/>
            </w:tcBorders>
            <w:vAlign w:val="center"/>
          </w:tcPr>
          <w:p w14:paraId="67F42E4B"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209,856,518.44</w:t>
            </w:r>
          </w:p>
        </w:tc>
        <w:tc>
          <w:tcPr>
            <w:tcW w:w="1878" w:type="dxa"/>
            <w:tcBorders>
              <w:top w:val="single" w:sz="2" w:space="0" w:color="auto"/>
              <w:left w:val="single" w:sz="2" w:space="0" w:color="auto"/>
              <w:bottom w:val="single" w:sz="2" w:space="0" w:color="auto"/>
              <w:right w:val="single" w:sz="2" w:space="0" w:color="auto"/>
            </w:tcBorders>
            <w:vAlign w:val="center"/>
          </w:tcPr>
          <w:p w14:paraId="1DA0D208"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1,169,179,695.00</w:t>
            </w:r>
          </w:p>
        </w:tc>
        <w:tc>
          <w:tcPr>
            <w:tcW w:w="1878" w:type="dxa"/>
            <w:tcBorders>
              <w:top w:val="single" w:sz="2" w:space="0" w:color="auto"/>
              <w:left w:val="single" w:sz="2" w:space="0" w:color="auto"/>
              <w:bottom w:val="single" w:sz="2" w:space="0" w:color="auto"/>
              <w:right w:val="single" w:sz="2" w:space="0" w:color="auto"/>
            </w:tcBorders>
            <w:vAlign w:val="center"/>
          </w:tcPr>
          <w:p w14:paraId="3DA64E2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1,161,788,041.49</w:t>
            </w:r>
          </w:p>
        </w:tc>
        <w:tc>
          <w:tcPr>
            <w:tcW w:w="1878" w:type="dxa"/>
            <w:tcBorders>
              <w:top w:val="single" w:sz="2" w:space="0" w:color="auto"/>
              <w:left w:val="single" w:sz="2" w:space="0" w:color="auto"/>
              <w:bottom w:val="single" w:sz="2" w:space="0" w:color="auto"/>
              <w:right w:val="single" w:sz="2" w:space="0" w:color="auto"/>
            </w:tcBorders>
            <w:vAlign w:val="center"/>
          </w:tcPr>
          <w:p w14:paraId="30101DE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217,248,171.95</w:t>
            </w:r>
          </w:p>
        </w:tc>
      </w:tr>
    </w:tbl>
    <w:p w14:paraId="76571E0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设定提存计划列示</w:t>
      </w:r>
    </w:p>
    <w:p w14:paraId="07273A47"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64E0AFE0"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F3598A"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BEA8E6"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D624802"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E71675D"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F9757B2" w14:textId="77777777" w:rsidR="00A46BF1" w:rsidRPr="00D43E8F" w:rsidRDefault="00A46BF1" w:rsidP="00D43E8F">
            <w:pPr>
              <w:spacing w:before="40" w:after="40" w:line="360" w:lineRule="auto"/>
              <w:jc w:val="center"/>
              <w:rPr>
                <w:rFonts w:ascii="Times New Roman" w:eastAsia="宋体" w:hAnsi="Times New Roman" w:cs="Times New Roman"/>
                <w:sz w:val="18"/>
                <w:szCs w:val="18"/>
              </w:rPr>
            </w:pPr>
            <w:r w:rsidRPr="00D43E8F">
              <w:rPr>
                <w:rFonts w:ascii="Times New Roman" w:eastAsia="宋体" w:hAnsi="Times New Roman" w:cs="Times New Roman"/>
                <w:sz w:val="18"/>
                <w:szCs w:val="18"/>
              </w:rPr>
              <w:t>期末余额</w:t>
            </w:r>
          </w:p>
        </w:tc>
      </w:tr>
      <w:tr w:rsidR="00095F6F" w14:paraId="089DD10F"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1837333"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1</w:t>
            </w:r>
            <w:r w:rsidRPr="00D43E8F">
              <w:rPr>
                <w:rFonts w:ascii="Times New Roman" w:eastAsia="宋体" w:hAnsi="Times New Roman" w:cs="Times New Roman"/>
                <w:sz w:val="18"/>
                <w:szCs w:val="18"/>
              </w:rPr>
              <w:t>、基本养老保险</w:t>
            </w:r>
          </w:p>
        </w:tc>
        <w:tc>
          <w:tcPr>
            <w:tcW w:w="1928" w:type="dxa"/>
            <w:tcBorders>
              <w:top w:val="single" w:sz="2" w:space="0" w:color="auto"/>
              <w:left w:val="single" w:sz="2" w:space="0" w:color="auto"/>
              <w:bottom w:val="single" w:sz="2" w:space="0" w:color="auto"/>
              <w:right w:val="single" w:sz="2" w:space="0" w:color="auto"/>
            </w:tcBorders>
            <w:vAlign w:val="center"/>
          </w:tcPr>
          <w:p w14:paraId="1AE74B83"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3,517.89</w:t>
            </w:r>
          </w:p>
        </w:tc>
        <w:tc>
          <w:tcPr>
            <w:tcW w:w="1928" w:type="dxa"/>
            <w:tcBorders>
              <w:top w:val="single" w:sz="2" w:space="0" w:color="auto"/>
              <w:left w:val="single" w:sz="2" w:space="0" w:color="auto"/>
              <w:bottom w:val="single" w:sz="2" w:space="0" w:color="auto"/>
              <w:right w:val="single" w:sz="2" w:space="0" w:color="auto"/>
            </w:tcBorders>
            <w:vAlign w:val="center"/>
          </w:tcPr>
          <w:p w14:paraId="3648AE3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38,815,575.71</w:t>
            </w:r>
          </w:p>
        </w:tc>
        <w:tc>
          <w:tcPr>
            <w:tcW w:w="1928" w:type="dxa"/>
            <w:tcBorders>
              <w:top w:val="single" w:sz="2" w:space="0" w:color="auto"/>
              <w:left w:val="single" w:sz="2" w:space="0" w:color="auto"/>
              <w:bottom w:val="single" w:sz="2" w:space="0" w:color="auto"/>
              <w:right w:val="single" w:sz="2" w:space="0" w:color="auto"/>
            </w:tcBorders>
            <w:vAlign w:val="center"/>
          </w:tcPr>
          <w:p w14:paraId="1D5054B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38,819,093.60</w:t>
            </w:r>
          </w:p>
        </w:tc>
        <w:tc>
          <w:tcPr>
            <w:tcW w:w="1928" w:type="dxa"/>
            <w:tcBorders>
              <w:top w:val="single" w:sz="2" w:space="0" w:color="auto"/>
              <w:left w:val="single" w:sz="2" w:space="0" w:color="auto"/>
              <w:bottom w:val="single" w:sz="2" w:space="0" w:color="auto"/>
              <w:right w:val="single" w:sz="2" w:space="0" w:color="auto"/>
            </w:tcBorders>
            <w:vAlign w:val="center"/>
          </w:tcPr>
          <w:p w14:paraId="2DCEB710"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5B61D40E"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10DA35B"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2</w:t>
            </w:r>
            <w:r w:rsidRPr="00D43E8F">
              <w:rPr>
                <w:rFonts w:ascii="Times New Roman" w:eastAsia="宋体" w:hAnsi="Times New Roman" w:cs="Times New Roman"/>
                <w:sz w:val="18"/>
                <w:szCs w:val="18"/>
              </w:rPr>
              <w:t>、失业保险费</w:t>
            </w:r>
          </w:p>
        </w:tc>
        <w:tc>
          <w:tcPr>
            <w:tcW w:w="1928" w:type="dxa"/>
            <w:tcBorders>
              <w:top w:val="single" w:sz="2" w:space="0" w:color="auto"/>
              <w:left w:val="single" w:sz="2" w:space="0" w:color="auto"/>
              <w:bottom w:val="single" w:sz="2" w:space="0" w:color="auto"/>
              <w:right w:val="single" w:sz="2" w:space="0" w:color="auto"/>
            </w:tcBorders>
            <w:vAlign w:val="center"/>
          </w:tcPr>
          <w:p w14:paraId="1340BB18" w14:textId="77777777" w:rsidR="00A46BF1" w:rsidRPr="00D43E8F" w:rsidRDefault="00A46BF1" w:rsidP="00D43E8F">
            <w:pPr>
              <w:spacing w:line="360" w:lineRule="auto"/>
              <w:jc w:val="right"/>
              <w:rPr>
                <w:rFonts w:ascii="Times New Roman" w:eastAsia="宋体" w:hAnsi="Times New Roman" w:cs="Times New Roman"/>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355643D0"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1,646,485.81</w:t>
            </w:r>
          </w:p>
        </w:tc>
        <w:tc>
          <w:tcPr>
            <w:tcW w:w="1928" w:type="dxa"/>
            <w:tcBorders>
              <w:top w:val="single" w:sz="2" w:space="0" w:color="auto"/>
              <w:left w:val="single" w:sz="2" w:space="0" w:color="auto"/>
              <w:bottom w:val="single" w:sz="2" w:space="0" w:color="auto"/>
              <w:right w:val="single" w:sz="2" w:space="0" w:color="auto"/>
            </w:tcBorders>
            <w:vAlign w:val="center"/>
          </w:tcPr>
          <w:p w14:paraId="49744FF7"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1,646,485.81</w:t>
            </w:r>
          </w:p>
        </w:tc>
        <w:tc>
          <w:tcPr>
            <w:tcW w:w="1928" w:type="dxa"/>
            <w:tcBorders>
              <w:top w:val="single" w:sz="2" w:space="0" w:color="auto"/>
              <w:left w:val="single" w:sz="2" w:space="0" w:color="auto"/>
              <w:bottom w:val="single" w:sz="2" w:space="0" w:color="auto"/>
              <w:right w:val="single" w:sz="2" w:space="0" w:color="auto"/>
            </w:tcBorders>
            <w:vAlign w:val="center"/>
          </w:tcPr>
          <w:p w14:paraId="0E2C8290"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50A0A872"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70C7FF5"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3</w:t>
            </w:r>
            <w:r w:rsidRPr="00D43E8F">
              <w:rPr>
                <w:rFonts w:ascii="Times New Roman" w:eastAsia="宋体" w:hAnsi="Times New Roman" w:cs="Times New Roman"/>
                <w:sz w:val="18"/>
                <w:szCs w:val="18"/>
              </w:rPr>
              <w:t>、企业年金缴费</w:t>
            </w:r>
          </w:p>
        </w:tc>
        <w:tc>
          <w:tcPr>
            <w:tcW w:w="1928" w:type="dxa"/>
            <w:tcBorders>
              <w:top w:val="single" w:sz="2" w:space="0" w:color="auto"/>
              <w:left w:val="single" w:sz="2" w:space="0" w:color="auto"/>
              <w:bottom w:val="single" w:sz="2" w:space="0" w:color="auto"/>
              <w:right w:val="single" w:sz="2" w:space="0" w:color="auto"/>
            </w:tcBorders>
            <w:vAlign w:val="center"/>
          </w:tcPr>
          <w:p w14:paraId="0595888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1,894.57</w:t>
            </w:r>
          </w:p>
        </w:tc>
        <w:tc>
          <w:tcPr>
            <w:tcW w:w="1928" w:type="dxa"/>
            <w:tcBorders>
              <w:top w:val="single" w:sz="2" w:space="0" w:color="auto"/>
              <w:left w:val="single" w:sz="2" w:space="0" w:color="auto"/>
              <w:bottom w:val="single" w:sz="2" w:space="0" w:color="auto"/>
              <w:right w:val="single" w:sz="2" w:space="0" w:color="auto"/>
            </w:tcBorders>
            <w:vAlign w:val="center"/>
          </w:tcPr>
          <w:p w14:paraId="54A3C1E4"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13,512,501.98</w:t>
            </w:r>
          </w:p>
        </w:tc>
        <w:tc>
          <w:tcPr>
            <w:tcW w:w="1928" w:type="dxa"/>
            <w:tcBorders>
              <w:top w:val="single" w:sz="2" w:space="0" w:color="auto"/>
              <w:left w:val="single" w:sz="2" w:space="0" w:color="auto"/>
              <w:bottom w:val="single" w:sz="2" w:space="0" w:color="auto"/>
              <w:right w:val="single" w:sz="2" w:space="0" w:color="auto"/>
            </w:tcBorders>
            <w:vAlign w:val="center"/>
          </w:tcPr>
          <w:p w14:paraId="295224AA"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13,514,396.55</w:t>
            </w:r>
          </w:p>
        </w:tc>
        <w:tc>
          <w:tcPr>
            <w:tcW w:w="1928" w:type="dxa"/>
            <w:tcBorders>
              <w:top w:val="single" w:sz="2" w:space="0" w:color="auto"/>
              <w:left w:val="single" w:sz="2" w:space="0" w:color="auto"/>
              <w:bottom w:val="single" w:sz="2" w:space="0" w:color="auto"/>
              <w:right w:val="single" w:sz="2" w:space="0" w:color="auto"/>
            </w:tcBorders>
            <w:vAlign w:val="center"/>
          </w:tcPr>
          <w:p w14:paraId="4F55699F" w14:textId="77777777" w:rsidR="00A46BF1" w:rsidRPr="00D43E8F" w:rsidRDefault="00A46BF1" w:rsidP="00D43E8F">
            <w:pPr>
              <w:spacing w:line="360" w:lineRule="auto"/>
              <w:jc w:val="right"/>
              <w:rPr>
                <w:rFonts w:ascii="Times New Roman" w:eastAsia="宋体" w:hAnsi="Times New Roman" w:cs="Times New Roman"/>
                <w:sz w:val="18"/>
                <w:szCs w:val="18"/>
              </w:rPr>
            </w:pPr>
          </w:p>
        </w:tc>
      </w:tr>
      <w:tr w:rsidR="00095F6F" w14:paraId="289F2A28"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6F3040E" w14:textId="77777777" w:rsidR="00A46BF1" w:rsidRPr="00D43E8F" w:rsidRDefault="00A46BF1" w:rsidP="00D43E8F">
            <w:pPr>
              <w:spacing w:before="40" w:after="40" w:line="360" w:lineRule="auto"/>
              <w:rPr>
                <w:rFonts w:ascii="Times New Roman" w:eastAsia="宋体" w:hAnsi="Times New Roman" w:cs="Times New Roman"/>
                <w:sz w:val="18"/>
                <w:szCs w:val="18"/>
              </w:rPr>
            </w:pPr>
            <w:r w:rsidRPr="00D43E8F">
              <w:rPr>
                <w:rFonts w:ascii="Times New Roman" w:eastAsia="宋体" w:hAnsi="Times New Roman" w:cs="Times New Roman"/>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03EF3F11"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5,412.46</w:t>
            </w:r>
          </w:p>
        </w:tc>
        <w:tc>
          <w:tcPr>
            <w:tcW w:w="1928" w:type="dxa"/>
            <w:tcBorders>
              <w:top w:val="single" w:sz="2" w:space="0" w:color="auto"/>
              <w:left w:val="single" w:sz="2" w:space="0" w:color="auto"/>
              <w:bottom w:val="single" w:sz="2" w:space="0" w:color="auto"/>
              <w:right w:val="single" w:sz="2" w:space="0" w:color="auto"/>
            </w:tcBorders>
            <w:vAlign w:val="center"/>
          </w:tcPr>
          <w:p w14:paraId="0C532893"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53,974,563.50</w:t>
            </w:r>
          </w:p>
        </w:tc>
        <w:tc>
          <w:tcPr>
            <w:tcW w:w="1928" w:type="dxa"/>
            <w:tcBorders>
              <w:top w:val="single" w:sz="2" w:space="0" w:color="auto"/>
              <w:left w:val="single" w:sz="2" w:space="0" w:color="auto"/>
              <w:bottom w:val="single" w:sz="2" w:space="0" w:color="auto"/>
              <w:right w:val="single" w:sz="2" w:space="0" w:color="auto"/>
            </w:tcBorders>
            <w:vAlign w:val="center"/>
          </w:tcPr>
          <w:p w14:paraId="6D48481F" w14:textId="77777777" w:rsidR="00A46BF1" w:rsidRPr="00D43E8F" w:rsidRDefault="00A46BF1" w:rsidP="00D43E8F">
            <w:pPr>
              <w:spacing w:line="360" w:lineRule="auto"/>
              <w:jc w:val="right"/>
              <w:rPr>
                <w:rFonts w:ascii="Times New Roman" w:eastAsia="宋体" w:hAnsi="Times New Roman" w:cs="Times New Roman"/>
                <w:sz w:val="18"/>
                <w:szCs w:val="18"/>
              </w:rPr>
            </w:pPr>
            <w:r w:rsidRPr="00D43E8F">
              <w:rPr>
                <w:rFonts w:ascii="Times New Roman" w:eastAsia="宋体" w:hAnsi="Times New Roman" w:cs="Times New Roman"/>
                <w:sz w:val="18"/>
                <w:szCs w:val="18"/>
              </w:rPr>
              <w:t>53,979,975.96</w:t>
            </w:r>
          </w:p>
        </w:tc>
        <w:tc>
          <w:tcPr>
            <w:tcW w:w="1928" w:type="dxa"/>
            <w:tcBorders>
              <w:top w:val="single" w:sz="2" w:space="0" w:color="auto"/>
              <w:left w:val="single" w:sz="2" w:space="0" w:color="auto"/>
              <w:bottom w:val="single" w:sz="2" w:space="0" w:color="auto"/>
              <w:right w:val="single" w:sz="2" w:space="0" w:color="auto"/>
            </w:tcBorders>
            <w:vAlign w:val="center"/>
          </w:tcPr>
          <w:p w14:paraId="0903BA5C" w14:textId="77777777" w:rsidR="00A46BF1" w:rsidRPr="00D43E8F" w:rsidRDefault="00A46BF1" w:rsidP="00D43E8F">
            <w:pPr>
              <w:spacing w:line="360" w:lineRule="auto"/>
              <w:jc w:val="right"/>
              <w:rPr>
                <w:rFonts w:ascii="Times New Roman" w:eastAsia="宋体" w:hAnsi="Times New Roman" w:cs="Times New Roman"/>
                <w:sz w:val="18"/>
                <w:szCs w:val="18"/>
              </w:rPr>
            </w:pPr>
          </w:p>
        </w:tc>
      </w:tr>
    </w:tbl>
    <w:p w14:paraId="7F27402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FD6535F" w14:textId="77777777" w:rsidR="00A46BF1" w:rsidRPr="00D43E8F" w:rsidRDefault="00A46BF1" w:rsidP="00D43E8F">
      <w:pPr>
        <w:spacing w:before="100" w:after="100" w:line="240" w:lineRule="exact"/>
        <w:rPr>
          <w:rFonts w:ascii="宋体" w:eastAsia="宋体" w:hAnsi="宋体" w:cs="宋体"/>
          <w:sz w:val="18"/>
          <w:szCs w:val="18"/>
        </w:rPr>
      </w:pPr>
      <w:r w:rsidRPr="00D43E8F">
        <w:rPr>
          <w:rFonts w:ascii="宋体" w:eastAsia="宋体" w:hAnsi="宋体" w:cs="宋体" w:hint="eastAsia"/>
          <w:sz w:val="18"/>
          <w:szCs w:val="18"/>
        </w:rPr>
        <w:t>无</w:t>
      </w:r>
    </w:p>
    <w:p w14:paraId="7C492692" w14:textId="107EA276" w:rsidR="00A46BF1" w:rsidRDefault="00A46BF1" w:rsidP="00A46BF1">
      <w:pPr>
        <w:pStyle w:val="3"/>
        <w:spacing w:line="280" w:lineRule="exact"/>
        <w:jc w:val="left"/>
        <w:rPr>
          <w:rFonts w:ascii="宋体" w:hAnsi="宋体" w:cs="宋体"/>
          <w:b/>
          <w:bCs/>
        </w:rPr>
      </w:pPr>
      <w:r>
        <w:rPr>
          <w:rFonts w:ascii="宋体" w:hAnsi="宋体" w:cs="宋体"/>
          <w:b/>
          <w:bCs/>
        </w:rPr>
        <w:t>3</w:t>
      </w:r>
      <w:r w:rsidR="00D43E8F">
        <w:rPr>
          <w:rFonts w:ascii="宋体" w:hAnsi="宋体" w:cs="宋体"/>
          <w:b/>
          <w:bCs/>
        </w:rPr>
        <w:t>0</w:t>
      </w:r>
      <w:r>
        <w:rPr>
          <w:rFonts w:ascii="宋体" w:hAnsi="宋体" w:cs="宋体"/>
          <w:b/>
          <w:bCs/>
        </w:rPr>
        <w:t>、应交税费</w:t>
      </w:r>
    </w:p>
    <w:p w14:paraId="1D599EA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94E281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296BEE"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1E4075"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9BAEC8"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期初余额</w:t>
            </w:r>
          </w:p>
        </w:tc>
      </w:tr>
      <w:tr w:rsidR="00095F6F" w14:paraId="0B8DBB0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32A5D1"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增值税</w:t>
            </w:r>
          </w:p>
        </w:tc>
        <w:tc>
          <w:tcPr>
            <w:tcW w:w="3213" w:type="dxa"/>
            <w:tcBorders>
              <w:top w:val="single" w:sz="2" w:space="0" w:color="auto"/>
              <w:left w:val="single" w:sz="2" w:space="0" w:color="auto"/>
              <w:bottom w:val="single" w:sz="2" w:space="0" w:color="auto"/>
              <w:right w:val="single" w:sz="2" w:space="0" w:color="auto"/>
            </w:tcBorders>
            <w:vAlign w:val="center"/>
          </w:tcPr>
          <w:p w14:paraId="2B1028FB"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16,321,014.59</w:t>
            </w:r>
          </w:p>
        </w:tc>
        <w:tc>
          <w:tcPr>
            <w:tcW w:w="3213" w:type="dxa"/>
            <w:tcBorders>
              <w:top w:val="single" w:sz="2" w:space="0" w:color="auto"/>
              <w:left w:val="single" w:sz="2" w:space="0" w:color="auto"/>
              <w:bottom w:val="single" w:sz="2" w:space="0" w:color="auto"/>
              <w:right w:val="single" w:sz="2" w:space="0" w:color="auto"/>
            </w:tcBorders>
            <w:vAlign w:val="center"/>
          </w:tcPr>
          <w:p w14:paraId="2600E7CC"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21,620,910.90</w:t>
            </w:r>
          </w:p>
        </w:tc>
      </w:tr>
      <w:tr w:rsidR="00095F6F" w14:paraId="4125EBC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319FC7B"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企业所得税</w:t>
            </w:r>
          </w:p>
        </w:tc>
        <w:tc>
          <w:tcPr>
            <w:tcW w:w="3213" w:type="dxa"/>
            <w:tcBorders>
              <w:top w:val="single" w:sz="2" w:space="0" w:color="auto"/>
              <w:left w:val="single" w:sz="2" w:space="0" w:color="auto"/>
              <w:bottom w:val="single" w:sz="2" w:space="0" w:color="auto"/>
              <w:right w:val="single" w:sz="2" w:space="0" w:color="auto"/>
            </w:tcBorders>
            <w:vAlign w:val="center"/>
          </w:tcPr>
          <w:p w14:paraId="56F7C7DC"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23,796,468.68</w:t>
            </w:r>
          </w:p>
        </w:tc>
        <w:tc>
          <w:tcPr>
            <w:tcW w:w="3213" w:type="dxa"/>
            <w:tcBorders>
              <w:top w:val="single" w:sz="2" w:space="0" w:color="auto"/>
              <w:left w:val="single" w:sz="2" w:space="0" w:color="auto"/>
              <w:bottom w:val="single" w:sz="2" w:space="0" w:color="auto"/>
              <w:right w:val="single" w:sz="2" w:space="0" w:color="auto"/>
            </w:tcBorders>
            <w:vAlign w:val="center"/>
          </w:tcPr>
          <w:p w14:paraId="7ABB203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20,779,880.21</w:t>
            </w:r>
          </w:p>
        </w:tc>
      </w:tr>
      <w:tr w:rsidR="00095F6F" w14:paraId="27958E2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1E1FF3"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个人所得税</w:t>
            </w:r>
          </w:p>
        </w:tc>
        <w:tc>
          <w:tcPr>
            <w:tcW w:w="3213" w:type="dxa"/>
            <w:tcBorders>
              <w:top w:val="single" w:sz="2" w:space="0" w:color="auto"/>
              <w:left w:val="single" w:sz="2" w:space="0" w:color="auto"/>
              <w:bottom w:val="single" w:sz="2" w:space="0" w:color="auto"/>
              <w:right w:val="single" w:sz="2" w:space="0" w:color="auto"/>
            </w:tcBorders>
            <w:vAlign w:val="center"/>
          </w:tcPr>
          <w:p w14:paraId="5ABC8CCF"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1,207,578.69</w:t>
            </w:r>
          </w:p>
        </w:tc>
        <w:tc>
          <w:tcPr>
            <w:tcW w:w="3213" w:type="dxa"/>
            <w:tcBorders>
              <w:top w:val="single" w:sz="2" w:space="0" w:color="auto"/>
              <w:left w:val="single" w:sz="2" w:space="0" w:color="auto"/>
              <w:bottom w:val="single" w:sz="2" w:space="0" w:color="auto"/>
              <w:right w:val="single" w:sz="2" w:space="0" w:color="auto"/>
            </w:tcBorders>
            <w:vAlign w:val="center"/>
          </w:tcPr>
          <w:p w14:paraId="0E72D1D2"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1,241,634.17</w:t>
            </w:r>
          </w:p>
        </w:tc>
      </w:tr>
      <w:tr w:rsidR="00095F6F" w14:paraId="3A0A512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13887D"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4C67F070"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441,698.49</w:t>
            </w:r>
          </w:p>
        </w:tc>
        <w:tc>
          <w:tcPr>
            <w:tcW w:w="3213" w:type="dxa"/>
            <w:tcBorders>
              <w:top w:val="single" w:sz="2" w:space="0" w:color="auto"/>
              <w:left w:val="single" w:sz="2" w:space="0" w:color="auto"/>
              <w:bottom w:val="single" w:sz="2" w:space="0" w:color="auto"/>
              <w:right w:val="single" w:sz="2" w:space="0" w:color="auto"/>
            </w:tcBorders>
            <w:vAlign w:val="center"/>
          </w:tcPr>
          <w:p w14:paraId="4A7FC809"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1,075,285.12</w:t>
            </w:r>
          </w:p>
        </w:tc>
      </w:tr>
      <w:tr w:rsidR="00095F6F" w14:paraId="440DD20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D59B2E"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财产税</w:t>
            </w:r>
            <w:r w:rsidRPr="007D70E2">
              <w:rPr>
                <w:rFonts w:ascii="Times New Roman" w:eastAsia="宋体" w:hAnsi="Times New Roman" w:cs="Times New Roman"/>
                <w:sz w:val="18"/>
                <w:szCs w:val="18"/>
              </w:rPr>
              <w:t>US</w:t>
            </w:r>
          </w:p>
        </w:tc>
        <w:tc>
          <w:tcPr>
            <w:tcW w:w="3213" w:type="dxa"/>
            <w:tcBorders>
              <w:top w:val="single" w:sz="2" w:space="0" w:color="auto"/>
              <w:left w:val="single" w:sz="2" w:space="0" w:color="auto"/>
              <w:bottom w:val="single" w:sz="2" w:space="0" w:color="auto"/>
              <w:right w:val="single" w:sz="2" w:space="0" w:color="auto"/>
            </w:tcBorders>
            <w:vAlign w:val="center"/>
          </w:tcPr>
          <w:p w14:paraId="32AEF3DA"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3,831,720.66</w:t>
            </w:r>
          </w:p>
        </w:tc>
        <w:tc>
          <w:tcPr>
            <w:tcW w:w="3213" w:type="dxa"/>
            <w:tcBorders>
              <w:top w:val="single" w:sz="2" w:space="0" w:color="auto"/>
              <w:left w:val="single" w:sz="2" w:space="0" w:color="auto"/>
              <w:bottom w:val="single" w:sz="2" w:space="0" w:color="auto"/>
              <w:right w:val="single" w:sz="2" w:space="0" w:color="auto"/>
            </w:tcBorders>
            <w:vAlign w:val="center"/>
          </w:tcPr>
          <w:p w14:paraId="7CCDB840"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3,358,594.58</w:t>
            </w:r>
          </w:p>
        </w:tc>
      </w:tr>
      <w:tr w:rsidR="00095F6F" w14:paraId="29700F9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22631F4"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3E574A10"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480,492.29</w:t>
            </w:r>
          </w:p>
        </w:tc>
        <w:tc>
          <w:tcPr>
            <w:tcW w:w="3213" w:type="dxa"/>
            <w:tcBorders>
              <w:top w:val="single" w:sz="2" w:space="0" w:color="auto"/>
              <w:left w:val="single" w:sz="2" w:space="0" w:color="auto"/>
              <w:bottom w:val="single" w:sz="2" w:space="0" w:color="auto"/>
              <w:right w:val="single" w:sz="2" w:space="0" w:color="auto"/>
            </w:tcBorders>
            <w:vAlign w:val="center"/>
          </w:tcPr>
          <w:p w14:paraId="35C11B5C"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535,619.88</w:t>
            </w:r>
          </w:p>
        </w:tc>
      </w:tr>
      <w:tr w:rsidR="00095F6F" w14:paraId="1D3E91C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FCE852E"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40D80AD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314,353.07</w:t>
            </w:r>
          </w:p>
        </w:tc>
        <w:tc>
          <w:tcPr>
            <w:tcW w:w="3213" w:type="dxa"/>
            <w:tcBorders>
              <w:top w:val="single" w:sz="2" w:space="0" w:color="auto"/>
              <w:left w:val="single" w:sz="2" w:space="0" w:color="auto"/>
              <w:bottom w:val="single" w:sz="2" w:space="0" w:color="auto"/>
              <w:right w:val="single" w:sz="2" w:space="0" w:color="auto"/>
            </w:tcBorders>
            <w:vAlign w:val="center"/>
          </w:tcPr>
          <w:p w14:paraId="3B244E0B"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787,942.26</w:t>
            </w:r>
          </w:p>
        </w:tc>
      </w:tr>
      <w:tr w:rsidR="00095F6F" w14:paraId="1677C99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FAF495"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销售税</w:t>
            </w:r>
            <w:r w:rsidRPr="007D70E2">
              <w:rPr>
                <w:rFonts w:ascii="Times New Roman" w:eastAsia="宋体" w:hAnsi="Times New Roman" w:cs="Times New Roman"/>
                <w:sz w:val="18"/>
                <w:szCs w:val="18"/>
              </w:rPr>
              <w:t>US</w:t>
            </w:r>
          </w:p>
        </w:tc>
        <w:tc>
          <w:tcPr>
            <w:tcW w:w="3213" w:type="dxa"/>
            <w:tcBorders>
              <w:top w:val="single" w:sz="2" w:space="0" w:color="auto"/>
              <w:left w:val="single" w:sz="2" w:space="0" w:color="auto"/>
              <w:bottom w:val="single" w:sz="2" w:space="0" w:color="auto"/>
              <w:right w:val="single" w:sz="2" w:space="0" w:color="auto"/>
            </w:tcBorders>
            <w:vAlign w:val="center"/>
          </w:tcPr>
          <w:p w14:paraId="4D85BBA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179,763.95</w:t>
            </w:r>
          </w:p>
        </w:tc>
        <w:tc>
          <w:tcPr>
            <w:tcW w:w="3213" w:type="dxa"/>
            <w:tcBorders>
              <w:top w:val="single" w:sz="2" w:space="0" w:color="auto"/>
              <w:left w:val="single" w:sz="2" w:space="0" w:color="auto"/>
              <w:bottom w:val="single" w:sz="2" w:space="0" w:color="auto"/>
              <w:right w:val="single" w:sz="2" w:space="0" w:color="auto"/>
            </w:tcBorders>
            <w:vAlign w:val="center"/>
          </w:tcPr>
          <w:p w14:paraId="1E7C4F4F"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363,354.00</w:t>
            </w:r>
          </w:p>
        </w:tc>
      </w:tr>
      <w:tr w:rsidR="00095F6F" w14:paraId="5ABD4DD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66B905"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05D4CE36"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112,969.27</w:t>
            </w:r>
          </w:p>
        </w:tc>
        <w:tc>
          <w:tcPr>
            <w:tcW w:w="3213" w:type="dxa"/>
            <w:tcBorders>
              <w:top w:val="single" w:sz="2" w:space="0" w:color="auto"/>
              <w:left w:val="single" w:sz="2" w:space="0" w:color="auto"/>
              <w:bottom w:val="single" w:sz="2" w:space="0" w:color="auto"/>
              <w:right w:val="single" w:sz="2" w:space="0" w:color="auto"/>
            </w:tcBorders>
            <w:vAlign w:val="center"/>
          </w:tcPr>
          <w:p w14:paraId="4FF7957A" w14:textId="77777777" w:rsidR="00A46BF1" w:rsidRPr="007D70E2" w:rsidRDefault="00A46BF1" w:rsidP="007D70E2">
            <w:pPr>
              <w:spacing w:line="360" w:lineRule="auto"/>
              <w:jc w:val="right"/>
              <w:rPr>
                <w:rFonts w:ascii="Times New Roman" w:eastAsia="宋体" w:hAnsi="Times New Roman" w:cs="Times New Roman"/>
                <w:sz w:val="18"/>
                <w:szCs w:val="18"/>
              </w:rPr>
            </w:pPr>
          </w:p>
        </w:tc>
      </w:tr>
      <w:tr w:rsidR="00095F6F" w14:paraId="7A6BB7E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576A3AA"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437191A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1,223,046.03</w:t>
            </w:r>
          </w:p>
        </w:tc>
        <w:tc>
          <w:tcPr>
            <w:tcW w:w="3213" w:type="dxa"/>
            <w:tcBorders>
              <w:top w:val="single" w:sz="2" w:space="0" w:color="auto"/>
              <w:left w:val="single" w:sz="2" w:space="0" w:color="auto"/>
              <w:bottom w:val="single" w:sz="2" w:space="0" w:color="auto"/>
              <w:right w:val="single" w:sz="2" w:space="0" w:color="auto"/>
            </w:tcBorders>
            <w:vAlign w:val="center"/>
          </w:tcPr>
          <w:p w14:paraId="76ED1518"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584,623.00</w:t>
            </w:r>
          </w:p>
        </w:tc>
      </w:tr>
      <w:tr w:rsidR="00095F6F" w14:paraId="1C7C05C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CCEBB8"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57BF92A"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47,909,105.72</w:t>
            </w:r>
          </w:p>
        </w:tc>
        <w:tc>
          <w:tcPr>
            <w:tcW w:w="3213" w:type="dxa"/>
            <w:tcBorders>
              <w:top w:val="single" w:sz="2" w:space="0" w:color="auto"/>
              <w:left w:val="single" w:sz="2" w:space="0" w:color="auto"/>
              <w:bottom w:val="single" w:sz="2" w:space="0" w:color="auto"/>
              <w:right w:val="single" w:sz="2" w:space="0" w:color="auto"/>
            </w:tcBorders>
            <w:vAlign w:val="center"/>
          </w:tcPr>
          <w:p w14:paraId="4012AA22"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50,347,844.12</w:t>
            </w:r>
          </w:p>
        </w:tc>
      </w:tr>
    </w:tbl>
    <w:p w14:paraId="04B7841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F53D17C" w14:textId="77777777" w:rsidR="00A46BF1" w:rsidRPr="007D70E2" w:rsidRDefault="00A46BF1" w:rsidP="007D70E2">
      <w:pPr>
        <w:spacing w:before="100" w:after="100" w:line="240" w:lineRule="exact"/>
        <w:rPr>
          <w:rFonts w:ascii="宋体" w:eastAsia="宋体" w:hAnsi="宋体" w:cs="宋体"/>
          <w:sz w:val="18"/>
          <w:szCs w:val="18"/>
        </w:rPr>
      </w:pPr>
      <w:r w:rsidRPr="007D70E2">
        <w:rPr>
          <w:rFonts w:ascii="宋体" w:eastAsia="宋体" w:hAnsi="宋体" w:cs="宋体" w:hint="eastAsia"/>
          <w:sz w:val="18"/>
          <w:szCs w:val="18"/>
        </w:rPr>
        <w:t>无</w:t>
      </w:r>
    </w:p>
    <w:p w14:paraId="1D983513" w14:textId="783B525C" w:rsidR="00A46BF1" w:rsidRDefault="00A46BF1" w:rsidP="00A46BF1">
      <w:pPr>
        <w:pStyle w:val="3"/>
        <w:spacing w:line="280" w:lineRule="exact"/>
        <w:jc w:val="left"/>
        <w:rPr>
          <w:rFonts w:ascii="宋体" w:hAnsi="宋体" w:cs="宋体"/>
          <w:b/>
          <w:bCs/>
        </w:rPr>
      </w:pPr>
      <w:r>
        <w:rPr>
          <w:rFonts w:ascii="宋体" w:hAnsi="宋体" w:cs="宋体"/>
          <w:b/>
          <w:bCs/>
        </w:rPr>
        <w:t>3</w:t>
      </w:r>
      <w:r w:rsidR="007D70E2">
        <w:rPr>
          <w:rFonts w:ascii="宋体" w:hAnsi="宋体" w:cs="宋体"/>
          <w:b/>
          <w:bCs/>
        </w:rPr>
        <w:t>1</w:t>
      </w:r>
      <w:r>
        <w:rPr>
          <w:rFonts w:ascii="宋体" w:hAnsi="宋体" w:cs="宋体"/>
          <w:b/>
          <w:bCs/>
        </w:rPr>
        <w:t>、一年内到期的非流动负债</w:t>
      </w:r>
    </w:p>
    <w:p w14:paraId="7338E82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E7D56F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2E05BD"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9F1614"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31EBEC0"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期初余额</w:t>
            </w:r>
          </w:p>
        </w:tc>
      </w:tr>
      <w:tr w:rsidR="00095F6F" w14:paraId="7E58108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29AF19B"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一年内到期的长期借款</w:t>
            </w:r>
          </w:p>
        </w:tc>
        <w:tc>
          <w:tcPr>
            <w:tcW w:w="3213" w:type="dxa"/>
            <w:tcBorders>
              <w:top w:val="single" w:sz="2" w:space="0" w:color="auto"/>
              <w:left w:val="single" w:sz="2" w:space="0" w:color="auto"/>
              <w:bottom w:val="single" w:sz="2" w:space="0" w:color="auto"/>
              <w:right w:val="single" w:sz="2" w:space="0" w:color="auto"/>
            </w:tcBorders>
            <w:vAlign w:val="center"/>
          </w:tcPr>
          <w:p w14:paraId="3D33B53B"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24,282,205.83</w:t>
            </w:r>
          </w:p>
        </w:tc>
        <w:tc>
          <w:tcPr>
            <w:tcW w:w="3213" w:type="dxa"/>
            <w:tcBorders>
              <w:top w:val="single" w:sz="2" w:space="0" w:color="auto"/>
              <w:left w:val="single" w:sz="2" w:space="0" w:color="auto"/>
              <w:bottom w:val="single" w:sz="2" w:space="0" w:color="auto"/>
              <w:right w:val="single" w:sz="2" w:space="0" w:color="auto"/>
            </w:tcBorders>
            <w:vAlign w:val="center"/>
          </w:tcPr>
          <w:p w14:paraId="03BC5DE5"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221,588,251.34</w:t>
            </w:r>
          </w:p>
        </w:tc>
      </w:tr>
      <w:tr w:rsidR="00095F6F" w14:paraId="03C6BEF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917193"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一年内到期的应付债券</w:t>
            </w:r>
          </w:p>
        </w:tc>
        <w:tc>
          <w:tcPr>
            <w:tcW w:w="3213" w:type="dxa"/>
            <w:tcBorders>
              <w:top w:val="single" w:sz="2" w:space="0" w:color="auto"/>
              <w:left w:val="single" w:sz="2" w:space="0" w:color="auto"/>
              <w:bottom w:val="single" w:sz="2" w:space="0" w:color="auto"/>
              <w:right w:val="single" w:sz="2" w:space="0" w:color="auto"/>
            </w:tcBorders>
            <w:vAlign w:val="center"/>
          </w:tcPr>
          <w:p w14:paraId="18BEEFE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477,592,733.13</w:t>
            </w:r>
          </w:p>
        </w:tc>
        <w:tc>
          <w:tcPr>
            <w:tcW w:w="3213" w:type="dxa"/>
            <w:tcBorders>
              <w:top w:val="single" w:sz="2" w:space="0" w:color="auto"/>
              <w:left w:val="single" w:sz="2" w:space="0" w:color="auto"/>
              <w:bottom w:val="single" w:sz="2" w:space="0" w:color="auto"/>
              <w:right w:val="single" w:sz="2" w:space="0" w:color="auto"/>
            </w:tcBorders>
            <w:vAlign w:val="center"/>
          </w:tcPr>
          <w:p w14:paraId="7005CF59" w14:textId="77777777" w:rsidR="00A46BF1" w:rsidRPr="007D70E2" w:rsidRDefault="00A46BF1" w:rsidP="007D70E2">
            <w:pPr>
              <w:spacing w:line="360" w:lineRule="auto"/>
              <w:jc w:val="right"/>
              <w:rPr>
                <w:rFonts w:ascii="Times New Roman" w:eastAsia="宋体" w:hAnsi="Times New Roman" w:cs="Times New Roman"/>
                <w:sz w:val="18"/>
                <w:szCs w:val="18"/>
              </w:rPr>
            </w:pPr>
          </w:p>
        </w:tc>
      </w:tr>
      <w:tr w:rsidR="00095F6F" w14:paraId="43FD9D6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B1375A"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6EA5234D"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11,001,506.48</w:t>
            </w:r>
          </w:p>
        </w:tc>
        <w:tc>
          <w:tcPr>
            <w:tcW w:w="3213" w:type="dxa"/>
            <w:tcBorders>
              <w:top w:val="single" w:sz="2" w:space="0" w:color="auto"/>
              <w:left w:val="single" w:sz="2" w:space="0" w:color="auto"/>
              <w:bottom w:val="single" w:sz="2" w:space="0" w:color="auto"/>
              <w:right w:val="single" w:sz="2" w:space="0" w:color="auto"/>
            </w:tcBorders>
            <w:vAlign w:val="center"/>
          </w:tcPr>
          <w:p w14:paraId="5048363C"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12,286,452.27</w:t>
            </w:r>
          </w:p>
        </w:tc>
      </w:tr>
      <w:tr w:rsidR="00095F6F" w14:paraId="7F4FC16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41B6E0A"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B5955C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512,876,445.44</w:t>
            </w:r>
          </w:p>
        </w:tc>
        <w:tc>
          <w:tcPr>
            <w:tcW w:w="3213" w:type="dxa"/>
            <w:tcBorders>
              <w:top w:val="single" w:sz="2" w:space="0" w:color="auto"/>
              <w:left w:val="single" w:sz="2" w:space="0" w:color="auto"/>
              <w:bottom w:val="single" w:sz="2" w:space="0" w:color="auto"/>
              <w:right w:val="single" w:sz="2" w:space="0" w:color="auto"/>
            </w:tcBorders>
            <w:vAlign w:val="center"/>
          </w:tcPr>
          <w:p w14:paraId="6D3C1BC3"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233,874,703.61</w:t>
            </w:r>
          </w:p>
        </w:tc>
      </w:tr>
    </w:tbl>
    <w:p w14:paraId="06C7A21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3A16A5A" w14:textId="77777777" w:rsidR="00A46BF1" w:rsidRPr="007D70E2" w:rsidRDefault="00A46BF1" w:rsidP="007D70E2">
      <w:pPr>
        <w:spacing w:before="100" w:after="100" w:line="240" w:lineRule="exact"/>
        <w:rPr>
          <w:rFonts w:ascii="宋体" w:eastAsia="宋体" w:hAnsi="宋体" w:cs="宋体"/>
          <w:sz w:val="18"/>
          <w:szCs w:val="18"/>
        </w:rPr>
      </w:pPr>
      <w:r w:rsidRPr="007D70E2">
        <w:rPr>
          <w:rFonts w:ascii="宋体" w:eastAsia="宋体" w:hAnsi="宋体" w:cs="宋体" w:hint="eastAsia"/>
          <w:sz w:val="18"/>
          <w:szCs w:val="18"/>
        </w:rPr>
        <w:t>无</w:t>
      </w:r>
    </w:p>
    <w:p w14:paraId="5279C20E" w14:textId="257A451A" w:rsidR="00A46BF1" w:rsidRDefault="00A46BF1" w:rsidP="00A46BF1">
      <w:pPr>
        <w:pStyle w:val="3"/>
        <w:spacing w:line="280" w:lineRule="exact"/>
        <w:jc w:val="left"/>
        <w:rPr>
          <w:rFonts w:ascii="宋体" w:hAnsi="宋体" w:cs="宋体"/>
          <w:b/>
          <w:bCs/>
        </w:rPr>
      </w:pPr>
      <w:r>
        <w:rPr>
          <w:rFonts w:ascii="宋体" w:hAnsi="宋体" w:cs="宋体"/>
          <w:b/>
          <w:bCs/>
        </w:rPr>
        <w:t>3</w:t>
      </w:r>
      <w:r w:rsidR="007D70E2">
        <w:rPr>
          <w:rFonts w:ascii="宋体" w:hAnsi="宋体" w:cs="宋体"/>
          <w:b/>
          <w:bCs/>
        </w:rPr>
        <w:t>2</w:t>
      </w:r>
      <w:r>
        <w:rPr>
          <w:rFonts w:ascii="宋体" w:hAnsi="宋体" w:cs="宋体"/>
          <w:b/>
          <w:bCs/>
        </w:rPr>
        <w:t>、其他流动负债</w:t>
      </w:r>
    </w:p>
    <w:p w14:paraId="2416783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0A4559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D0F9E3F"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B368173"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10D2D8"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期初余额</w:t>
            </w:r>
          </w:p>
        </w:tc>
      </w:tr>
      <w:tr w:rsidR="00095F6F" w14:paraId="7D24D03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844F4A"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应付退货款</w:t>
            </w:r>
          </w:p>
        </w:tc>
        <w:tc>
          <w:tcPr>
            <w:tcW w:w="3213" w:type="dxa"/>
            <w:tcBorders>
              <w:top w:val="single" w:sz="2" w:space="0" w:color="auto"/>
              <w:left w:val="single" w:sz="2" w:space="0" w:color="auto"/>
              <w:bottom w:val="single" w:sz="2" w:space="0" w:color="auto"/>
              <w:right w:val="single" w:sz="2" w:space="0" w:color="auto"/>
            </w:tcBorders>
            <w:vAlign w:val="center"/>
          </w:tcPr>
          <w:p w14:paraId="76E292B6"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48,027,871.10</w:t>
            </w:r>
          </w:p>
        </w:tc>
        <w:tc>
          <w:tcPr>
            <w:tcW w:w="3213" w:type="dxa"/>
            <w:tcBorders>
              <w:top w:val="single" w:sz="2" w:space="0" w:color="auto"/>
              <w:left w:val="single" w:sz="2" w:space="0" w:color="auto"/>
              <w:bottom w:val="single" w:sz="2" w:space="0" w:color="auto"/>
              <w:right w:val="single" w:sz="2" w:space="0" w:color="auto"/>
            </w:tcBorders>
            <w:vAlign w:val="center"/>
          </w:tcPr>
          <w:p w14:paraId="6D233F3C"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59,465,647.96</w:t>
            </w:r>
          </w:p>
        </w:tc>
      </w:tr>
      <w:tr w:rsidR="00095F6F" w14:paraId="2A67D4B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955B821"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产品质量保证</w:t>
            </w:r>
          </w:p>
        </w:tc>
        <w:tc>
          <w:tcPr>
            <w:tcW w:w="3213" w:type="dxa"/>
            <w:tcBorders>
              <w:top w:val="single" w:sz="2" w:space="0" w:color="auto"/>
              <w:left w:val="single" w:sz="2" w:space="0" w:color="auto"/>
              <w:bottom w:val="single" w:sz="2" w:space="0" w:color="auto"/>
              <w:right w:val="single" w:sz="2" w:space="0" w:color="auto"/>
            </w:tcBorders>
            <w:vAlign w:val="center"/>
          </w:tcPr>
          <w:p w14:paraId="1885B8CF"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120,553,811.69</w:t>
            </w:r>
          </w:p>
        </w:tc>
        <w:tc>
          <w:tcPr>
            <w:tcW w:w="3213" w:type="dxa"/>
            <w:tcBorders>
              <w:top w:val="single" w:sz="2" w:space="0" w:color="auto"/>
              <w:left w:val="single" w:sz="2" w:space="0" w:color="auto"/>
              <w:bottom w:val="single" w:sz="2" w:space="0" w:color="auto"/>
              <w:right w:val="single" w:sz="2" w:space="0" w:color="auto"/>
            </w:tcBorders>
            <w:vAlign w:val="center"/>
          </w:tcPr>
          <w:p w14:paraId="5D0FA97A"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29,633,478.63</w:t>
            </w:r>
          </w:p>
        </w:tc>
      </w:tr>
      <w:tr w:rsidR="00095F6F" w14:paraId="32B5268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BFAC784"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预计产品召回赔款</w:t>
            </w:r>
          </w:p>
        </w:tc>
        <w:tc>
          <w:tcPr>
            <w:tcW w:w="3213" w:type="dxa"/>
            <w:tcBorders>
              <w:top w:val="single" w:sz="2" w:space="0" w:color="auto"/>
              <w:left w:val="single" w:sz="2" w:space="0" w:color="auto"/>
              <w:bottom w:val="single" w:sz="2" w:space="0" w:color="auto"/>
              <w:right w:val="single" w:sz="2" w:space="0" w:color="auto"/>
            </w:tcBorders>
            <w:vAlign w:val="center"/>
          </w:tcPr>
          <w:p w14:paraId="6EC4EA18"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42,172,800.00</w:t>
            </w:r>
          </w:p>
        </w:tc>
        <w:tc>
          <w:tcPr>
            <w:tcW w:w="3213" w:type="dxa"/>
            <w:tcBorders>
              <w:top w:val="single" w:sz="2" w:space="0" w:color="auto"/>
              <w:left w:val="single" w:sz="2" w:space="0" w:color="auto"/>
              <w:bottom w:val="single" w:sz="2" w:space="0" w:color="auto"/>
              <w:right w:val="single" w:sz="2" w:space="0" w:color="auto"/>
            </w:tcBorders>
            <w:vAlign w:val="center"/>
          </w:tcPr>
          <w:p w14:paraId="13557E14"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43,130,400.00</w:t>
            </w:r>
          </w:p>
        </w:tc>
      </w:tr>
      <w:tr w:rsidR="00095F6F" w14:paraId="60BFDAE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19FEC03"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待抵扣销项税额</w:t>
            </w:r>
          </w:p>
        </w:tc>
        <w:tc>
          <w:tcPr>
            <w:tcW w:w="3213" w:type="dxa"/>
            <w:tcBorders>
              <w:top w:val="single" w:sz="2" w:space="0" w:color="auto"/>
              <w:left w:val="single" w:sz="2" w:space="0" w:color="auto"/>
              <w:bottom w:val="single" w:sz="2" w:space="0" w:color="auto"/>
              <w:right w:val="single" w:sz="2" w:space="0" w:color="auto"/>
            </w:tcBorders>
            <w:vAlign w:val="center"/>
          </w:tcPr>
          <w:p w14:paraId="3F2DD7ED"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7,967,186.96</w:t>
            </w:r>
          </w:p>
        </w:tc>
        <w:tc>
          <w:tcPr>
            <w:tcW w:w="3213" w:type="dxa"/>
            <w:tcBorders>
              <w:top w:val="single" w:sz="2" w:space="0" w:color="auto"/>
              <w:left w:val="single" w:sz="2" w:space="0" w:color="auto"/>
              <w:bottom w:val="single" w:sz="2" w:space="0" w:color="auto"/>
              <w:right w:val="single" w:sz="2" w:space="0" w:color="auto"/>
            </w:tcBorders>
            <w:vAlign w:val="center"/>
          </w:tcPr>
          <w:p w14:paraId="5CC178B6"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3,847,000.59</w:t>
            </w:r>
          </w:p>
        </w:tc>
      </w:tr>
      <w:tr w:rsidR="00095F6F" w14:paraId="38BCF4E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04273A4"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305B27AE"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5,531,890.50</w:t>
            </w:r>
          </w:p>
        </w:tc>
        <w:tc>
          <w:tcPr>
            <w:tcW w:w="3213" w:type="dxa"/>
            <w:tcBorders>
              <w:top w:val="single" w:sz="2" w:space="0" w:color="auto"/>
              <w:left w:val="single" w:sz="2" w:space="0" w:color="auto"/>
              <w:bottom w:val="single" w:sz="2" w:space="0" w:color="auto"/>
              <w:right w:val="single" w:sz="2" w:space="0" w:color="auto"/>
            </w:tcBorders>
            <w:vAlign w:val="center"/>
          </w:tcPr>
          <w:p w14:paraId="340E1488"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500,000.00</w:t>
            </w:r>
          </w:p>
        </w:tc>
      </w:tr>
      <w:tr w:rsidR="00095F6F" w14:paraId="12070F1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6C9739"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0F22253"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224,253,560.25</w:t>
            </w:r>
          </w:p>
        </w:tc>
        <w:tc>
          <w:tcPr>
            <w:tcW w:w="3213" w:type="dxa"/>
            <w:tcBorders>
              <w:top w:val="single" w:sz="2" w:space="0" w:color="auto"/>
              <w:left w:val="single" w:sz="2" w:space="0" w:color="auto"/>
              <w:bottom w:val="single" w:sz="2" w:space="0" w:color="auto"/>
              <w:right w:val="single" w:sz="2" w:space="0" w:color="auto"/>
            </w:tcBorders>
            <w:vAlign w:val="center"/>
          </w:tcPr>
          <w:p w14:paraId="541BA1F8"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136,576,527.18</w:t>
            </w:r>
          </w:p>
        </w:tc>
      </w:tr>
    </w:tbl>
    <w:p w14:paraId="76AFAA4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短期应付债券的增减变动：</w:t>
      </w:r>
    </w:p>
    <w:p w14:paraId="4C236A1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689"/>
        <w:gridCol w:w="689"/>
        <w:gridCol w:w="689"/>
        <w:gridCol w:w="689"/>
        <w:gridCol w:w="689"/>
        <w:gridCol w:w="689"/>
        <w:gridCol w:w="689"/>
        <w:gridCol w:w="688"/>
        <w:gridCol w:w="688"/>
        <w:gridCol w:w="688"/>
        <w:gridCol w:w="688"/>
        <w:gridCol w:w="688"/>
        <w:gridCol w:w="688"/>
        <w:gridCol w:w="688"/>
      </w:tblGrid>
      <w:tr w:rsidR="00095F6F" w14:paraId="0F7D81DB" w14:textId="77777777" w:rsidTr="007D70E2">
        <w:trPr>
          <w:trHeight w:val="240"/>
        </w:trPr>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5A9AC2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债券名称</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93F208C"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面值</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5D091C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票面利率</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0D75168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发行日期</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FEDD1F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债券期限</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419DE9C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发行金额</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621E050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期初余额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34B2DA6B"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本期发行</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4C7219A8"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按面值计提利息</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04F134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溢折价摊销</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04A27A8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本期偿还</w:t>
            </w:r>
          </w:p>
        </w:tc>
        <w:tc>
          <w:tcPr>
            <w:tcW w:w="688" w:type="dxa"/>
            <w:tcBorders>
              <w:top w:val="single" w:sz="2" w:space="0" w:color="auto"/>
              <w:left w:val="single" w:sz="2" w:space="0" w:color="auto"/>
              <w:bottom w:val="single" w:sz="2" w:space="0" w:color="auto"/>
              <w:right w:val="single" w:sz="2" w:space="0" w:color="auto"/>
            </w:tcBorders>
            <w:vAlign w:val="center"/>
          </w:tcPr>
          <w:p w14:paraId="68448089" w14:textId="77777777" w:rsidR="00A46BF1" w:rsidRDefault="00A46BF1" w:rsidP="00A46BF1">
            <w:pPr>
              <w:spacing w:line="240" w:lineRule="exact"/>
              <w:jc w:val="center"/>
              <w:rPr>
                <w:rFonts w:ascii="宋体" w:eastAsia="宋体" w:hAnsi="宋体" w:cs="宋体"/>
                <w:sz w:val="18"/>
                <w:szCs w:val="18"/>
              </w:rPr>
            </w:pP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2703F7A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期末余额</w:t>
            </w:r>
          </w:p>
        </w:tc>
        <w:tc>
          <w:tcPr>
            <w:tcW w:w="688" w:type="dxa"/>
            <w:tcBorders>
              <w:top w:val="single" w:sz="2" w:space="0" w:color="auto"/>
              <w:left w:val="single" w:sz="2" w:space="0" w:color="auto"/>
              <w:bottom w:val="single" w:sz="2" w:space="0" w:color="auto"/>
              <w:right w:val="single" w:sz="2" w:space="0" w:color="auto"/>
            </w:tcBorders>
            <w:shd w:val="clear" w:color="auto" w:fill="D3D3D3"/>
            <w:vAlign w:val="center"/>
          </w:tcPr>
          <w:p w14:paraId="5E400952"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是否违约</w:t>
            </w:r>
          </w:p>
        </w:tc>
      </w:tr>
    </w:tbl>
    <w:p w14:paraId="404E36D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39A9114" w14:textId="77777777" w:rsidR="00A46BF1" w:rsidRPr="007D70E2" w:rsidRDefault="00A46BF1" w:rsidP="007D70E2">
      <w:pPr>
        <w:spacing w:before="100" w:after="100" w:line="240" w:lineRule="exact"/>
        <w:rPr>
          <w:rFonts w:ascii="宋体" w:eastAsia="宋体" w:hAnsi="宋体" w:cs="宋体"/>
          <w:sz w:val="18"/>
          <w:szCs w:val="18"/>
        </w:rPr>
      </w:pPr>
      <w:r w:rsidRPr="007D70E2">
        <w:rPr>
          <w:rFonts w:ascii="宋体" w:eastAsia="宋体" w:hAnsi="宋体" w:cs="宋体" w:hint="eastAsia"/>
          <w:sz w:val="18"/>
          <w:szCs w:val="18"/>
        </w:rPr>
        <w:t>无</w:t>
      </w:r>
    </w:p>
    <w:p w14:paraId="2BBC5DDF" w14:textId="527497F4" w:rsidR="00A46BF1" w:rsidRDefault="00A46BF1" w:rsidP="00A46BF1">
      <w:pPr>
        <w:pStyle w:val="3"/>
        <w:spacing w:line="280" w:lineRule="exact"/>
        <w:jc w:val="left"/>
        <w:rPr>
          <w:rFonts w:ascii="宋体" w:hAnsi="宋体" w:cs="宋体"/>
          <w:b/>
          <w:bCs/>
        </w:rPr>
      </w:pPr>
      <w:r>
        <w:rPr>
          <w:rFonts w:ascii="宋体" w:hAnsi="宋体" w:cs="宋体"/>
          <w:b/>
          <w:bCs/>
        </w:rPr>
        <w:t>3</w:t>
      </w:r>
      <w:r w:rsidR="007D70E2">
        <w:rPr>
          <w:rFonts w:ascii="宋体" w:hAnsi="宋体" w:cs="宋体"/>
          <w:b/>
          <w:bCs/>
        </w:rPr>
        <w:t>3</w:t>
      </w:r>
      <w:r>
        <w:rPr>
          <w:rFonts w:ascii="宋体" w:hAnsi="宋体" w:cs="宋体"/>
          <w:b/>
          <w:bCs/>
        </w:rPr>
        <w:t>、长期借款</w:t>
      </w:r>
    </w:p>
    <w:p w14:paraId="7469F0ED"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长期借款分类</w:t>
      </w:r>
    </w:p>
    <w:p w14:paraId="1F4CA7C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FE3CD0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CDB53E"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AEE298"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037973D"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期初余额</w:t>
            </w:r>
          </w:p>
        </w:tc>
      </w:tr>
      <w:tr w:rsidR="00095F6F" w14:paraId="1A1A001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67C6EB"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保证借款</w:t>
            </w:r>
          </w:p>
        </w:tc>
        <w:tc>
          <w:tcPr>
            <w:tcW w:w="3213" w:type="dxa"/>
            <w:tcBorders>
              <w:top w:val="single" w:sz="2" w:space="0" w:color="auto"/>
              <w:left w:val="single" w:sz="2" w:space="0" w:color="auto"/>
              <w:bottom w:val="single" w:sz="2" w:space="0" w:color="auto"/>
              <w:right w:val="single" w:sz="2" w:space="0" w:color="auto"/>
            </w:tcBorders>
            <w:vAlign w:val="center"/>
          </w:tcPr>
          <w:p w14:paraId="4A46D9F8"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38,000,000.00</w:t>
            </w:r>
          </w:p>
        </w:tc>
        <w:tc>
          <w:tcPr>
            <w:tcW w:w="3213" w:type="dxa"/>
            <w:tcBorders>
              <w:top w:val="single" w:sz="2" w:space="0" w:color="auto"/>
              <w:left w:val="single" w:sz="2" w:space="0" w:color="auto"/>
              <w:bottom w:val="single" w:sz="2" w:space="0" w:color="auto"/>
              <w:right w:val="single" w:sz="2" w:space="0" w:color="auto"/>
            </w:tcBorders>
            <w:vAlign w:val="center"/>
          </w:tcPr>
          <w:p w14:paraId="1B24EC91" w14:textId="77777777" w:rsidR="00A46BF1" w:rsidRPr="007D70E2" w:rsidRDefault="00A46BF1" w:rsidP="007D70E2">
            <w:pPr>
              <w:spacing w:line="360" w:lineRule="auto"/>
              <w:jc w:val="right"/>
              <w:rPr>
                <w:rFonts w:ascii="Times New Roman" w:eastAsia="宋体" w:hAnsi="Times New Roman" w:cs="Times New Roman"/>
                <w:sz w:val="18"/>
                <w:szCs w:val="18"/>
              </w:rPr>
            </w:pPr>
          </w:p>
        </w:tc>
      </w:tr>
      <w:tr w:rsidR="00095F6F" w14:paraId="614EB40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B4CB2E1"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信用借款</w:t>
            </w:r>
          </w:p>
        </w:tc>
        <w:tc>
          <w:tcPr>
            <w:tcW w:w="3213" w:type="dxa"/>
            <w:tcBorders>
              <w:top w:val="single" w:sz="2" w:space="0" w:color="auto"/>
              <w:left w:val="single" w:sz="2" w:space="0" w:color="auto"/>
              <w:bottom w:val="single" w:sz="2" w:space="0" w:color="auto"/>
              <w:right w:val="single" w:sz="2" w:space="0" w:color="auto"/>
            </w:tcBorders>
            <w:vAlign w:val="center"/>
          </w:tcPr>
          <w:p w14:paraId="08774579"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163,700,000.00</w:t>
            </w:r>
          </w:p>
        </w:tc>
        <w:tc>
          <w:tcPr>
            <w:tcW w:w="3213" w:type="dxa"/>
            <w:tcBorders>
              <w:top w:val="single" w:sz="2" w:space="0" w:color="auto"/>
              <w:left w:val="single" w:sz="2" w:space="0" w:color="auto"/>
              <w:bottom w:val="single" w:sz="2" w:space="0" w:color="auto"/>
              <w:right w:val="single" w:sz="2" w:space="0" w:color="auto"/>
            </w:tcBorders>
            <w:vAlign w:val="center"/>
          </w:tcPr>
          <w:p w14:paraId="62B0DD5D"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120,000.00</w:t>
            </w:r>
          </w:p>
        </w:tc>
      </w:tr>
      <w:tr w:rsidR="00095F6F" w14:paraId="6125FB0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626041"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A138B3D"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201,700,000.00</w:t>
            </w:r>
          </w:p>
        </w:tc>
        <w:tc>
          <w:tcPr>
            <w:tcW w:w="3213" w:type="dxa"/>
            <w:tcBorders>
              <w:top w:val="single" w:sz="2" w:space="0" w:color="auto"/>
              <w:left w:val="single" w:sz="2" w:space="0" w:color="auto"/>
              <w:bottom w:val="single" w:sz="2" w:space="0" w:color="auto"/>
              <w:right w:val="single" w:sz="2" w:space="0" w:color="auto"/>
            </w:tcBorders>
            <w:vAlign w:val="center"/>
          </w:tcPr>
          <w:p w14:paraId="2AD14CAC"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120,000.00</w:t>
            </w:r>
          </w:p>
        </w:tc>
      </w:tr>
    </w:tbl>
    <w:p w14:paraId="092FE66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长期借款分类的说明：</w:t>
      </w:r>
    </w:p>
    <w:p w14:paraId="0DA699D2"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注</w:t>
      </w:r>
      <w:r w:rsidRPr="00684E6E">
        <w:rPr>
          <w:rFonts w:ascii="Times New Roman" w:hAnsi="Times New Roman" w:cs="Times New Roman"/>
          <w:sz w:val="21"/>
          <w:szCs w:val="21"/>
        </w:rPr>
        <w:t>1</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2025</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12</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02</w:t>
      </w:r>
      <w:r w:rsidRPr="00684E6E">
        <w:rPr>
          <w:rFonts w:ascii="Times New Roman" w:hAnsi="Times New Roman" w:cs="Times New Roman" w:hint="eastAsia"/>
          <w:sz w:val="21"/>
          <w:szCs w:val="21"/>
        </w:rPr>
        <w:t>日，本公司之子公司长沙心诺健康产业投资有限公司向中国建设银行股份有限公司长沙西京支行借入三年期保证借款，截至</w:t>
      </w:r>
      <w:r w:rsidRPr="00684E6E">
        <w:rPr>
          <w:rFonts w:ascii="Times New Roman" w:hAnsi="Times New Roman" w:cs="Times New Roman"/>
          <w:sz w:val="21"/>
          <w:szCs w:val="21"/>
        </w:rPr>
        <w:t>2025</w:t>
      </w:r>
      <w:r w:rsidRPr="00684E6E">
        <w:rPr>
          <w:rFonts w:ascii="Times New Roman" w:hAnsi="Times New Roman" w:cs="Times New Roman" w:hint="eastAsia"/>
          <w:sz w:val="21"/>
          <w:szCs w:val="21"/>
        </w:rPr>
        <w:t>年末余额共计</w:t>
      </w:r>
      <w:r w:rsidRPr="00684E6E">
        <w:rPr>
          <w:rFonts w:ascii="Times New Roman" w:hAnsi="Times New Roman" w:cs="Times New Roman"/>
          <w:sz w:val="21"/>
          <w:szCs w:val="21"/>
        </w:rPr>
        <w:t xml:space="preserve"> 4000</w:t>
      </w:r>
      <w:r w:rsidRPr="00684E6E">
        <w:rPr>
          <w:rFonts w:ascii="Times New Roman" w:hAnsi="Times New Roman" w:cs="Times New Roman" w:hint="eastAsia"/>
          <w:sz w:val="21"/>
          <w:szCs w:val="21"/>
        </w:rPr>
        <w:t>万元，其中重分类至一年内到期的长期借款本金共</w:t>
      </w:r>
      <w:r w:rsidRPr="00684E6E">
        <w:rPr>
          <w:rFonts w:ascii="Times New Roman" w:hAnsi="Times New Roman" w:cs="Times New Roman"/>
          <w:sz w:val="21"/>
          <w:szCs w:val="21"/>
        </w:rPr>
        <w:t>200.00</w:t>
      </w:r>
      <w:r w:rsidRPr="00684E6E">
        <w:rPr>
          <w:rFonts w:ascii="Times New Roman" w:hAnsi="Times New Roman" w:cs="Times New Roman" w:hint="eastAsia"/>
          <w:sz w:val="21"/>
          <w:szCs w:val="21"/>
        </w:rPr>
        <w:t>万元。本公司与中国建设银行股份有限公司长沙西京支行签订保证合同，为其借款提供担保；</w:t>
      </w:r>
    </w:p>
    <w:p w14:paraId="4B67BAB2" w14:textId="00E04813"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注</w:t>
      </w:r>
      <w:r w:rsidRPr="00684E6E">
        <w:rPr>
          <w:rFonts w:ascii="Times New Roman" w:hAnsi="Times New Roman" w:cs="Times New Roman"/>
          <w:sz w:val="21"/>
          <w:szCs w:val="21"/>
        </w:rPr>
        <w:t>2</w:t>
      </w:r>
      <w:r w:rsidRPr="00684E6E">
        <w:rPr>
          <w:rFonts w:ascii="Times New Roman" w:hAnsi="Times New Roman" w:cs="Times New Roman" w:hint="eastAsia"/>
          <w:sz w:val="21"/>
          <w:szCs w:val="21"/>
        </w:rPr>
        <w:t>：本公司与中国民生银行股份有限公司长沙广益支行借入信用借款，用于回购在外发行的股票，截至</w:t>
      </w:r>
      <w:r w:rsidRPr="00684E6E">
        <w:rPr>
          <w:rFonts w:ascii="Times New Roman" w:hAnsi="Times New Roman" w:cs="Times New Roman"/>
          <w:sz w:val="21"/>
          <w:szCs w:val="21"/>
        </w:rPr>
        <w:t>2025</w:t>
      </w:r>
      <w:r w:rsidRPr="00684E6E">
        <w:rPr>
          <w:rFonts w:ascii="Times New Roman" w:hAnsi="Times New Roman" w:cs="Times New Roman" w:hint="eastAsia"/>
          <w:sz w:val="21"/>
          <w:szCs w:val="21"/>
        </w:rPr>
        <w:t>年末余额共</w:t>
      </w:r>
      <w:r w:rsidRPr="00684E6E">
        <w:rPr>
          <w:rFonts w:ascii="Times New Roman" w:hAnsi="Times New Roman" w:cs="Times New Roman"/>
          <w:sz w:val="21"/>
          <w:szCs w:val="21"/>
        </w:rPr>
        <w:t>18,580.00</w:t>
      </w:r>
      <w:r w:rsidRPr="00684E6E">
        <w:rPr>
          <w:rFonts w:ascii="Times New Roman" w:hAnsi="Times New Roman" w:cs="Times New Roman" w:hint="eastAsia"/>
          <w:sz w:val="21"/>
          <w:szCs w:val="21"/>
        </w:rPr>
        <w:t>万元，其中重分类至一年内到期的长期借款本金共</w:t>
      </w:r>
      <w:r w:rsidRPr="00684E6E">
        <w:rPr>
          <w:rFonts w:ascii="Times New Roman" w:hAnsi="Times New Roman" w:cs="Times New Roman"/>
          <w:sz w:val="21"/>
          <w:szCs w:val="21"/>
        </w:rPr>
        <w:t>2,210.00</w:t>
      </w:r>
      <w:r w:rsidRPr="00684E6E">
        <w:rPr>
          <w:rFonts w:ascii="Times New Roman" w:hAnsi="Times New Roman" w:cs="Times New Roman" w:hint="eastAsia"/>
          <w:sz w:val="21"/>
          <w:szCs w:val="21"/>
        </w:rPr>
        <w:t>万元。</w:t>
      </w:r>
    </w:p>
    <w:p w14:paraId="65721B5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其他说明，包括利率区间：</w:t>
      </w:r>
    </w:p>
    <w:p w14:paraId="6590199E" w14:textId="3A63C7D5" w:rsidR="00A46BF1" w:rsidRPr="007D70E2" w:rsidRDefault="007D70E2" w:rsidP="007D70E2">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7D70E2">
        <w:rPr>
          <w:rFonts w:ascii="Times New Roman" w:hAnsi="Times New Roman" w:cs="Times New Roman"/>
          <w:sz w:val="21"/>
          <w:szCs w:val="21"/>
        </w:rPr>
        <w:t>于</w:t>
      </w:r>
      <w:r w:rsidRPr="007D70E2">
        <w:rPr>
          <w:rFonts w:ascii="Times New Roman" w:hAnsi="Times New Roman" w:cs="Times New Roman"/>
          <w:sz w:val="21"/>
          <w:szCs w:val="21"/>
        </w:rPr>
        <w:t>2025</w:t>
      </w:r>
      <w:r w:rsidRPr="007D70E2">
        <w:rPr>
          <w:rFonts w:ascii="Times New Roman" w:hAnsi="Times New Roman" w:cs="Times New Roman"/>
          <w:sz w:val="21"/>
          <w:szCs w:val="21"/>
        </w:rPr>
        <w:t>年</w:t>
      </w:r>
      <w:r w:rsidRPr="007D70E2">
        <w:rPr>
          <w:rFonts w:ascii="Times New Roman" w:hAnsi="Times New Roman" w:cs="Times New Roman"/>
          <w:sz w:val="21"/>
          <w:szCs w:val="21"/>
        </w:rPr>
        <w:t>12</w:t>
      </w:r>
      <w:r w:rsidRPr="007D70E2">
        <w:rPr>
          <w:rFonts w:ascii="Times New Roman" w:hAnsi="Times New Roman" w:cs="Times New Roman"/>
          <w:sz w:val="21"/>
          <w:szCs w:val="21"/>
        </w:rPr>
        <w:t>月</w:t>
      </w:r>
      <w:r w:rsidRPr="007D70E2">
        <w:rPr>
          <w:rFonts w:ascii="Times New Roman" w:hAnsi="Times New Roman" w:cs="Times New Roman"/>
          <w:sz w:val="21"/>
          <w:szCs w:val="21"/>
        </w:rPr>
        <w:t>31</w:t>
      </w:r>
      <w:r w:rsidRPr="007D70E2">
        <w:rPr>
          <w:rFonts w:ascii="Times New Roman" w:hAnsi="Times New Roman" w:cs="Times New Roman"/>
          <w:sz w:val="21"/>
          <w:szCs w:val="21"/>
        </w:rPr>
        <w:t>日，上述借款的年利率为</w:t>
      </w:r>
      <w:r w:rsidRPr="007D70E2">
        <w:rPr>
          <w:rFonts w:ascii="Times New Roman" w:hAnsi="Times New Roman" w:cs="Times New Roman"/>
          <w:sz w:val="21"/>
          <w:szCs w:val="21"/>
        </w:rPr>
        <w:t>1.95%-2.34%</w:t>
      </w:r>
      <w:r>
        <w:rPr>
          <w:rFonts w:ascii="Times New Roman" w:hAnsi="Times New Roman" w:cs="Times New Roman" w:hint="eastAsia"/>
          <w:sz w:val="21"/>
          <w:szCs w:val="21"/>
        </w:rPr>
        <w:t>。</w:t>
      </w:r>
    </w:p>
    <w:p w14:paraId="6433BF01" w14:textId="2763E9AD" w:rsidR="00A46BF1" w:rsidRDefault="00A46BF1" w:rsidP="00A46BF1">
      <w:pPr>
        <w:pStyle w:val="3"/>
        <w:spacing w:line="280" w:lineRule="exact"/>
        <w:jc w:val="left"/>
        <w:rPr>
          <w:rFonts w:ascii="宋体" w:hAnsi="宋体" w:cs="宋体"/>
          <w:b/>
          <w:bCs/>
        </w:rPr>
      </w:pPr>
      <w:r>
        <w:rPr>
          <w:rFonts w:ascii="宋体" w:hAnsi="宋体" w:cs="宋体"/>
          <w:b/>
          <w:bCs/>
        </w:rPr>
        <w:t>3</w:t>
      </w:r>
      <w:r w:rsidR="007D70E2">
        <w:rPr>
          <w:rFonts w:ascii="宋体" w:hAnsi="宋体" w:cs="宋体"/>
          <w:b/>
          <w:bCs/>
        </w:rPr>
        <w:t>4</w:t>
      </w:r>
      <w:r>
        <w:rPr>
          <w:rFonts w:ascii="宋体" w:hAnsi="宋体" w:cs="宋体"/>
          <w:b/>
          <w:bCs/>
        </w:rPr>
        <w:t>、应付债券</w:t>
      </w:r>
    </w:p>
    <w:p w14:paraId="303365D3"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应付债券</w:t>
      </w:r>
    </w:p>
    <w:p w14:paraId="3ED62F0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344EBA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D74EE0"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F9C2B7"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AFAA10" w14:textId="77777777" w:rsidR="00A46BF1" w:rsidRPr="007D70E2" w:rsidRDefault="00A46BF1" w:rsidP="007D70E2">
            <w:pPr>
              <w:spacing w:before="40" w:after="40" w:line="360" w:lineRule="auto"/>
              <w:jc w:val="center"/>
              <w:rPr>
                <w:rFonts w:ascii="Times New Roman" w:eastAsia="宋体" w:hAnsi="Times New Roman" w:cs="Times New Roman"/>
                <w:sz w:val="18"/>
                <w:szCs w:val="18"/>
              </w:rPr>
            </w:pPr>
            <w:r w:rsidRPr="007D70E2">
              <w:rPr>
                <w:rFonts w:ascii="Times New Roman" w:eastAsia="宋体" w:hAnsi="Times New Roman" w:cs="Times New Roman"/>
                <w:sz w:val="18"/>
                <w:szCs w:val="18"/>
              </w:rPr>
              <w:t>期初余额</w:t>
            </w:r>
          </w:p>
        </w:tc>
      </w:tr>
      <w:tr w:rsidR="00095F6F" w14:paraId="7B632DC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F4C3DCD" w14:textId="77777777" w:rsidR="00A46BF1" w:rsidRPr="007D70E2" w:rsidRDefault="00A46BF1" w:rsidP="007D70E2">
            <w:pPr>
              <w:spacing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可转换公司债券</w:t>
            </w:r>
          </w:p>
        </w:tc>
        <w:tc>
          <w:tcPr>
            <w:tcW w:w="3213" w:type="dxa"/>
            <w:tcBorders>
              <w:top w:val="single" w:sz="2" w:space="0" w:color="auto"/>
              <w:left w:val="single" w:sz="2" w:space="0" w:color="auto"/>
              <w:bottom w:val="single" w:sz="2" w:space="0" w:color="auto"/>
              <w:right w:val="single" w:sz="2" w:space="0" w:color="auto"/>
            </w:tcBorders>
            <w:vAlign w:val="center"/>
          </w:tcPr>
          <w:p w14:paraId="5AEBE0D9" w14:textId="77777777" w:rsidR="00A46BF1" w:rsidRPr="007D70E2" w:rsidRDefault="00A46BF1" w:rsidP="007D70E2">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61DDCF2"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456,036,319.65</w:t>
            </w:r>
          </w:p>
        </w:tc>
      </w:tr>
      <w:tr w:rsidR="00095F6F" w14:paraId="75CB196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6759BF" w14:textId="77777777" w:rsidR="00A46BF1" w:rsidRPr="007D70E2" w:rsidRDefault="00A46BF1" w:rsidP="007D70E2">
            <w:pPr>
              <w:spacing w:before="40" w:after="40" w:line="360" w:lineRule="auto"/>
              <w:rPr>
                <w:rFonts w:ascii="Times New Roman" w:eastAsia="宋体" w:hAnsi="Times New Roman" w:cs="Times New Roman"/>
                <w:sz w:val="18"/>
                <w:szCs w:val="18"/>
              </w:rPr>
            </w:pPr>
            <w:r w:rsidRPr="007D70E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3DEAE6E1" w14:textId="77777777" w:rsidR="00A46BF1" w:rsidRPr="007D70E2" w:rsidRDefault="00A46BF1" w:rsidP="007D70E2">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7A80E31" w14:textId="77777777" w:rsidR="00A46BF1" w:rsidRPr="007D70E2" w:rsidRDefault="00A46BF1" w:rsidP="007D70E2">
            <w:pPr>
              <w:spacing w:line="360" w:lineRule="auto"/>
              <w:jc w:val="right"/>
              <w:rPr>
                <w:rFonts w:ascii="Times New Roman" w:eastAsia="宋体" w:hAnsi="Times New Roman" w:cs="Times New Roman"/>
                <w:sz w:val="18"/>
                <w:szCs w:val="18"/>
              </w:rPr>
            </w:pPr>
            <w:r w:rsidRPr="007D70E2">
              <w:rPr>
                <w:rFonts w:ascii="Times New Roman" w:eastAsia="宋体" w:hAnsi="Times New Roman" w:cs="Times New Roman"/>
                <w:sz w:val="18"/>
                <w:szCs w:val="18"/>
              </w:rPr>
              <w:t>456,036,319.65</w:t>
            </w:r>
          </w:p>
        </w:tc>
      </w:tr>
    </w:tbl>
    <w:p w14:paraId="6BC1A597"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应付债券的增减变动（不包括划分为金融负债的优先股、永续债等其他金融工具）</w:t>
      </w:r>
    </w:p>
    <w:p w14:paraId="7EFA8A3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0" w:type="auto"/>
        <w:tblInd w:w="108" w:type="dxa"/>
        <w:tblCellMar>
          <w:left w:w="0" w:type="dxa"/>
          <w:right w:w="0" w:type="dxa"/>
        </w:tblCellMar>
        <w:tblLook w:val="04A0" w:firstRow="1" w:lastRow="0" w:firstColumn="1" w:lastColumn="0" w:noHBand="0" w:noVBand="1"/>
      </w:tblPr>
      <w:tblGrid>
        <w:gridCol w:w="888"/>
        <w:gridCol w:w="850"/>
        <w:gridCol w:w="567"/>
        <w:gridCol w:w="709"/>
        <w:gridCol w:w="283"/>
        <w:gridCol w:w="851"/>
        <w:gridCol w:w="850"/>
        <w:gridCol w:w="397"/>
        <w:gridCol w:w="689"/>
        <w:gridCol w:w="757"/>
        <w:gridCol w:w="284"/>
        <w:gridCol w:w="708"/>
        <w:gridCol w:w="567"/>
        <w:gridCol w:w="851"/>
        <w:gridCol w:w="284"/>
      </w:tblGrid>
      <w:tr w:rsidR="00217929" w14:paraId="19C007AB" w14:textId="77777777" w:rsidTr="00217929">
        <w:trPr>
          <w:trHeight w:val="240"/>
        </w:trPr>
        <w:tc>
          <w:tcPr>
            <w:tcW w:w="888" w:type="dxa"/>
            <w:tcBorders>
              <w:top w:val="single" w:sz="2" w:space="0" w:color="auto"/>
              <w:left w:val="single" w:sz="2" w:space="0" w:color="auto"/>
              <w:bottom w:val="single" w:sz="2" w:space="0" w:color="auto"/>
              <w:right w:val="single" w:sz="2" w:space="0" w:color="auto"/>
            </w:tcBorders>
            <w:shd w:val="clear" w:color="auto" w:fill="D3D3D3"/>
            <w:vAlign w:val="center"/>
          </w:tcPr>
          <w:p w14:paraId="6C9448D9"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债券名称</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0FBB9EF3"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面值</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2BCD9C55"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票面利率</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09F32A5F"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发行日期</w:t>
            </w:r>
          </w:p>
        </w:tc>
        <w:tc>
          <w:tcPr>
            <w:tcW w:w="283" w:type="dxa"/>
            <w:tcBorders>
              <w:top w:val="single" w:sz="2" w:space="0" w:color="auto"/>
              <w:left w:val="single" w:sz="2" w:space="0" w:color="auto"/>
              <w:bottom w:val="single" w:sz="2" w:space="0" w:color="auto"/>
              <w:right w:val="single" w:sz="2" w:space="0" w:color="auto"/>
            </w:tcBorders>
            <w:shd w:val="clear" w:color="auto" w:fill="D3D3D3"/>
            <w:vAlign w:val="center"/>
          </w:tcPr>
          <w:p w14:paraId="50AD288C"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债券期限</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1DF958E1"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发行金额</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01D3774D"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期初余额</w:t>
            </w:r>
          </w:p>
        </w:tc>
        <w:tc>
          <w:tcPr>
            <w:tcW w:w="397" w:type="dxa"/>
            <w:tcBorders>
              <w:top w:val="single" w:sz="2" w:space="0" w:color="auto"/>
              <w:left w:val="single" w:sz="2" w:space="0" w:color="auto"/>
              <w:bottom w:val="single" w:sz="2" w:space="0" w:color="auto"/>
              <w:right w:val="single" w:sz="2" w:space="0" w:color="auto"/>
            </w:tcBorders>
            <w:shd w:val="clear" w:color="auto" w:fill="D3D3D3"/>
            <w:vAlign w:val="center"/>
          </w:tcPr>
          <w:p w14:paraId="289463FF"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本期发行</w:t>
            </w:r>
          </w:p>
        </w:tc>
        <w:tc>
          <w:tcPr>
            <w:tcW w:w="689" w:type="dxa"/>
            <w:tcBorders>
              <w:top w:val="single" w:sz="2" w:space="0" w:color="auto"/>
              <w:left w:val="single" w:sz="2" w:space="0" w:color="auto"/>
              <w:bottom w:val="single" w:sz="2" w:space="0" w:color="auto"/>
              <w:right w:val="single" w:sz="2" w:space="0" w:color="auto"/>
            </w:tcBorders>
            <w:shd w:val="clear" w:color="auto" w:fill="D3D3D3"/>
            <w:vAlign w:val="center"/>
          </w:tcPr>
          <w:p w14:paraId="5FCCE8C2"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按面值计提利息</w:t>
            </w:r>
          </w:p>
        </w:tc>
        <w:tc>
          <w:tcPr>
            <w:tcW w:w="757" w:type="dxa"/>
            <w:tcBorders>
              <w:top w:val="single" w:sz="2" w:space="0" w:color="auto"/>
              <w:left w:val="single" w:sz="2" w:space="0" w:color="auto"/>
              <w:bottom w:val="single" w:sz="2" w:space="0" w:color="auto"/>
              <w:right w:val="single" w:sz="2" w:space="0" w:color="auto"/>
            </w:tcBorders>
            <w:shd w:val="clear" w:color="auto" w:fill="D3D3D3"/>
            <w:vAlign w:val="center"/>
          </w:tcPr>
          <w:p w14:paraId="530A3105"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溢折价摊销</w:t>
            </w:r>
          </w:p>
        </w:tc>
        <w:tc>
          <w:tcPr>
            <w:tcW w:w="284" w:type="dxa"/>
            <w:tcBorders>
              <w:top w:val="single" w:sz="2" w:space="0" w:color="auto"/>
              <w:left w:val="single" w:sz="2" w:space="0" w:color="auto"/>
              <w:bottom w:val="single" w:sz="2" w:space="0" w:color="auto"/>
              <w:right w:val="single" w:sz="2" w:space="0" w:color="auto"/>
            </w:tcBorders>
            <w:shd w:val="clear" w:color="auto" w:fill="D3D3D3"/>
            <w:vAlign w:val="center"/>
          </w:tcPr>
          <w:p w14:paraId="49075ECA"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本期偿还</w:t>
            </w:r>
          </w:p>
        </w:tc>
        <w:tc>
          <w:tcPr>
            <w:tcW w:w="708" w:type="dxa"/>
            <w:tcBorders>
              <w:top w:val="single" w:sz="2" w:space="0" w:color="auto"/>
              <w:left w:val="single" w:sz="2" w:space="0" w:color="auto"/>
              <w:bottom w:val="single" w:sz="2" w:space="0" w:color="auto"/>
              <w:right w:val="single" w:sz="2" w:space="0" w:color="auto"/>
            </w:tcBorders>
            <w:vAlign w:val="center"/>
          </w:tcPr>
          <w:p w14:paraId="3ACC3A48" w14:textId="77777777" w:rsidR="00A46BF1" w:rsidRPr="00A67794" w:rsidRDefault="00A46BF1" w:rsidP="007D70E2">
            <w:pPr>
              <w:spacing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本年付息</w:t>
            </w:r>
          </w:p>
        </w:tc>
        <w:tc>
          <w:tcPr>
            <w:tcW w:w="567" w:type="dxa"/>
            <w:tcBorders>
              <w:top w:val="single" w:sz="2" w:space="0" w:color="auto"/>
              <w:left w:val="single" w:sz="2" w:space="0" w:color="auto"/>
              <w:bottom w:val="single" w:sz="2" w:space="0" w:color="auto"/>
              <w:right w:val="single" w:sz="2" w:space="0" w:color="auto"/>
            </w:tcBorders>
            <w:vAlign w:val="center"/>
          </w:tcPr>
          <w:p w14:paraId="47E4C043" w14:textId="77777777" w:rsidR="00A46BF1" w:rsidRPr="00A67794" w:rsidRDefault="00A46BF1" w:rsidP="007D70E2">
            <w:pPr>
              <w:spacing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本年转股</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2DB09798"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期末余额</w:t>
            </w:r>
          </w:p>
        </w:tc>
        <w:tc>
          <w:tcPr>
            <w:tcW w:w="284" w:type="dxa"/>
            <w:tcBorders>
              <w:top w:val="single" w:sz="2" w:space="0" w:color="auto"/>
              <w:left w:val="single" w:sz="2" w:space="0" w:color="auto"/>
              <w:bottom w:val="single" w:sz="2" w:space="0" w:color="auto"/>
              <w:right w:val="single" w:sz="2" w:space="0" w:color="auto"/>
            </w:tcBorders>
            <w:shd w:val="clear" w:color="auto" w:fill="D3D3D3"/>
            <w:vAlign w:val="center"/>
          </w:tcPr>
          <w:p w14:paraId="6AB4601B"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是否违约</w:t>
            </w:r>
          </w:p>
        </w:tc>
      </w:tr>
      <w:tr w:rsidR="00217929" w14:paraId="5F4C7A00" w14:textId="77777777" w:rsidTr="00217929">
        <w:trPr>
          <w:trHeight w:val="240"/>
        </w:trPr>
        <w:tc>
          <w:tcPr>
            <w:tcW w:w="888" w:type="dxa"/>
            <w:tcBorders>
              <w:top w:val="single" w:sz="2" w:space="0" w:color="auto"/>
              <w:left w:val="single" w:sz="2" w:space="0" w:color="auto"/>
              <w:bottom w:val="single" w:sz="2" w:space="0" w:color="auto"/>
              <w:right w:val="single" w:sz="2" w:space="0" w:color="auto"/>
            </w:tcBorders>
            <w:vAlign w:val="center"/>
          </w:tcPr>
          <w:p w14:paraId="0AB9BE70" w14:textId="77777777" w:rsidR="00A46BF1" w:rsidRPr="00A67794" w:rsidRDefault="00A46BF1" w:rsidP="007D70E2">
            <w:pPr>
              <w:spacing w:line="360" w:lineRule="auto"/>
              <w:rPr>
                <w:rFonts w:ascii="Times New Roman" w:eastAsia="宋体" w:hAnsi="Times New Roman" w:cs="Times New Roman"/>
                <w:sz w:val="13"/>
                <w:szCs w:val="13"/>
              </w:rPr>
            </w:pPr>
            <w:r w:rsidRPr="00A67794">
              <w:rPr>
                <w:rFonts w:ascii="Times New Roman" w:eastAsia="宋体" w:hAnsi="Times New Roman" w:cs="Times New Roman"/>
                <w:sz w:val="13"/>
                <w:szCs w:val="13"/>
              </w:rPr>
              <w:t>三诺转债</w:t>
            </w:r>
          </w:p>
        </w:tc>
        <w:tc>
          <w:tcPr>
            <w:tcW w:w="850" w:type="dxa"/>
            <w:tcBorders>
              <w:top w:val="single" w:sz="2" w:space="0" w:color="auto"/>
              <w:left w:val="single" w:sz="2" w:space="0" w:color="auto"/>
              <w:bottom w:val="single" w:sz="2" w:space="0" w:color="auto"/>
              <w:right w:val="single" w:sz="2" w:space="0" w:color="auto"/>
            </w:tcBorders>
            <w:vAlign w:val="center"/>
          </w:tcPr>
          <w:p w14:paraId="12CB8444"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500,000,000.00</w:t>
            </w:r>
          </w:p>
        </w:tc>
        <w:tc>
          <w:tcPr>
            <w:tcW w:w="567" w:type="dxa"/>
            <w:tcBorders>
              <w:top w:val="single" w:sz="2" w:space="0" w:color="auto"/>
              <w:left w:val="single" w:sz="2" w:space="0" w:color="auto"/>
              <w:bottom w:val="single" w:sz="2" w:space="0" w:color="auto"/>
              <w:right w:val="single" w:sz="2" w:space="0" w:color="auto"/>
            </w:tcBorders>
            <w:vAlign w:val="center"/>
          </w:tcPr>
          <w:p w14:paraId="249DD34F"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1.80%</w:t>
            </w:r>
          </w:p>
        </w:tc>
        <w:tc>
          <w:tcPr>
            <w:tcW w:w="709" w:type="dxa"/>
            <w:tcBorders>
              <w:top w:val="single" w:sz="2" w:space="0" w:color="auto"/>
              <w:left w:val="single" w:sz="2" w:space="0" w:color="auto"/>
              <w:bottom w:val="single" w:sz="2" w:space="0" w:color="auto"/>
              <w:right w:val="single" w:sz="2" w:space="0" w:color="auto"/>
            </w:tcBorders>
            <w:vAlign w:val="center"/>
          </w:tcPr>
          <w:p w14:paraId="55C056CA" w14:textId="77777777" w:rsidR="00A46BF1" w:rsidRPr="00A67794" w:rsidRDefault="00A46BF1" w:rsidP="007D70E2">
            <w:pPr>
              <w:spacing w:line="360" w:lineRule="auto"/>
              <w:rPr>
                <w:rFonts w:ascii="Times New Roman" w:eastAsia="宋体" w:hAnsi="Times New Roman" w:cs="Times New Roman"/>
                <w:sz w:val="13"/>
                <w:szCs w:val="13"/>
              </w:rPr>
            </w:pPr>
            <w:r w:rsidRPr="00A67794">
              <w:rPr>
                <w:rFonts w:ascii="Times New Roman" w:eastAsia="宋体" w:hAnsi="Times New Roman" w:cs="Times New Roman"/>
                <w:sz w:val="13"/>
                <w:szCs w:val="13"/>
              </w:rPr>
              <w:t>2020-12-21</w:t>
            </w:r>
          </w:p>
        </w:tc>
        <w:tc>
          <w:tcPr>
            <w:tcW w:w="283" w:type="dxa"/>
            <w:tcBorders>
              <w:top w:val="single" w:sz="2" w:space="0" w:color="auto"/>
              <w:left w:val="single" w:sz="2" w:space="0" w:color="auto"/>
              <w:bottom w:val="single" w:sz="2" w:space="0" w:color="auto"/>
              <w:right w:val="single" w:sz="2" w:space="0" w:color="auto"/>
            </w:tcBorders>
            <w:vAlign w:val="center"/>
          </w:tcPr>
          <w:p w14:paraId="4ECE5C19" w14:textId="77777777" w:rsidR="00A46BF1" w:rsidRPr="00A67794" w:rsidRDefault="00A46BF1" w:rsidP="007D70E2">
            <w:pPr>
              <w:spacing w:line="360" w:lineRule="auto"/>
              <w:rPr>
                <w:rFonts w:ascii="Times New Roman" w:eastAsia="宋体" w:hAnsi="Times New Roman" w:cs="Times New Roman"/>
                <w:sz w:val="13"/>
                <w:szCs w:val="13"/>
              </w:rPr>
            </w:pPr>
            <w:r w:rsidRPr="00A67794">
              <w:rPr>
                <w:rFonts w:ascii="Times New Roman" w:eastAsia="宋体" w:hAnsi="Times New Roman" w:cs="Times New Roman"/>
                <w:sz w:val="13"/>
                <w:szCs w:val="13"/>
              </w:rPr>
              <w:t>6</w:t>
            </w:r>
            <w:r w:rsidRPr="00A67794">
              <w:rPr>
                <w:rFonts w:ascii="Times New Roman" w:eastAsia="宋体" w:hAnsi="Times New Roman" w:cs="Times New Roman"/>
                <w:sz w:val="13"/>
                <w:szCs w:val="13"/>
              </w:rPr>
              <w:t>年</w:t>
            </w:r>
          </w:p>
        </w:tc>
        <w:tc>
          <w:tcPr>
            <w:tcW w:w="851" w:type="dxa"/>
            <w:tcBorders>
              <w:top w:val="single" w:sz="2" w:space="0" w:color="auto"/>
              <w:left w:val="single" w:sz="2" w:space="0" w:color="auto"/>
              <w:bottom w:val="single" w:sz="2" w:space="0" w:color="auto"/>
              <w:right w:val="single" w:sz="2" w:space="0" w:color="auto"/>
            </w:tcBorders>
            <w:vAlign w:val="center"/>
          </w:tcPr>
          <w:p w14:paraId="5DB00751"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500,000,000.00</w:t>
            </w:r>
          </w:p>
        </w:tc>
        <w:tc>
          <w:tcPr>
            <w:tcW w:w="850" w:type="dxa"/>
            <w:tcBorders>
              <w:top w:val="single" w:sz="2" w:space="0" w:color="auto"/>
              <w:left w:val="single" w:sz="2" w:space="0" w:color="auto"/>
              <w:bottom w:val="single" w:sz="2" w:space="0" w:color="auto"/>
              <w:right w:val="single" w:sz="2" w:space="0" w:color="auto"/>
            </w:tcBorders>
            <w:vAlign w:val="center"/>
          </w:tcPr>
          <w:p w14:paraId="45159F45"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456,036,319.65</w:t>
            </w:r>
          </w:p>
        </w:tc>
        <w:tc>
          <w:tcPr>
            <w:tcW w:w="397" w:type="dxa"/>
            <w:tcBorders>
              <w:top w:val="single" w:sz="2" w:space="0" w:color="auto"/>
              <w:left w:val="single" w:sz="2" w:space="0" w:color="auto"/>
              <w:bottom w:val="single" w:sz="2" w:space="0" w:color="auto"/>
              <w:right w:val="single" w:sz="2" w:space="0" w:color="auto"/>
            </w:tcBorders>
            <w:vAlign w:val="center"/>
          </w:tcPr>
          <w:p w14:paraId="698BE2AB" w14:textId="77777777" w:rsidR="00A46BF1" w:rsidRPr="00A67794" w:rsidRDefault="00A46BF1" w:rsidP="007D70E2">
            <w:pPr>
              <w:spacing w:line="360" w:lineRule="auto"/>
              <w:jc w:val="right"/>
              <w:rPr>
                <w:rFonts w:ascii="Times New Roman" w:eastAsia="宋体" w:hAnsi="Times New Roman" w:cs="Times New Roman"/>
                <w:sz w:val="13"/>
                <w:szCs w:val="13"/>
              </w:rPr>
            </w:pPr>
          </w:p>
        </w:tc>
        <w:tc>
          <w:tcPr>
            <w:tcW w:w="689" w:type="dxa"/>
            <w:tcBorders>
              <w:top w:val="single" w:sz="2" w:space="0" w:color="auto"/>
              <w:left w:val="single" w:sz="2" w:space="0" w:color="auto"/>
              <w:bottom w:val="single" w:sz="2" w:space="0" w:color="auto"/>
              <w:right w:val="single" w:sz="2" w:space="0" w:color="auto"/>
            </w:tcBorders>
            <w:vAlign w:val="center"/>
          </w:tcPr>
          <w:p w14:paraId="3683BAB3"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9,000,886.58</w:t>
            </w:r>
          </w:p>
        </w:tc>
        <w:tc>
          <w:tcPr>
            <w:tcW w:w="757" w:type="dxa"/>
            <w:tcBorders>
              <w:top w:val="single" w:sz="2" w:space="0" w:color="auto"/>
              <w:left w:val="single" w:sz="2" w:space="0" w:color="auto"/>
              <w:bottom w:val="single" w:sz="2" w:space="0" w:color="auto"/>
              <w:right w:val="single" w:sz="2" w:space="0" w:color="auto"/>
            </w:tcBorders>
            <w:vAlign w:val="center"/>
          </w:tcPr>
          <w:p w14:paraId="769E332D"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21,568,374.10</w:t>
            </w:r>
          </w:p>
        </w:tc>
        <w:tc>
          <w:tcPr>
            <w:tcW w:w="284" w:type="dxa"/>
            <w:tcBorders>
              <w:top w:val="single" w:sz="2" w:space="0" w:color="auto"/>
              <w:left w:val="single" w:sz="2" w:space="0" w:color="auto"/>
              <w:bottom w:val="single" w:sz="2" w:space="0" w:color="auto"/>
              <w:right w:val="single" w:sz="2" w:space="0" w:color="auto"/>
            </w:tcBorders>
            <w:vAlign w:val="center"/>
          </w:tcPr>
          <w:p w14:paraId="2E1E307F" w14:textId="77777777" w:rsidR="00A46BF1" w:rsidRPr="00A67794" w:rsidRDefault="00A46BF1" w:rsidP="007D70E2">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57374862"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8,970,847.20</w:t>
            </w:r>
          </w:p>
        </w:tc>
        <w:tc>
          <w:tcPr>
            <w:tcW w:w="567" w:type="dxa"/>
            <w:tcBorders>
              <w:top w:val="single" w:sz="2" w:space="0" w:color="auto"/>
              <w:left w:val="single" w:sz="2" w:space="0" w:color="auto"/>
              <w:bottom w:val="single" w:sz="2" w:space="0" w:color="auto"/>
              <w:right w:val="single" w:sz="2" w:space="0" w:color="auto"/>
            </w:tcBorders>
            <w:vAlign w:val="center"/>
          </w:tcPr>
          <w:p w14:paraId="7EE0C60B"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42,000.00</w:t>
            </w:r>
          </w:p>
        </w:tc>
        <w:tc>
          <w:tcPr>
            <w:tcW w:w="851" w:type="dxa"/>
            <w:tcBorders>
              <w:top w:val="single" w:sz="2" w:space="0" w:color="auto"/>
              <w:left w:val="single" w:sz="2" w:space="0" w:color="auto"/>
              <w:bottom w:val="single" w:sz="2" w:space="0" w:color="auto"/>
              <w:right w:val="single" w:sz="2" w:space="0" w:color="auto"/>
            </w:tcBorders>
            <w:vAlign w:val="center"/>
          </w:tcPr>
          <w:p w14:paraId="101A8A29"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477,592,733.13</w:t>
            </w:r>
          </w:p>
        </w:tc>
        <w:tc>
          <w:tcPr>
            <w:tcW w:w="284" w:type="dxa"/>
            <w:tcBorders>
              <w:top w:val="single" w:sz="2" w:space="0" w:color="auto"/>
              <w:left w:val="single" w:sz="2" w:space="0" w:color="auto"/>
              <w:bottom w:val="single" w:sz="2" w:space="0" w:color="auto"/>
              <w:right w:val="single" w:sz="2" w:space="0" w:color="auto"/>
            </w:tcBorders>
            <w:vAlign w:val="center"/>
          </w:tcPr>
          <w:p w14:paraId="65330B9A" w14:textId="77777777" w:rsidR="00A46BF1" w:rsidRPr="00A67794" w:rsidRDefault="00A46BF1" w:rsidP="007D70E2">
            <w:pPr>
              <w:spacing w:line="360" w:lineRule="auto"/>
              <w:rPr>
                <w:rFonts w:ascii="Times New Roman" w:eastAsia="宋体" w:hAnsi="Times New Roman" w:cs="Times New Roman"/>
                <w:sz w:val="13"/>
                <w:szCs w:val="13"/>
              </w:rPr>
            </w:pPr>
            <w:r w:rsidRPr="00A67794">
              <w:rPr>
                <w:rFonts w:ascii="Times New Roman" w:eastAsia="宋体" w:hAnsi="Times New Roman" w:cs="Times New Roman"/>
                <w:sz w:val="13"/>
                <w:szCs w:val="13"/>
              </w:rPr>
              <w:t>否</w:t>
            </w:r>
          </w:p>
        </w:tc>
      </w:tr>
      <w:tr w:rsidR="00095F6F" w14:paraId="29E03E1A" w14:textId="77777777" w:rsidTr="00217929">
        <w:trPr>
          <w:trHeight w:val="240"/>
        </w:trPr>
        <w:tc>
          <w:tcPr>
            <w:tcW w:w="888" w:type="dxa"/>
            <w:tcBorders>
              <w:top w:val="single" w:sz="2" w:space="0" w:color="auto"/>
              <w:left w:val="single" w:sz="2" w:space="0" w:color="auto"/>
              <w:bottom w:val="single" w:sz="2" w:space="0" w:color="auto"/>
              <w:right w:val="single" w:sz="2" w:space="0" w:color="auto"/>
            </w:tcBorders>
            <w:shd w:val="clear" w:color="auto" w:fill="D3D3D3"/>
            <w:vAlign w:val="center"/>
          </w:tcPr>
          <w:p w14:paraId="28D76751" w14:textId="77777777" w:rsidR="00A46BF1" w:rsidRPr="00A67794" w:rsidRDefault="00A46BF1" w:rsidP="007D70E2">
            <w:pPr>
              <w:spacing w:before="40" w:after="40" w:line="360" w:lineRule="auto"/>
              <w:rPr>
                <w:rFonts w:ascii="Times New Roman" w:eastAsia="宋体" w:hAnsi="Times New Roman" w:cs="Times New Roman"/>
                <w:sz w:val="13"/>
                <w:szCs w:val="13"/>
              </w:rPr>
            </w:pPr>
            <w:r w:rsidRPr="00A67794">
              <w:rPr>
                <w:rFonts w:ascii="Times New Roman" w:eastAsia="宋体" w:hAnsi="Times New Roman" w:cs="Times New Roman"/>
                <w:sz w:val="13"/>
                <w:szCs w:val="13"/>
              </w:rPr>
              <w:t>合计</w:t>
            </w:r>
          </w:p>
        </w:tc>
        <w:tc>
          <w:tcPr>
            <w:tcW w:w="240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6AA3662A"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w:t>
            </w:r>
          </w:p>
        </w:tc>
        <w:tc>
          <w:tcPr>
            <w:tcW w:w="851" w:type="dxa"/>
            <w:tcBorders>
              <w:top w:val="single" w:sz="2" w:space="0" w:color="auto"/>
              <w:left w:val="single" w:sz="2" w:space="0" w:color="auto"/>
              <w:bottom w:val="single" w:sz="2" w:space="0" w:color="auto"/>
              <w:right w:val="single" w:sz="2" w:space="0" w:color="auto"/>
            </w:tcBorders>
            <w:vAlign w:val="center"/>
          </w:tcPr>
          <w:p w14:paraId="19934E00"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500,000,000.00</w:t>
            </w:r>
          </w:p>
        </w:tc>
        <w:tc>
          <w:tcPr>
            <w:tcW w:w="850" w:type="dxa"/>
            <w:tcBorders>
              <w:top w:val="single" w:sz="2" w:space="0" w:color="auto"/>
              <w:left w:val="single" w:sz="2" w:space="0" w:color="auto"/>
              <w:bottom w:val="single" w:sz="2" w:space="0" w:color="auto"/>
              <w:right w:val="single" w:sz="2" w:space="0" w:color="auto"/>
            </w:tcBorders>
            <w:vAlign w:val="center"/>
          </w:tcPr>
          <w:p w14:paraId="43240953"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456,036,319.65</w:t>
            </w:r>
          </w:p>
        </w:tc>
        <w:tc>
          <w:tcPr>
            <w:tcW w:w="397" w:type="dxa"/>
            <w:tcBorders>
              <w:top w:val="single" w:sz="2" w:space="0" w:color="auto"/>
              <w:left w:val="single" w:sz="2" w:space="0" w:color="auto"/>
              <w:bottom w:val="single" w:sz="2" w:space="0" w:color="auto"/>
              <w:right w:val="single" w:sz="2" w:space="0" w:color="auto"/>
            </w:tcBorders>
            <w:vAlign w:val="center"/>
          </w:tcPr>
          <w:p w14:paraId="58869F40" w14:textId="77777777" w:rsidR="00A46BF1" w:rsidRPr="00A67794" w:rsidRDefault="00A46BF1" w:rsidP="007D70E2">
            <w:pPr>
              <w:spacing w:line="360" w:lineRule="auto"/>
              <w:jc w:val="right"/>
              <w:rPr>
                <w:rFonts w:ascii="Times New Roman" w:eastAsia="宋体" w:hAnsi="Times New Roman" w:cs="Times New Roman"/>
                <w:sz w:val="13"/>
                <w:szCs w:val="13"/>
              </w:rPr>
            </w:pPr>
          </w:p>
        </w:tc>
        <w:tc>
          <w:tcPr>
            <w:tcW w:w="689" w:type="dxa"/>
            <w:tcBorders>
              <w:top w:val="single" w:sz="2" w:space="0" w:color="auto"/>
              <w:left w:val="single" w:sz="2" w:space="0" w:color="auto"/>
              <w:bottom w:val="single" w:sz="2" w:space="0" w:color="auto"/>
              <w:right w:val="single" w:sz="2" w:space="0" w:color="auto"/>
            </w:tcBorders>
            <w:vAlign w:val="center"/>
          </w:tcPr>
          <w:p w14:paraId="3F983BE2"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9,000,886.58</w:t>
            </w:r>
          </w:p>
        </w:tc>
        <w:tc>
          <w:tcPr>
            <w:tcW w:w="757" w:type="dxa"/>
            <w:tcBorders>
              <w:top w:val="single" w:sz="2" w:space="0" w:color="auto"/>
              <w:left w:val="single" w:sz="2" w:space="0" w:color="auto"/>
              <w:bottom w:val="single" w:sz="2" w:space="0" w:color="auto"/>
              <w:right w:val="single" w:sz="2" w:space="0" w:color="auto"/>
            </w:tcBorders>
            <w:vAlign w:val="center"/>
          </w:tcPr>
          <w:p w14:paraId="4E3E1A94"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21,568,374.10</w:t>
            </w:r>
          </w:p>
        </w:tc>
        <w:tc>
          <w:tcPr>
            <w:tcW w:w="284" w:type="dxa"/>
            <w:tcBorders>
              <w:top w:val="single" w:sz="2" w:space="0" w:color="auto"/>
              <w:left w:val="single" w:sz="2" w:space="0" w:color="auto"/>
              <w:bottom w:val="single" w:sz="2" w:space="0" w:color="auto"/>
              <w:right w:val="single" w:sz="2" w:space="0" w:color="auto"/>
            </w:tcBorders>
            <w:vAlign w:val="center"/>
          </w:tcPr>
          <w:p w14:paraId="3F8E7290" w14:textId="77777777" w:rsidR="00A46BF1" w:rsidRPr="00A67794" w:rsidRDefault="00A46BF1" w:rsidP="007D70E2">
            <w:pPr>
              <w:spacing w:line="360" w:lineRule="auto"/>
              <w:jc w:val="right"/>
              <w:rPr>
                <w:rFonts w:ascii="Times New Roman" w:eastAsia="宋体" w:hAnsi="Times New Roman" w:cs="Times New Roman"/>
                <w:sz w:val="13"/>
                <w:szCs w:val="13"/>
              </w:rPr>
            </w:pPr>
          </w:p>
        </w:tc>
        <w:tc>
          <w:tcPr>
            <w:tcW w:w="708" w:type="dxa"/>
            <w:tcBorders>
              <w:top w:val="single" w:sz="2" w:space="0" w:color="auto"/>
              <w:left w:val="single" w:sz="2" w:space="0" w:color="auto"/>
              <w:bottom w:val="single" w:sz="2" w:space="0" w:color="auto"/>
              <w:right w:val="single" w:sz="2" w:space="0" w:color="auto"/>
            </w:tcBorders>
            <w:vAlign w:val="center"/>
          </w:tcPr>
          <w:p w14:paraId="56CDCD23"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8,970,847.20</w:t>
            </w:r>
          </w:p>
        </w:tc>
        <w:tc>
          <w:tcPr>
            <w:tcW w:w="567" w:type="dxa"/>
            <w:tcBorders>
              <w:top w:val="single" w:sz="2" w:space="0" w:color="auto"/>
              <w:left w:val="single" w:sz="2" w:space="0" w:color="auto"/>
              <w:bottom w:val="single" w:sz="2" w:space="0" w:color="auto"/>
              <w:right w:val="single" w:sz="2" w:space="0" w:color="auto"/>
            </w:tcBorders>
            <w:vAlign w:val="center"/>
          </w:tcPr>
          <w:p w14:paraId="304394DA"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42,000.00</w:t>
            </w:r>
          </w:p>
        </w:tc>
        <w:tc>
          <w:tcPr>
            <w:tcW w:w="851" w:type="dxa"/>
            <w:tcBorders>
              <w:top w:val="single" w:sz="2" w:space="0" w:color="auto"/>
              <w:left w:val="single" w:sz="2" w:space="0" w:color="auto"/>
              <w:bottom w:val="single" w:sz="2" w:space="0" w:color="auto"/>
              <w:right w:val="single" w:sz="2" w:space="0" w:color="auto"/>
            </w:tcBorders>
            <w:vAlign w:val="center"/>
          </w:tcPr>
          <w:p w14:paraId="2BB24092" w14:textId="77777777" w:rsidR="00A46BF1" w:rsidRPr="00A67794" w:rsidRDefault="00A46BF1" w:rsidP="007D70E2">
            <w:pPr>
              <w:spacing w:line="360" w:lineRule="auto"/>
              <w:jc w:val="right"/>
              <w:rPr>
                <w:rFonts w:ascii="Times New Roman" w:eastAsia="宋体" w:hAnsi="Times New Roman" w:cs="Times New Roman"/>
                <w:sz w:val="13"/>
                <w:szCs w:val="13"/>
              </w:rPr>
            </w:pPr>
            <w:r w:rsidRPr="00A67794">
              <w:rPr>
                <w:rFonts w:ascii="Times New Roman" w:eastAsia="宋体" w:hAnsi="Times New Roman" w:cs="Times New Roman"/>
                <w:sz w:val="13"/>
                <w:szCs w:val="13"/>
              </w:rPr>
              <w:t>477,592,733.13</w:t>
            </w:r>
          </w:p>
        </w:tc>
        <w:tc>
          <w:tcPr>
            <w:tcW w:w="284" w:type="dxa"/>
            <w:tcBorders>
              <w:top w:val="single" w:sz="2" w:space="0" w:color="auto"/>
              <w:left w:val="single" w:sz="2" w:space="0" w:color="auto"/>
              <w:bottom w:val="single" w:sz="2" w:space="0" w:color="auto"/>
              <w:right w:val="single" w:sz="2" w:space="0" w:color="auto"/>
            </w:tcBorders>
            <w:shd w:val="clear" w:color="auto" w:fill="D3D3D3"/>
            <w:vAlign w:val="center"/>
          </w:tcPr>
          <w:p w14:paraId="7063DE8D" w14:textId="77777777" w:rsidR="00A46BF1" w:rsidRPr="00A67794" w:rsidRDefault="00A46BF1" w:rsidP="007D70E2">
            <w:pPr>
              <w:spacing w:before="40" w:after="40" w:line="360" w:lineRule="auto"/>
              <w:jc w:val="center"/>
              <w:rPr>
                <w:rFonts w:ascii="Times New Roman" w:eastAsia="宋体" w:hAnsi="Times New Roman" w:cs="Times New Roman"/>
                <w:sz w:val="13"/>
                <w:szCs w:val="13"/>
              </w:rPr>
            </w:pPr>
            <w:r w:rsidRPr="00A67794">
              <w:rPr>
                <w:rFonts w:ascii="Times New Roman" w:eastAsia="宋体" w:hAnsi="Times New Roman" w:cs="Times New Roman"/>
                <w:sz w:val="13"/>
                <w:szCs w:val="13"/>
              </w:rPr>
              <w:t>——</w:t>
            </w:r>
          </w:p>
        </w:tc>
      </w:tr>
    </w:tbl>
    <w:p w14:paraId="237349D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可转换公司债券的说明</w:t>
      </w:r>
    </w:p>
    <w:p w14:paraId="18E57D5A"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经中国证券监督管理委员会《关于同意三诺生物传感股份有限公司向不特定对象发行可转换公司债券注册的批复》（证监许可【</w:t>
      </w:r>
      <w:r w:rsidRPr="00684E6E">
        <w:rPr>
          <w:rFonts w:ascii="Times New Roman" w:hAnsi="Times New Roman" w:cs="Times New Roman"/>
          <w:sz w:val="21"/>
          <w:szCs w:val="21"/>
        </w:rPr>
        <w:t>2020</w:t>
      </w:r>
      <w:r w:rsidRPr="00684E6E">
        <w:rPr>
          <w:rFonts w:ascii="Times New Roman" w:hAnsi="Times New Roman" w:cs="Times New Roman" w:hint="eastAsia"/>
          <w:sz w:val="21"/>
          <w:szCs w:val="21"/>
        </w:rPr>
        <w:t>】</w:t>
      </w:r>
      <w:r w:rsidRPr="00684E6E">
        <w:rPr>
          <w:rFonts w:ascii="Times New Roman" w:hAnsi="Times New Roman" w:cs="Times New Roman"/>
          <w:sz w:val="21"/>
          <w:szCs w:val="21"/>
        </w:rPr>
        <w:t>2951</w:t>
      </w:r>
      <w:r w:rsidRPr="00684E6E">
        <w:rPr>
          <w:rFonts w:ascii="Times New Roman" w:hAnsi="Times New Roman" w:cs="Times New Roman" w:hint="eastAsia"/>
          <w:sz w:val="21"/>
          <w:szCs w:val="21"/>
        </w:rPr>
        <w:t>号）的核准，本公司于</w:t>
      </w:r>
      <w:r w:rsidRPr="00684E6E">
        <w:rPr>
          <w:rFonts w:ascii="Times New Roman" w:hAnsi="Times New Roman" w:cs="Times New Roman"/>
          <w:sz w:val="21"/>
          <w:szCs w:val="21"/>
        </w:rPr>
        <w:t>2020</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12</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21</w:t>
      </w:r>
      <w:r w:rsidRPr="00684E6E">
        <w:rPr>
          <w:rFonts w:ascii="Times New Roman" w:hAnsi="Times New Roman" w:cs="Times New Roman" w:hint="eastAsia"/>
          <w:sz w:val="21"/>
          <w:szCs w:val="21"/>
        </w:rPr>
        <w:t>日公开发行了</w:t>
      </w:r>
      <w:r w:rsidRPr="00684E6E">
        <w:rPr>
          <w:rFonts w:ascii="Times New Roman" w:hAnsi="Times New Roman" w:cs="Times New Roman"/>
          <w:sz w:val="21"/>
          <w:szCs w:val="21"/>
        </w:rPr>
        <w:t>500</w:t>
      </w:r>
      <w:r w:rsidRPr="00684E6E">
        <w:rPr>
          <w:rFonts w:ascii="Times New Roman" w:hAnsi="Times New Roman" w:cs="Times New Roman" w:hint="eastAsia"/>
          <w:sz w:val="21"/>
          <w:szCs w:val="21"/>
        </w:rPr>
        <w:t>万张可转债，发行价格为每张</w:t>
      </w:r>
      <w:r w:rsidRPr="00684E6E">
        <w:rPr>
          <w:rFonts w:ascii="Times New Roman" w:hAnsi="Times New Roman" w:cs="Times New Roman"/>
          <w:sz w:val="21"/>
          <w:szCs w:val="21"/>
        </w:rPr>
        <w:t>100</w:t>
      </w:r>
      <w:r w:rsidRPr="00684E6E">
        <w:rPr>
          <w:rFonts w:ascii="Times New Roman" w:hAnsi="Times New Roman" w:cs="Times New Roman" w:hint="eastAsia"/>
          <w:sz w:val="21"/>
          <w:szCs w:val="21"/>
        </w:rPr>
        <w:t>元，募集资金总额为人民币</w:t>
      </w:r>
      <w:r w:rsidRPr="00684E6E">
        <w:rPr>
          <w:rFonts w:ascii="Times New Roman" w:hAnsi="Times New Roman" w:cs="Times New Roman"/>
          <w:sz w:val="21"/>
          <w:szCs w:val="21"/>
        </w:rPr>
        <w:t>50,000</w:t>
      </w:r>
      <w:r w:rsidRPr="00684E6E">
        <w:rPr>
          <w:rFonts w:ascii="Times New Roman" w:hAnsi="Times New Roman" w:cs="Times New Roman" w:hint="eastAsia"/>
          <w:sz w:val="21"/>
          <w:szCs w:val="21"/>
        </w:rPr>
        <w:t>万元。</w:t>
      </w:r>
    </w:p>
    <w:p w14:paraId="3706A5E9"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上述可转换公司债券票面利率为第一年</w:t>
      </w:r>
      <w:r w:rsidRPr="00684E6E">
        <w:rPr>
          <w:rFonts w:ascii="Times New Roman" w:hAnsi="Times New Roman" w:cs="Times New Roman"/>
          <w:sz w:val="21"/>
          <w:szCs w:val="21"/>
        </w:rPr>
        <w:t xml:space="preserve"> 0.30%</w:t>
      </w:r>
      <w:r w:rsidRPr="00684E6E">
        <w:rPr>
          <w:rFonts w:ascii="Times New Roman" w:hAnsi="Times New Roman" w:cs="Times New Roman" w:hint="eastAsia"/>
          <w:sz w:val="21"/>
          <w:szCs w:val="21"/>
        </w:rPr>
        <w:t>、第二年</w:t>
      </w:r>
      <w:r w:rsidRPr="00684E6E">
        <w:rPr>
          <w:rFonts w:ascii="Times New Roman" w:hAnsi="Times New Roman" w:cs="Times New Roman"/>
          <w:sz w:val="21"/>
          <w:szCs w:val="21"/>
        </w:rPr>
        <w:t xml:space="preserve"> 0.50%</w:t>
      </w:r>
      <w:r w:rsidRPr="00684E6E">
        <w:rPr>
          <w:rFonts w:ascii="Times New Roman" w:hAnsi="Times New Roman" w:cs="Times New Roman" w:hint="eastAsia"/>
          <w:sz w:val="21"/>
          <w:szCs w:val="21"/>
        </w:rPr>
        <w:t>、第三年</w:t>
      </w:r>
      <w:r w:rsidRPr="00684E6E">
        <w:rPr>
          <w:rFonts w:ascii="Times New Roman" w:hAnsi="Times New Roman" w:cs="Times New Roman"/>
          <w:sz w:val="21"/>
          <w:szCs w:val="21"/>
        </w:rPr>
        <w:t xml:space="preserve"> 1.00%</w:t>
      </w:r>
      <w:r w:rsidRPr="00684E6E">
        <w:rPr>
          <w:rFonts w:ascii="Times New Roman" w:hAnsi="Times New Roman" w:cs="Times New Roman" w:hint="eastAsia"/>
          <w:sz w:val="21"/>
          <w:szCs w:val="21"/>
        </w:rPr>
        <w:t>、第四年</w:t>
      </w:r>
      <w:r w:rsidRPr="00684E6E">
        <w:rPr>
          <w:rFonts w:ascii="Times New Roman" w:hAnsi="Times New Roman" w:cs="Times New Roman"/>
          <w:sz w:val="21"/>
          <w:szCs w:val="21"/>
        </w:rPr>
        <w:t xml:space="preserve"> 1.50%</w:t>
      </w:r>
      <w:r w:rsidRPr="00684E6E">
        <w:rPr>
          <w:rFonts w:ascii="Times New Roman" w:hAnsi="Times New Roman" w:cs="Times New Roman" w:hint="eastAsia"/>
          <w:sz w:val="21"/>
          <w:szCs w:val="21"/>
        </w:rPr>
        <w:t>、第五年</w:t>
      </w:r>
      <w:r w:rsidRPr="00684E6E">
        <w:rPr>
          <w:rFonts w:ascii="Times New Roman" w:hAnsi="Times New Roman" w:cs="Times New Roman"/>
          <w:sz w:val="21"/>
          <w:szCs w:val="21"/>
        </w:rPr>
        <w:t xml:space="preserve"> 1.80%</w:t>
      </w:r>
      <w:r w:rsidRPr="00684E6E">
        <w:rPr>
          <w:rFonts w:ascii="Times New Roman" w:hAnsi="Times New Roman" w:cs="Times New Roman" w:hint="eastAsia"/>
          <w:sz w:val="21"/>
          <w:szCs w:val="21"/>
        </w:rPr>
        <w:t>、第六年</w:t>
      </w:r>
      <w:r w:rsidRPr="00684E6E">
        <w:rPr>
          <w:rFonts w:ascii="Times New Roman" w:hAnsi="Times New Roman" w:cs="Times New Roman"/>
          <w:sz w:val="21"/>
          <w:szCs w:val="21"/>
        </w:rPr>
        <w:t xml:space="preserve"> 2.00%</w:t>
      </w:r>
      <w:r w:rsidRPr="00684E6E">
        <w:rPr>
          <w:rFonts w:ascii="Times New Roman" w:hAnsi="Times New Roman" w:cs="Times New Roman" w:hint="eastAsia"/>
          <w:sz w:val="21"/>
          <w:szCs w:val="21"/>
        </w:rPr>
        <w:t>。每年的付息日为本次可转债发行首日起每满一年的当日。如该日为法定节假日或休息日，则顺延至下一个工作日，顺延期间不另付息。到期后归还所有未转股的可转债本金和最后一年利息。本公司在可转换公司债券期满后五个工作日内办理完毕偿还债券余额本息的事项。</w:t>
      </w:r>
    </w:p>
    <w:p w14:paraId="1517A8AC" w14:textId="209B7261"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本次发行的可转换公司债券转股期自可转债发行结束之日（</w:t>
      </w:r>
      <w:r w:rsidR="00217929">
        <w:rPr>
          <w:rFonts w:ascii="Times New Roman" w:hAnsi="Times New Roman" w:cs="Times New Roman"/>
          <w:sz w:val="21"/>
          <w:szCs w:val="21"/>
        </w:rPr>
        <w:t>2020</w:t>
      </w:r>
      <w:r w:rsidRPr="00684E6E">
        <w:rPr>
          <w:rFonts w:ascii="Times New Roman" w:hAnsi="Times New Roman" w:cs="Times New Roman" w:hint="eastAsia"/>
          <w:sz w:val="21"/>
          <w:szCs w:val="21"/>
        </w:rPr>
        <w:t>年</w:t>
      </w:r>
      <w:r w:rsidR="00217929">
        <w:rPr>
          <w:rFonts w:ascii="Times New Roman" w:hAnsi="Times New Roman" w:cs="Times New Roman"/>
          <w:sz w:val="21"/>
          <w:szCs w:val="21"/>
        </w:rPr>
        <w:t>12</w:t>
      </w:r>
      <w:r w:rsidRPr="00684E6E">
        <w:rPr>
          <w:rFonts w:ascii="Times New Roman" w:hAnsi="Times New Roman" w:cs="Times New Roman" w:hint="eastAsia"/>
          <w:sz w:val="21"/>
          <w:szCs w:val="21"/>
        </w:rPr>
        <w:t>月</w:t>
      </w:r>
      <w:r w:rsidR="00217929">
        <w:rPr>
          <w:rFonts w:ascii="Times New Roman" w:hAnsi="Times New Roman" w:cs="Times New Roman"/>
          <w:sz w:val="21"/>
          <w:szCs w:val="21"/>
        </w:rPr>
        <w:t>25</w:t>
      </w:r>
      <w:r w:rsidRPr="00684E6E">
        <w:rPr>
          <w:rFonts w:ascii="Times New Roman" w:hAnsi="Times New Roman" w:cs="Times New Roman" w:hint="eastAsia"/>
          <w:sz w:val="21"/>
          <w:szCs w:val="21"/>
        </w:rPr>
        <w:t>日）满六个月后的第一个交易日（</w:t>
      </w:r>
      <w:r w:rsidR="00217929">
        <w:rPr>
          <w:rFonts w:ascii="Times New Roman" w:hAnsi="Times New Roman" w:cs="Times New Roman"/>
          <w:sz w:val="21"/>
          <w:szCs w:val="21"/>
        </w:rPr>
        <w:t>2021</w:t>
      </w:r>
      <w:r w:rsidRPr="00684E6E">
        <w:rPr>
          <w:rFonts w:ascii="Times New Roman" w:hAnsi="Times New Roman" w:cs="Times New Roman" w:hint="eastAsia"/>
          <w:sz w:val="21"/>
          <w:szCs w:val="21"/>
        </w:rPr>
        <w:t>年</w:t>
      </w:r>
      <w:r w:rsidR="00217929">
        <w:rPr>
          <w:rFonts w:ascii="Times New Roman" w:hAnsi="Times New Roman" w:cs="Times New Roman"/>
          <w:sz w:val="21"/>
          <w:szCs w:val="21"/>
        </w:rPr>
        <w:t>6</w:t>
      </w:r>
      <w:r w:rsidRPr="00684E6E">
        <w:rPr>
          <w:rFonts w:ascii="Times New Roman" w:hAnsi="Times New Roman" w:cs="Times New Roman" w:hint="eastAsia"/>
          <w:sz w:val="21"/>
          <w:szCs w:val="21"/>
        </w:rPr>
        <w:t>月</w:t>
      </w:r>
      <w:r w:rsidR="00217929">
        <w:rPr>
          <w:rFonts w:ascii="Times New Roman" w:hAnsi="Times New Roman" w:cs="Times New Roman"/>
          <w:sz w:val="21"/>
          <w:szCs w:val="21"/>
        </w:rPr>
        <w:t>25</w:t>
      </w:r>
      <w:r w:rsidRPr="00684E6E">
        <w:rPr>
          <w:rFonts w:ascii="Times New Roman" w:hAnsi="Times New Roman" w:cs="Times New Roman" w:hint="eastAsia"/>
          <w:sz w:val="21"/>
          <w:szCs w:val="21"/>
        </w:rPr>
        <w:t>日）起至可转债到期日（</w:t>
      </w:r>
      <w:r w:rsidRPr="00684E6E">
        <w:rPr>
          <w:rFonts w:ascii="Times New Roman" w:hAnsi="Times New Roman" w:cs="Times New Roman"/>
          <w:sz w:val="21"/>
          <w:szCs w:val="21"/>
        </w:rPr>
        <w:t>2026</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w:t>
      </w:r>
      <w:r w:rsidR="00217929">
        <w:rPr>
          <w:rFonts w:ascii="Times New Roman" w:hAnsi="Times New Roman" w:cs="Times New Roman"/>
          <w:sz w:val="21"/>
          <w:szCs w:val="21"/>
        </w:rPr>
        <w:t>2</w:t>
      </w:r>
      <w:r w:rsidRPr="00684E6E">
        <w:rPr>
          <w:rFonts w:ascii="Times New Roman" w:hAnsi="Times New Roman" w:cs="Times New Roman" w:hint="eastAsia"/>
          <w:sz w:val="21"/>
          <w:szCs w:val="21"/>
        </w:rPr>
        <w:t>月</w:t>
      </w:r>
      <w:r w:rsidR="00217929">
        <w:rPr>
          <w:rFonts w:ascii="Times New Roman" w:hAnsi="Times New Roman" w:cs="Times New Roman"/>
          <w:sz w:val="21"/>
          <w:szCs w:val="21"/>
        </w:rPr>
        <w:t>20</w:t>
      </w:r>
      <w:r w:rsidRPr="00684E6E">
        <w:rPr>
          <w:rFonts w:ascii="Times New Roman" w:hAnsi="Times New Roman" w:cs="Times New Roman" w:hint="eastAsia"/>
          <w:sz w:val="21"/>
          <w:szCs w:val="21"/>
        </w:rPr>
        <w:t>日）止。本次发行的可转换公司债券的初始转股价格为</w:t>
      </w:r>
      <w:r w:rsidRPr="00684E6E">
        <w:rPr>
          <w:rFonts w:ascii="Times New Roman" w:hAnsi="Times New Roman" w:cs="Times New Roman"/>
          <w:sz w:val="21"/>
          <w:szCs w:val="21"/>
        </w:rPr>
        <w:t>35.35</w:t>
      </w:r>
      <w:r w:rsidRPr="00684E6E">
        <w:rPr>
          <w:rFonts w:ascii="Times New Roman" w:hAnsi="Times New Roman" w:cs="Times New Roman" w:hint="eastAsia"/>
          <w:sz w:val="21"/>
          <w:szCs w:val="21"/>
        </w:rPr>
        <w:t>元</w:t>
      </w:r>
      <w:r w:rsidRPr="00684E6E">
        <w:rPr>
          <w:rFonts w:ascii="Times New Roman" w:hAnsi="Times New Roman" w:cs="Times New Roman"/>
          <w:sz w:val="21"/>
          <w:szCs w:val="21"/>
        </w:rPr>
        <w:t>/</w:t>
      </w:r>
      <w:r w:rsidRPr="00684E6E">
        <w:rPr>
          <w:rFonts w:ascii="Times New Roman" w:hAnsi="Times New Roman" w:cs="Times New Roman" w:hint="eastAsia"/>
          <w:sz w:val="21"/>
          <w:szCs w:val="21"/>
        </w:rPr>
        <w:t>股，不低于募集说明书公告日前二十个交易日公司</w:t>
      </w:r>
      <w:r w:rsidRPr="00684E6E">
        <w:rPr>
          <w:rFonts w:ascii="Times New Roman" w:hAnsi="Times New Roman" w:cs="Times New Roman"/>
          <w:sz w:val="21"/>
          <w:szCs w:val="21"/>
        </w:rPr>
        <w:t>A</w:t>
      </w:r>
      <w:r w:rsidRPr="00684E6E">
        <w:rPr>
          <w:rFonts w:ascii="Times New Roman" w:hAnsi="Times New Roman" w:cs="Times New Roman" w:hint="eastAsia"/>
          <w:sz w:val="21"/>
          <w:szCs w:val="21"/>
        </w:rPr>
        <w:t>股股票交易均价（若在该二十个交易日内发生过因除权、除息引起股价调整的情形，则对调整前交易日的收盘价按经过相应除权、除息调整后的价格计算）和前一个交易日公司</w:t>
      </w:r>
      <w:r w:rsidRPr="00684E6E">
        <w:rPr>
          <w:rFonts w:ascii="Times New Roman" w:hAnsi="Times New Roman" w:cs="Times New Roman"/>
          <w:sz w:val="21"/>
          <w:szCs w:val="21"/>
        </w:rPr>
        <w:t>A</w:t>
      </w:r>
      <w:r w:rsidRPr="00684E6E">
        <w:rPr>
          <w:rFonts w:ascii="Times New Roman" w:hAnsi="Times New Roman" w:cs="Times New Roman" w:hint="eastAsia"/>
          <w:sz w:val="21"/>
          <w:szCs w:val="21"/>
        </w:rPr>
        <w:t>股股票交易均价。同时，初始转股价格不得低于最近一期经审计的每股净资产和股票面值。</w:t>
      </w:r>
    </w:p>
    <w:p w14:paraId="47AE9DD5" w14:textId="77777777" w:rsidR="00A46BF1" w:rsidRPr="00684E6E" w:rsidRDefault="00A46BF1" w:rsidP="00684E6E">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684E6E">
        <w:rPr>
          <w:rFonts w:ascii="Times New Roman" w:hAnsi="Times New Roman" w:cs="Times New Roman" w:hint="eastAsia"/>
          <w:sz w:val="21"/>
          <w:szCs w:val="21"/>
        </w:rPr>
        <w:t>截至</w:t>
      </w:r>
      <w:r w:rsidRPr="00684E6E">
        <w:rPr>
          <w:rFonts w:ascii="Times New Roman" w:hAnsi="Times New Roman" w:cs="Times New Roman"/>
          <w:sz w:val="21"/>
          <w:szCs w:val="21"/>
        </w:rPr>
        <w:t>2025</w:t>
      </w:r>
      <w:r w:rsidRPr="00684E6E">
        <w:rPr>
          <w:rFonts w:ascii="Times New Roman" w:hAnsi="Times New Roman" w:cs="Times New Roman" w:hint="eastAsia"/>
          <w:sz w:val="21"/>
          <w:szCs w:val="21"/>
        </w:rPr>
        <w:t>年</w:t>
      </w:r>
      <w:r w:rsidRPr="00684E6E">
        <w:rPr>
          <w:rFonts w:ascii="Times New Roman" w:hAnsi="Times New Roman" w:cs="Times New Roman"/>
          <w:sz w:val="21"/>
          <w:szCs w:val="21"/>
        </w:rPr>
        <w:t>12</w:t>
      </w:r>
      <w:r w:rsidRPr="00684E6E">
        <w:rPr>
          <w:rFonts w:ascii="Times New Roman" w:hAnsi="Times New Roman" w:cs="Times New Roman" w:hint="eastAsia"/>
          <w:sz w:val="21"/>
          <w:szCs w:val="21"/>
        </w:rPr>
        <w:t>月</w:t>
      </w:r>
      <w:r w:rsidRPr="00684E6E">
        <w:rPr>
          <w:rFonts w:ascii="Times New Roman" w:hAnsi="Times New Roman" w:cs="Times New Roman"/>
          <w:sz w:val="21"/>
          <w:szCs w:val="21"/>
        </w:rPr>
        <w:t>31</w:t>
      </w:r>
      <w:r w:rsidRPr="00684E6E">
        <w:rPr>
          <w:rFonts w:ascii="Times New Roman" w:hAnsi="Times New Roman" w:cs="Times New Roman" w:hint="eastAsia"/>
          <w:sz w:val="21"/>
          <w:szCs w:val="21"/>
        </w:rPr>
        <w:t>日，本金为人民币</w:t>
      </w:r>
      <w:r w:rsidRPr="00684E6E">
        <w:rPr>
          <w:rFonts w:ascii="Times New Roman" w:hAnsi="Times New Roman" w:cs="Times New Roman"/>
          <w:sz w:val="21"/>
          <w:szCs w:val="21"/>
        </w:rPr>
        <w:t>1,346,045.32</w:t>
      </w:r>
      <w:r w:rsidRPr="00684E6E">
        <w:rPr>
          <w:rFonts w:ascii="Times New Roman" w:hAnsi="Times New Roman" w:cs="Times New Roman" w:hint="eastAsia"/>
          <w:sz w:val="21"/>
          <w:szCs w:val="21"/>
        </w:rPr>
        <w:t>元共</w:t>
      </w:r>
      <w:r w:rsidRPr="00684E6E">
        <w:rPr>
          <w:rFonts w:ascii="Times New Roman" w:hAnsi="Times New Roman" w:cs="Times New Roman"/>
          <w:sz w:val="21"/>
          <w:szCs w:val="21"/>
        </w:rPr>
        <w:t>16,196</w:t>
      </w:r>
      <w:r w:rsidRPr="00684E6E">
        <w:rPr>
          <w:rFonts w:ascii="Times New Roman" w:hAnsi="Times New Roman" w:cs="Times New Roman" w:hint="eastAsia"/>
          <w:sz w:val="21"/>
          <w:szCs w:val="21"/>
        </w:rPr>
        <w:t>张可转换债券转换为</w:t>
      </w:r>
      <w:r w:rsidRPr="00684E6E">
        <w:rPr>
          <w:rFonts w:ascii="Times New Roman" w:hAnsi="Times New Roman" w:cs="Times New Roman"/>
          <w:sz w:val="21"/>
          <w:szCs w:val="21"/>
        </w:rPr>
        <w:t>46,259</w:t>
      </w:r>
      <w:r w:rsidRPr="00684E6E">
        <w:rPr>
          <w:rFonts w:ascii="Times New Roman" w:hAnsi="Times New Roman" w:cs="Times New Roman" w:hint="eastAsia"/>
          <w:sz w:val="21"/>
          <w:szCs w:val="21"/>
        </w:rPr>
        <w:t>股普通股。</w:t>
      </w:r>
    </w:p>
    <w:p w14:paraId="10E9DBEF" w14:textId="7B429241" w:rsidR="00A46BF1" w:rsidRDefault="00A46BF1" w:rsidP="00A46BF1">
      <w:pPr>
        <w:pStyle w:val="3"/>
        <w:spacing w:line="280" w:lineRule="exact"/>
        <w:jc w:val="left"/>
        <w:rPr>
          <w:rFonts w:ascii="宋体" w:hAnsi="宋体" w:cs="宋体"/>
          <w:b/>
          <w:bCs/>
        </w:rPr>
      </w:pPr>
      <w:r>
        <w:rPr>
          <w:rFonts w:ascii="宋体" w:hAnsi="宋体" w:cs="宋体"/>
          <w:b/>
          <w:bCs/>
        </w:rPr>
        <w:t>3</w:t>
      </w:r>
      <w:r w:rsidR="006F7D2A">
        <w:rPr>
          <w:rFonts w:ascii="宋体" w:hAnsi="宋体" w:cs="宋体"/>
          <w:b/>
          <w:bCs/>
        </w:rPr>
        <w:t>5</w:t>
      </w:r>
      <w:r>
        <w:rPr>
          <w:rFonts w:ascii="宋体" w:hAnsi="宋体" w:cs="宋体"/>
          <w:b/>
          <w:bCs/>
        </w:rPr>
        <w:t>、租赁负债</w:t>
      </w:r>
    </w:p>
    <w:p w14:paraId="76A7145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AB771B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C480D7"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8F57CD"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2826F2"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期初余额</w:t>
            </w:r>
          </w:p>
        </w:tc>
      </w:tr>
      <w:tr w:rsidR="00095F6F" w14:paraId="26C7AE2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958048"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租赁付款额</w:t>
            </w:r>
          </w:p>
        </w:tc>
        <w:tc>
          <w:tcPr>
            <w:tcW w:w="3213" w:type="dxa"/>
            <w:tcBorders>
              <w:top w:val="single" w:sz="2" w:space="0" w:color="auto"/>
              <w:left w:val="single" w:sz="2" w:space="0" w:color="auto"/>
              <w:bottom w:val="single" w:sz="2" w:space="0" w:color="auto"/>
              <w:right w:val="single" w:sz="2" w:space="0" w:color="auto"/>
            </w:tcBorders>
            <w:vAlign w:val="center"/>
          </w:tcPr>
          <w:p w14:paraId="5E66F95C"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13,217,556.40</w:t>
            </w:r>
          </w:p>
        </w:tc>
        <w:tc>
          <w:tcPr>
            <w:tcW w:w="3213" w:type="dxa"/>
            <w:tcBorders>
              <w:top w:val="single" w:sz="2" w:space="0" w:color="auto"/>
              <w:left w:val="single" w:sz="2" w:space="0" w:color="auto"/>
              <w:bottom w:val="single" w:sz="2" w:space="0" w:color="auto"/>
              <w:right w:val="single" w:sz="2" w:space="0" w:color="auto"/>
            </w:tcBorders>
            <w:vAlign w:val="center"/>
          </w:tcPr>
          <w:p w14:paraId="2F7928E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24,352,096.23</w:t>
            </w:r>
          </w:p>
        </w:tc>
      </w:tr>
      <w:tr w:rsidR="00095F6F" w14:paraId="05F507A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DEE436"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未确认融资费用</w:t>
            </w:r>
          </w:p>
        </w:tc>
        <w:tc>
          <w:tcPr>
            <w:tcW w:w="3213" w:type="dxa"/>
            <w:tcBorders>
              <w:top w:val="single" w:sz="2" w:space="0" w:color="auto"/>
              <w:left w:val="single" w:sz="2" w:space="0" w:color="auto"/>
              <w:bottom w:val="single" w:sz="2" w:space="0" w:color="auto"/>
              <w:right w:val="single" w:sz="2" w:space="0" w:color="auto"/>
            </w:tcBorders>
            <w:vAlign w:val="center"/>
          </w:tcPr>
          <w:p w14:paraId="5DE599EC"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-286,889.50</w:t>
            </w:r>
          </w:p>
        </w:tc>
        <w:tc>
          <w:tcPr>
            <w:tcW w:w="3213" w:type="dxa"/>
            <w:tcBorders>
              <w:top w:val="single" w:sz="2" w:space="0" w:color="auto"/>
              <w:left w:val="single" w:sz="2" w:space="0" w:color="auto"/>
              <w:bottom w:val="single" w:sz="2" w:space="0" w:color="auto"/>
              <w:right w:val="single" w:sz="2" w:space="0" w:color="auto"/>
            </w:tcBorders>
            <w:vAlign w:val="center"/>
          </w:tcPr>
          <w:p w14:paraId="4C4ED650"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-963,614.32</w:t>
            </w:r>
          </w:p>
        </w:tc>
      </w:tr>
      <w:tr w:rsidR="00095F6F" w14:paraId="78BAF98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D2A7913"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一年内到期的租赁负债</w:t>
            </w:r>
          </w:p>
        </w:tc>
        <w:tc>
          <w:tcPr>
            <w:tcW w:w="3213" w:type="dxa"/>
            <w:tcBorders>
              <w:top w:val="single" w:sz="2" w:space="0" w:color="auto"/>
              <w:left w:val="single" w:sz="2" w:space="0" w:color="auto"/>
              <w:bottom w:val="single" w:sz="2" w:space="0" w:color="auto"/>
              <w:right w:val="single" w:sz="2" w:space="0" w:color="auto"/>
            </w:tcBorders>
            <w:vAlign w:val="center"/>
          </w:tcPr>
          <w:p w14:paraId="1173CCD6"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-11,001,506.48</w:t>
            </w:r>
          </w:p>
        </w:tc>
        <w:tc>
          <w:tcPr>
            <w:tcW w:w="3213" w:type="dxa"/>
            <w:tcBorders>
              <w:top w:val="single" w:sz="2" w:space="0" w:color="auto"/>
              <w:left w:val="single" w:sz="2" w:space="0" w:color="auto"/>
              <w:bottom w:val="single" w:sz="2" w:space="0" w:color="auto"/>
              <w:right w:val="single" w:sz="2" w:space="0" w:color="auto"/>
            </w:tcBorders>
            <w:vAlign w:val="center"/>
          </w:tcPr>
          <w:p w14:paraId="2285D5D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-12,286,452.27</w:t>
            </w:r>
          </w:p>
        </w:tc>
      </w:tr>
      <w:tr w:rsidR="00095F6F" w14:paraId="0FF5013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31DA76"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696C2DF"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1,929,160.42</w:t>
            </w:r>
          </w:p>
        </w:tc>
        <w:tc>
          <w:tcPr>
            <w:tcW w:w="3213" w:type="dxa"/>
            <w:tcBorders>
              <w:top w:val="single" w:sz="2" w:space="0" w:color="auto"/>
              <w:left w:val="single" w:sz="2" w:space="0" w:color="auto"/>
              <w:bottom w:val="single" w:sz="2" w:space="0" w:color="auto"/>
              <w:right w:val="single" w:sz="2" w:space="0" w:color="auto"/>
            </w:tcBorders>
            <w:vAlign w:val="center"/>
          </w:tcPr>
          <w:p w14:paraId="40BED554"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11,102,029.64</w:t>
            </w:r>
          </w:p>
        </w:tc>
      </w:tr>
    </w:tbl>
    <w:p w14:paraId="5FA96F3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21D42C4" w14:textId="77777777" w:rsidR="00A46BF1" w:rsidRPr="006F7D2A" w:rsidRDefault="00A46BF1" w:rsidP="006F7D2A">
      <w:pPr>
        <w:spacing w:before="100" w:after="100" w:line="240" w:lineRule="exact"/>
        <w:rPr>
          <w:rFonts w:ascii="宋体" w:eastAsia="宋体" w:hAnsi="宋体" w:cs="宋体"/>
          <w:sz w:val="18"/>
          <w:szCs w:val="18"/>
        </w:rPr>
      </w:pPr>
      <w:r w:rsidRPr="006F7D2A">
        <w:rPr>
          <w:rFonts w:ascii="宋体" w:eastAsia="宋体" w:hAnsi="宋体" w:cs="宋体" w:hint="eastAsia"/>
          <w:sz w:val="18"/>
          <w:szCs w:val="18"/>
        </w:rPr>
        <w:t>无</w:t>
      </w:r>
    </w:p>
    <w:p w14:paraId="3797173F" w14:textId="026A4E9B" w:rsidR="00A46BF1" w:rsidRDefault="00A46BF1" w:rsidP="00A46BF1">
      <w:pPr>
        <w:pStyle w:val="3"/>
        <w:spacing w:line="280" w:lineRule="exact"/>
        <w:jc w:val="left"/>
        <w:rPr>
          <w:rFonts w:ascii="宋体" w:hAnsi="宋体" w:cs="宋体"/>
          <w:b/>
          <w:bCs/>
        </w:rPr>
      </w:pPr>
      <w:r>
        <w:rPr>
          <w:rFonts w:ascii="宋体" w:hAnsi="宋体" w:cs="宋体"/>
          <w:b/>
          <w:bCs/>
        </w:rPr>
        <w:t>3</w:t>
      </w:r>
      <w:r w:rsidR="006F7D2A">
        <w:rPr>
          <w:rFonts w:ascii="宋体" w:hAnsi="宋体" w:cs="宋体"/>
          <w:b/>
          <w:bCs/>
        </w:rPr>
        <w:t>6</w:t>
      </w:r>
      <w:r>
        <w:rPr>
          <w:rFonts w:ascii="宋体" w:hAnsi="宋体" w:cs="宋体"/>
          <w:b/>
          <w:bCs/>
        </w:rPr>
        <w:t>、长期应付职工薪酬</w:t>
      </w:r>
    </w:p>
    <w:p w14:paraId="3A638EA7"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长期应付职工薪酬表</w:t>
      </w:r>
    </w:p>
    <w:p w14:paraId="1864611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232224E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ED0FE2"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874636"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9D8225"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期初余额</w:t>
            </w:r>
          </w:p>
        </w:tc>
      </w:tr>
      <w:tr w:rsidR="00095F6F" w14:paraId="42B5CE5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82641D"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一、离职后福利</w:t>
            </w:r>
            <w:r w:rsidRPr="006F7D2A">
              <w:rPr>
                <w:rFonts w:ascii="Times New Roman" w:eastAsia="宋体" w:hAnsi="Times New Roman" w:cs="Times New Roman"/>
                <w:sz w:val="18"/>
                <w:szCs w:val="18"/>
              </w:rPr>
              <w:t>-</w:t>
            </w:r>
            <w:r w:rsidRPr="006F7D2A">
              <w:rPr>
                <w:rFonts w:ascii="Times New Roman" w:eastAsia="宋体" w:hAnsi="Times New Roman" w:cs="Times New Roman"/>
                <w:sz w:val="18"/>
                <w:szCs w:val="18"/>
              </w:rPr>
              <w:t>设定受益计划净负债</w:t>
            </w:r>
          </w:p>
        </w:tc>
        <w:tc>
          <w:tcPr>
            <w:tcW w:w="3213" w:type="dxa"/>
            <w:tcBorders>
              <w:top w:val="single" w:sz="2" w:space="0" w:color="auto"/>
              <w:left w:val="single" w:sz="2" w:space="0" w:color="auto"/>
              <w:bottom w:val="single" w:sz="2" w:space="0" w:color="auto"/>
              <w:right w:val="single" w:sz="2" w:space="0" w:color="auto"/>
            </w:tcBorders>
            <w:vAlign w:val="center"/>
          </w:tcPr>
          <w:p w14:paraId="56478EC4"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30,460.01</w:t>
            </w:r>
          </w:p>
        </w:tc>
        <w:tc>
          <w:tcPr>
            <w:tcW w:w="3213" w:type="dxa"/>
            <w:tcBorders>
              <w:top w:val="single" w:sz="2" w:space="0" w:color="auto"/>
              <w:left w:val="single" w:sz="2" w:space="0" w:color="auto"/>
              <w:bottom w:val="single" w:sz="2" w:space="0" w:color="auto"/>
              <w:right w:val="single" w:sz="2" w:space="0" w:color="auto"/>
            </w:tcBorders>
            <w:vAlign w:val="center"/>
          </w:tcPr>
          <w:p w14:paraId="123CD411"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150,859.79</w:t>
            </w:r>
          </w:p>
        </w:tc>
      </w:tr>
      <w:tr w:rsidR="00095F6F" w14:paraId="0F3B761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10F230"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三、其他长期福利</w:t>
            </w:r>
          </w:p>
        </w:tc>
        <w:tc>
          <w:tcPr>
            <w:tcW w:w="3213" w:type="dxa"/>
            <w:tcBorders>
              <w:top w:val="single" w:sz="2" w:space="0" w:color="auto"/>
              <w:left w:val="single" w:sz="2" w:space="0" w:color="auto"/>
              <w:bottom w:val="single" w:sz="2" w:space="0" w:color="auto"/>
              <w:right w:val="single" w:sz="2" w:space="0" w:color="auto"/>
            </w:tcBorders>
            <w:vAlign w:val="center"/>
          </w:tcPr>
          <w:p w14:paraId="3A27DC67" w14:textId="77777777" w:rsidR="00A46BF1" w:rsidRPr="006F7D2A" w:rsidRDefault="00A46BF1" w:rsidP="006F7D2A">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63F2167"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1,437,680.00</w:t>
            </w:r>
          </w:p>
        </w:tc>
      </w:tr>
      <w:tr w:rsidR="00095F6F" w14:paraId="4B2ADDB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217AAB"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A6BD029"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30,460.01</w:t>
            </w:r>
          </w:p>
        </w:tc>
        <w:tc>
          <w:tcPr>
            <w:tcW w:w="3213" w:type="dxa"/>
            <w:tcBorders>
              <w:top w:val="single" w:sz="2" w:space="0" w:color="auto"/>
              <w:left w:val="single" w:sz="2" w:space="0" w:color="auto"/>
              <w:bottom w:val="single" w:sz="2" w:space="0" w:color="auto"/>
              <w:right w:val="single" w:sz="2" w:space="0" w:color="auto"/>
            </w:tcBorders>
            <w:vAlign w:val="center"/>
          </w:tcPr>
          <w:p w14:paraId="651D66C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1,588,539.79</w:t>
            </w:r>
          </w:p>
        </w:tc>
      </w:tr>
    </w:tbl>
    <w:p w14:paraId="1E13F2C3"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（2） 设定受益计划变动情况</w:t>
      </w:r>
    </w:p>
    <w:p w14:paraId="7E54E932" w14:textId="77777777" w:rsidR="00A46BF1" w:rsidRDefault="00A46BF1" w:rsidP="00A46BF1">
      <w:pPr>
        <w:spacing w:before="120" w:after="120" w:line="240" w:lineRule="exact"/>
        <w:rPr>
          <w:rFonts w:ascii="宋体" w:eastAsia="宋体" w:hAnsi="宋体" w:cs="宋体"/>
          <w:sz w:val="18"/>
          <w:szCs w:val="18"/>
        </w:rPr>
      </w:pPr>
      <w:r>
        <w:rPr>
          <w:rFonts w:ascii="宋体" w:eastAsia="宋体" w:hAnsi="宋体" w:cs="宋体"/>
          <w:sz w:val="18"/>
          <w:szCs w:val="18"/>
        </w:rPr>
        <w:t>设定受益计划义务现值：</w:t>
      </w:r>
    </w:p>
    <w:p w14:paraId="1A831283"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6BF274A9"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3169DC12"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452C6605"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本期发生额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5352B298"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上期发生额</w:t>
            </w:r>
          </w:p>
        </w:tc>
      </w:tr>
      <w:tr w:rsidR="00095F6F" w14:paraId="70C86F5A"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A019BD2"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一、期初余额</w:t>
            </w:r>
          </w:p>
        </w:tc>
        <w:tc>
          <w:tcPr>
            <w:tcW w:w="3047" w:type="dxa"/>
            <w:tcBorders>
              <w:top w:val="single" w:sz="2" w:space="0" w:color="auto"/>
              <w:left w:val="single" w:sz="2" w:space="0" w:color="auto"/>
              <w:bottom w:val="single" w:sz="2" w:space="0" w:color="auto"/>
              <w:right w:val="single" w:sz="2" w:space="0" w:color="auto"/>
            </w:tcBorders>
            <w:vAlign w:val="center"/>
          </w:tcPr>
          <w:p w14:paraId="7AC37F7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2,012,740.14</w:t>
            </w:r>
          </w:p>
        </w:tc>
        <w:tc>
          <w:tcPr>
            <w:tcW w:w="3048" w:type="dxa"/>
            <w:tcBorders>
              <w:top w:val="single" w:sz="2" w:space="0" w:color="auto"/>
              <w:left w:val="single" w:sz="2" w:space="0" w:color="auto"/>
              <w:bottom w:val="single" w:sz="2" w:space="0" w:color="auto"/>
              <w:right w:val="single" w:sz="2" w:space="0" w:color="auto"/>
            </w:tcBorders>
            <w:vAlign w:val="center"/>
          </w:tcPr>
          <w:p w14:paraId="38FE9ABA"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4,424,720.49</w:t>
            </w:r>
          </w:p>
        </w:tc>
      </w:tr>
      <w:tr w:rsidR="00095F6F" w14:paraId="36021059"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33E5E13"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二、计入当期损益的设定受益成本</w:t>
            </w:r>
          </w:p>
        </w:tc>
        <w:tc>
          <w:tcPr>
            <w:tcW w:w="3047" w:type="dxa"/>
            <w:tcBorders>
              <w:top w:val="single" w:sz="2" w:space="0" w:color="auto"/>
              <w:left w:val="single" w:sz="2" w:space="0" w:color="auto"/>
              <w:bottom w:val="single" w:sz="2" w:space="0" w:color="auto"/>
              <w:right w:val="single" w:sz="2" w:space="0" w:color="auto"/>
            </w:tcBorders>
            <w:vAlign w:val="center"/>
          </w:tcPr>
          <w:p w14:paraId="2AABCEDA"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69,160.93</w:t>
            </w:r>
          </w:p>
        </w:tc>
        <w:tc>
          <w:tcPr>
            <w:tcW w:w="3048" w:type="dxa"/>
            <w:tcBorders>
              <w:top w:val="single" w:sz="2" w:space="0" w:color="auto"/>
              <w:left w:val="single" w:sz="2" w:space="0" w:color="auto"/>
              <w:bottom w:val="single" w:sz="2" w:space="0" w:color="auto"/>
              <w:right w:val="single" w:sz="2" w:space="0" w:color="auto"/>
            </w:tcBorders>
            <w:vAlign w:val="center"/>
          </w:tcPr>
          <w:p w14:paraId="1C2B53C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81,729.13</w:t>
            </w:r>
          </w:p>
        </w:tc>
      </w:tr>
      <w:tr w:rsidR="00095F6F" w14:paraId="3000B961"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61D8C8C"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1.</w:t>
            </w:r>
            <w:r w:rsidRPr="006F7D2A">
              <w:rPr>
                <w:rFonts w:ascii="Times New Roman" w:eastAsia="宋体" w:hAnsi="Times New Roman" w:cs="Times New Roman"/>
                <w:sz w:val="18"/>
                <w:szCs w:val="18"/>
              </w:rPr>
              <w:t>当期服务成本</w:t>
            </w:r>
          </w:p>
        </w:tc>
        <w:tc>
          <w:tcPr>
            <w:tcW w:w="3047" w:type="dxa"/>
            <w:tcBorders>
              <w:top w:val="single" w:sz="2" w:space="0" w:color="auto"/>
              <w:left w:val="single" w:sz="2" w:space="0" w:color="auto"/>
              <w:bottom w:val="single" w:sz="2" w:space="0" w:color="auto"/>
              <w:right w:val="single" w:sz="2" w:space="0" w:color="auto"/>
            </w:tcBorders>
            <w:vAlign w:val="center"/>
          </w:tcPr>
          <w:p w14:paraId="76A5A71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32,943.16</w:t>
            </w:r>
          </w:p>
        </w:tc>
        <w:tc>
          <w:tcPr>
            <w:tcW w:w="3048" w:type="dxa"/>
            <w:tcBorders>
              <w:top w:val="single" w:sz="2" w:space="0" w:color="auto"/>
              <w:left w:val="single" w:sz="2" w:space="0" w:color="auto"/>
              <w:bottom w:val="single" w:sz="2" w:space="0" w:color="auto"/>
              <w:right w:val="single" w:sz="2" w:space="0" w:color="auto"/>
            </w:tcBorders>
            <w:vAlign w:val="center"/>
          </w:tcPr>
          <w:p w14:paraId="4C08A541"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32,734.73</w:t>
            </w:r>
          </w:p>
        </w:tc>
      </w:tr>
      <w:tr w:rsidR="00095F6F" w14:paraId="42B601A4"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ADC2CE1"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4.</w:t>
            </w:r>
            <w:r w:rsidRPr="006F7D2A">
              <w:rPr>
                <w:rFonts w:ascii="Times New Roman" w:eastAsia="宋体" w:hAnsi="Times New Roman" w:cs="Times New Roman"/>
                <w:sz w:val="18"/>
                <w:szCs w:val="18"/>
              </w:rPr>
              <w:t>利息净额</w:t>
            </w:r>
          </w:p>
        </w:tc>
        <w:tc>
          <w:tcPr>
            <w:tcW w:w="3047" w:type="dxa"/>
            <w:tcBorders>
              <w:top w:val="single" w:sz="2" w:space="0" w:color="auto"/>
              <w:left w:val="single" w:sz="2" w:space="0" w:color="auto"/>
              <w:bottom w:val="single" w:sz="2" w:space="0" w:color="auto"/>
              <w:right w:val="single" w:sz="2" w:space="0" w:color="auto"/>
            </w:tcBorders>
            <w:vAlign w:val="center"/>
          </w:tcPr>
          <w:p w14:paraId="6BB2BA62"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36,217.77</w:t>
            </w:r>
          </w:p>
        </w:tc>
        <w:tc>
          <w:tcPr>
            <w:tcW w:w="3048" w:type="dxa"/>
            <w:tcBorders>
              <w:top w:val="single" w:sz="2" w:space="0" w:color="auto"/>
              <w:left w:val="single" w:sz="2" w:space="0" w:color="auto"/>
              <w:bottom w:val="single" w:sz="2" w:space="0" w:color="auto"/>
              <w:right w:val="single" w:sz="2" w:space="0" w:color="auto"/>
            </w:tcBorders>
            <w:vAlign w:val="center"/>
          </w:tcPr>
          <w:p w14:paraId="42A5421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48,994.40</w:t>
            </w:r>
          </w:p>
        </w:tc>
      </w:tr>
      <w:tr w:rsidR="00095F6F" w14:paraId="01AFFD44"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2F8D50E"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三、计入其他综合收益的设定收益成本</w:t>
            </w:r>
          </w:p>
        </w:tc>
        <w:tc>
          <w:tcPr>
            <w:tcW w:w="3047" w:type="dxa"/>
            <w:tcBorders>
              <w:top w:val="single" w:sz="2" w:space="0" w:color="auto"/>
              <w:left w:val="single" w:sz="2" w:space="0" w:color="auto"/>
              <w:bottom w:val="single" w:sz="2" w:space="0" w:color="auto"/>
              <w:right w:val="single" w:sz="2" w:space="0" w:color="auto"/>
            </w:tcBorders>
            <w:vAlign w:val="center"/>
          </w:tcPr>
          <w:p w14:paraId="1F121F54"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66,003.16</w:t>
            </w:r>
          </w:p>
        </w:tc>
        <w:tc>
          <w:tcPr>
            <w:tcW w:w="3048" w:type="dxa"/>
            <w:tcBorders>
              <w:top w:val="single" w:sz="2" w:space="0" w:color="auto"/>
              <w:left w:val="single" w:sz="2" w:space="0" w:color="auto"/>
              <w:bottom w:val="single" w:sz="2" w:space="0" w:color="auto"/>
              <w:right w:val="single" w:sz="2" w:space="0" w:color="auto"/>
            </w:tcBorders>
            <w:vAlign w:val="center"/>
          </w:tcPr>
          <w:p w14:paraId="15489790"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-182,965.11</w:t>
            </w:r>
          </w:p>
        </w:tc>
      </w:tr>
      <w:tr w:rsidR="00095F6F" w14:paraId="5D278464"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39F9130"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1.</w:t>
            </w:r>
            <w:r w:rsidRPr="006F7D2A">
              <w:rPr>
                <w:rFonts w:ascii="Times New Roman" w:eastAsia="宋体" w:hAnsi="Times New Roman" w:cs="Times New Roman"/>
                <w:sz w:val="18"/>
                <w:szCs w:val="18"/>
              </w:rPr>
              <w:t>精算利得（损失以</w:t>
            </w:r>
            <w:r w:rsidRPr="006F7D2A">
              <w:rPr>
                <w:rFonts w:ascii="Times New Roman" w:eastAsia="宋体" w:hAnsi="Times New Roman" w:cs="Times New Roman"/>
                <w:sz w:val="18"/>
                <w:szCs w:val="18"/>
              </w:rPr>
              <w:t>“</w:t>
            </w:r>
            <w:r w:rsidRPr="006F7D2A">
              <w:rPr>
                <w:rFonts w:ascii="Times New Roman" w:eastAsia="宋体" w:hAnsi="Times New Roman" w:cs="Times New Roman"/>
                <w:sz w:val="18"/>
                <w:szCs w:val="18"/>
              </w:rPr>
              <w:t>－</w:t>
            </w:r>
            <w:r w:rsidRPr="006F7D2A">
              <w:rPr>
                <w:rFonts w:ascii="Times New Roman" w:eastAsia="宋体" w:hAnsi="Times New Roman" w:cs="Times New Roman"/>
                <w:sz w:val="18"/>
                <w:szCs w:val="18"/>
              </w:rPr>
              <w:t>”</w:t>
            </w:r>
            <w:r w:rsidRPr="006F7D2A">
              <w:rPr>
                <w:rFonts w:ascii="Times New Roman" w:eastAsia="宋体" w:hAnsi="Times New Roman" w:cs="Times New Roman"/>
                <w:sz w:val="18"/>
                <w:szCs w:val="18"/>
              </w:rPr>
              <w:t>表示）</w:t>
            </w:r>
          </w:p>
        </w:tc>
        <w:tc>
          <w:tcPr>
            <w:tcW w:w="3047" w:type="dxa"/>
            <w:tcBorders>
              <w:top w:val="single" w:sz="2" w:space="0" w:color="auto"/>
              <w:left w:val="single" w:sz="2" w:space="0" w:color="auto"/>
              <w:bottom w:val="single" w:sz="2" w:space="0" w:color="auto"/>
              <w:right w:val="single" w:sz="2" w:space="0" w:color="auto"/>
            </w:tcBorders>
            <w:vAlign w:val="center"/>
          </w:tcPr>
          <w:p w14:paraId="1B919596"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66,003.16</w:t>
            </w:r>
          </w:p>
        </w:tc>
        <w:tc>
          <w:tcPr>
            <w:tcW w:w="3048" w:type="dxa"/>
            <w:tcBorders>
              <w:top w:val="single" w:sz="2" w:space="0" w:color="auto"/>
              <w:left w:val="single" w:sz="2" w:space="0" w:color="auto"/>
              <w:bottom w:val="single" w:sz="2" w:space="0" w:color="auto"/>
              <w:right w:val="single" w:sz="2" w:space="0" w:color="auto"/>
            </w:tcBorders>
            <w:vAlign w:val="center"/>
          </w:tcPr>
          <w:p w14:paraId="3B246958"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-182,965.11</w:t>
            </w:r>
          </w:p>
        </w:tc>
      </w:tr>
      <w:tr w:rsidR="00095F6F" w14:paraId="650F4707"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77D3F1A"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四、其他变动</w:t>
            </w:r>
          </w:p>
        </w:tc>
        <w:tc>
          <w:tcPr>
            <w:tcW w:w="3047" w:type="dxa"/>
            <w:tcBorders>
              <w:top w:val="single" w:sz="2" w:space="0" w:color="auto"/>
              <w:left w:val="single" w:sz="2" w:space="0" w:color="auto"/>
              <w:bottom w:val="single" w:sz="2" w:space="0" w:color="auto"/>
              <w:right w:val="single" w:sz="2" w:space="0" w:color="auto"/>
            </w:tcBorders>
            <w:vAlign w:val="center"/>
          </w:tcPr>
          <w:p w14:paraId="1AEACDE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122,890.68</w:t>
            </w:r>
          </w:p>
        </w:tc>
        <w:tc>
          <w:tcPr>
            <w:tcW w:w="3048" w:type="dxa"/>
            <w:tcBorders>
              <w:top w:val="single" w:sz="2" w:space="0" w:color="auto"/>
              <w:left w:val="single" w:sz="2" w:space="0" w:color="auto"/>
              <w:bottom w:val="single" w:sz="2" w:space="0" w:color="auto"/>
              <w:right w:val="single" w:sz="2" w:space="0" w:color="auto"/>
            </w:tcBorders>
            <w:vAlign w:val="center"/>
          </w:tcPr>
          <w:p w14:paraId="3CE99100"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-2,310,744.37</w:t>
            </w:r>
          </w:p>
        </w:tc>
      </w:tr>
      <w:tr w:rsidR="00095F6F" w14:paraId="1D9B15E4"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77B2EED"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1.</w:t>
            </w:r>
            <w:r w:rsidRPr="006F7D2A">
              <w:rPr>
                <w:rFonts w:ascii="Times New Roman" w:eastAsia="宋体" w:hAnsi="Times New Roman" w:cs="Times New Roman"/>
                <w:sz w:val="18"/>
                <w:szCs w:val="18"/>
              </w:rPr>
              <w:t>结算时支付的对价</w:t>
            </w:r>
          </w:p>
        </w:tc>
        <w:tc>
          <w:tcPr>
            <w:tcW w:w="3047" w:type="dxa"/>
            <w:tcBorders>
              <w:top w:val="single" w:sz="2" w:space="0" w:color="auto"/>
              <w:left w:val="single" w:sz="2" w:space="0" w:color="auto"/>
              <w:bottom w:val="single" w:sz="2" w:space="0" w:color="auto"/>
              <w:right w:val="single" w:sz="2" w:space="0" w:color="auto"/>
            </w:tcBorders>
            <w:vAlign w:val="center"/>
          </w:tcPr>
          <w:p w14:paraId="5BC41C41" w14:textId="77777777" w:rsidR="00A46BF1" w:rsidRPr="006F7D2A" w:rsidRDefault="00A46BF1" w:rsidP="006F7D2A">
            <w:pPr>
              <w:spacing w:line="360" w:lineRule="auto"/>
              <w:jc w:val="right"/>
              <w:rPr>
                <w:rFonts w:ascii="Times New Roman" w:eastAsia="宋体" w:hAnsi="Times New Roman" w:cs="Times New Roman"/>
                <w:sz w:val="18"/>
                <w:szCs w:val="18"/>
              </w:rPr>
            </w:pPr>
          </w:p>
        </w:tc>
        <w:tc>
          <w:tcPr>
            <w:tcW w:w="3048" w:type="dxa"/>
            <w:tcBorders>
              <w:top w:val="single" w:sz="2" w:space="0" w:color="auto"/>
              <w:left w:val="single" w:sz="2" w:space="0" w:color="auto"/>
              <w:bottom w:val="single" w:sz="2" w:space="0" w:color="auto"/>
              <w:right w:val="single" w:sz="2" w:space="0" w:color="auto"/>
            </w:tcBorders>
            <w:vAlign w:val="center"/>
          </w:tcPr>
          <w:p w14:paraId="0D7CC182"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-1,890,667.88</w:t>
            </w:r>
          </w:p>
        </w:tc>
      </w:tr>
      <w:tr w:rsidR="00095F6F" w14:paraId="5937DAEB"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D7BE5CB"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2.</w:t>
            </w:r>
            <w:r w:rsidRPr="006F7D2A">
              <w:rPr>
                <w:rFonts w:ascii="Times New Roman" w:eastAsia="宋体" w:hAnsi="Times New Roman" w:cs="Times New Roman"/>
                <w:sz w:val="18"/>
                <w:szCs w:val="18"/>
              </w:rPr>
              <w:t>已支付的福利</w:t>
            </w:r>
          </w:p>
        </w:tc>
        <w:tc>
          <w:tcPr>
            <w:tcW w:w="3047" w:type="dxa"/>
            <w:tcBorders>
              <w:top w:val="single" w:sz="2" w:space="0" w:color="auto"/>
              <w:left w:val="single" w:sz="2" w:space="0" w:color="auto"/>
              <w:bottom w:val="single" w:sz="2" w:space="0" w:color="auto"/>
              <w:right w:val="single" w:sz="2" w:space="0" w:color="auto"/>
            </w:tcBorders>
            <w:vAlign w:val="center"/>
          </w:tcPr>
          <w:p w14:paraId="452B8798"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-36,426.10</w:t>
            </w:r>
          </w:p>
        </w:tc>
        <w:tc>
          <w:tcPr>
            <w:tcW w:w="3048" w:type="dxa"/>
            <w:tcBorders>
              <w:top w:val="single" w:sz="2" w:space="0" w:color="auto"/>
              <w:left w:val="single" w:sz="2" w:space="0" w:color="auto"/>
              <w:bottom w:val="single" w:sz="2" w:space="0" w:color="auto"/>
              <w:right w:val="single" w:sz="2" w:space="0" w:color="auto"/>
            </w:tcBorders>
            <w:vAlign w:val="center"/>
          </w:tcPr>
          <w:p w14:paraId="31FDACF5" w14:textId="77777777" w:rsidR="00A46BF1" w:rsidRPr="006F7D2A" w:rsidRDefault="00A46BF1" w:rsidP="006F7D2A">
            <w:pPr>
              <w:spacing w:line="360" w:lineRule="auto"/>
              <w:jc w:val="right"/>
              <w:rPr>
                <w:rFonts w:ascii="Times New Roman" w:eastAsia="宋体" w:hAnsi="Times New Roman" w:cs="Times New Roman"/>
                <w:sz w:val="18"/>
                <w:szCs w:val="18"/>
              </w:rPr>
            </w:pPr>
          </w:p>
        </w:tc>
      </w:tr>
      <w:tr w:rsidR="00095F6F" w14:paraId="105E17F1"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3385AE57"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3.</w:t>
            </w:r>
            <w:r w:rsidRPr="006F7D2A">
              <w:rPr>
                <w:rFonts w:ascii="Times New Roman" w:eastAsia="宋体" w:hAnsi="Times New Roman" w:cs="Times New Roman"/>
                <w:sz w:val="18"/>
                <w:szCs w:val="18"/>
              </w:rPr>
              <w:t>折算汇率差</w:t>
            </w:r>
          </w:p>
        </w:tc>
        <w:tc>
          <w:tcPr>
            <w:tcW w:w="3047" w:type="dxa"/>
            <w:tcBorders>
              <w:top w:val="single" w:sz="2" w:space="0" w:color="auto"/>
              <w:left w:val="single" w:sz="2" w:space="0" w:color="auto"/>
              <w:bottom w:val="single" w:sz="2" w:space="0" w:color="auto"/>
              <w:right w:val="single" w:sz="2" w:space="0" w:color="auto"/>
            </w:tcBorders>
            <w:vAlign w:val="center"/>
          </w:tcPr>
          <w:p w14:paraId="2A7E1267"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159,316.78</w:t>
            </w:r>
          </w:p>
        </w:tc>
        <w:tc>
          <w:tcPr>
            <w:tcW w:w="3048" w:type="dxa"/>
            <w:tcBorders>
              <w:top w:val="single" w:sz="2" w:space="0" w:color="auto"/>
              <w:left w:val="single" w:sz="2" w:space="0" w:color="auto"/>
              <w:bottom w:val="single" w:sz="2" w:space="0" w:color="auto"/>
              <w:right w:val="single" w:sz="2" w:space="0" w:color="auto"/>
            </w:tcBorders>
            <w:vAlign w:val="center"/>
          </w:tcPr>
          <w:p w14:paraId="4194C83E"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-420,076.49</w:t>
            </w:r>
          </w:p>
        </w:tc>
      </w:tr>
      <w:tr w:rsidR="00095F6F" w14:paraId="37627AEB"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97557C4"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五、期末余额</w:t>
            </w:r>
          </w:p>
        </w:tc>
        <w:tc>
          <w:tcPr>
            <w:tcW w:w="3047" w:type="dxa"/>
            <w:tcBorders>
              <w:top w:val="single" w:sz="2" w:space="0" w:color="auto"/>
              <w:left w:val="single" w:sz="2" w:space="0" w:color="auto"/>
              <w:bottom w:val="single" w:sz="2" w:space="0" w:color="auto"/>
              <w:right w:val="single" w:sz="2" w:space="0" w:color="auto"/>
            </w:tcBorders>
            <w:vAlign w:val="center"/>
          </w:tcPr>
          <w:p w14:paraId="35B4DE1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2,270,794.91</w:t>
            </w:r>
          </w:p>
        </w:tc>
        <w:tc>
          <w:tcPr>
            <w:tcW w:w="3048" w:type="dxa"/>
            <w:tcBorders>
              <w:top w:val="single" w:sz="2" w:space="0" w:color="auto"/>
              <w:left w:val="single" w:sz="2" w:space="0" w:color="auto"/>
              <w:bottom w:val="single" w:sz="2" w:space="0" w:color="auto"/>
              <w:right w:val="single" w:sz="2" w:space="0" w:color="auto"/>
            </w:tcBorders>
            <w:vAlign w:val="center"/>
          </w:tcPr>
          <w:p w14:paraId="76B8AA56"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2,012,740.14</w:t>
            </w:r>
          </w:p>
        </w:tc>
      </w:tr>
    </w:tbl>
    <w:p w14:paraId="2B60F310"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计划资产：</w:t>
      </w:r>
    </w:p>
    <w:p w14:paraId="415973F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546960CE"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1FC3C68B"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34A49239"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本期发生额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288A5260"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上期发生额</w:t>
            </w:r>
          </w:p>
        </w:tc>
      </w:tr>
      <w:tr w:rsidR="00095F6F" w14:paraId="2C5C1AD8"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1D2B2DE9"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一、期初余额</w:t>
            </w:r>
          </w:p>
        </w:tc>
        <w:tc>
          <w:tcPr>
            <w:tcW w:w="3047" w:type="dxa"/>
            <w:tcBorders>
              <w:top w:val="single" w:sz="2" w:space="0" w:color="auto"/>
              <w:left w:val="single" w:sz="2" w:space="0" w:color="auto"/>
              <w:bottom w:val="single" w:sz="2" w:space="0" w:color="auto"/>
              <w:right w:val="single" w:sz="2" w:space="0" w:color="auto"/>
            </w:tcBorders>
            <w:vAlign w:val="center"/>
          </w:tcPr>
          <w:p w14:paraId="1C8CF819"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1,861,880.35</w:t>
            </w:r>
          </w:p>
        </w:tc>
        <w:tc>
          <w:tcPr>
            <w:tcW w:w="3048" w:type="dxa"/>
            <w:tcBorders>
              <w:top w:val="single" w:sz="2" w:space="0" w:color="auto"/>
              <w:left w:val="single" w:sz="2" w:space="0" w:color="auto"/>
              <w:bottom w:val="single" w:sz="2" w:space="0" w:color="auto"/>
              <w:right w:val="single" w:sz="2" w:space="0" w:color="auto"/>
            </w:tcBorders>
            <w:vAlign w:val="center"/>
          </w:tcPr>
          <w:p w14:paraId="67169040"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2,964,308.40</w:t>
            </w:r>
          </w:p>
        </w:tc>
      </w:tr>
      <w:tr w:rsidR="00095F6F" w14:paraId="6A586A5E"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536B59D7"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三、计入其他综合收益的设定收益成本</w:t>
            </w:r>
          </w:p>
        </w:tc>
        <w:tc>
          <w:tcPr>
            <w:tcW w:w="3047" w:type="dxa"/>
            <w:tcBorders>
              <w:top w:val="single" w:sz="2" w:space="0" w:color="auto"/>
              <w:left w:val="single" w:sz="2" w:space="0" w:color="auto"/>
              <w:bottom w:val="single" w:sz="2" w:space="0" w:color="auto"/>
              <w:right w:val="single" w:sz="2" w:space="0" w:color="auto"/>
            </w:tcBorders>
            <w:vAlign w:val="center"/>
          </w:tcPr>
          <w:p w14:paraId="586277CD"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212,859.80</w:t>
            </w:r>
          </w:p>
        </w:tc>
        <w:tc>
          <w:tcPr>
            <w:tcW w:w="3048" w:type="dxa"/>
            <w:tcBorders>
              <w:top w:val="single" w:sz="2" w:space="0" w:color="auto"/>
              <w:left w:val="single" w:sz="2" w:space="0" w:color="auto"/>
              <w:bottom w:val="single" w:sz="2" w:space="0" w:color="auto"/>
              <w:right w:val="single" w:sz="2" w:space="0" w:color="auto"/>
            </w:tcBorders>
            <w:vAlign w:val="center"/>
          </w:tcPr>
          <w:p w14:paraId="549AE67D"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300,603.32</w:t>
            </w:r>
          </w:p>
        </w:tc>
      </w:tr>
      <w:tr w:rsidR="00095F6F" w14:paraId="54D14724"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80ECBF4"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1.</w:t>
            </w:r>
            <w:r w:rsidRPr="006F7D2A">
              <w:rPr>
                <w:rFonts w:ascii="Times New Roman" w:eastAsia="宋体" w:hAnsi="Times New Roman" w:cs="Times New Roman"/>
                <w:sz w:val="18"/>
                <w:szCs w:val="18"/>
              </w:rPr>
              <w:t>计划资产回报（计入利息净额的除外）</w:t>
            </w:r>
          </w:p>
        </w:tc>
        <w:tc>
          <w:tcPr>
            <w:tcW w:w="3047" w:type="dxa"/>
            <w:tcBorders>
              <w:top w:val="single" w:sz="2" w:space="0" w:color="auto"/>
              <w:left w:val="single" w:sz="2" w:space="0" w:color="auto"/>
              <w:bottom w:val="single" w:sz="2" w:space="0" w:color="auto"/>
              <w:right w:val="single" w:sz="2" w:space="0" w:color="auto"/>
            </w:tcBorders>
            <w:vAlign w:val="center"/>
          </w:tcPr>
          <w:p w14:paraId="3AB3024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212,859.80</w:t>
            </w:r>
          </w:p>
        </w:tc>
        <w:tc>
          <w:tcPr>
            <w:tcW w:w="3048" w:type="dxa"/>
            <w:tcBorders>
              <w:top w:val="single" w:sz="2" w:space="0" w:color="auto"/>
              <w:left w:val="single" w:sz="2" w:space="0" w:color="auto"/>
              <w:bottom w:val="single" w:sz="2" w:space="0" w:color="auto"/>
              <w:right w:val="single" w:sz="2" w:space="0" w:color="auto"/>
            </w:tcBorders>
            <w:vAlign w:val="center"/>
          </w:tcPr>
          <w:p w14:paraId="006BC8FF"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300,603.32</w:t>
            </w:r>
          </w:p>
        </w:tc>
      </w:tr>
      <w:tr w:rsidR="00095F6F" w14:paraId="3C63A424"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B8E48F5"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四、其他变动</w:t>
            </w:r>
          </w:p>
        </w:tc>
        <w:tc>
          <w:tcPr>
            <w:tcW w:w="3047" w:type="dxa"/>
            <w:tcBorders>
              <w:top w:val="single" w:sz="2" w:space="0" w:color="auto"/>
              <w:left w:val="single" w:sz="2" w:space="0" w:color="auto"/>
              <w:bottom w:val="single" w:sz="2" w:space="0" w:color="auto"/>
              <w:right w:val="single" w:sz="2" w:space="0" w:color="auto"/>
            </w:tcBorders>
            <w:vAlign w:val="center"/>
          </w:tcPr>
          <w:p w14:paraId="0C91B699"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165,594.75</w:t>
            </w:r>
          </w:p>
        </w:tc>
        <w:tc>
          <w:tcPr>
            <w:tcW w:w="3048" w:type="dxa"/>
            <w:tcBorders>
              <w:top w:val="single" w:sz="2" w:space="0" w:color="auto"/>
              <w:left w:val="single" w:sz="2" w:space="0" w:color="auto"/>
              <w:bottom w:val="single" w:sz="2" w:space="0" w:color="auto"/>
              <w:right w:val="single" w:sz="2" w:space="0" w:color="auto"/>
            </w:tcBorders>
            <w:vAlign w:val="center"/>
          </w:tcPr>
          <w:p w14:paraId="4D16CC0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-1,403,031.37</w:t>
            </w:r>
          </w:p>
        </w:tc>
      </w:tr>
      <w:tr w:rsidR="00095F6F" w14:paraId="7D6846A0"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048531BD"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 xml:space="preserve">1. </w:t>
            </w:r>
            <w:r w:rsidRPr="006F7D2A">
              <w:rPr>
                <w:rFonts w:ascii="Times New Roman" w:eastAsia="宋体" w:hAnsi="Times New Roman" w:cs="Times New Roman"/>
                <w:sz w:val="18"/>
                <w:szCs w:val="18"/>
              </w:rPr>
              <w:t>雇主缴存</w:t>
            </w:r>
          </w:p>
        </w:tc>
        <w:tc>
          <w:tcPr>
            <w:tcW w:w="3047" w:type="dxa"/>
            <w:tcBorders>
              <w:top w:val="single" w:sz="2" w:space="0" w:color="auto"/>
              <w:left w:val="single" w:sz="2" w:space="0" w:color="auto"/>
              <w:bottom w:val="single" w:sz="2" w:space="0" w:color="auto"/>
              <w:right w:val="single" w:sz="2" w:space="0" w:color="auto"/>
            </w:tcBorders>
            <w:vAlign w:val="center"/>
          </w:tcPr>
          <w:p w14:paraId="04D1E220"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58,000.67</w:t>
            </w:r>
          </w:p>
        </w:tc>
        <w:tc>
          <w:tcPr>
            <w:tcW w:w="3048" w:type="dxa"/>
            <w:tcBorders>
              <w:top w:val="single" w:sz="2" w:space="0" w:color="auto"/>
              <w:left w:val="single" w:sz="2" w:space="0" w:color="auto"/>
              <w:bottom w:val="single" w:sz="2" w:space="0" w:color="auto"/>
              <w:right w:val="single" w:sz="2" w:space="0" w:color="auto"/>
            </w:tcBorders>
            <w:vAlign w:val="center"/>
          </w:tcPr>
          <w:p w14:paraId="02DC9D87"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544,770.85</w:t>
            </w:r>
          </w:p>
        </w:tc>
      </w:tr>
      <w:tr w:rsidR="00095F6F" w14:paraId="1F5405BC"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18B15BD8"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 xml:space="preserve">2. </w:t>
            </w:r>
            <w:r w:rsidRPr="006F7D2A">
              <w:rPr>
                <w:rFonts w:ascii="Times New Roman" w:eastAsia="宋体" w:hAnsi="Times New Roman" w:cs="Times New Roman"/>
                <w:sz w:val="18"/>
                <w:szCs w:val="18"/>
              </w:rPr>
              <w:t>雇主支付</w:t>
            </w:r>
          </w:p>
        </w:tc>
        <w:tc>
          <w:tcPr>
            <w:tcW w:w="3047" w:type="dxa"/>
            <w:tcBorders>
              <w:top w:val="single" w:sz="2" w:space="0" w:color="auto"/>
              <w:left w:val="single" w:sz="2" w:space="0" w:color="auto"/>
              <w:bottom w:val="single" w:sz="2" w:space="0" w:color="auto"/>
              <w:right w:val="single" w:sz="2" w:space="0" w:color="auto"/>
            </w:tcBorders>
            <w:vAlign w:val="center"/>
          </w:tcPr>
          <w:p w14:paraId="671D1C12"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-36,426.10</w:t>
            </w:r>
          </w:p>
        </w:tc>
        <w:tc>
          <w:tcPr>
            <w:tcW w:w="3048" w:type="dxa"/>
            <w:tcBorders>
              <w:top w:val="single" w:sz="2" w:space="0" w:color="auto"/>
              <w:left w:val="single" w:sz="2" w:space="0" w:color="auto"/>
              <w:bottom w:val="single" w:sz="2" w:space="0" w:color="auto"/>
              <w:right w:val="single" w:sz="2" w:space="0" w:color="auto"/>
            </w:tcBorders>
            <w:vAlign w:val="center"/>
          </w:tcPr>
          <w:p w14:paraId="62CADDFE"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-1,631,564.92</w:t>
            </w:r>
          </w:p>
        </w:tc>
      </w:tr>
      <w:tr w:rsidR="00095F6F" w14:paraId="65C94D78"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44919326" w14:textId="77777777" w:rsidR="00A46BF1" w:rsidRPr="006F7D2A" w:rsidRDefault="00A46BF1" w:rsidP="006F7D2A">
            <w:pPr>
              <w:spacing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 xml:space="preserve">3. </w:t>
            </w:r>
            <w:r w:rsidRPr="006F7D2A">
              <w:rPr>
                <w:rFonts w:ascii="Times New Roman" w:eastAsia="宋体" w:hAnsi="Times New Roman" w:cs="Times New Roman"/>
                <w:sz w:val="18"/>
                <w:szCs w:val="18"/>
              </w:rPr>
              <w:t>折算汇率差</w:t>
            </w:r>
          </w:p>
        </w:tc>
        <w:tc>
          <w:tcPr>
            <w:tcW w:w="3047" w:type="dxa"/>
            <w:tcBorders>
              <w:top w:val="single" w:sz="2" w:space="0" w:color="auto"/>
              <w:left w:val="single" w:sz="2" w:space="0" w:color="auto"/>
              <w:bottom w:val="single" w:sz="2" w:space="0" w:color="auto"/>
              <w:right w:val="single" w:sz="2" w:space="0" w:color="auto"/>
            </w:tcBorders>
            <w:vAlign w:val="center"/>
          </w:tcPr>
          <w:p w14:paraId="1FC6E349"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144,020.18</w:t>
            </w:r>
          </w:p>
        </w:tc>
        <w:tc>
          <w:tcPr>
            <w:tcW w:w="3048" w:type="dxa"/>
            <w:tcBorders>
              <w:top w:val="single" w:sz="2" w:space="0" w:color="auto"/>
              <w:left w:val="single" w:sz="2" w:space="0" w:color="auto"/>
              <w:bottom w:val="single" w:sz="2" w:space="0" w:color="auto"/>
              <w:right w:val="single" w:sz="2" w:space="0" w:color="auto"/>
            </w:tcBorders>
            <w:vAlign w:val="center"/>
          </w:tcPr>
          <w:p w14:paraId="2C0A3020"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-316,237.30</w:t>
            </w:r>
          </w:p>
        </w:tc>
      </w:tr>
      <w:tr w:rsidR="00095F6F" w14:paraId="09E88F8B"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883A741"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五、期末余额</w:t>
            </w:r>
          </w:p>
        </w:tc>
        <w:tc>
          <w:tcPr>
            <w:tcW w:w="3047" w:type="dxa"/>
            <w:tcBorders>
              <w:top w:val="single" w:sz="2" w:space="0" w:color="auto"/>
              <w:left w:val="single" w:sz="2" w:space="0" w:color="auto"/>
              <w:bottom w:val="single" w:sz="2" w:space="0" w:color="auto"/>
              <w:right w:val="single" w:sz="2" w:space="0" w:color="auto"/>
            </w:tcBorders>
            <w:vAlign w:val="center"/>
          </w:tcPr>
          <w:p w14:paraId="6DB453C2"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2,240,334.90</w:t>
            </w:r>
          </w:p>
        </w:tc>
        <w:tc>
          <w:tcPr>
            <w:tcW w:w="3048" w:type="dxa"/>
            <w:tcBorders>
              <w:top w:val="single" w:sz="2" w:space="0" w:color="auto"/>
              <w:left w:val="single" w:sz="2" w:space="0" w:color="auto"/>
              <w:bottom w:val="single" w:sz="2" w:space="0" w:color="auto"/>
              <w:right w:val="single" w:sz="2" w:space="0" w:color="auto"/>
            </w:tcBorders>
            <w:vAlign w:val="center"/>
          </w:tcPr>
          <w:p w14:paraId="39FE3017"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1,861,880.35</w:t>
            </w:r>
          </w:p>
        </w:tc>
      </w:tr>
    </w:tbl>
    <w:p w14:paraId="5AA53A5B"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设定受益计划净负债（净资产）</w:t>
      </w:r>
    </w:p>
    <w:p w14:paraId="0FBC9BF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1D19572A"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51B708B9"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75D6866F"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本期发生额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41F03960"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上期发生额</w:t>
            </w:r>
          </w:p>
        </w:tc>
      </w:tr>
      <w:tr w:rsidR="00095F6F" w14:paraId="397657E2"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3B86166"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一、期初余额</w:t>
            </w:r>
          </w:p>
        </w:tc>
        <w:tc>
          <w:tcPr>
            <w:tcW w:w="3047" w:type="dxa"/>
            <w:tcBorders>
              <w:top w:val="single" w:sz="2" w:space="0" w:color="auto"/>
              <w:left w:val="single" w:sz="2" w:space="0" w:color="auto"/>
              <w:bottom w:val="single" w:sz="2" w:space="0" w:color="auto"/>
              <w:right w:val="single" w:sz="2" w:space="0" w:color="auto"/>
            </w:tcBorders>
            <w:vAlign w:val="center"/>
          </w:tcPr>
          <w:p w14:paraId="737D4B5C"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150,859.79</w:t>
            </w:r>
          </w:p>
        </w:tc>
        <w:tc>
          <w:tcPr>
            <w:tcW w:w="3048" w:type="dxa"/>
            <w:tcBorders>
              <w:top w:val="single" w:sz="2" w:space="0" w:color="auto"/>
              <w:left w:val="single" w:sz="2" w:space="0" w:color="auto"/>
              <w:bottom w:val="single" w:sz="2" w:space="0" w:color="auto"/>
              <w:right w:val="single" w:sz="2" w:space="0" w:color="auto"/>
            </w:tcBorders>
            <w:vAlign w:val="center"/>
          </w:tcPr>
          <w:p w14:paraId="28C1094D"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1,460,412.09</w:t>
            </w:r>
          </w:p>
        </w:tc>
      </w:tr>
      <w:tr w:rsidR="00095F6F" w14:paraId="4FE03491"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89C2B84"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二、计入当期损益的设定受益成本</w:t>
            </w:r>
          </w:p>
        </w:tc>
        <w:tc>
          <w:tcPr>
            <w:tcW w:w="3047" w:type="dxa"/>
            <w:tcBorders>
              <w:top w:val="single" w:sz="2" w:space="0" w:color="auto"/>
              <w:left w:val="single" w:sz="2" w:space="0" w:color="auto"/>
              <w:bottom w:val="single" w:sz="2" w:space="0" w:color="auto"/>
              <w:right w:val="single" w:sz="2" w:space="0" w:color="auto"/>
            </w:tcBorders>
            <w:vAlign w:val="center"/>
          </w:tcPr>
          <w:p w14:paraId="2A3E388D"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69,160.93</w:t>
            </w:r>
          </w:p>
        </w:tc>
        <w:tc>
          <w:tcPr>
            <w:tcW w:w="3048" w:type="dxa"/>
            <w:tcBorders>
              <w:top w:val="single" w:sz="2" w:space="0" w:color="auto"/>
              <w:left w:val="single" w:sz="2" w:space="0" w:color="auto"/>
              <w:bottom w:val="single" w:sz="2" w:space="0" w:color="auto"/>
              <w:right w:val="single" w:sz="2" w:space="0" w:color="auto"/>
            </w:tcBorders>
            <w:vAlign w:val="center"/>
          </w:tcPr>
          <w:p w14:paraId="300C4BA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81,729.13</w:t>
            </w:r>
          </w:p>
        </w:tc>
      </w:tr>
      <w:tr w:rsidR="00095F6F" w14:paraId="22C7699C"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C89A143"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三、计入其他综合收益的设定收益成本</w:t>
            </w:r>
          </w:p>
        </w:tc>
        <w:tc>
          <w:tcPr>
            <w:tcW w:w="3047" w:type="dxa"/>
            <w:tcBorders>
              <w:top w:val="single" w:sz="2" w:space="0" w:color="auto"/>
              <w:left w:val="single" w:sz="2" w:space="0" w:color="auto"/>
              <w:bottom w:val="single" w:sz="2" w:space="0" w:color="auto"/>
              <w:right w:val="single" w:sz="2" w:space="0" w:color="auto"/>
            </w:tcBorders>
            <w:vAlign w:val="center"/>
          </w:tcPr>
          <w:p w14:paraId="56FC56D6"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-146,856.64</w:t>
            </w:r>
          </w:p>
        </w:tc>
        <w:tc>
          <w:tcPr>
            <w:tcW w:w="3048" w:type="dxa"/>
            <w:tcBorders>
              <w:top w:val="single" w:sz="2" w:space="0" w:color="auto"/>
              <w:left w:val="single" w:sz="2" w:space="0" w:color="auto"/>
              <w:bottom w:val="single" w:sz="2" w:space="0" w:color="auto"/>
              <w:right w:val="single" w:sz="2" w:space="0" w:color="auto"/>
            </w:tcBorders>
            <w:vAlign w:val="center"/>
          </w:tcPr>
          <w:p w14:paraId="299C453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-483,568.43</w:t>
            </w:r>
          </w:p>
        </w:tc>
      </w:tr>
      <w:tr w:rsidR="00095F6F" w14:paraId="321F22C0"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ECDD585"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四、其他变动</w:t>
            </w:r>
          </w:p>
        </w:tc>
        <w:tc>
          <w:tcPr>
            <w:tcW w:w="3047" w:type="dxa"/>
            <w:tcBorders>
              <w:top w:val="single" w:sz="2" w:space="0" w:color="auto"/>
              <w:left w:val="single" w:sz="2" w:space="0" w:color="auto"/>
              <w:bottom w:val="single" w:sz="2" w:space="0" w:color="auto"/>
              <w:right w:val="single" w:sz="2" w:space="0" w:color="auto"/>
            </w:tcBorders>
            <w:vAlign w:val="center"/>
          </w:tcPr>
          <w:p w14:paraId="29850E7C"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-42,704.07</w:t>
            </w:r>
          </w:p>
        </w:tc>
        <w:tc>
          <w:tcPr>
            <w:tcW w:w="3048" w:type="dxa"/>
            <w:tcBorders>
              <w:top w:val="single" w:sz="2" w:space="0" w:color="auto"/>
              <w:left w:val="single" w:sz="2" w:space="0" w:color="auto"/>
              <w:bottom w:val="single" w:sz="2" w:space="0" w:color="auto"/>
              <w:right w:val="single" w:sz="2" w:space="0" w:color="auto"/>
            </w:tcBorders>
            <w:vAlign w:val="center"/>
          </w:tcPr>
          <w:p w14:paraId="7089633E"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-907,713.00</w:t>
            </w:r>
          </w:p>
        </w:tc>
      </w:tr>
      <w:tr w:rsidR="00095F6F" w14:paraId="5B11AB68" w14:textId="77777777" w:rsidTr="006F7D2A">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3C6C145"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五、期末余额</w:t>
            </w:r>
          </w:p>
        </w:tc>
        <w:tc>
          <w:tcPr>
            <w:tcW w:w="3047" w:type="dxa"/>
            <w:tcBorders>
              <w:top w:val="single" w:sz="2" w:space="0" w:color="auto"/>
              <w:left w:val="single" w:sz="2" w:space="0" w:color="auto"/>
              <w:bottom w:val="single" w:sz="2" w:space="0" w:color="auto"/>
              <w:right w:val="single" w:sz="2" w:space="0" w:color="auto"/>
            </w:tcBorders>
            <w:vAlign w:val="center"/>
          </w:tcPr>
          <w:p w14:paraId="5AF160DC"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30,460.01</w:t>
            </w:r>
          </w:p>
        </w:tc>
        <w:tc>
          <w:tcPr>
            <w:tcW w:w="3048" w:type="dxa"/>
            <w:tcBorders>
              <w:top w:val="single" w:sz="2" w:space="0" w:color="auto"/>
              <w:left w:val="single" w:sz="2" w:space="0" w:color="auto"/>
              <w:bottom w:val="single" w:sz="2" w:space="0" w:color="auto"/>
              <w:right w:val="single" w:sz="2" w:space="0" w:color="auto"/>
            </w:tcBorders>
            <w:vAlign w:val="center"/>
          </w:tcPr>
          <w:p w14:paraId="791DCE3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150,859.79</w:t>
            </w:r>
          </w:p>
        </w:tc>
      </w:tr>
    </w:tbl>
    <w:p w14:paraId="7A64449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设定受益计划的内容及与之相关风险、对公司未来现金流量、时间和不确定性的影响说明：</w:t>
      </w:r>
    </w:p>
    <w:p w14:paraId="73A7D933" w14:textId="54968F34"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本集团的设定受益计划是本公司之子公司长沙心诺健康产业投资有限公司的孙公司台湾三伟达医疗器材股份有限公司为符合条件的员工提供离职前薪水退休金计划。在该计划下，员工有权享受设定受益计划约定的退休福利。该计划定期向台湾银行信托部缴存费用，由台湾银行信托部进行管理并投资，其持有的资产与台湾三伟达医疗器材股份有限公司的资产单独分开。受托人负责确定该计划的投资策略。</w:t>
      </w:r>
    </w:p>
    <w:p w14:paraId="0944680D" w14:textId="1DFF3CFF"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审核计划的资金水平。该审核包括资产负债匹配策略和投资风险管理策略。受托人根据年度审核的结果决定应缴存额。</w:t>
      </w:r>
    </w:p>
    <w:p w14:paraId="20586B34" w14:textId="38870A16"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该计划受利率风险、退休金受益人的预期寿命变动风险和证券市场风险的影响。</w:t>
      </w:r>
    </w:p>
    <w:p w14:paraId="7B15715E" w14:textId="77777777" w:rsidR="00A46BF1" w:rsidRPr="0043130A" w:rsidRDefault="00A46BF1" w:rsidP="0043130A">
      <w:pPr>
        <w:spacing w:before="100" w:after="100" w:line="240" w:lineRule="exact"/>
        <w:rPr>
          <w:rFonts w:ascii="宋体" w:eastAsia="宋体" w:hAnsi="宋体" w:cs="宋体"/>
          <w:sz w:val="18"/>
          <w:szCs w:val="18"/>
        </w:rPr>
      </w:pPr>
      <w:r w:rsidRPr="0043130A">
        <w:rPr>
          <w:rFonts w:ascii="宋体" w:eastAsia="宋体" w:hAnsi="宋体" w:cs="宋体"/>
          <w:sz w:val="18"/>
          <w:szCs w:val="18"/>
        </w:rPr>
        <w:t>设定受益计划重大精算假设及敏感性分析结果说明：</w:t>
      </w:r>
    </w:p>
    <w:p w14:paraId="00AB2E4B" w14:textId="72E70762"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该计划资产的最近精算估值和设定受益义务的现值使用预期累积福利单位法确定。</w:t>
      </w:r>
    </w:p>
    <w:p w14:paraId="421BB290" w14:textId="1F7322FB"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下表为资产负债表日所使用的主要精算假设：</w:t>
      </w:r>
    </w:p>
    <w:tbl>
      <w:tblPr>
        <w:tblW w:w="5000" w:type="pct"/>
        <w:jc w:val="center"/>
        <w:tblCellMar>
          <w:left w:w="0" w:type="dxa"/>
          <w:right w:w="0" w:type="dxa"/>
        </w:tblCellMar>
        <w:tblLook w:val="04A0" w:firstRow="1" w:lastRow="0" w:firstColumn="1" w:lastColumn="0" w:noHBand="0" w:noVBand="1"/>
      </w:tblPr>
      <w:tblGrid>
        <w:gridCol w:w="6050"/>
        <w:gridCol w:w="1919"/>
        <w:gridCol w:w="1884"/>
      </w:tblGrid>
      <w:tr w:rsidR="00A46BF1" w14:paraId="43F6104E" w14:textId="77777777" w:rsidTr="006F7D2A">
        <w:trPr>
          <w:trHeight w:val="425"/>
          <w:tblHeader/>
          <w:jc w:val="center"/>
        </w:trPr>
        <w:tc>
          <w:tcPr>
            <w:tcW w:w="307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9E0472"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Style w:val="aa"/>
                <w:rFonts w:ascii="Times New Roman" w:hAnsi="Times New Roman" w:cs="Times New Roman"/>
                <w:color w:val="000000"/>
                <w:spacing w:val="-10"/>
                <w:sz w:val="18"/>
                <w:szCs w:val="18"/>
              </w:rPr>
              <w:t>主要假设</w:t>
            </w:r>
          </w:p>
        </w:tc>
        <w:tc>
          <w:tcPr>
            <w:tcW w:w="97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81D6F51"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Style w:val="aa"/>
                <w:rFonts w:ascii="Times New Roman" w:hAnsi="Times New Roman" w:cs="Times New Roman"/>
                <w:color w:val="000000"/>
                <w:spacing w:val="-10"/>
                <w:sz w:val="18"/>
                <w:szCs w:val="18"/>
              </w:rPr>
              <w:t>2025</w:t>
            </w:r>
            <w:r w:rsidRPr="006F7D2A">
              <w:rPr>
                <w:rStyle w:val="aa"/>
                <w:rFonts w:ascii="Times New Roman" w:hAnsi="Times New Roman" w:cs="Times New Roman"/>
                <w:color w:val="000000"/>
                <w:spacing w:val="-10"/>
                <w:sz w:val="18"/>
                <w:szCs w:val="18"/>
              </w:rPr>
              <w:t>年</w:t>
            </w:r>
          </w:p>
        </w:tc>
        <w:tc>
          <w:tcPr>
            <w:tcW w:w="9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C445176"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Style w:val="aa"/>
                <w:rFonts w:ascii="Times New Roman" w:hAnsi="Times New Roman" w:cs="Times New Roman"/>
                <w:color w:val="000000"/>
                <w:spacing w:val="-10"/>
                <w:sz w:val="18"/>
                <w:szCs w:val="18"/>
              </w:rPr>
              <w:t>2024</w:t>
            </w:r>
            <w:r w:rsidRPr="006F7D2A">
              <w:rPr>
                <w:rStyle w:val="aa"/>
                <w:rFonts w:ascii="Times New Roman" w:hAnsi="Times New Roman" w:cs="Times New Roman"/>
                <w:color w:val="000000"/>
                <w:spacing w:val="-10"/>
                <w:sz w:val="18"/>
                <w:szCs w:val="18"/>
              </w:rPr>
              <w:t>年</w:t>
            </w:r>
          </w:p>
        </w:tc>
      </w:tr>
      <w:tr w:rsidR="00A46BF1" w14:paraId="4C286276"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DC6484"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加权平均法用来估计设定收益计划的现在的假设</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08F02D" w14:textId="2531A6C9"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2A81E" w14:textId="7CD82BA8"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p>
        </w:tc>
      </w:tr>
      <w:tr w:rsidR="00A46BF1" w14:paraId="52CAAD7C"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56215C"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折现率</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A8DC1"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1.40%</w:t>
            </w: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CFBF5"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1.65%</w:t>
            </w:r>
          </w:p>
        </w:tc>
      </w:tr>
      <w:tr w:rsidR="00A46BF1" w14:paraId="1A1CB8A4"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E52D3"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福利增长率</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C4E41"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3.00%</w:t>
            </w: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02F923"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3.00%</w:t>
            </w:r>
          </w:p>
        </w:tc>
      </w:tr>
      <w:tr w:rsidR="00A46BF1" w14:paraId="21345F48"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E4280B"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加权平均法用来估计设定收益计划净负债的假设</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11E3C" w14:textId="0C0FC68B"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1E7BF" w14:textId="5440755F"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p>
        </w:tc>
      </w:tr>
      <w:tr w:rsidR="00A46BF1" w14:paraId="2F38D191"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381F46"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折现率</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4C3A2"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1.65%</w:t>
            </w: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A1D36C"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1.20%</w:t>
            </w:r>
          </w:p>
        </w:tc>
      </w:tr>
      <w:tr w:rsidR="00A46BF1" w14:paraId="632BC126"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C80C4"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计划资产的长期预计回报率</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4B7EC"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2.25%</w:t>
            </w: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08E9B"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2.25%</w:t>
            </w:r>
          </w:p>
        </w:tc>
      </w:tr>
      <w:tr w:rsidR="00A46BF1" w14:paraId="0311C802" w14:textId="77777777" w:rsidTr="006F7D2A">
        <w:trPr>
          <w:trHeight w:val="425"/>
          <w:jc w:val="center"/>
        </w:trPr>
        <w:tc>
          <w:tcPr>
            <w:tcW w:w="307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9DBDC7" w14:textId="77777777" w:rsidR="00A46BF1" w:rsidRPr="006F7D2A" w:rsidRDefault="00A46BF1" w:rsidP="006F7D2A">
            <w:pPr>
              <w:pStyle w:val="a9"/>
              <w:spacing w:before="0" w:beforeAutospacing="0" w:after="0" w:afterAutospacing="0" w:line="360" w:lineRule="auto"/>
              <w:rPr>
                <w:rFonts w:ascii="Times New Roman" w:hAnsi="Times New Roman" w:cs="Times New Roman"/>
                <w:sz w:val="18"/>
                <w:szCs w:val="18"/>
              </w:rPr>
            </w:pPr>
            <w:r w:rsidRPr="006F7D2A">
              <w:rPr>
                <w:rFonts w:ascii="Times New Roman" w:hAnsi="Times New Roman" w:cs="Times New Roman"/>
                <w:color w:val="000000"/>
                <w:spacing w:val="-10"/>
                <w:sz w:val="18"/>
                <w:szCs w:val="18"/>
              </w:rPr>
              <w:t>福利增长率</w:t>
            </w:r>
          </w:p>
        </w:tc>
        <w:tc>
          <w:tcPr>
            <w:tcW w:w="9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862F24"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3.00%</w:t>
            </w:r>
          </w:p>
        </w:tc>
        <w:tc>
          <w:tcPr>
            <w:tcW w:w="9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B6C97" w14:textId="77777777" w:rsidR="00A46BF1" w:rsidRPr="006F7D2A" w:rsidRDefault="00A46BF1" w:rsidP="006F7D2A">
            <w:pPr>
              <w:pStyle w:val="a9"/>
              <w:spacing w:before="0" w:beforeAutospacing="0" w:after="0" w:afterAutospacing="0" w:line="360" w:lineRule="auto"/>
              <w:jc w:val="center"/>
              <w:rPr>
                <w:rFonts w:ascii="Times New Roman" w:hAnsi="Times New Roman" w:cs="Times New Roman"/>
                <w:sz w:val="18"/>
                <w:szCs w:val="18"/>
              </w:rPr>
            </w:pPr>
            <w:r w:rsidRPr="006F7D2A">
              <w:rPr>
                <w:rFonts w:ascii="Times New Roman" w:hAnsi="Times New Roman" w:cs="Times New Roman"/>
                <w:color w:val="000000"/>
                <w:sz w:val="18"/>
                <w:szCs w:val="18"/>
              </w:rPr>
              <w:t>3.00%</w:t>
            </w:r>
          </w:p>
        </w:tc>
      </w:tr>
    </w:tbl>
    <w:p w14:paraId="1CF5F56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2D352EC" w14:textId="77777777" w:rsidR="00A46BF1" w:rsidRPr="006F7D2A" w:rsidRDefault="00A46BF1" w:rsidP="006F7D2A">
      <w:pPr>
        <w:spacing w:before="100" w:after="100" w:line="240" w:lineRule="exact"/>
        <w:rPr>
          <w:rFonts w:ascii="宋体" w:eastAsia="宋体" w:hAnsi="宋体" w:cs="宋体"/>
          <w:sz w:val="18"/>
          <w:szCs w:val="18"/>
        </w:rPr>
      </w:pPr>
      <w:r w:rsidRPr="006F7D2A">
        <w:rPr>
          <w:rFonts w:ascii="宋体" w:eastAsia="宋体" w:hAnsi="宋体" w:cs="宋体" w:hint="eastAsia"/>
          <w:sz w:val="18"/>
          <w:szCs w:val="18"/>
        </w:rPr>
        <w:t>无</w:t>
      </w:r>
    </w:p>
    <w:p w14:paraId="2020E28E" w14:textId="587511CE" w:rsidR="00A46BF1" w:rsidRDefault="00A46BF1" w:rsidP="00A46BF1">
      <w:pPr>
        <w:pStyle w:val="3"/>
        <w:spacing w:line="280" w:lineRule="exact"/>
        <w:jc w:val="left"/>
        <w:rPr>
          <w:rFonts w:ascii="宋体" w:hAnsi="宋体" w:cs="宋体"/>
          <w:b/>
          <w:bCs/>
        </w:rPr>
      </w:pPr>
      <w:r>
        <w:rPr>
          <w:rFonts w:ascii="宋体" w:hAnsi="宋体" w:cs="宋体"/>
          <w:b/>
          <w:bCs/>
        </w:rPr>
        <w:t>3</w:t>
      </w:r>
      <w:r w:rsidR="006F7D2A">
        <w:rPr>
          <w:rFonts w:ascii="宋体" w:hAnsi="宋体" w:cs="宋体"/>
          <w:b/>
          <w:bCs/>
        </w:rPr>
        <w:t>7</w:t>
      </w:r>
      <w:r>
        <w:rPr>
          <w:rFonts w:ascii="宋体" w:hAnsi="宋体" w:cs="宋体"/>
          <w:b/>
          <w:bCs/>
        </w:rPr>
        <w:t>、递延收益</w:t>
      </w:r>
    </w:p>
    <w:p w14:paraId="28A02B9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4F47AD77"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3B6118F"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项目</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ACC6787"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期初余额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EAC71F2"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本期增加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89C2AD4"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本期减少</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A23DFA9"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期末余额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1D48054D" w14:textId="77777777" w:rsidR="00A46BF1" w:rsidRPr="006F7D2A" w:rsidRDefault="00A46BF1" w:rsidP="006F7D2A">
            <w:pPr>
              <w:spacing w:before="40" w:after="40" w:line="360" w:lineRule="auto"/>
              <w:jc w:val="center"/>
              <w:rPr>
                <w:rFonts w:ascii="Times New Roman" w:eastAsia="宋体" w:hAnsi="Times New Roman" w:cs="Times New Roman"/>
                <w:sz w:val="18"/>
                <w:szCs w:val="18"/>
              </w:rPr>
            </w:pPr>
            <w:r w:rsidRPr="006F7D2A">
              <w:rPr>
                <w:rFonts w:ascii="Times New Roman" w:eastAsia="宋体" w:hAnsi="Times New Roman" w:cs="Times New Roman"/>
                <w:sz w:val="18"/>
                <w:szCs w:val="18"/>
              </w:rPr>
              <w:t>形成原因</w:t>
            </w:r>
          </w:p>
        </w:tc>
      </w:tr>
      <w:tr w:rsidR="00095F6F" w14:paraId="4268129B"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447B4A1"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政府补助</w:t>
            </w:r>
          </w:p>
        </w:tc>
        <w:tc>
          <w:tcPr>
            <w:tcW w:w="1606" w:type="dxa"/>
            <w:tcBorders>
              <w:top w:val="single" w:sz="2" w:space="0" w:color="auto"/>
              <w:left w:val="single" w:sz="2" w:space="0" w:color="auto"/>
              <w:bottom w:val="single" w:sz="2" w:space="0" w:color="auto"/>
              <w:right w:val="single" w:sz="2" w:space="0" w:color="auto"/>
            </w:tcBorders>
            <w:vAlign w:val="center"/>
          </w:tcPr>
          <w:p w14:paraId="7DE98895"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132,467,466.20</w:t>
            </w:r>
          </w:p>
        </w:tc>
        <w:tc>
          <w:tcPr>
            <w:tcW w:w="1606" w:type="dxa"/>
            <w:tcBorders>
              <w:top w:val="single" w:sz="2" w:space="0" w:color="auto"/>
              <w:left w:val="single" w:sz="2" w:space="0" w:color="auto"/>
              <w:bottom w:val="single" w:sz="2" w:space="0" w:color="auto"/>
              <w:right w:val="single" w:sz="2" w:space="0" w:color="auto"/>
            </w:tcBorders>
            <w:vAlign w:val="center"/>
          </w:tcPr>
          <w:p w14:paraId="0329C554"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12,113,500.00</w:t>
            </w:r>
          </w:p>
        </w:tc>
        <w:tc>
          <w:tcPr>
            <w:tcW w:w="1606" w:type="dxa"/>
            <w:tcBorders>
              <w:top w:val="single" w:sz="2" w:space="0" w:color="auto"/>
              <w:left w:val="single" w:sz="2" w:space="0" w:color="auto"/>
              <w:bottom w:val="single" w:sz="2" w:space="0" w:color="auto"/>
              <w:right w:val="single" w:sz="2" w:space="0" w:color="auto"/>
            </w:tcBorders>
            <w:vAlign w:val="center"/>
          </w:tcPr>
          <w:p w14:paraId="7483CB1B"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13,494,635.07</w:t>
            </w:r>
          </w:p>
        </w:tc>
        <w:tc>
          <w:tcPr>
            <w:tcW w:w="1606" w:type="dxa"/>
            <w:tcBorders>
              <w:top w:val="single" w:sz="2" w:space="0" w:color="auto"/>
              <w:left w:val="single" w:sz="2" w:space="0" w:color="auto"/>
              <w:bottom w:val="single" w:sz="2" w:space="0" w:color="auto"/>
              <w:right w:val="single" w:sz="2" w:space="0" w:color="auto"/>
            </w:tcBorders>
            <w:vAlign w:val="center"/>
          </w:tcPr>
          <w:p w14:paraId="7F13AF5C"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131,086,331.13</w:t>
            </w:r>
          </w:p>
        </w:tc>
        <w:tc>
          <w:tcPr>
            <w:tcW w:w="1606" w:type="dxa"/>
            <w:tcBorders>
              <w:top w:val="single" w:sz="2" w:space="0" w:color="auto"/>
              <w:left w:val="single" w:sz="2" w:space="0" w:color="auto"/>
              <w:bottom w:val="single" w:sz="2" w:space="0" w:color="auto"/>
              <w:right w:val="single" w:sz="2" w:space="0" w:color="auto"/>
            </w:tcBorders>
            <w:vAlign w:val="center"/>
          </w:tcPr>
          <w:p w14:paraId="313B6A90" w14:textId="77777777" w:rsidR="00A46BF1" w:rsidRPr="006F7D2A" w:rsidRDefault="00A46BF1" w:rsidP="006F7D2A">
            <w:pPr>
              <w:spacing w:line="360" w:lineRule="auto"/>
              <w:rPr>
                <w:rFonts w:ascii="Times New Roman" w:eastAsia="宋体" w:hAnsi="Times New Roman" w:cs="Times New Roman"/>
                <w:sz w:val="18"/>
                <w:szCs w:val="18"/>
              </w:rPr>
            </w:pPr>
          </w:p>
        </w:tc>
      </w:tr>
      <w:tr w:rsidR="00095F6F" w14:paraId="3787FC1A"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5E3609" w14:textId="77777777" w:rsidR="00A46BF1" w:rsidRPr="006F7D2A" w:rsidRDefault="00A46BF1" w:rsidP="006F7D2A">
            <w:pPr>
              <w:spacing w:before="40" w:after="40" w:line="360" w:lineRule="auto"/>
              <w:rPr>
                <w:rFonts w:ascii="Times New Roman" w:eastAsia="宋体" w:hAnsi="Times New Roman" w:cs="Times New Roman"/>
                <w:sz w:val="18"/>
                <w:szCs w:val="18"/>
              </w:rPr>
            </w:pPr>
            <w:r w:rsidRPr="006F7D2A">
              <w:rPr>
                <w:rFonts w:ascii="Times New Roman" w:eastAsia="宋体" w:hAnsi="Times New Roman" w:cs="Times New Roman"/>
                <w:sz w:val="18"/>
                <w:szCs w:val="18"/>
              </w:rPr>
              <w:t>合计</w:t>
            </w:r>
          </w:p>
        </w:tc>
        <w:tc>
          <w:tcPr>
            <w:tcW w:w="1606" w:type="dxa"/>
            <w:tcBorders>
              <w:top w:val="single" w:sz="2" w:space="0" w:color="auto"/>
              <w:left w:val="single" w:sz="2" w:space="0" w:color="auto"/>
              <w:bottom w:val="single" w:sz="2" w:space="0" w:color="auto"/>
              <w:right w:val="single" w:sz="2" w:space="0" w:color="auto"/>
            </w:tcBorders>
            <w:vAlign w:val="center"/>
          </w:tcPr>
          <w:p w14:paraId="584BBA54"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132,467,466.20</w:t>
            </w:r>
          </w:p>
        </w:tc>
        <w:tc>
          <w:tcPr>
            <w:tcW w:w="1606" w:type="dxa"/>
            <w:tcBorders>
              <w:top w:val="single" w:sz="2" w:space="0" w:color="auto"/>
              <w:left w:val="single" w:sz="2" w:space="0" w:color="auto"/>
              <w:bottom w:val="single" w:sz="2" w:space="0" w:color="auto"/>
              <w:right w:val="single" w:sz="2" w:space="0" w:color="auto"/>
            </w:tcBorders>
            <w:vAlign w:val="center"/>
          </w:tcPr>
          <w:p w14:paraId="6C381828"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12,113,500.00</w:t>
            </w:r>
          </w:p>
        </w:tc>
        <w:tc>
          <w:tcPr>
            <w:tcW w:w="1606" w:type="dxa"/>
            <w:tcBorders>
              <w:top w:val="single" w:sz="2" w:space="0" w:color="auto"/>
              <w:left w:val="single" w:sz="2" w:space="0" w:color="auto"/>
              <w:bottom w:val="single" w:sz="2" w:space="0" w:color="auto"/>
              <w:right w:val="single" w:sz="2" w:space="0" w:color="auto"/>
            </w:tcBorders>
            <w:vAlign w:val="center"/>
          </w:tcPr>
          <w:p w14:paraId="3F03A919"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13,494,635.07</w:t>
            </w:r>
          </w:p>
        </w:tc>
        <w:tc>
          <w:tcPr>
            <w:tcW w:w="1606" w:type="dxa"/>
            <w:tcBorders>
              <w:top w:val="single" w:sz="2" w:space="0" w:color="auto"/>
              <w:left w:val="single" w:sz="2" w:space="0" w:color="auto"/>
              <w:bottom w:val="single" w:sz="2" w:space="0" w:color="auto"/>
              <w:right w:val="single" w:sz="2" w:space="0" w:color="auto"/>
            </w:tcBorders>
            <w:vAlign w:val="center"/>
          </w:tcPr>
          <w:p w14:paraId="0A7AF396" w14:textId="77777777" w:rsidR="00A46BF1" w:rsidRPr="006F7D2A" w:rsidRDefault="00A46BF1" w:rsidP="006F7D2A">
            <w:pPr>
              <w:spacing w:line="360" w:lineRule="auto"/>
              <w:jc w:val="right"/>
              <w:rPr>
                <w:rFonts w:ascii="Times New Roman" w:eastAsia="宋体" w:hAnsi="Times New Roman" w:cs="Times New Roman"/>
                <w:sz w:val="18"/>
                <w:szCs w:val="18"/>
              </w:rPr>
            </w:pPr>
            <w:r w:rsidRPr="006F7D2A">
              <w:rPr>
                <w:rFonts w:ascii="Times New Roman" w:eastAsia="宋体" w:hAnsi="Times New Roman" w:cs="Times New Roman"/>
                <w:sz w:val="18"/>
                <w:szCs w:val="18"/>
              </w:rPr>
              <w:t>131,086,331.13</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9DF6A41" w14:textId="77777777" w:rsidR="00A46BF1" w:rsidRPr="006F7D2A" w:rsidRDefault="00A46BF1" w:rsidP="006F7D2A">
            <w:pPr>
              <w:spacing w:line="360" w:lineRule="auto"/>
              <w:rPr>
                <w:rFonts w:ascii="Times New Roman" w:hAnsi="Times New Roman" w:cs="Times New Roman"/>
              </w:rPr>
            </w:pPr>
          </w:p>
        </w:tc>
      </w:tr>
    </w:tbl>
    <w:p w14:paraId="676E5195" w14:textId="77777777" w:rsidR="00DF1CB8" w:rsidRDefault="00DF1CB8" w:rsidP="00A46BF1">
      <w:pPr>
        <w:spacing w:before="100" w:after="100" w:line="240" w:lineRule="exact"/>
        <w:rPr>
          <w:rFonts w:ascii="宋体" w:eastAsia="宋体" w:hAnsi="宋体" w:cs="宋体"/>
          <w:sz w:val="18"/>
          <w:szCs w:val="18"/>
        </w:rPr>
        <w:sectPr w:rsidR="00DF1CB8">
          <w:pgSz w:w="11905" w:h="16840"/>
          <w:pgMar w:top="1440" w:right="1134" w:bottom="1440" w:left="1134" w:header="850" w:footer="992" w:gutter="0"/>
          <w:cols w:space="720"/>
          <w:docGrid w:type="linesAndChars" w:linePitch="312"/>
        </w:sectPr>
      </w:pPr>
    </w:p>
    <w:p w14:paraId="3355553B" w14:textId="3F38219D"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tbl>
      <w:tblPr>
        <w:tblW w:w="5263" w:type="pct"/>
        <w:tblCellMar>
          <w:left w:w="0" w:type="dxa"/>
          <w:right w:w="0" w:type="dxa"/>
        </w:tblCellMar>
        <w:tblLook w:val="04A0" w:firstRow="1" w:lastRow="0" w:firstColumn="1" w:lastColumn="0" w:noHBand="0" w:noVBand="1"/>
      </w:tblPr>
      <w:tblGrid>
        <w:gridCol w:w="5292"/>
        <w:gridCol w:w="1358"/>
        <w:gridCol w:w="1265"/>
        <w:gridCol w:w="1119"/>
        <w:gridCol w:w="1265"/>
        <w:gridCol w:w="1146"/>
        <w:gridCol w:w="716"/>
        <w:gridCol w:w="1424"/>
        <w:gridCol w:w="1337"/>
      </w:tblGrid>
      <w:tr w:rsidR="00A46BF1" w14:paraId="27D2E2EB" w14:textId="77777777" w:rsidTr="00A46BF1">
        <w:trPr>
          <w:cantSplit/>
          <w:trHeight w:val="433"/>
          <w:tblHeader/>
        </w:trPr>
        <w:tc>
          <w:tcPr>
            <w:tcW w:w="17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B37799" w14:textId="77777777" w:rsidR="00A46BF1" w:rsidRPr="00DF1CB8" w:rsidRDefault="00A46BF1" w:rsidP="00DF1CB8">
            <w:pPr>
              <w:pStyle w:val="a9"/>
              <w:spacing w:before="0" w:beforeAutospacing="0" w:after="0" w:afterAutospacing="0" w:line="360" w:lineRule="auto"/>
              <w:ind w:right="-100"/>
              <w:rPr>
                <w:rFonts w:ascii="Times New Roman" w:hAnsi="Times New Roman" w:cs="Times New Roman"/>
                <w:sz w:val="18"/>
                <w:szCs w:val="18"/>
              </w:rPr>
            </w:pPr>
            <w:r w:rsidRPr="00DF1CB8">
              <w:rPr>
                <w:rStyle w:val="aa"/>
                <w:rFonts w:ascii="Times New Roman" w:hAnsi="Times New Roman" w:cs="Times New Roman"/>
                <w:sz w:val="18"/>
                <w:szCs w:val="18"/>
              </w:rPr>
              <w:t>政府补助项目</w:t>
            </w:r>
          </w:p>
        </w:tc>
        <w:tc>
          <w:tcPr>
            <w:tcW w:w="4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000724"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年初余额</w:t>
            </w:r>
          </w:p>
        </w:tc>
        <w:tc>
          <w:tcPr>
            <w:tcW w:w="4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1ED2E9"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本年新增补助金额</w:t>
            </w:r>
          </w:p>
        </w:tc>
        <w:tc>
          <w:tcPr>
            <w:tcW w:w="3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8DFE85" w14:textId="77777777" w:rsidR="00A46BF1" w:rsidRPr="00DF1CB8" w:rsidRDefault="00A46BF1" w:rsidP="00DF1CB8">
            <w:pPr>
              <w:pStyle w:val="a9"/>
              <w:spacing w:before="0" w:beforeAutospacing="0" w:after="0" w:afterAutospacing="0" w:line="360" w:lineRule="auto"/>
              <w:ind w:left="-100" w:right="-140"/>
              <w:jc w:val="center"/>
              <w:rPr>
                <w:rFonts w:ascii="Times New Roman" w:hAnsi="Times New Roman" w:cs="Times New Roman"/>
                <w:sz w:val="18"/>
                <w:szCs w:val="18"/>
              </w:rPr>
            </w:pPr>
            <w:r w:rsidRPr="00DF1CB8">
              <w:rPr>
                <w:rStyle w:val="aa"/>
                <w:rFonts w:ascii="Times New Roman" w:hAnsi="Times New Roman" w:cs="Times New Roman"/>
                <w:sz w:val="18"/>
                <w:szCs w:val="18"/>
              </w:rPr>
              <w:t>本年计入营业外收入金额</w:t>
            </w:r>
          </w:p>
        </w:tc>
        <w:tc>
          <w:tcPr>
            <w:tcW w:w="42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6A3843"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本年计入其他收益金额</w:t>
            </w:r>
          </w:p>
        </w:tc>
        <w:tc>
          <w:tcPr>
            <w:tcW w:w="38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FD5D98"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本年冲减成本费用金额</w:t>
            </w:r>
          </w:p>
        </w:tc>
        <w:tc>
          <w:tcPr>
            <w:tcW w:w="24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1FC88C7"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其他变动</w:t>
            </w:r>
          </w:p>
        </w:tc>
        <w:tc>
          <w:tcPr>
            <w:tcW w:w="47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181E2D"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年末余额</w:t>
            </w:r>
          </w:p>
        </w:tc>
        <w:tc>
          <w:tcPr>
            <w:tcW w:w="4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4A5CB3" w14:textId="77777777" w:rsidR="00A46BF1" w:rsidRPr="00DF1CB8" w:rsidRDefault="00A46BF1" w:rsidP="00DF1CB8">
            <w:pPr>
              <w:pStyle w:val="a9"/>
              <w:spacing w:before="0" w:beforeAutospacing="0" w:after="0" w:afterAutospacing="0" w:line="360" w:lineRule="auto"/>
              <w:ind w:right="-100"/>
              <w:jc w:val="center"/>
              <w:rPr>
                <w:rFonts w:ascii="Times New Roman" w:hAnsi="Times New Roman" w:cs="Times New Roman"/>
                <w:sz w:val="18"/>
                <w:szCs w:val="18"/>
              </w:rPr>
            </w:pPr>
            <w:r w:rsidRPr="00DF1CB8">
              <w:rPr>
                <w:rStyle w:val="aa"/>
                <w:rFonts w:ascii="Times New Roman" w:hAnsi="Times New Roman" w:cs="Times New Roman"/>
                <w:sz w:val="18"/>
                <w:szCs w:val="18"/>
              </w:rPr>
              <w:t>与资产相关</w:t>
            </w:r>
            <w:r w:rsidRPr="00DF1CB8">
              <w:rPr>
                <w:rStyle w:val="aa"/>
                <w:rFonts w:ascii="Times New Roman" w:hAnsi="Times New Roman" w:cs="Times New Roman"/>
                <w:sz w:val="18"/>
                <w:szCs w:val="18"/>
              </w:rPr>
              <w:t>/</w:t>
            </w:r>
            <w:r w:rsidRPr="00DF1CB8">
              <w:rPr>
                <w:rStyle w:val="aa"/>
                <w:rFonts w:ascii="Times New Roman" w:hAnsi="Times New Roman" w:cs="Times New Roman"/>
                <w:sz w:val="18"/>
                <w:szCs w:val="18"/>
              </w:rPr>
              <w:t>与收益相关</w:t>
            </w:r>
          </w:p>
        </w:tc>
      </w:tr>
      <w:tr w:rsidR="00A46BF1" w14:paraId="4838E378"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582B6F" w14:textId="299A427E"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三诺生物</w:t>
            </w:r>
            <w:r w:rsidR="00DF1CB8">
              <w:rPr>
                <w:rFonts w:ascii="Times New Roman" w:hAnsi="Times New Roman" w:cs="Times New Roman"/>
                <w:color w:val="000000"/>
                <w:sz w:val="18"/>
                <w:szCs w:val="18"/>
              </w:rPr>
              <w:t>i</w:t>
            </w:r>
            <w:r w:rsidRPr="00DF1CB8">
              <w:rPr>
                <w:rFonts w:ascii="Times New Roman" w:hAnsi="Times New Roman" w:cs="Times New Roman"/>
                <w:color w:val="000000"/>
                <w:sz w:val="18"/>
                <w:szCs w:val="18"/>
              </w:rPr>
              <w:t>POCT</w:t>
            </w:r>
            <w:r w:rsidRPr="00DF1CB8">
              <w:rPr>
                <w:rFonts w:ascii="Times New Roman" w:hAnsi="Times New Roman" w:cs="Times New Roman"/>
                <w:color w:val="000000"/>
                <w:sz w:val="18"/>
                <w:szCs w:val="18"/>
              </w:rPr>
              <w:t>产业园项目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727E7"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47,759,220.39</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295F2" w14:textId="497F063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0F3443" w14:textId="291E19EA"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D5E3"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5,147,077.98</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E66B7" w14:textId="02D4E6C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D760FC" w14:textId="3CA504D4"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B0699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42,612,142.41</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032C7"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26659814"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7B5101"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三诺生物全球研发中心与创新总部建设项目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F681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13,510,000.00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9BE5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10,530,000.00</w:t>
            </w: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88E24" w14:textId="21B711E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1AFD3" w14:textId="0735E5E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732D0F" w14:textId="39C2218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947896" w14:textId="678D9BAC"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2C7B1"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24,040,000.00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13A9CA"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3C0E2DBC"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80E1C"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智慧健康工业园项目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920FA7"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22,417,753.35</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6F5E72" w14:textId="3E9A0EF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72105" w14:textId="373C1E4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0A7BFB"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5,048,830.59</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432ABE" w14:textId="186149E8"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B9DB4" w14:textId="675CF5C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6DE4C5"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17,368,922.76</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EE465C"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46201436"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FD57DF"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高性能血糖诊疗设备智能工厂新模式应用</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20BFEE"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10,772,832.48</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FF6F6" w14:textId="744E1C2C"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20B9E" w14:textId="739BC35C"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64747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1,189,709.46</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D5627C" w14:textId="39A29888"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FF3AE" w14:textId="2DC279D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44E3B"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9,583,123.02</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A1D3A"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10D9E44D"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B422CC"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智慧健康产业扶持资金</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7DB61"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7,909,373.78</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7E7F7" w14:textId="18C8FE2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AAC66" w14:textId="71CBF2B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A48B57"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181,824.72</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824A9F" w14:textId="382B45AD"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56A35" w14:textId="6F1CC69A"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87927"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7,727,549.06</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C976C"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1605A1E4"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81E30" w14:textId="66BE13F3"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三诺生物</w:t>
            </w:r>
            <w:r w:rsidR="00DF1CB8">
              <w:rPr>
                <w:rFonts w:ascii="Times New Roman" w:hAnsi="Times New Roman" w:cs="Times New Roman"/>
                <w:color w:val="000000"/>
                <w:sz w:val="18"/>
                <w:szCs w:val="18"/>
              </w:rPr>
              <w:t>i</w:t>
            </w:r>
            <w:r w:rsidRPr="00DF1CB8">
              <w:rPr>
                <w:rFonts w:ascii="Times New Roman" w:hAnsi="Times New Roman" w:cs="Times New Roman"/>
                <w:color w:val="000000"/>
                <w:sz w:val="18"/>
                <w:szCs w:val="18"/>
              </w:rPr>
              <w:t>POCT</w:t>
            </w:r>
            <w:r w:rsidRPr="00DF1CB8">
              <w:rPr>
                <w:rFonts w:ascii="Times New Roman" w:hAnsi="Times New Roman" w:cs="Times New Roman"/>
                <w:color w:val="000000"/>
                <w:sz w:val="18"/>
                <w:szCs w:val="18"/>
              </w:rPr>
              <w:t>产业园</w:t>
            </w:r>
            <w:r w:rsidRPr="00DF1CB8">
              <w:rPr>
                <w:rFonts w:ascii="Times New Roman" w:hAnsi="Times New Roman" w:cs="Times New Roman"/>
                <w:color w:val="000000"/>
                <w:sz w:val="18"/>
                <w:szCs w:val="18"/>
              </w:rPr>
              <w:t>9#</w:t>
            </w:r>
            <w:r w:rsidRPr="00DF1CB8">
              <w:rPr>
                <w:rFonts w:ascii="Times New Roman" w:hAnsi="Times New Roman" w:cs="Times New Roman"/>
                <w:color w:val="000000"/>
                <w:sz w:val="18"/>
                <w:szCs w:val="18"/>
              </w:rPr>
              <w:t>栋倒班楼</w:t>
            </w:r>
            <w:r w:rsidRPr="00DF1CB8">
              <w:rPr>
                <w:rFonts w:ascii="Times New Roman" w:hAnsi="Times New Roman" w:cs="Times New Roman"/>
                <w:color w:val="000000"/>
                <w:sz w:val="18"/>
                <w:szCs w:val="18"/>
              </w:rPr>
              <w:t>-</w:t>
            </w:r>
            <w:r w:rsidRPr="00DF1CB8">
              <w:rPr>
                <w:rFonts w:ascii="Times New Roman" w:hAnsi="Times New Roman" w:cs="Times New Roman"/>
                <w:color w:val="000000"/>
                <w:sz w:val="18"/>
                <w:szCs w:val="18"/>
              </w:rPr>
              <w:t>租赁住房奖补</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4AE477"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7,891,926.95</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B7894" w14:textId="3DFBEA1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DAD50" w14:textId="0450872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AED751"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273,708.48</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6FEA3" w14:textId="205D438D"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3A69A" w14:textId="34F5390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7B57A9"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7,618,218.47</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EAFA8"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0D0B5805"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063D8" w14:textId="5D8BDA1C" w:rsidR="00A46BF1" w:rsidRPr="00DF1CB8" w:rsidRDefault="00DF1CB8" w:rsidP="00DF1CB8">
            <w:pPr>
              <w:pStyle w:val="a9"/>
              <w:spacing w:before="0" w:beforeAutospacing="0" w:after="0" w:afterAutospacing="0" w:line="360" w:lineRule="auto"/>
              <w:rPr>
                <w:rFonts w:ascii="Times New Roman" w:hAnsi="Times New Roman" w:cs="Times New Roman"/>
                <w:sz w:val="18"/>
                <w:szCs w:val="18"/>
              </w:rPr>
            </w:pPr>
            <w:r>
              <w:rPr>
                <w:rFonts w:ascii="Times New Roman" w:hAnsi="Times New Roman" w:cs="Times New Roman"/>
                <w:color w:val="000000"/>
                <w:sz w:val="18"/>
                <w:szCs w:val="18"/>
              </w:rPr>
              <w:t>i</w:t>
            </w:r>
            <w:r w:rsidR="00A46BF1" w:rsidRPr="00DF1CB8">
              <w:rPr>
                <w:rFonts w:ascii="Times New Roman" w:hAnsi="Times New Roman" w:cs="Times New Roman"/>
                <w:color w:val="000000"/>
                <w:sz w:val="18"/>
                <w:szCs w:val="18"/>
              </w:rPr>
              <w:t>POCT</w:t>
            </w:r>
            <w:r w:rsidR="00A46BF1" w:rsidRPr="00DF1CB8">
              <w:rPr>
                <w:rFonts w:ascii="Times New Roman" w:hAnsi="Times New Roman" w:cs="Times New Roman"/>
                <w:color w:val="000000"/>
                <w:sz w:val="18"/>
                <w:szCs w:val="18"/>
              </w:rPr>
              <w:t>智慧化即时检测产品产能扩建项目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A34245"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4,800,100.00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1FAA7" w14:textId="3E99ECA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9AB3E" w14:textId="3219A3F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DB3A72" w14:textId="1CB3B231"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E07D8" w14:textId="34C7C084"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FE0E8" w14:textId="6E31631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3EC70"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4,800,100.00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25B74"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055FCBDC"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3C7A5B"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2024</w:t>
            </w:r>
            <w:r w:rsidRPr="00DF1CB8">
              <w:rPr>
                <w:rFonts w:ascii="Times New Roman" w:hAnsi="Times New Roman" w:cs="Times New Roman"/>
                <w:color w:val="000000"/>
                <w:sz w:val="18"/>
                <w:szCs w:val="18"/>
              </w:rPr>
              <w:t>年第三批湖南省先进制造业高地建设项目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EB3ED"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3,590,000.00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B94DC9" w14:textId="77B2583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9E4D2" w14:textId="0FEF3C7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FC2D19" w14:textId="67EFEFF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5AE5A2" w14:textId="7AD5697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8519E" w14:textId="683BBD7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CFE51A"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3,590,000.00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4F3F4"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3ED90600"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1C5FE8"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长沙市租赁住房奖补项目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82ED6"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2,382,450.27</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97C45" w14:textId="56DF6F5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12335" w14:textId="54BF4DE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206E51"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127,587.12</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34C689" w14:textId="4A1C3C9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13694" w14:textId="384DEE2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7D089"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2,254,863.15</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812E1"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5BAD1BCE" w14:textId="77777777" w:rsidTr="00A46BF1">
        <w:trPr>
          <w:cantSplit/>
          <w:trHeight w:val="51"/>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C7F3AF"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三诺科技园</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DC5790"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2,213,333.48</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82B19" w14:textId="20B66B4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A1441" w14:textId="113EF244"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7E7F7"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110,666.64</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ACD5E" w14:textId="36E0E24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A55270" w14:textId="6C54E9B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84A84"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2,102,666.84</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F5A6E"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328F5373"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10929E"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连续动态血糖检测系统研发和产线建设项目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D576A3"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1,500,000.00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530BE" w14:textId="10973FB1"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BC796" w14:textId="157328E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481D0" w14:textId="7DF57B0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34C480" w14:textId="4D7D1268"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636EB1" w14:textId="5238046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9A5073"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1,500,000.00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FE94"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72C15EE3"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813AE5"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即时血糖检测系统产品线改造项目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BD2E0B"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1,725,830.16</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C4773" w14:textId="4A0E07CF"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6DA606" w14:textId="174E7DF9"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70435"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327,110.16</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186E" w14:textId="394370E8"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EB1020" w14:textId="6B4F37A4"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65F22"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1,398,720.00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0C8E70"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1FC1A518"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622292"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cs="Times New Roman"/>
                <w:color w:val="000000"/>
                <w:sz w:val="18"/>
                <w:szCs w:val="18"/>
              </w:rPr>
              <w:t>“</w:t>
            </w:r>
            <w:r w:rsidRPr="00DF1CB8">
              <w:rPr>
                <w:rFonts w:ascii="Times New Roman" w:hAnsi="Times New Roman" w:cs="Times New Roman"/>
                <w:color w:val="000000"/>
                <w:sz w:val="18"/>
                <w:szCs w:val="18"/>
              </w:rPr>
              <w:t>135</w:t>
            </w:r>
            <w:r w:rsidRPr="00DF1CB8">
              <w:rPr>
                <w:rFonts w:cs="Times New Roman"/>
                <w:color w:val="000000"/>
                <w:sz w:val="18"/>
                <w:szCs w:val="18"/>
              </w:rPr>
              <w:t>”</w:t>
            </w:r>
            <w:r w:rsidRPr="00DF1CB8">
              <w:rPr>
                <w:rFonts w:ascii="Times New Roman" w:hAnsi="Times New Roman" w:cs="Times New Roman"/>
                <w:color w:val="000000"/>
                <w:sz w:val="18"/>
                <w:szCs w:val="18"/>
              </w:rPr>
              <w:t>工程专项资金</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D541D5"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1,386,666.88</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B7FE3" w14:textId="591673B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761CE1" w14:textId="4D62AF2A"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3EAF7D"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53,333.28</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F40C0" w14:textId="5DE6BD1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3E6C9" w14:textId="77F2001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79691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1,333,333.60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24AF0"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11DEB292"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E73D45"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2024</w:t>
            </w:r>
            <w:r w:rsidRPr="00DF1CB8">
              <w:rPr>
                <w:rFonts w:ascii="Times New Roman" w:hAnsi="Times New Roman" w:cs="Times New Roman"/>
                <w:color w:val="000000"/>
                <w:sz w:val="18"/>
                <w:szCs w:val="18"/>
              </w:rPr>
              <w:t>年度第四批创新型省份建设专项资金</w:t>
            </w:r>
            <w:r w:rsidRPr="00DF1CB8">
              <w:rPr>
                <w:rFonts w:ascii="Times New Roman" w:hAnsi="Times New Roman" w:cs="Times New Roman"/>
                <w:color w:val="000000"/>
                <w:sz w:val="18"/>
                <w:szCs w:val="18"/>
              </w:rPr>
              <w:t>-</w:t>
            </w:r>
            <w:r w:rsidRPr="00DF1CB8">
              <w:rPr>
                <w:rFonts w:ascii="Times New Roman" w:hAnsi="Times New Roman" w:cs="Times New Roman"/>
                <w:color w:val="000000"/>
                <w:sz w:val="18"/>
                <w:szCs w:val="18"/>
              </w:rPr>
              <w:t>智能化高效生物传感研究与应用</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658B5"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1,000,000.00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5ED06" w14:textId="19FA442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2CDC8" w14:textId="311659AD"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D39E3" w14:textId="417B07D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29733" w14:textId="27E842E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F6248" w14:textId="145A9D0A"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A4D6E"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1,000,000.00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956AB"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347BE708"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75335A"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产学研结合创新平台项目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3FD2E5"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843,478.46</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A74CE" w14:textId="7347404D"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FE5F6" w14:textId="0F7AC89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161A7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44,786.64</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2D44C" w14:textId="746E94E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74BDD" w14:textId="5152933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63879"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798,691.82</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155F8"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0E48CA0A"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5AF2E1"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基于移动医疗和可穿戴设备的糖尿病并发症管理新技术适用性研究</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245478" w14:textId="67E7962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C931F2"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560,000.00</w:t>
            </w: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DED28" w14:textId="3A782DD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CFBBA6" w14:textId="2F83322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E97E9" w14:textId="5727B99D"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F69FDB" w14:textId="2A08A5C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F8913"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560,000.00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1A62B1"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与收益相关</w:t>
            </w:r>
          </w:p>
        </w:tc>
      </w:tr>
      <w:tr w:rsidR="00A46BF1" w14:paraId="709CD9A8"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7B9BC8"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2022</w:t>
            </w:r>
            <w:r w:rsidRPr="00DF1CB8">
              <w:rPr>
                <w:rFonts w:ascii="Times New Roman" w:hAnsi="Times New Roman" w:cs="Times New Roman"/>
                <w:color w:val="000000"/>
                <w:sz w:val="18"/>
                <w:szCs w:val="18"/>
              </w:rPr>
              <w:t>年第六批创新型省份建设专项资金</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13F956"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500,000.00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11C21" w14:textId="28CBE8A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0E732" w14:textId="31A84A9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22E66" w14:textId="204193F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DAD299" w14:textId="0ED624C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CE25BB" w14:textId="484E9D8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A2AD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500,000.00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9B0F0A"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41CE29BA"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56F8F1"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第三类医疗器械研发后补助（</w:t>
            </w:r>
            <w:r w:rsidRPr="00DF1CB8">
              <w:rPr>
                <w:rFonts w:ascii="Times New Roman" w:hAnsi="Times New Roman" w:cs="Times New Roman"/>
                <w:color w:val="000000"/>
                <w:sz w:val="18"/>
                <w:szCs w:val="18"/>
              </w:rPr>
              <w:t>CGM</w:t>
            </w:r>
            <w:r w:rsidRPr="00DF1CB8">
              <w:rPr>
                <w:rFonts w:ascii="Times New Roman" w:hAnsi="Times New Roman" w:cs="Times New Roman"/>
                <w:color w:val="000000"/>
                <w:sz w:val="18"/>
                <w:szCs w:val="18"/>
              </w:rPr>
              <w:t>）</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91995" w14:textId="0AFECBDE"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772F69"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500,000.00</w:t>
            </w: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2B785" w14:textId="6BDFCC7A"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274434" w14:textId="03B45371"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06565" w14:textId="37F1D7EA"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E99BF" w14:textId="53F4F8E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D2E38"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500,000.00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330185"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与收益相关</w:t>
            </w:r>
          </w:p>
        </w:tc>
      </w:tr>
      <w:tr w:rsidR="00A46BF1" w14:paraId="49ECB8AE"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239951"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2024</w:t>
            </w:r>
            <w:r w:rsidRPr="00DF1CB8">
              <w:rPr>
                <w:rFonts w:ascii="Times New Roman" w:hAnsi="Times New Roman" w:cs="Times New Roman"/>
                <w:color w:val="000000"/>
                <w:sz w:val="18"/>
                <w:szCs w:val="18"/>
              </w:rPr>
              <w:t>年度第七批创新型省份建设专项资金</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BD7C9B"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480,000.00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6251BF" w14:textId="77FCDDE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E70DF0" w14:textId="3AD8CA2B"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E8C46" w14:textId="29D0ADC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83C57" w14:textId="45A6D90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F8017" w14:textId="2CE0841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01CBD2"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480,000.00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F50C7B"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57AA737B"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75B791"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2022</w:t>
            </w:r>
            <w:r w:rsidRPr="00DF1CB8">
              <w:rPr>
                <w:rFonts w:ascii="Times New Roman" w:hAnsi="Times New Roman" w:cs="Times New Roman"/>
                <w:color w:val="000000"/>
                <w:sz w:val="18"/>
                <w:szCs w:val="18"/>
              </w:rPr>
              <w:t>年第八批创新型省份建设专项资金</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0FECAC"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250,000.00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768C4" w14:textId="3C380FB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AD85C" w14:textId="4DBFC38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AFAE6" w14:textId="50BC3EDF"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07F9E0" w14:textId="60C4D96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9D708" w14:textId="7AD485C6"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B0A86"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250,000.00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1F8E7E"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63D7F201"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1D0B41"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湖南创新型省份建设专项项目</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4580BA"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100,000.00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681752" w14:textId="461D02D4"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535DA9" w14:textId="6202494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3CF110" w14:textId="0CC1B622"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8D664" w14:textId="7E74F69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45A388" w14:textId="6823E5B3"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9F4CC8"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100,000.00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516D39"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与资产相关</w:t>
            </w:r>
          </w:p>
        </w:tc>
      </w:tr>
      <w:tr w:rsidR="00A46BF1" w14:paraId="2B324F3D" w14:textId="77777777" w:rsidTr="00A46BF1">
        <w:trPr>
          <w:cantSplit/>
          <w:trHeight w:val="146"/>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6C0972" w14:textId="77777777" w:rsidR="00A46BF1" w:rsidRPr="00DF1CB8" w:rsidRDefault="00A46BF1" w:rsidP="00DF1CB8">
            <w:pPr>
              <w:pStyle w:val="a9"/>
              <w:spacing w:before="0" w:beforeAutospacing="0" w:after="0" w:afterAutospacing="0" w:line="360" w:lineRule="auto"/>
              <w:rPr>
                <w:rFonts w:ascii="Times New Roman" w:hAnsi="Times New Roman" w:cs="Times New Roman"/>
                <w:sz w:val="18"/>
                <w:szCs w:val="18"/>
              </w:rPr>
            </w:pPr>
            <w:r w:rsidRPr="00DF1CB8">
              <w:rPr>
                <w:rFonts w:ascii="Times New Roman" w:hAnsi="Times New Roman" w:cs="Times New Roman"/>
                <w:color w:val="000000"/>
                <w:sz w:val="18"/>
                <w:szCs w:val="18"/>
              </w:rPr>
              <w:t>其他</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348A2"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1,434,500.00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65030"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523,500.00</w:t>
            </w: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EF30B" w14:textId="442FF9BD"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6EA9EA"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990,000.00</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94356" w14:textId="7F8CAF35"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8FF1A" w14:textId="532A8581"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FF5F83" w14:textId="77777777"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r w:rsidRPr="00DF1CB8">
              <w:rPr>
                <w:rFonts w:ascii="Times New Roman" w:hAnsi="Times New Roman" w:cs="Times New Roman"/>
                <w:color w:val="000000"/>
                <w:sz w:val="18"/>
                <w:szCs w:val="18"/>
              </w:rPr>
              <w:t>968,000.00</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0000FA" w14:textId="77777777" w:rsidR="00A46BF1" w:rsidRPr="00DF1CB8" w:rsidRDefault="00A46BF1" w:rsidP="00DF1CB8">
            <w:pPr>
              <w:pStyle w:val="a9"/>
              <w:spacing w:before="0" w:beforeAutospacing="0" w:after="0" w:afterAutospacing="0" w:line="360" w:lineRule="auto"/>
              <w:jc w:val="center"/>
              <w:rPr>
                <w:rFonts w:ascii="Times New Roman" w:hAnsi="Times New Roman" w:cs="Times New Roman"/>
                <w:sz w:val="18"/>
                <w:szCs w:val="18"/>
              </w:rPr>
            </w:pPr>
            <w:r w:rsidRPr="00DF1CB8">
              <w:rPr>
                <w:rFonts w:ascii="Times New Roman" w:hAnsi="Times New Roman" w:cs="Times New Roman"/>
                <w:color w:val="000000"/>
                <w:sz w:val="18"/>
                <w:szCs w:val="18"/>
              </w:rPr>
              <w:t>与收益相关</w:t>
            </w:r>
          </w:p>
        </w:tc>
      </w:tr>
      <w:tr w:rsidR="00A46BF1" w14:paraId="215F300A" w14:textId="77777777" w:rsidTr="00A46BF1">
        <w:trPr>
          <w:cantSplit/>
        </w:trPr>
        <w:tc>
          <w:tcPr>
            <w:tcW w:w="17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169786" w14:textId="77777777" w:rsidR="00A46BF1" w:rsidRPr="00DF1CB8" w:rsidRDefault="00A46BF1" w:rsidP="00DF1CB8">
            <w:pPr>
              <w:pStyle w:val="a9"/>
              <w:spacing w:before="0" w:beforeAutospacing="0" w:after="0" w:afterAutospacing="0" w:line="360" w:lineRule="auto"/>
              <w:jc w:val="both"/>
              <w:textAlignment w:val="center"/>
              <w:rPr>
                <w:rFonts w:ascii="Times New Roman" w:hAnsi="Times New Roman" w:cs="Times New Roman"/>
                <w:sz w:val="18"/>
                <w:szCs w:val="18"/>
              </w:rPr>
            </w:pPr>
            <w:r w:rsidRPr="00DF1CB8">
              <w:rPr>
                <w:rStyle w:val="aa"/>
                <w:rFonts w:ascii="Times New Roman" w:hAnsi="Times New Roman" w:cs="Times New Roman"/>
                <w:color w:val="000000"/>
                <w:sz w:val="18"/>
                <w:szCs w:val="18"/>
              </w:rPr>
              <w:t>合计</w:t>
            </w:r>
          </w:p>
        </w:tc>
        <w:tc>
          <w:tcPr>
            <w:tcW w:w="4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FCAA5" w14:textId="77777777"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r w:rsidRPr="00DF1CB8">
              <w:rPr>
                <w:rStyle w:val="aa"/>
                <w:rFonts w:ascii="Times New Roman" w:hAnsi="Times New Roman" w:cs="Times New Roman"/>
                <w:color w:val="000000"/>
                <w:sz w:val="18"/>
                <w:szCs w:val="18"/>
              </w:rPr>
              <w:t>132,467,466.20</w:t>
            </w: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DE30D" w14:textId="21508C71"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r w:rsidRPr="00DF1CB8">
              <w:rPr>
                <w:rStyle w:val="aa"/>
                <w:rFonts w:ascii="Times New Roman" w:hAnsi="Times New Roman" w:cs="Times New Roman"/>
                <w:color w:val="000000"/>
                <w:sz w:val="18"/>
                <w:szCs w:val="18"/>
              </w:rPr>
              <w:t>12,113,500.00</w:t>
            </w:r>
          </w:p>
        </w:tc>
        <w:tc>
          <w:tcPr>
            <w:tcW w:w="3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8C2BA8" w14:textId="725F069D"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p>
        </w:tc>
        <w:tc>
          <w:tcPr>
            <w:tcW w:w="42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73C63E" w14:textId="428D9C96"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r w:rsidRPr="00DF1CB8">
              <w:rPr>
                <w:rStyle w:val="aa"/>
                <w:rFonts w:ascii="Times New Roman" w:hAnsi="Times New Roman" w:cs="Times New Roman"/>
                <w:color w:val="000000"/>
                <w:sz w:val="18"/>
                <w:szCs w:val="18"/>
              </w:rPr>
              <w:t>13,494,635.07</w:t>
            </w:r>
          </w:p>
        </w:tc>
        <w:tc>
          <w:tcPr>
            <w:tcW w:w="38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8F5D1" w14:textId="4DBD0188"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p>
        </w:tc>
        <w:tc>
          <w:tcPr>
            <w:tcW w:w="24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B1CBB" w14:textId="66F08C7B"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p>
        </w:tc>
        <w:tc>
          <w:tcPr>
            <w:tcW w:w="4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A088D" w14:textId="354A2EDD" w:rsidR="00A46BF1" w:rsidRPr="00DF1CB8" w:rsidRDefault="00A46BF1" w:rsidP="00DF1CB8">
            <w:pPr>
              <w:pStyle w:val="a9"/>
              <w:spacing w:before="0" w:beforeAutospacing="0" w:after="0" w:afterAutospacing="0" w:line="360" w:lineRule="auto"/>
              <w:jc w:val="right"/>
              <w:textAlignment w:val="center"/>
              <w:rPr>
                <w:rFonts w:ascii="Times New Roman" w:hAnsi="Times New Roman" w:cs="Times New Roman"/>
                <w:sz w:val="18"/>
                <w:szCs w:val="18"/>
              </w:rPr>
            </w:pPr>
            <w:r w:rsidRPr="00DF1CB8">
              <w:rPr>
                <w:rStyle w:val="aa"/>
                <w:rFonts w:ascii="Times New Roman" w:hAnsi="Times New Roman" w:cs="Times New Roman"/>
                <w:color w:val="000000"/>
                <w:sz w:val="18"/>
                <w:szCs w:val="18"/>
              </w:rPr>
              <w:t>131,086,331.13</w:t>
            </w:r>
          </w:p>
        </w:tc>
        <w:tc>
          <w:tcPr>
            <w:tcW w:w="4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46E22A" w14:textId="79F4A880" w:rsidR="00A46BF1" w:rsidRPr="00DF1CB8" w:rsidRDefault="00A46BF1" w:rsidP="00DF1CB8">
            <w:pPr>
              <w:pStyle w:val="a9"/>
              <w:spacing w:before="0" w:beforeAutospacing="0" w:after="0" w:afterAutospacing="0" w:line="360" w:lineRule="auto"/>
              <w:jc w:val="right"/>
              <w:rPr>
                <w:rFonts w:ascii="Times New Roman" w:hAnsi="Times New Roman" w:cs="Times New Roman"/>
                <w:sz w:val="18"/>
                <w:szCs w:val="18"/>
              </w:rPr>
            </w:pPr>
          </w:p>
        </w:tc>
      </w:tr>
    </w:tbl>
    <w:p w14:paraId="5BC2ADBF" w14:textId="77777777" w:rsidR="00A46BF1" w:rsidRDefault="00A46BF1" w:rsidP="00A46BF1"/>
    <w:p w14:paraId="7D7D6555" w14:textId="77777777" w:rsidR="00DF1CB8" w:rsidRDefault="00DF1CB8" w:rsidP="00A46BF1">
      <w:pPr>
        <w:pStyle w:val="3"/>
        <w:spacing w:line="280" w:lineRule="exact"/>
        <w:jc w:val="left"/>
        <w:rPr>
          <w:rFonts w:ascii="宋体" w:hAnsi="宋体" w:cs="宋体"/>
          <w:b/>
          <w:bCs/>
        </w:rPr>
        <w:sectPr w:rsidR="00DF1CB8" w:rsidSect="00DF1CB8">
          <w:pgSz w:w="16840" w:h="11905" w:orient="landscape"/>
          <w:pgMar w:top="1134" w:right="1440" w:bottom="1134" w:left="1440" w:header="850" w:footer="992" w:gutter="0"/>
          <w:cols w:space="720"/>
          <w:docGrid w:type="linesAndChars" w:linePitch="312"/>
        </w:sectPr>
      </w:pPr>
    </w:p>
    <w:p w14:paraId="5690687A" w14:textId="78C4B835" w:rsidR="00A46BF1" w:rsidRDefault="0026505D" w:rsidP="00A46BF1">
      <w:pPr>
        <w:pStyle w:val="3"/>
        <w:spacing w:line="280" w:lineRule="exact"/>
        <w:jc w:val="left"/>
        <w:rPr>
          <w:rFonts w:ascii="宋体" w:hAnsi="宋体" w:cs="宋体"/>
          <w:b/>
          <w:bCs/>
        </w:rPr>
      </w:pPr>
      <w:r>
        <w:rPr>
          <w:rFonts w:ascii="宋体" w:hAnsi="宋体" w:cs="宋体"/>
          <w:b/>
          <w:bCs/>
        </w:rPr>
        <w:t>38</w:t>
      </w:r>
      <w:r w:rsidR="00A46BF1">
        <w:rPr>
          <w:rFonts w:ascii="宋体" w:hAnsi="宋体" w:cs="宋体"/>
          <w:b/>
          <w:bCs/>
        </w:rPr>
        <w:t>、股本</w:t>
      </w:r>
    </w:p>
    <w:p w14:paraId="7D05065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204"/>
        <w:gridCol w:w="1490"/>
        <w:gridCol w:w="992"/>
        <w:gridCol w:w="850"/>
        <w:gridCol w:w="1134"/>
        <w:gridCol w:w="1276"/>
        <w:gridCol w:w="1276"/>
        <w:gridCol w:w="1417"/>
      </w:tblGrid>
      <w:tr w:rsidR="00095F6F" w:rsidRPr="0026505D" w14:paraId="6C38E524" w14:textId="77777777" w:rsidTr="0026505D">
        <w:trPr>
          <w:trHeight w:val="240"/>
        </w:trPr>
        <w:tc>
          <w:tcPr>
            <w:tcW w:w="120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4D0C7F1" w14:textId="77777777" w:rsidR="00A46BF1" w:rsidRPr="0026505D" w:rsidRDefault="00A46BF1" w:rsidP="0026505D">
            <w:pPr>
              <w:spacing w:line="360" w:lineRule="auto"/>
              <w:rPr>
                <w:rFonts w:ascii="Times New Roman" w:hAnsi="Times New Roman" w:cs="Times New Roman"/>
              </w:rPr>
            </w:pPr>
          </w:p>
        </w:tc>
        <w:tc>
          <w:tcPr>
            <w:tcW w:w="149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893331B"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期初余额</w:t>
            </w:r>
          </w:p>
        </w:tc>
        <w:tc>
          <w:tcPr>
            <w:tcW w:w="5528"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21C6261"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本次变动增减（</w:t>
            </w:r>
            <w:r w:rsidRPr="0026505D">
              <w:rPr>
                <w:rFonts w:ascii="Times New Roman" w:eastAsia="宋体" w:hAnsi="Times New Roman" w:cs="Times New Roman"/>
                <w:sz w:val="18"/>
                <w:szCs w:val="18"/>
              </w:rPr>
              <w:t>+</w:t>
            </w:r>
            <w:r w:rsidRPr="0026505D">
              <w:rPr>
                <w:rFonts w:ascii="Times New Roman" w:eastAsia="宋体" w:hAnsi="Times New Roman" w:cs="Times New Roman"/>
                <w:sz w:val="18"/>
                <w:szCs w:val="18"/>
              </w:rPr>
              <w:t>、</w:t>
            </w:r>
            <w:r w:rsidRPr="0026505D">
              <w:rPr>
                <w:rFonts w:ascii="Times New Roman" w:eastAsia="宋体" w:hAnsi="Times New Roman" w:cs="Times New Roman"/>
                <w:sz w:val="18"/>
                <w:szCs w:val="18"/>
              </w:rPr>
              <w:t>-</w:t>
            </w:r>
            <w:r w:rsidRPr="0026505D">
              <w:rPr>
                <w:rFonts w:ascii="Times New Roman" w:eastAsia="宋体" w:hAnsi="Times New Roman" w:cs="Times New Roman"/>
                <w:sz w:val="18"/>
                <w:szCs w:val="18"/>
              </w:rPr>
              <w:t>）</w:t>
            </w:r>
          </w:p>
        </w:tc>
        <w:tc>
          <w:tcPr>
            <w:tcW w:w="141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5F71FB1"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期末余额</w:t>
            </w:r>
          </w:p>
        </w:tc>
      </w:tr>
      <w:tr w:rsidR="00095F6F" w:rsidRPr="0026505D" w14:paraId="7FA6A3BA" w14:textId="77777777" w:rsidTr="0026505D">
        <w:trPr>
          <w:trHeight w:val="240"/>
        </w:trPr>
        <w:tc>
          <w:tcPr>
            <w:tcW w:w="120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6981F11" w14:textId="77777777" w:rsidR="00A46BF1" w:rsidRPr="0026505D" w:rsidRDefault="00A46BF1" w:rsidP="0026505D">
            <w:pPr>
              <w:spacing w:line="360" w:lineRule="auto"/>
              <w:rPr>
                <w:rFonts w:ascii="Times New Roman" w:hAnsi="Times New Roman" w:cs="Times New Roman"/>
              </w:rPr>
            </w:pPr>
          </w:p>
        </w:tc>
        <w:tc>
          <w:tcPr>
            <w:tcW w:w="149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4EC8AAC" w14:textId="77777777" w:rsidR="00A46BF1" w:rsidRPr="0026505D" w:rsidRDefault="00A46BF1" w:rsidP="0026505D">
            <w:pPr>
              <w:spacing w:line="360" w:lineRule="auto"/>
              <w:rPr>
                <w:rFonts w:ascii="Times New Roman" w:hAnsi="Times New Roman" w:cs="Times New Roman"/>
              </w:rPr>
            </w:pP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190A480"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发行新股</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503AF4C"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送股</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968C68E"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公积金转股</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73962E84"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其他</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63838499" w14:textId="77777777" w:rsidR="00A46BF1" w:rsidRPr="0026505D" w:rsidRDefault="00A46BF1" w:rsidP="0026505D">
            <w:pPr>
              <w:spacing w:before="40" w:after="40" w:line="360" w:lineRule="auto"/>
              <w:jc w:val="center"/>
              <w:rPr>
                <w:rFonts w:ascii="Times New Roman" w:eastAsia="宋体" w:hAnsi="Times New Roman" w:cs="Times New Roman"/>
                <w:sz w:val="18"/>
                <w:szCs w:val="18"/>
              </w:rPr>
            </w:pPr>
            <w:r w:rsidRPr="0026505D">
              <w:rPr>
                <w:rFonts w:ascii="Times New Roman" w:eastAsia="宋体" w:hAnsi="Times New Roman" w:cs="Times New Roman"/>
                <w:sz w:val="18"/>
                <w:szCs w:val="18"/>
              </w:rPr>
              <w:t>小计</w:t>
            </w:r>
          </w:p>
        </w:tc>
        <w:tc>
          <w:tcPr>
            <w:tcW w:w="141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82CB28" w14:textId="77777777" w:rsidR="00A46BF1" w:rsidRPr="0026505D" w:rsidRDefault="00A46BF1" w:rsidP="0026505D">
            <w:pPr>
              <w:spacing w:line="360" w:lineRule="auto"/>
              <w:rPr>
                <w:rFonts w:ascii="Times New Roman" w:hAnsi="Times New Roman" w:cs="Times New Roman"/>
              </w:rPr>
            </w:pPr>
          </w:p>
        </w:tc>
      </w:tr>
      <w:tr w:rsidR="00095F6F" w:rsidRPr="0026505D" w14:paraId="693605A2" w14:textId="77777777" w:rsidTr="0026505D">
        <w:trPr>
          <w:trHeight w:val="240"/>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672F4DB5" w14:textId="77777777" w:rsidR="00A46BF1" w:rsidRPr="0026505D" w:rsidRDefault="00A46BF1" w:rsidP="0026505D">
            <w:pPr>
              <w:spacing w:before="40" w:after="40" w:line="360" w:lineRule="auto"/>
              <w:rPr>
                <w:rFonts w:ascii="Times New Roman" w:eastAsia="宋体" w:hAnsi="Times New Roman" w:cs="Times New Roman"/>
                <w:sz w:val="18"/>
                <w:szCs w:val="18"/>
              </w:rPr>
            </w:pPr>
            <w:r w:rsidRPr="0026505D">
              <w:rPr>
                <w:rFonts w:ascii="Times New Roman" w:eastAsia="宋体" w:hAnsi="Times New Roman" w:cs="Times New Roman"/>
                <w:sz w:val="18"/>
                <w:szCs w:val="18"/>
              </w:rPr>
              <w:t>股份总数</w:t>
            </w:r>
          </w:p>
        </w:tc>
        <w:tc>
          <w:tcPr>
            <w:tcW w:w="1490" w:type="dxa"/>
            <w:tcBorders>
              <w:top w:val="single" w:sz="2" w:space="0" w:color="auto"/>
              <w:left w:val="single" w:sz="2" w:space="0" w:color="auto"/>
              <w:bottom w:val="single" w:sz="2" w:space="0" w:color="auto"/>
              <w:right w:val="single" w:sz="2" w:space="0" w:color="auto"/>
            </w:tcBorders>
            <w:vAlign w:val="center"/>
          </w:tcPr>
          <w:p w14:paraId="1CC50F5E" w14:textId="77777777" w:rsidR="00A46BF1" w:rsidRPr="0026505D" w:rsidRDefault="00A46BF1" w:rsidP="0026505D">
            <w:pPr>
              <w:spacing w:line="360" w:lineRule="auto"/>
              <w:jc w:val="right"/>
              <w:rPr>
                <w:rFonts w:ascii="Times New Roman" w:eastAsia="宋体" w:hAnsi="Times New Roman" w:cs="Times New Roman"/>
                <w:sz w:val="18"/>
                <w:szCs w:val="18"/>
              </w:rPr>
            </w:pPr>
            <w:r w:rsidRPr="0026505D">
              <w:rPr>
                <w:rFonts w:ascii="Times New Roman" w:eastAsia="宋体" w:hAnsi="Times New Roman" w:cs="Times New Roman"/>
                <w:sz w:val="18"/>
                <w:szCs w:val="18"/>
              </w:rPr>
              <w:t>564,265,375.00</w:t>
            </w:r>
          </w:p>
        </w:tc>
        <w:tc>
          <w:tcPr>
            <w:tcW w:w="992" w:type="dxa"/>
            <w:tcBorders>
              <w:top w:val="single" w:sz="2" w:space="0" w:color="auto"/>
              <w:left w:val="single" w:sz="2" w:space="0" w:color="auto"/>
              <w:bottom w:val="single" w:sz="2" w:space="0" w:color="auto"/>
              <w:right w:val="single" w:sz="2" w:space="0" w:color="auto"/>
            </w:tcBorders>
            <w:vAlign w:val="center"/>
          </w:tcPr>
          <w:p w14:paraId="4EEB513B" w14:textId="77777777" w:rsidR="00A46BF1" w:rsidRPr="0026505D" w:rsidRDefault="00A46BF1" w:rsidP="0026505D">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3498143C" w14:textId="77777777" w:rsidR="00A46BF1" w:rsidRPr="0026505D" w:rsidRDefault="00A46BF1" w:rsidP="0026505D">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494D066E" w14:textId="77777777" w:rsidR="00A46BF1" w:rsidRPr="0026505D" w:rsidRDefault="00A46BF1" w:rsidP="0026505D">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2AFC927D" w14:textId="77777777" w:rsidR="00A46BF1" w:rsidRPr="0026505D" w:rsidRDefault="00A46BF1" w:rsidP="0026505D">
            <w:pPr>
              <w:spacing w:line="360" w:lineRule="auto"/>
              <w:jc w:val="right"/>
              <w:rPr>
                <w:rFonts w:ascii="Times New Roman" w:eastAsia="宋体" w:hAnsi="Times New Roman" w:cs="Times New Roman"/>
                <w:sz w:val="18"/>
                <w:szCs w:val="18"/>
              </w:rPr>
            </w:pPr>
            <w:r w:rsidRPr="0026505D">
              <w:rPr>
                <w:rFonts w:ascii="Times New Roman" w:eastAsia="宋体" w:hAnsi="Times New Roman" w:cs="Times New Roman"/>
                <w:sz w:val="18"/>
                <w:szCs w:val="18"/>
              </w:rPr>
              <w:t>-3,998,069.00</w:t>
            </w:r>
          </w:p>
        </w:tc>
        <w:tc>
          <w:tcPr>
            <w:tcW w:w="1276" w:type="dxa"/>
            <w:tcBorders>
              <w:top w:val="single" w:sz="2" w:space="0" w:color="auto"/>
              <w:left w:val="single" w:sz="2" w:space="0" w:color="auto"/>
              <w:bottom w:val="single" w:sz="2" w:space="0" w:color="auto"/>
              <w:right w:val="single" w:sz="2" w:space="0" w:color="auto"/>
            </w:tcBorders>
            <w:vAlign w:val="center"/>
          </w:tcPr>
          <w:p w14:paraId="368C87CC" w14:textId="77777777" w:rsidR="00A46BF1" w:rsidRPr="0026505D" w:rsidRDefault="00A46BF1" w:rsidP="0026505D">
            <w:pPr>
              <w:spacing w:line="360" w:lineRule="auto"/>
              <w:jc w:val="right"/>
              <w:rPr>
                <w:rFonts w:ascii="Times New Roman" w:eastAsia="宋体" w:hAnsi="Times New Roman" w:cs="Times New Roman"/>
                <w:sz w:val="18"/>
                <w:szCs w:val="18"/>
              </w:rPr>
            </w:pPr>
            <w:r w:rsidRPr="0026505D">
              <w:rPr>
                <w:rFonts w:ascii="Times New Roman" w:eastAsia="宋体" w:hAnsi="Times New Roman" w:cs="Times New Roman"/>
                <w:sz w:val="18"/>
                <w:szCs w:val="18"/>
              </w:rPr>
              <w:t>-3,998,069.00</w:t>
            </w:r>
          </w:p>
        </w:tc>
        <w:tc>
          <w:tcPr>
            <w:tcW w:w="1417" w:type="dxa"/>
            <w:tcBorders>
              <w:top w:val="single" w:sz="2" w:space="0" w:color="auto"/>
              <w:left w:val="single" w:sz="2" w:space="0" w:color="auto"/>
              <w:bottom w:val="single" w:sz="2" w:space="0" w:color="auto"/>
              <w:right w:val="single" w:sz="2" w:space="0" w:color="auto"/>
            </w:tcBorders>
            <w:vAlign w:val="center"/>
          </w:tcPr>
          <w:p w14:paraId="48427467" w14:textId="77777777" w:rsidR="00A46BF1" w:rsidRPr="0026505D" w:rsidRDefault="00A46BF1" w:rsidP="0026505D">
            <w:pPr>
              <w:spacing w:line="360" w:lineRule="auto"/>
              <w:jc w:val="right"/>
              <w:rPr>
                <w:rFonts w:ascii="Times New Roman" w:eastAsia="宋体" w:hAnsi="Times New Roman" w:cs="Times New Roman"/>
                <w:sz w:val="18"/>
                <w:szCs w:val="18"/>
              </w:rPr>
            </w:pPr>
            <w:r w:rsidRPr="0026505D">
              <w:rPr>
                <w:rFonts w:ascii="Times New Roman" w:eastAsia="宋体" w:hAnsi="Times New Roman" w:cs="Times New Roman"/>
                <w:sz w:val="18"/>
                <w:szCs w:val="18"/>
              </w:rPr>
              <w:t>560,267,306.00</w:t>
            </w:r>
          </w:p>
        </w:tc>
      </w:tr>
    </w:tbl>
    <w:p w14:paraId="7CC8486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A8DBF74" w14:textId="77777777"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股本变动为：①本年可转债</w:t>
      </w:r>
      <w:r w:rsidRPr="0054652C">
        <w:rPr>
          <w:rFonts w:ascii="Times New Roman" w:hAnsi="Times New Roman" w:cs="Times New Roman"/>
          <w:sz w:val="21"/>
          <w:szCs w:val="21"/>
        </w:rPr>
        <w:t>420</w:t>
      </w:r>
      <w:r w:rsidRPr="0054652C">
        <w:rPr>
          <w:rFonts w:ascii="Times New Roman" w:hAnsi="Times New Roman" w:cs="Times New Roman" w:hint="eastAsia"/>
          <w:sz w:val="21"/>
          <w:szCs w:val="21"/>
        </w:rPr>
        <w:t>张转</w:t>
      </w:r>
      <w:r w:rsidRPr="0054652C">
        <w:rPr>
          <w:rFonts w:ascii="Times New Roman" w:hAnsi="Times New Roman" w:cs="Times New Roman"/>
          <w:sz w:val="21"/>
          <w:szCs w:val="21"/>
        </w:rPr>
        <w:t>1,218</w:t>
      </w:r>
      <w:r w:rsidRPr="0054652C">
        <w:rPr>
          <w:rFonts w:ascii="Times New Roman" w:hAnsi="Times New Roman" w:cs="Times New Roman" w:hint="eastAsia"/>
          <w:sz w:val="21"/>
          <w:szCs w:val="21"/>
        </w:rPr>
        <w:t>股；②注销存放于公司回购专用证券账户的回购库存股</w:t>
      </w:r>
      <w:r w:rsidRPr="0054652C">
        <w:rPr>
          <w:rFonts w:ascii="Times New Roman" w:hAnsi="Times New Roman" w:cs="Times New Roman"/>
          <w:sz w:val="21"/>
          <w:szCs w:val="21"/>
        </w:rPr>
        <w:t>3,999,287</w:t>
      </w:r>
      <w:r w:rsidRPr="0054652C">
        <w:rPr>
          <w:rFonts w:ascii="Times New Roman" w:hAnsi="Times New Roman" w:cs="Times New Roman" w:hint="eastAsia"/>
          <w:sz w:val="21"/>
          <w:szCs w:val="21"/>
        </w:rPr>
        <w:t>股。</w:t>
      </w:r>
    </w:p>
    <w:p w14:paraId="1AF695B1" w14:textId="6CBE937A" w:rsidR="00A46BF1" w:rsidRDefault="00DF1D4E" w:rsidP="00A46BF1">
      <w:pPr>
        <w:pStyle w:val="3"/>
        <w:spacing w:line="280" w:lineRule="exact"/>
        <w:jc w:val="left"/>
        <w:rPr>
          <w:rFonts w:ascii="宋体" w:hAnsi="宋体" w:cs="宋体"/>
          <w:b/>
          <w:bCs/>
        </w:rPr>
      </w:pPr>
      <w:r>
        <w:rPr>
          <w:rFonts w:ascii="宋体" w:hAnsi="宋体" w:cs="宋体"/>
          <w:b/>
          <w:bCs/>
        </w:rPr>
        <w:t>39</w:t>
      </w:r>
      <w:r w:rsidR="00A46BF1">
        <w:rPr>
          <w:rFonts w:ascii="宋体" w:hAnsi="宋体" w:cs="宋体"/>
          <w:b/>
          <w:bCs/>
        </w:rPr>
        <w:t>、其他权益工具</w:t>
      </w:r>
    </w:p>
    <w:p w14:paraId="00D964E5"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期末发行在外的优先股、永续债等金融工具变动情况表</w:t>
      </w:r>
    </w:p>
    <w:p w14:paraId="2F006482"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1763"/>
        <w:gridCol w:w="1134"/>
        <w:gridCol w:w="1276"/>
        <w:gridCol w:w="567"/>
        <w:gridCol w:w="850"/>
        <w:gridCol w:w="836"/>
        <w:gridCol w:w="865"/>
        <w:gridCol w:w="1134"/>
        <w:gridCol w:w="1214"/>
      </w:tblGrid>
      <w:tr w:rsidR="00095F6F" w:rsidRPr="00DF1D4E" w14:paraId="3824C3EC" w14:textId="77777777" w:rsidTr="00DF1D4E">
        <w:trPr>
          <w:trHeight w:val="240"/>
        </w:trPr>
        <w:tc>
          <w:tcPr>
            <w:tcW w:w="176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D1C955C"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发行在外的金融工具</w:t>
            </w:r>
          </w:p>
        </w:tc>
        <w:tc>
          <w:tcPr>
            <w:tcW w:w="241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0C9AD05E"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期初</w:t>
            </w:r>
          </w:p>
        </w:tc>
        <w:tc>
          <w:tcPr>
            <w:tcW w:w="1417"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A384B2A"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本期增加</w:t>
            </w:r>
          </w:p>
        </w:tc>
        <w:tc>
          <w:tcPr>
            <w:tcW w:w="170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CA859C2"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本期减少</w:t>
            </w:r>
          </w:p>
        </w:tc>
        <w:tc>
          <w:tcPr>
            <w:tcW w:w="234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1883699"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期末</w:t>
            </w:r>
          </w:p>
        </w:tc>
      </w:tr>
      <w:tr w:rsidR="00095F6F" w:rsidRPr="00DF1D4E" w14:paraId="5962D20C" w14:textId="77777777" w:rsidTr="00DF1D4E">
        <w:trPr>
          <w:trHeight w:val="240"/>
        </w:trPr>
        <w:tc>
          <w:tcPr>
            <w:tcW w:w="176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9227C2E" w14:textId="77777777" w:rsidR="00A46BF1" w:rsidRPr="00DF1D4E" w:rsidRDefault="00A46BF1" w:rsidP="00DF1D4E">
            <w:pPr>
              <w:spacing w:line="360" w:lineRule="auto"/>
              <w:rPr>
                <w:rFonts w:ascii="Times New Roman" w:hAnsi="Times New Roman" w:cs="Times New Roman"/>
              </w:rPr>
            </w:pP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B02DD0F"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数量</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47E754F3"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账面价值</w:t>
            </w:r>
          </w:p>
        </w:tc>
        <w:tc>
          <w:tcPr>
            <w:tcW w:w="567" w:type="dxa"/>
            <w:tcBorders>
              <w:top w:val="single" w:sz="2" w:space="0" w:color="auto"/>
              <w:left w:val="single" w:sz="2" w:space="0" w:color="auto"/>
              <w:bottom w:val="single" w:sz="2" w:space="0" w:color="auto"/>
              <w:right w:val="single" w:sz="2" w:space="0" w:color="auto"/>
            </w:tcBorders>
            <w:shd w:val="clear" w:color="auto" w:fill="D3D3D3"/>
            <w:vAlign w:val="center"/>
          </w:tcPr>
          <w:p w14:paraId="10B2D994"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数量</w:t>
            </w:r>
          </w:p>
        </w:tc>
        <w:tc>
          <w:tcPr>
            <w:tcW w:w="850" w:type="dxa"/>
            <w:tcBorders>
              <w:top w:val="single" w:sz="2" w:space="0" w:color="auto"/>
              <w:left w:val="single" w:sz="2" w:space="0" w:color="auto"/>
              <w:bottom w:val="single" w:sz="2" w:space="0" w:color="auto"/>
              <w:right w:val="single" w:sz="2" w:space="0" w:color="auto"/>
            </w:tcBorders>
            <w:shd w:val="clear" w:color="auto" w:fill="D3D3D3"/>
            <w:vAlign w:val="center"/>
          </w:tcPr>
          <w:p w14:paraId="3851BA70"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账面价值</w:t>
            </w:r>
          </w:p>
        </w:tc>
        <w:tc>
          <w:tcPr>
            <w:tcW w:w="836" w:type="dxa"/>
            <w:tcBorders>
              <w:top w:val="single" w:sz="2" w:space="0" w:color="auto"/>
              <w:left w:val="single" w:sz="2" w:space="0" w:color="auto"/>
              <w:bottom w:val="single" w:sz="2" w:space="0" w:color="auto"/>
              <w:right w:val="single" w:sz="2" w:space="0" w:color="auto"/>
            </w:tcBorders>
            <w:shd w:val="clear" w:color="auto" w:fill="D3D3D3"/>
            <w:vAlign w:val="center"/>
          </w:tcPr>
          <w:p w14:paraId="326A32F4"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数量</w:t>
            </w:r>
          </w:p>
        </w:tc>
        <w:tc>
          <w:tcPr>
            <w:tcW w:w="865" w:type="dxa"/>
            <w:tcBorders>
              <w:top w:val="single" w:sz="2" w:space="0" w:color="auto"/>
              <w:left w:val="single" w:sz="2" w:space="0" w:color="auto"/>
              <w:bottom w:val="single" w:sz="2" w:space="0" w:color="auto"/>
              <w:right w:val="single" w:sz="2" w:space="0" w:color="auto"/>
            </w:tcBorders>
            <w:shd w:val="clear" w:color="auto" w:fill="D3D3D3"/>
            <w:vAlign w:val="center"/>
          </w:tcPr>
          <w:p w14:paraId="2F31936F"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账面价值</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1BF1C62B"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数量</w:t>
            </w:r>
          </w:p>
        </w:tc>
        <w:tc>
          <w:tcPr>
            <w:tcW w:w="1214" w:type="dxa"/>
            <w:tcBorders>
              <w:top w:val="single" w:sz="2" w:space="0" w:color="auto"/>
              <w:left w:val="single" w:sz="2" w:space="0" w:color="auto"/>
              <w:bottom w:val="single" w:sz="2" w:space="0" w:color="auto"/>
              <w:right w:val="single" w:sz="2" w:space="0" w:color="auto"/>
            </w:tcBorders>
            <w:shd w:val="clear" w:color="auto" w:fill="D3D3D3"/>
            <w:vAlign w:val="center"/>
          </w:tcPr>
          <w:p w14:paraId="254C25FB"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账面价值</w:t>
            </w:r>
          </w:p>
        </w:tc>
      </w:tr>
      <w:tr w:rsidR="00095F6F" w:rsidRPr="00DF1D4E" w14:paraId="705207AD" w14:textId="77777777" w:rsidTr="00DF1D4E">
        <w:trPr>
          <w:trHeight w:val="240"/>
        </w:trPr>
        <w:tc>
          <w:tcPr>
            <w:tcW w:w="1763" w:type="dxa"/>
            <w:tcBorders>
              <w:top w:val="single" w:sz="2" w:space="0" w:color="auto"/>
              <w:left w:val="single" w:sz="2" w:space="0" w:color="auto"/>
              <w:bottom w:val="single" w:sz="2" w:space="0" w:color="auto"/>
              <w:right w:val="single" w:sz="2" w:space="0" w:color="auto"/>
            </w:tcBorders>
            <w:vAlign w:val="center"/>
          </w:tcPr>
          <w:p w14:paraId="12A03CF4" w14:textId="77777777" w:rsidR="00A46BF1" w:rsidRPr="00DF1D4E" w:rsidRDefault="00A46BF1" w:rsidP="00DF1D4E">
            <w:pPr>
              <w:spacing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可转债权益部分</w:t>
            </w:r>
          </w:p>
        </w:tc>
        <w:tc>
          <w:tcPr>
            <w:tcW w:w="1134" w:type="dxa"/>
            <w:tcBorders>
              <w:top w:val="single" w:sz="2" w:space="0" w:color="auto"/>
              <w:left w:val="single" w:sz="2" w:space="0" w:color="auto"/>
              <w:bottom w:val="single" w:sz="2" w:space="0" w:color="auto"/>
              <w:right w:val="single" w:sz="2" w:space="0" w:color="auto"/>
            </w:tcBorders>
            <w:vAlign w:val="center"/>
          </w:tcPr>
          <w:p w14:paraId="284F1643"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4,984,223.00</w:t>
            </w:r>
          </w:p>
        </w:tc>
        <w:tc>
          <w:tcPr>
            <w:tcW w:w="1276" w:type="dxa"/>
            <w:tcBorders>
              <w:top w:val="single" w:sz="2" w:space="0" w:color="auto"/>
              <w:left w:val="single" w:sz="2" w:space="0" w:color="auto"/>
              <w:bottom w:val="single" w:sz="2" w:space="0" w:color="auto"/>
              <w:right w:val="single" w:sz="2" w:space="0" w:color="auto"/>
            </w:tcBorders>
            <w:vAlign w:val="center"/>
          </w:tcPr>
          <w:p w14:paraId="7D15D5F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123,953,405.74</w:t>
            </w:r>
          </w:p>
        </w:tc>
        <w:tc>
          <w:tcPr>
            <w:tcW w:w="567" w:type="dxa"/>
            <w:tcBorders>
              <w:top w:val="single" w:sz="2" w:space="0" w:color="auto"/>
              <w:left w:val="single" w:sz="2" w:space="0" w:color="auto"/>
              <w:bottom w:val="single" w:sz="2" w:space="0" w:color="auto"/>
              <w:right w:val="single" w:sz="2" w:space="0" w:color="auto"/>
            </w:tcBorders>
            <w:vAlign w:val="center"/>
          </w:tcPr>
          <w:p w14:paraId="49BE4576"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237BACE4"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836" w:type="dxa"/>
            <w:tcBorders>
              <w:top w:val="single" w:sz="2" w:space="0" w:color="auto"/>
              <w:left w:val="single" w:sz="2" w:space="0" w:color="auto"/>
              <w:bottom w:val="single" w:sz="2" w:space="0" w:color="auto"/>
              <w:right w:val="single" w:sz="2" w:space="0" w:color="auto"/>
            </w:tcBorders>
            <w:vAlign w:val="center"/>
          </w:tcPr>
          <w:p w14:paraId="5AA46551"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420.00</w:t>
            </w:r>
          </w:p>
        </w:tc>
        <w:tc>
          <w:tcPr>
            <w:tcW w:w="865" w:type="dxa"/>
            <w:tcBorders>
              <w:top w:val="single" w:sz="2" w:space="0" w:color="auto"/>
              <w:left w:val="single" w:sz="2" w:space="0" w:color="auto"/>
              <w:bottom w:val="single" w:sz="2" w:space="0" w:color="auto"/>
              <w:right w:val="single" w:sz="2" w:space="0" w:color="auto"/>
            </w:tcBorders>
            <w:vAlign w:val="center"/>
          </w:tcPr>
          <w:p w14:paraId="6FCFC0FF"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10,445.88</w:t>
            </w:r>
          </w:p>
        </w:tc>
        <w:tc>
          <w:tcPr>
            <w:tcW w:w="1134" w:type="dxa"/>
            <w:tcBorders>
              <w:top w:val="single" w:sz="2" w:space="0" w:color="auto"/>
              <w:left w:val="single" w:sz="2" w:space="0" w:color="auto"/>
              <w:bottom w:val="single" w:sz="2" w:space="0" w:color="auto"/>
              <w:right w:val="single" w:sz="2" w:space="0" w:color="auto"/>
            </w:tcBorders>
            <w:vAlign w:val="center"/>
          </w:tcPr>
          <w:p w14:paraId="102BD80C"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4,983,803.00</w:t>
            </w:r>
          </w:p>
        </w:tc>
        <w:tc>
          <w:tcPr>
            <w:tcW w:w="1214" w:type="dxa"/>
            <w:tcBorders>
              <w:top w:val="single" w:sz="2" w:space="0" w:color="auto"/>
              <w:left w:val="single" w:sz="2" w:space="0" w:color="auto"/>
              <w:bottom w:val="single" w:sz="2" w:space="0" w:color="auto"/>
              <w:right w:val="single" w:sz="2" w:space="0" w:color="auto"/>
            </w:tcBorders>
            <w:vAlign w:val="center"/>
          </w:tcPr>
          <w:p w14:paraId="7D0BFCED"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123,942,959.86</w:t>
            </w:r>
          </w:p>
        </w:tc>
      </w:tr>
      <w:tr w:rsidR="00095F6F" w:rsidRPr="00DF1D4E" w14:paraId="35DCB486" w14:textId="77777777" w:rsidTr="00DF1D4E">
        <w:trPr>
          <w:trHeight w:val="240"/>
        </w:trPr>
        <w:tc>
          <w:tcPr>
            <w:tcW w:w="1763" w:type="dxa"/>
            <w:tcBorders>
              <w:top w:val="single" w:sz="2" w:space="0" w:color="auto"/>
              <w:left w:val="single" w:sz="2" w:space="0" w:color="auto"/>
              <w:bottom w:val="single" w:sz="2" w:space="0" w:color="auto"/>
              <w:right w:val="single" w:sz="2" w:space="0" w:color="auto"/>
            </w:tcBorders>
            <w:shd w:val="clear" w:color="auto" w:fill="D3D3D3"/>
            <w:vAlign w:val="center"/>
          </w:tcPr>
          <w:p w14:paraId="3B91429D"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合计</w:t>
            </w:r>
          </w:p>
        </w:tc>
        <w:tc>
          <w:tcPr>
            <w:tcW w:w="1134" w:type="dxa"/>
            <w:tcBorders>
              <w:top w:val="single" w:sz="2" w:space="0" w:color="auto"/>
              <w:left w:val="single" w:sz="2" w:space="0" w:color="auto"/>
              <w:bottom w:val="single" w:sz="2" w:space="0" w:color="auto"/>
              <w:right w:val="single" w:sz="2" w:space="0" w:color="auto"/>
            </w:tcBorders>
            <w:vAlign w:val="center"/>
          </w:tcPr>
          <w:p w14:paraId="4EB5504F"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4,984,223.00</w:t>
            </w:r>
          </w:p>
        </w:tc>
        <w:tc>
          <w:tcPr>
            <w:tcW w:w="1276" w:type="dxa"/>
            <w:tcBorders>
              <w:top w:val="single" w:sz="2" w:space="0" w:color="auto"/>
              <w:left w:val="single" w:sz="2" w:space="0" w:color="auto"/>
              <w:bottom w:val="single" w:sz="2" w:space="0" w:color="auto"/>
              <w:right w:val="single" w:sz="2" w:space="0" w:color="auto"/>
            </w:tcBorders>
            <w:vAlign w:val="center"/>
          </w:tcPr>
          <w:p w14:paraId="1CD6C749"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123,953,405.74</w:t>
            </w:r>
          </w:p>
        </w:tc>
        <w:tc>
          <w:tcPr>
            <w:tcW w:w="567" w:type="dxa"/>
            <w:tcBorders>
              <w:top w:val="single" w:sz="2" w:space="0" w:color="auto"/>
              <w:left w:val="single" w:sz="2" w:space="0" w:color="auto"/>
              <w:bottom w:val="single" w:sz="2" w:space="0" w:color="auto"/>
              <w:right w:val="single" w:sz="2" w:space="0" w:color="auto"/>
            </w:tcBorders>
            <w:vAlign w:val="center"/>
          </w:tcPr>
          <w:p w14:paraId="76A7F42A"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850" w:type="dxa"/>
            <w:tcBorders>
              <w:top w:val="single" w:sz="2" w:space="0" w:color="auto"/>
              <w:left w:val="single" w:sz="2" w:space="0" w:color="auto"/>
              <w:bottom w:val="single" w:sz="2" w:space="0" w:color="auto"/>
              <w:right w:val="single" w:sz="2" w:space="0" w:color="auto"/>
            </w:tcBorders>
            <w:vAlign w:val="center"/>
          </w:tcPr>
          <w:p w14:paraId="244ED563"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836" w:type="dxa"/>
            <w:tcBorders>
              <w:top w:val="single" w:sz="2" w:space="0" w:color="auto"/>
              <w:left w:val="single" w:sz="2" w:space="0" w:color="auto"/>
              <w:bottom w:val="single" w:sz="2" w:space="0" w:color="auto"/>
              <w:right w:val="single" w:sz="2" w:space="0" w:color="auto"/>
            </w:tcBorders>
            <w:vAlign w:val="center"/>
          </w:tcPr>
          <w:p w14:paraId="7F5D009E"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420.00</w:t>
            </w:r>
          </w:p>
        </w:tc>
        <w:tc>
          <w:tcPr>
            <w:tcW w:w="865" w:type="dxa"/>
            <w:tcBorders>
              <w:top w:val="single" w:sz="2" w:space="0" w:color="auto"/>
              <w:left w:val="single" w:sz="2" w:space="0" w:color="auto"/>
              <w:bottom w:val="single" w:sz="2" w:space="0" w:color="auto"/>
              <w:right w:val="single" w:sz="2" w:space="0" w:color="auto"/>
            </w:tcBorders>
            <w:vAlign w:val="center"/>
          </w:tcPr>
          <w:p w14:paraId="2DED9C72"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10,445.88</w:t>
            </w:r>
          </w:p>
        </w:tc>
        <w:tc>
          <w:tcPr>
            <w:tcW w:w="1134" w:type="dxa"/>
            <w:tcBorders>
              <w:top w:val="single" w:sz="2" w:space="0" w:color="auto"/>
              <w:left w:val="single" w:sz="2" w:space="0" w:color="auto"/>
              <w:bottom w:val="single" w:sz="2" w:space="0" w:color="auto"/>
              <w:right w:val="single" w:sz="2" w:space="0" w:color="auto"/>
            </w:tcBorders>
            <w:vAlign w:val="center"/>
          </w:tcPr>
          <w:p w14:paraId="0F977C63"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4,983,803.00</w:t>
            </w:r>
          </w:p>
        </w:tc>
        <w:tc>
          <w:tcPr>
            <w:tcW w:w="1214" w:type="dxa"/>
            <w:tcBorders>
              <w:top w:val="single" w:sz="2" w:space="0" w:color="auto"/>
              <w:left w:val="single" w:sz="2" w:space="0" w:color="auto"/>
              <w:bottom w:val="single" w:sz="2" w:space="0" w:color="auto"/>
              <w:right w:val="single" w:sz="2" w:space="0" w:color="auto"/>
            </w:tcBorders>
            <w:vAlign w:val="center"/>
          </w:tcPr>
          <w:p w14:paraId="418B9391"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123,942,959.86</w:t>
            </w:r>
          </w:p>
        </w:tc>
      </w:tr>
    </w:tbl>
    <w:p w14:paraId="492FF85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其他权益工具本期增减变动情况、变动原因说明，以及相关会计处理的依据：</w:t>
      </w:r>
    </w:p>
    <w:p w14:paraId="505699BD" w14:textId="77777777"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其他权益工具减少为本年可转债转股。</w:t>
      </w:r>
      <w:r w:rsidRPr="0054652C">
        <w:rPr>
          <w:rFonts w:ascii="Times New Roman" w:hAnsi="Times New Roman" w:cs="Times New Roman" w:hint="eastAsia"/>
          <w:sz w:val="21"/>
          <w:szCs w:val="21"/>
        </w:rPr>
        <w:t xml:space="preserve"> </w:t>
      </w:r>
    </w:p>
    <w:p w14:paraId="2554BEB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F25C1F5" w14:textId="77777777" w:rsidR="00A46BF1" w:rsidRPr="00DF1D4E" w:rsidRDefault="00A46BF1" w:rsidP="00DF1D4E">
      <w:pPr>
        <w:spacing w:before="100" w:after="100" w:line="240" w:lineRule="exact"/>
        <w:rPr>
          <w:rFonts w:ascii="宋体" w:eastAsia="宋体" w:hAnsi="宋体" w:cs="宋体"/>
          <w:sz w:val="18"/>
          <w:szCs w:val="18"/>
        </w:rPr>
      </w:pPr>
      <w:r w:rsidRPr="00DF1D4E">
        <w:rPr>
          <w:rFonts w:ascii="宋体" w:eastAsia="宋体" w:hAnsi="宋体" w:cs="宋体" w:hint="eastAsia"/>
          <w:sz w:val="18"/>
          <w:szCs w:val="18"/>
        </w:rPr>
        <w:t>无</w:t>
      </w:r>
    </w:p>
    <w:p w14:paraId="268EAC6C" w14:textId="55CA84DD" w:rsidR="00A46BF1" w:rsidRDefault="00A46BF1" w:rsidP="00A46BF1">
      <w:pPr>
        <w:pStyle w:val="3"/>
        <w:spacing w:line="280" w:lineRule="exact"/>
        <w:jc w:val="left"/>
        <w:rPr>
          <w:rFonts w:ascii="宋体" w:hAnsi="宋体" w:cs="宋体"/>
          <w:b/>
          <w:bCs/>
        </w:rPr>
      </w:pPr>
      <w:r>
        <w:rPr>
          <w:rFonts w:ascii="宋体" w:hAnsi="宋体" w:cs="宋体"/>
          <w:b/>
          <w:bCs/>
        </w:rPr>
        <w:t>4</w:t>
      </w:r>
      <w:r w:rsidR="00DF1D4E">
        <w:rPr>
          <w:rFonts w:ascii="宋体" w:hAnsi="宋体" w:cs="宋体"/>
          <w:b/>
          <w:bCs/>
        </w:rPr>
        <w:t>0</w:t>
      </w:r>
      <w:r>
        <w:rPr>
          <w:rFonts w:ascii="宋体" w:hAnsi="宋体" w:cs="宋体"/>
          <w:b/>
          <w:bCs/>
        </w:rPr>
        <w:t>、资本公积</w:t>
      </w:r>
    </w:p>
    <w:p w14:paraId="4A796B9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127"/>
        <w:gridCol w:w="1878"/>
        <w:gridCol w:w="1878"/>
        <w:gridCol w:w="1878"/>
        <w:gridCol w:w="1878"/>
      </w:tblGrid>
      <w:tr w:rsidR="00095F6F" w14:paraId="6175E007" w14:textId="77777777" w:rsidTr="00DF1D4E">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2F21A78C"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项目</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39256CF8"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期初余额</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6BD22807"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本期增加</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78568EBF"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本期减少</w:t>
            </w:r>
          </w:p>
        </w:tc>
        <w:tc>
          <w:tcPr>
            <w:tcW w:w="1878" w:type="dxa"/>
            <w:tcBorders>
              <w:top w:val="single" w:sz="2" w:space="0" w:color="auto"/>
              <w:left w:val="single" w:sz="2" w:space="0" w:color="auto"/>
              <w:bottom w:val="single" w:sz="2" w:space="0" w:color="auto"/>
              <w:right w:val="single" w:sz="2" w:space="0" w:color="auto"/>
            </w:tcBorders>
            <w:shd w:val="clear" w:color="auto" w:fill="D3D3D3"/>
            <w:vAlign w:val="center"/>
          </w:tcPr>
          <w:p w14:paraId="2BAF3F7B"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期末余额</w:t>
            </w:r>
          </w:p>
        </w:tc>
      </w:tr>
      <w:tr w:rsidR="00095F6F" w14:paraId="2F5ABFAF" w14:textId="77777777" w:rsidTr="00DF1D4E">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47F094DF"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资本溢价（股本溢价）</w:t>
            </w:r>
          </w:p>
        </w:tc>
        <w:tc>
          <w:tcPr>
            <w:tcW w:w="1878" w:type="dxa"/>
            <w:tcBorders>
              <w:top w:val="single" w:sz="2" w:space="0" w:color="auto"/>
              <w:left w:val="single" w:sz="2" w:space="0" w:color="auto"/>
              <w:bottom w:val="single" w:sz="2" w:space="0" w:color="auto"/>
              <w:right w:val="single" w:sz="2" w:space="0" w:color="auto"/>
            </w:tcBorders>
            <w:vAlign w:val="center"/>
          </w:tcPr>
          <w:p w14:paraId="738C045A"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1,061,465,884.56</w:t>
            </w:r>
          </w:p>
        </w:tc>
        <w:tc>
          <w:tcPr>
            <w:tcW w:w="1878" w:type="dxa"/>
            <w:tcBorders>
              <w:top w:val="single" w:sz="2" w:space="0" w:color="auto"/>
              <w:left w:val="single" w:sz="2" w:space="0" w:color="auto"/>
              <w:bottom w:val="single" w:sz="2" w:space="0" w:color="auto"/>
              <w:right w:val="single" w:sz="2" w:space="0" w:color="auto"/>
            </w:tcBorders>
            <w:vAlign w:val="center"/>
          </w:tcPr>
          <w:p w14:paraId="5D8FECA0"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11,194,215.28</w:t>
            </w:r>
          </w:p>
        </w:tc>
        <w:tc>
          <w:tcPr>
            <w:tcW w:w="1878" w:type="dxa"/>
            <w:tcBorders>
              <w:top w:val="single" w:sz="2" w:space="0" w:color="auto"/>
              <w:left w:val="single" w:sz="2" w:space="0" w:color="auto"/>
              <w:bottom w:val="single" w:sz="2" w:space="0" w:color="auto"/>
              <w:right w:val="single" w:sz="2" w:space="0" w:color="auto"/>
            </w:tcBorders>
            <w:vAlign w:val="center"/>
          </w:tcPr>
          <w:p w14:paraId="7575A0BF"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92,403,390.50</w:t>
            </w:r>
          </w:p>
        </w:tc>
        <w:tc>
          <w:tcPr>
            <w:tcW w:w="1878" w:type="dxa"/>
            <w:tcBorders>
              <w:top w:val="single" w:sz="2" w:space="0" w:color="auto"/>
              <w:left w:val="single" w:sz="2" w:space="0" w:color="auto"/>
              <w:bottom w:val="single" w:sz="2" w:space="0" w:color="auto"/>
              <w:right w:val="single" w:sz="2" w:space="0" w:color="auto"/>
            </w:tcBorders>
            <w:vAlign w:val="center"/>
          </w:tcPr>
          <w:p w14:paraId="3CA4AB6F"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980,256,709.34</w:t>
            </w:r>
          </w:p>
        </w:tc>
      </w:tr>
      <w:tr w:rsidR="00095F6F" w14:paraId="70448D22" w14:textId="77777777" w:rsidTr="00DF1D4E">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1952F097"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其他资本公积</w:t>
            </w:r>
          </w:p>
        </w:tc>
        <w:tc>
          <w:tcPr>
            <w:tcW w:w="1878" w:type="dxa"/>
            <w:tcBorders>
              <w:top w:val="single" w:sz="2" w:space="0" w:color="auto"/>
              <w:left w:val="single" w:sz="2" w:space="0" w:color="auto"/>
              <w:bottom w:val="single" w:sz="2" w:space="0" w:color="auto"/>
              <w:right w:val="single" w:sz="2" w:space="0" w:color="auto"/>
            </w:tcBorders>
            <w:vAlign w:val="center"/>
          </w:tcPr>
          <w:p w14:paraId="1DE47ECA"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43,449,995.51</w:t>
            </w:r>
          </w:p>
        </w:tc>
        <w:tc>
          <w:tcPr>
            <w:tcW w:w="1878" w:type="dxa"/>
            <w:tcBorders>
              <w:top w:val="single" w:sz="2" w:space="0" w:color="auto"/>
              <w:left w:val="single" w:sz="2" w:space="0" w:color="auto"/>
              <w:bottom w:val="single" w:sz="2" w:space="0" w:color="auto"/>
              <w:right w:val="single" w:sz="2" w:space="0" w:color="auto"/>
            </w:tcBorders>
            <w:vAlign w:val="center"/>
          </w:tcPr>
          <w:p w14:paraId="61E0CC1E"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12,786,527.91</w:t>
            </w:r>
          </w:p>
        </w:tc>
        <w:tc>
          <w:tcPr>
            <w:tcW w:w="1878" w:type="dxa"/>
            <w:tcBorders>
              <w:top w:val="single" w:sz="2" w:space="0" w:color="auto"/>
              <w:left w:val="single" w:sz="2" w:space="0" w:color="auto"/>
              <w:bottom w:val="single" w:sz="2" w:space="0" w:color="auto"/>
              <w:right w:val="single" w:sz="2" w:space="0" w:color="auto"/>
            </w:tcBorders>
            <w:vAlign w:val="center"/>
          </w:tcPr>
          <w:p w14:paraId="080398B5"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11,143,011.80</w:t>
            </w:r>
          </w:p>
        </w:tc>
        <w:tc>
          <w:tcPr>
            <w:tcW w:w="1878" w:type="dxa"/>
            <w:tcBorders>
              <w:top w:val="single" w:sz="2" w:space="0" w:color="auto"/>
              <w:left w:val="single" w:sz="2" w:space="0" w:color="auto"/>
              <w:bottom w:val="single" w:sz="2" w:space="0" w:color="auto"/>
              <w:right w:val="single" w:sz="2" w:space="0" w:color="auto"/>
            </w:tcBorders>
            <w:vAlign w:val="center"/>
          </w:tcPr>
          <w:p w14:paraId="0D060A42"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45,093,511.62</w:t>
            </w:r>
          </w:p>
        </w:tc>
      </w:tr>
      <w:tr w:rsidR="00095F6F" w14:paraId="12FA3FE3" w14:textId="77777777" w:rsidTr="00DF1D4E">
        <w:trPr>
          <w:trHeight w:val="240"/>
        </w:trPr>
        <w:tc>
          <w:tcPr>
            <w:tcW w:w="2127" w:type="dxa"/>
            <w:tcBorders>
              <w:top w:val="single" w:sz="2" w:space="0" w:color="auto"/>
              <w:left w:val="single" w:sz="2" w:space="0" w:color="auto"/>
              <w:bottom w:val="single" w:sz="2" w:space="0" w:color="auto"/>
              <w:right w:val="single" w:sz="2" w:space="0" w:color="auto"/>
            </w:tcBorders>
            <w:shd w:val="clear" w:color="auto" w:fill="D3D3D3"/>
            <w:vAlign w:val="center"/>
          </w:tcPr>
          <w:p w14:paraId="744F8C9E"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合计</w:t>
            </w:r>
          </w:p>
        </w:tc>
        <w:tc>
          <w:tcPr>
            <w:tcW w:w="1878" w:type="dxa"/>
            <w:tcBorders>
              <w:top w:val="single" w:sz="2" w:space="0" w:color="auto"/>
              <w:left w:val="single" w:sz="2" w:space="0" w:color="auto"/>
              <w:bottom w:val="single" w:sz="2" w:space="0" w:color="auto"/>
              <w:right w:val="single" w:sz="2" w:space="0" w:color="auto"/>
            </w:tcBorders>
            <w:vAlign w:val="center"/>
          </w:tcPr>
          <w:p w14:paraId="2AD2791E"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1,104,915,880.07</w:t>
            </w:r>
          </w:p>
        </w:tc>
        <w:tc>
          <w:tcPr>
            <w:tcW w:w="1878" w:type="dxa"/>
            <w:tcBorders>
              <w:top w:val="single" w:sz="2" w:space="0" w:color="auto"/>
              <w:left w:val="single" w:sz="2" w:space="0" w:color="auto"/>
              <w:bottom w:val="single" w:sz="2" w:space="0" w:color="auto"/>
              <w:right w:val="single" w:sz="2" w:space="0" w:color="auto"/>
            </w:tcBorders>
            <w:vAlign w:val="center"/>
          </w:tcPr>
          <w:p w14:paraId="677D4724"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23,980,743.19</w:t>
            </w:r>
          </w:p>
        </w:tc>
        <w:tc>
          <w:tcPr>
            <w:tcW w:w="1878" w:type="dxa"/>
            <w:tcBorders>
              <w:top w:val="single" w:sz="2" w:space="0" w:color="auto"/>
              <w:left w:val="single" w:sz="2" w:space="0" w:color="auto"/>
              <w:bottom w:val="single" w:sz="2" w:space="0" w:color="auto"/>
              <w:right w:val="single" w:sz="2" w:space="0" w:color="auto"/>
            </w:tcBorders>
            <w:vAlign w:val="center"/>
          </w:tcPr>
          <w:p w14:paraId="4C1F28B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103,546,402.30</w:t>
            </w:r>
          </w:p>
        </w:tc>
        <w:tc>
          <w:tcPr>
            <w:tcW w:w="1878" w:type="dxa"/>
            <w:tcBorders>
              <w:top w:val="single" w:sz="2" w:space="0" w:color="auto"/>
              <w:left w:val="single" w:sz="2" w:space="0" w:color="auto"/>
              <w:bottom w:val="single" w:sz="2" w:space="0" w:color="auto"/>
              <w:right w:val="single" w:sz="2" w:space="0" w:color="auto"/>
            </w:tcBorders>
            <w:vAlign w:val="center"/>
          </w:tcPr>
          <w:p w14:paraId="6269B8E3"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1,025,350,220.96</w:t>
            </w:r>
          </w:p>
        </w:tc>
      </w:tr>
    </w:tbl>
    <w:p w14:paraId="0EBDC88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14:paraId="21C2B936" w14:textId="77777777"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股本溢价本年增加主要为：①第二期员工持股计划第四期解锁以及第三期员工持股计划第一期解锁，资本公积</w:t>
      </w:r>
      <w:r w:rsidRPr="0054652C">
        <w:rPr>
          <w:rFonts w:ascii="Times New Roman" w:hAnsi="Times New Roman" w:cs="Times New Roman"/>
          <w:sz w:val="21"/>
          <w:szCs w:val="21"/>
        </w:rPr>
        <w:t>-</w:t>
      </w:r>
      <w:r w:rsidRPr="0054652C">
        <w:rPr>
          <w:rFonts w:ascii="Times New Roman" w:hAnsi="Times New Roman" w:cs="Times New Roman" w:hint="eastAsia"/>
          <w:sz w:val="21"/>
          <w:szCs w:val="21"/>
        </w:rPr>
        <w:t>其他资本公积</w:t>
      </w:r>
      <w:r w:rsidRPr="0054652C">
        <w:rPr>
          <w:rFonts w:ascii="Times New Roman" w:hAnsi="Times New Roman" w:cs="Times New Roman"/>
          <w:sz w:val="21"/>
          <w:szCs w:val="21"/>
        </w:rPr>
        <w:t>11,143,011.80</w:t>
      </w:r>
      <w:r w:rsidRPr="0054652C">
        <w:rPr>
          <w:rFonts w:ascii="Times New Roman" w:hAnsi="Times New Roman" w:cs="Times New Roman" w:hint="eastAsia"/>
          <w:sz w:val="21"/>
          <w:szCs w:val="21"/>
        </w:rPr>
        <w:t>元结转至资本公积</w:t>
      </w:r>
      <w:r w:rsidRPr="0054652C">
        <w:rPr>
          <w:rFonts w:ascii="Times New Roman" w:hAnsi="Times New Roman" w:cs="Times New Roman"/>
          <w:sz w:val="21"/>
          <w:szCs w:val="21"/>
        </w:rPr>
        <w:t>-</w:t>
      </w:r>
      <w:r w:rsidRPr="0054652C">
        <w:rPr>
          <w:rFonts w:ascii="Times New Roman" w:hAnsi="Times New Roman" w:cs="Times New Roman" w:hint="eastAsia"/>
          <w:sz w:val="21"/>
          <w:szCs w:val="21"/>
        </w:rPr>
        <w:t>股本溢价；②</w:t>
      </w:r>
      <w:r w:rsidRPr="0054652C">
        <w:rPr>
          <w:rFonts w:ascii="Times New Roman" w:hAnsi="Times New Roman" w:cs="Times New Roman"/>
          <w:sz w:val="21"/>
          <w:szCs w:val="21"/>
        </w:rPr>
        <w:t>420</w:t>
      </w:r>
      <w:r w:rsidRPr="0054652C">
        <w:rPr>
          <w:rFonts w:ascii="Times New Roman" w:hAnsi="Times New Roman" w:cs="Times New Roman" w:hint="eastAsia"/>
          <w:sz w:val="21"/>
          <w:szCs w:val="21"/>
        </w:rPr>
        <w:t>张可转债转</w:t>
      </w:r>
      <w:r w:rsidRPr="0054652C">
        <w:rPr>
          <w:rFonts w:ascii="Times New Roman" w:hAnsi="Times New Roman" w:cs="Times New Roman"/>
          <w:sz w:val="21"/>
          <w:szCs w:val="21"/>
        </w:rPr>
        <w:t>1218</w:t>
      </w:r>
      <w:r w:rsidRPr="0054652C">
        <w:rPr>
          <w:rFonts w:ascii="Times New Roman" w:hAnsi="Times New Roman" w:cs="Times New Roman" w:hint="eastAsia"/>
          <w:sz w:val="21"/>
          <w:szCs w:val="21"/>
        </w:rPr>
        <w:t>股确认</w:t>
      </w:r>
      <w:r w:rsidRPr="0054652C">
        <w:rPr>
          <w:rFonts w:ascii="Times New Roman" w:hAnsi="Times New Roman" w:cs="Times New Roman"/>
          <w:sz w:val="21"/>
          <w:szCs w:val="21"/>
        </w:rPr>
        <w:t>51,203.48</w:t>
      </w:r>
      <w:r w:rsidRPr="0054652C">
        <w:rPr>
          <w:rFonts w:ascii="Times New Roman" w:hAnsi="Times New Roman" w:cs="Times New Roman" w:hint="eastAsia"/>
          <w:sz w:val="21"/>
          <w:szCs w:val="21"/>
        </w:rPr>
        <w:t>元；本期减少主要为：①回购注销股份</w:t>
      </w:r>
      <w:r w:rsidRPr="0054652C">
        <w:rPr>
          <w:rFonts w:ascii="Times New Roman" w:hAnsi="Times New Roman" w:cs="Times New Roman"/>
          <w:sz w:val="21"/>
          <w:szCs w:val="21"/>
        </w:rPr>
        <w:t>3,999,287</w:t>
      </w:r>
      <w:r w:rsidRPr="0054652C">
        <w:rPr>
          <w:rFonts w:ascii="Times New Roman" w:hAnsi="Times New Roman" w:cs="Times New Roman" w:hint="eastAsia"/>
          <w:sz w:val="21"/>
          <w:szCs w:val="21"/>
        </w:rPr>
        <w:t>份，回购金额</w:t>
      </w:r>
      <w:r w:rsidRPr="0054652C">
        <w:rPr>
          <w:rFonts w:ascii="Times New Roman" w:hAnsi="Times New Roman" w:cs="Times New Roman"/>
          <w:sz w:val="21"/>
          <w:szCs w:val="21"/>
        </w:rPr>
        <w:t>96,327,030.98</w:t>
      </w:r>
      <w:r w:rsidRPr="0054652C">
        <w:rPr>
          <w:rFonts w:ascii="Times New Roman" w:hAnsi="Times New Roman" w:cs="Times New Roman" w:hint="eastAsia"/>
          <w:sz w:val="21"/>
          <w:szCs w:val="21"/>
        </w:rPr>
        <w:t>元，减少资本公积</w:t>
      </w:r>
      <w:r w:rsidRPr="0054652C">
        <w:rPr>
          <w:rFonts w:ascii="Times New Roman" w:hAnsi="Times New Roman" w:cs="Times New Roman"/>
          <w:sz w:val="21"/>
          <w:szCs w:val="21"/>
        </w:rPr>
        <w:t>92,327,743.98</w:t>
      </w:r>
      <w:r w:rsidRPr="0054652C">
        <w:rPr>
          <w:rFonts w:ascii="Times New Roman" w:hAnsi="Times New Roman" w:cs="Times New Roman" w:hint="eastAsia"/>
          <w:sz w:val="21"/>
          <w:szCs w:val="21"/>
        </w:rPr>
        <w:t>元；②控股子公司利润分配相关股东权益调整减少</w:t>
      </w:r>
      <w:r w:rsidRPr="0054652C">
        <w:rPr>
          <w:rFonts w:ascii="Times New Roman" w:hAnsi="Times New Roman" w:cs="Times New Roman"/>
          <w:sz w:val="21"/>
          <w:szCs w:val="21"/>
        </w:rPr>
        <w:t>75,646.52</w:t>
      </w:r>
      <w:r w:rsidRPr="0054652C">
        <w:rPr>
          <w:rFonts w:ascii="Times New Roman" w:hAnsi="Times New Roman" w:cs="Times New Roman" w:hint="eastAsia"/>
          <w:sz w:val="21"/>
          <w:szCs w:val="21"/>
        </w:rPr>
        <w:t>元。</w:t>
      </w:r>
    </w:p>
    <w:p w14:paraId="4648221C" w14:textId="77777777"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其他资本公积增加主要为：①第二期及第三期员工持股计划等待期分摊的成本及相应的递延所得税资产共</w:t>
      </w:r>
      <w:r w:rsidRPr="0054652C">
        <w:rPr>
          <w:rFonts w:ascii="Times New Roman" w:hAnsi="Times New Roman" w:cs="Times New Roman"/>
          <w:sz w:val="21"/>
          <w:szCs w:val="21"/>
        </w:rPr>
        <w:t>12,713,159.13</w:t>
      </w:r>
      <w:r w:rsidRPr="0054652C">
        <w:rPr>
          <w:rFonts w:ascii="Times New Roman" w:hAnsi="Times New Roman" w:cs="Times New Roman" w:hint="eastAsia"/>
          <w:sz w:val="21"/>
          <w:szCs w:val="21"/>
        </w:rPr>
        <w:t>元；②联营企业股权结构变动调整导致资本公积增加</w:t>
      </w:r>
      <w:r w:rsidRPr="0054652C">
        <w:rPr>
          <w:rFonts w:ascii="Times New Roman" w:hAnsi="Times New Roman" w:cs="Times New Roman"/>
          <w:sz w:val="21"/>
          <w:szCs w:val="21"/>
        </w:rPr>
        <w:t>73,368.78</w:t>
      </w:r>
      <w:r w:rsidRPr="0054652C">
        <w:rPr>
          <w:rFonts w:ascii="Times New Roman" w:hAnsi="Times New Roman" w:cs="Times New Roman" w:hint="eastAsia"/>
          <w:sz w:val="21"/>
          <w:szCs w:val="21"/>
        </w:rPr>
        <w:t>元。</w:t>
      </w:r>
      <w:r w:rsidRPr="0054652C">
        <w:rPr>
          <w:rFonts w:ascii="Times New Roman" w:hAnsi="Times New Roman" w:cs="Times New Roman"/>
          <w:sz w:val="21"/>
          <w:szCs w:val="21"/>
        </w:rPr>
        <w:t xml:space="preserve"> </w:t>
      </w:r>
    </w:p>
    <w:p w14:paraId="58516FAD" w14:textId="7C5215CD" w:rsidR="00A46BF1" w:rsidRDefault="00A46BF1" w:rsidP="00A46BF1">
      <w:pPr>
        <w:pStyle w:val="3"/>
        <w:spacing w:line="280" w:lineRule="exact"/>
        <w:jc w:val="left"/>
        <w:rPr>
          <w:rFonts w:ascii="宋体" w:hAnsi="宋体" w:cs="宋体"/>
          <w:b/>
          <w:bCs/>
        </w:rPr>
      </w:pPr>
      <w:r>
        <w:rPr>
          <w:rFonts w:ascii="宋体" w:hAnsi="宋体" w:cs="宋体"/>
          <w:b/>
          <w:bCs/>
        </w:rPr>
        <w:t>4</w:t>
      </w:r>
      <w:r w:rsidR="00DF1D4E">
        <w:rPr>
          <w:rFonts w:ascii="宋体" w:hAnsi="宋体" w:cs="宋体"/>
          <w:b/>
          <w:bCs/>
        </w:rPr>
        <w:t>1</w:t>
      </w:r>
      <w:r>
        <w:rPr>
          <w:rFonts w:ascii="宋体" w:hAnsi="宋体" w:cs="宋体"/>
          <w:b/>
          <w:bCs/>
        </w:rPr>
        <w:t>、库存股</w:t>
      </w:r>
    </w:p>
    <w:p w14:paraId="4736221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1545DF36"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2C63821"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963FBD2"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C052C0"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C3367B4"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B1E5EBF"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期末余额</w:t>
            </w:r>
          </w:p>
        </w:tc>
      </w:tr>
      <w:tr w:rsidR="00095F6F" w14:paraId="367AEFA3"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vAlign w:val="center"/>
          </w:tcPr>
          <w:p w14:paraId="3CEC5C9E" w14:textId="77777777" w:rsidR="00A46BF1" w:rsidRPr="00DF1D4E" w:rsidRDefault="00A46BF1" w:rsidP="00DF1D4E">
            <w:pPr>
              <w:spacing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回购股份</w:t>
            </w:r>
          </w:p>
        </w:tc>
        <w:tc>
          <w:tcPr>
            <w:tcW w:w="1928" w:type="dxa"/>
            <w:tcBorders>
              <w:top w:val="single" w:sz="2" w:space="0" w:color="auto"/>
              <w:left w:val="single" w:sz="2" w:space="0" w:color="auto"/>
              <w:bottom w:val="single" w:sz="2" w:space="0" w:color="auto"/>
              <w:right w:val="single" w:sz="2" w:space="0" w:color="auto"/>
            </w:tcBorders>
            <w:vAlign w:val="center"/>
          </w:tcPr>
          <w:p w14:paraId="52A9ECA5"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181,302,394.30</w:t>
            </w:r>
          </w:p>
        </w:tc>
        <w:tc>
          <w:tcPr>
            <w:tcW w:w="1928" w:type="dxa"/>
            <w:tcBorders>
              <w:top w:val="single" w:sz="2" w:space="0" w:color="auto"/>
              <w:left w:val="single" w:sz="2" w:space="0" w:color="auto"/>
              <w:bottom w:val="single" w:sz="2" w:space="0" w:color="auto"/>
              <w:right w:val="single" w:sz="2" w:space="0" w:color="auto"/>
            </w:tcBorders>
            <w:vAlign w:val="center"/>
          </w:tcPr>
          <w:p w14:paraId="5BE8483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201,641,260.36</w:t>
            </w:r>
          </w:p>
        </w:tc>
        <w:tc>
          <w:tcPr>
            <w:tcW w:w="1928" w:type="dxa"/>
            <w:tcBorders>
              <w:top w:val="single" w:sz="2" w:space="0" w:color="auto"/>
              <w:left w:val="single" w:sz="2" w:space="0" w:color="auto"/>
              <w:bottom w:val="single" w:sz="2" w:space="0" w:color="auto"/>
              <w:right w:val="single" w:sz="2" w:space="0" w:color="auto"/>
            </w:tcBorders>
            <w:vAlign w:val="center"/>
          </w:tcPr>
          <w:p w14:paraId="79272A63"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96,327,030.98</w:t>
            </w:r>
          </w:p>
        </w:tc>
        <w:tc>
          <w:tcPr>
            <w:tcW w:w="1928" w:type="dxa"/>
            <w:tcBorders>
              <w:top w:val="single" w:sz="2" w:space="0" w:color="auto"/>
              <w:left w:val="single" w:sz="2" w:space="0" w:color="auto"/>
              <w:bottom w:val="single" w:sz="2" w:space="0" w:color="auto"/>
              <w:right w:val="single" w:sz="2" w:space="0" w:color="auto"/>
            </w:tcBorders>
            <w:vAlign w:val="center"/>
          </w:tcPr>
          <w:p w14:paraId="6E9211F2"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286,616,623.68</w:t>
            </w:r>
          </w:p>
        </w:tc>
      </w:tr>
      <w:tr w:rsidR="00095F6F" w14:paraId="572E1E83"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0A1F0CA"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7F9F2B8D"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181,302,394.30</w:t>
            </w:r>
          </w:p>
        </w:tc>
        <w:tc>
          <w:tcPr>
            <w:tcW w:w="1928" w:type="dxa"/>
            <w:tcBorders>
              <w:top w:val="single" w:sz="2" w:space="0" w:color="auto"/>
              <w:left w:val="single" w:sz="2" w:space="0" w:color="auto"/>
              <w:bottom w:val="single" w:sz="2" w:space="0" w:color="auto"/>
              <w:right w:val="single" w:sz="2" w:space="0" w:color="auto"/>
            </w:tcBorders>
            <w:vAlign w:val="center"/>
          </w:tcPr>
          <w:p w14:paraId="1856CCF1"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201,641,260.36</w:t>
            </w:r>
          </w:p>
        </w:tc>
        <w:tc>
          <w:tcPr>
            <w:tcW w:w="1928" w:type="dxa"/>
            <w:tcBorders>
              <w:top w:val="single" w:sz="2" w:space="0" w:color="auto"/>
              <w:left w:val="single" w:sz="2" w:space="0" w:color="auto"/>
              <w:bottom w:val="single" w:sz="2" w:space="0" w:color="auto"/>
              <w:right w:val="single" w:sz="2" w:space="0" w:color="auto"/>
            </w:tcBorders>
            <w:vAlign w:val="center"/>
          </w:tcPr>
          <w:p w14:paraId="5500F1D2"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96,327,030.98</w:t>
            </w:r>
          </w:p>
        </w:tc>
        <w:tc>
          <w:tcPr>
            <w:tcW w:w="1928" w:type="dxa"/>
            <w:tcBorders>
              <w:top w:val="single" w:sz="2" w:space="0" w:color="auto"/>
              <w:left w:val="single" w:sz="2" w:space="0" w:color="auto"/>
              <w:bottom w:val="single" w:sz="2" w:space="0" w:color="auto"/>
              <w:right w:val="single" w:sz="2" w:space="0" w:color="auto"/>
            </w:tcBorders>
            <w:vAlign w:val="center"/>
          </w:tcPr>
          <w:p w14:paraId="2049EEF1"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286,616,623.68</w:t>
            </w:r>
          </w:p>
        </w:tc>
      </w:tr>
    </w:tbl>
    <w:p w14:paraId="3C3861B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其他说明，包括本期增减变动情况、变动原因说明：</w:t>
      </w:r>
    </w:p>
    <w:p w14:paraId="5A097A07" w14:textId="191EA094" w:rsidR="00A46BF1" w:rsidRPr="0054652C" w:rsidRDefault="00A46BF1" w:rsidP="0054652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54652C">
        <w:rPr>
          <w:rFonts w:ascii="Times New Roman" w:hAnsi="Times New Roman" w:cs="Times New Roman" w:hint="eastAsia"/>
          <w:sz w:val="21"/>
          <w:szCs w:val="21"/>
        </w:rPr>
        <w:t>本年库存股增加因本公司</w:t>
      </w:r>
      <w:r w:rsidR="0025222D">
        <w:rPr>
          <w:rFonts w:ascii="Times New Roman" w:hAnsi="Times New Roman" w:cs="Times New Roman" w:hint="eastAsia"/>
          <w:sz w:val="21"/>
          <w:szCs w:val="21"/>
        </w:rPr>
        <w:t>第五届董事会第十六次会议和</w:t>
      </w:r>
      <w:r w:rsidRPr="0054652C">
        <w:rPr>
          <w:rFonts w:ascii="Times New Roman" w:hAnsi="Times New Roman" w:cs="Times New Roman" w:hint="eastAsia"/>
          <w:sz w:val="21"/>
          <w:szCs w:val="21"/>
        </w:rPr>
        <w:t>第五届监事会第十二次会议决议使用公司使用自有资金及银行回购专项贷款以集中竞价交易方式回购公司部分股份，用于员工持股计划、股权激励或者用于转换上市公司发行的可转换为股票的公司债券。公司</w:t>
      </w:r>
      <w:r w:rsidRPr="0054652C">
        <w:rPr>
          <w:rFonts w:ascii="Times New Roman" w:hAnsi="Times New Roman" w:cs="Times New Roman"/>
          <w:sz w:val="21"/>
          <w:szCs w:val="21"/>
        </w:rPr>
        <w:t>2025</w:t>
      </w:r>
      <w:r w:rsidRPr="0054652C">
        <w:rPr>
          <w:rFonts w:ascii="Times New Roman" w:hAnsi="Times New Roman" w:cs="Times New Roman" w:hint="eastAsia"/>
          <w:sz w:val="21"/>
          <w:szCs w:val="21"/>
        </w:rPr>
        <w:t>年度通过股份回购专用证券账户以集中竞价交易方式回购公司股份</w:t>
      </w:r>
      <w:r w:rsidRPr="0054652C">
        <w:rPr>
          <w:rFonts w:ascii="Times New Roman" w:hAnsi="Times New Roman" w:cs="Times New Roman"/>
          <w:sz w:val="21"/>
          <w:szCs w:val="21"/>
        </w:rPr>
        <w:t>10,314,561</w:t>
      </w:r>
      <w:r w:rsidRPr="0054652C">
        <w:rPr>
          <w:rFonts w:ascii="Times New Roman" w:hAnsi="Times New Roman" w:cs="Times New Roman" w:hint="eastAsia"/>
          <w:sz w:val="21"/>
          <w:szCs w:val="21"/>
        </w:rPr>
        <w:t>股</w:t>
      </w:r>
      <w:r w:rsidR="008C4E2F">
        <w:rPr>
          <w:rFonts w:ascii="Times New Roman" w:hAnsi="Times New Roman" w:cs="Times New Roman" w:hint="eastAsia"/>
          <w:sz w:val="21"/>
          <w:szCs w:val="21"/>
        </w:rPr>
        <w:t>，</w:t>
      </w:r>
      <w:r w:rsidRPr="0054652C">
        <w:rPr>
          <w:rFonts w:ascii="Times New Roman" w:hAnsi="Times New Roman" w:cs="Times New Roman" w:hint="eastAsia"/>
          <w:sz w:val="21"/>
          <w:szCs w:val="21"/>
        </w:rPr>
        <w:t>占公司总股本</w:t>
      </w:r>
      <w:r w:rsidRPr="0054652C">
        <w:rPr>
          <w:rFonts w:ascii="Times New Roman" w:hAnsi="Times New Roman" w:cs="Times New Roman"/>
          <w:sz w:val="21"/>
          <w:szCs w:val="21"/>
        </w:rPr>
        <w:t>560,267,306</w:t>
      </w:r>
      <w:r w:rsidRPr="0054652C">
        <w:rPr>
          <w:rFonts w:ascii="Times New Roman" w:hAnsi="Times New Roman" w:cs="Times New Roman" w:hint="eastAsia"/>
          <w:sz w:val="21"/>
          <w:szCs w:val="21"/>
        </w:rPr>
        <w:t>股的比例为</w:t>
      </w:r>
      <w:r w:rsidRPr="0054652C">
        <w:rPr>
          <w:rFonts w:ascii="Times New Roman" w:hAnsi="Times New Roman" w:cs="Times New Roman"/>
          <w:sz w:val="21"/>
          <w:szCs w:val="21"/>
        </w:rPr>
        <w:t>1.84%</w:t>
      </w:r>
      <w:r w:rsidRPr="0054652C">
        <w:rPr>
          <w:rFonts w:ascii="Times New Roman" w:hAnsi="Times New Roman" w:cs="Times New Roman" w:hint="eastAsia"/>
          <w:sz w:val="21"/>
          <w:szCs w:val="21"/>
        </w:rPr>
        <w:t>，最高成交价为</w:t>
      </w:r>
      <w:r w:rsidRPr="0054652C">
        <w:rPr>
          <w:rFonts w:ascii="Times New Roman" w:hAnsi="Times New Roman" w:cs="Times New Roman"/>
          <w:sz w:val="21"/>
          <w:szCs w:val="21"/>
        </w:rPr>
        <w:t>21.39</w:t>
      </w:r>
      <w:r w:rsidRPr="0054652C">
        <w:rPr>
          <w:rFonts w:ascii="Times New Roman" w:hAnsi="Times New Roman" w:cs="Times New Roman" w:hint="eastAsia"/>
          <w:sz w:val="21"/>
          <w:szCs w:val="21"/>
        </w:rPr>
        <w:t>元</w:t>
      </w:r>
      <w:r w:rsidRPr="0054652C">
        <w:rPr>
          <w:rFonts w:ascii="Times New Roman" w:hAnsi="Times New Roman" w:cs="Times New Roman"/>
          <w:sz w:val="21"/>
          <w:szCs w:val="21"/>
        </w:rPr>
        <w:t>/</w:t>
      </w:r>
      <w:r w:rsidRPr="0054652C">
        <w:rPr>
          <w:rFonts w:ascii="Times New Roman" w:hAnsi="Times New Roman" w:cs="Times New Roman" w:hint="eastAsia"/>
          <w:sz w:val="21"/>
          <w:szCs w:val="21"/>
        </w:rPr>
        <w:t>股，最低成交价为</w:t>
      </w:r>
      <w:r w:rsidRPr="0054652C">
        <w:rPr>
          <w:rFonts w:ascii="Times New Roman" w:hAnsi="Times New Roman" w:cs="Times New Roman"/>
          <w:sz w:val="21"/>
          <w:szCs w:val="21"/>
        </w:rPr>
        <w:t>17.27</w:t>
      </w:r>
      <w:r w:rsidRPr="0054652C">
        <w:rPr>
          <w:rFonts w:ascii="Times New Roman" w:hAnsi="Times New Roman" w:cs="Times New Roman" w:hint="eastAsia"/>
          <w:sz w:val="21"/>
          <w:szCs w:val="21"/>
        </w:rPr>
        <w:t>元</w:t>
      </w:r>
      <w:r w:rsidRPr="0054652C">
        <w:rPr>
          <w:rFonts w:ascii="Times New Roman" w:hAnsi="Times New Roman" w:cs="Times New Roman"/>
          <w:sz w:val="21"/>
          <w:szCs w:val="21"/>
        </w:rPr>
        <w:t>/</w:t>
      </w:r>
      <w:r w:rsidRPr="0054652C">
        <w:rPr>
          <w:rFonts w:ascii="Times New Roman" w:hAnsi="Times New Roman" w:cs="Times New Roman" w:hint="eastAsia"/>
          <w:sz w:val="21"/>
          <w:szCs w:val="21"/>
        </w:rPr>
        <w:t>股，成交总金额为</w:t>
      </w:r>
      <w:r w:rsidRPr="0054652C">
        <w:rPr>
          <w:rFonts w:ascii="Times New Roman" w:hAnsi="Times New Roman" w:cs="Times New Roman"/>
          <w:sz w:val="21"/>
          <w:szCs w:val="21"/>
        </w:rPr>
        <w:t>201,617,066.23</w:t>
      </w:r>
      <w:r w:rsidRPr="0054652C">
        <w:rPr>
          <w:rFonts w:ascii="Times New Roman" w:hAnsi="Times New Roman" w:cs="Times New Roman" w:hint="eastAsia"/>
          <w:sz w:val="21"/>
          <w:szCs w:val="21"/>
        </w:rPr>
        <w:t>元</w:t>
      </w:r>
      <w:r w:rsidRPr="0054652C">
        <w:rPr>
          <w:rFonts w:ascii="Times New Roman" w:hAnsi="Times New Roman" w:cs="Times New Roman"/>
          <w:sz w:val="21"/>
          <w:szCs w:val="21"/>
        </w:rPr>
        <w:t>(</w:t>
      </w:r>
      <w:r w:rsidRPr="0054652C">
        <w:rPr>
          <w:rFonts w:ascii="Times New Roman" w:hAnsi="Times New Roman" w:cs="Times New Roman" w:hint="eastAsia"/>
          <w:sz w:val="21"/>
          <w:szCs w:val="21"/>
        </w:rPr>
        <w:t>不含交易费用</w:t>
      </w:r>
      <w:r w:rsidR="00DF1D4E">
        <w:rPr>
          <w:rFonts w:ascii="Times New Roman" w:hAnsi="Times New Roman" w:cs="Times New Roman" w:hint="eastAsia"/>
          <w:sz w:val="21"/>
          <w:szCs w:val="21"/>
        </w:rPr>
        <w:t>)</w:t>
      </w:r>
      <w:r w:rsidRPr="0054652C">
        <w:rPr>
          <w:rFonts w:ascii="Times New Roman" w:hAnsi="Times New Roman" w:cs="Times New Roman" w:hint="eastAsia"/>
          <w:sz w:val="21"/>
          <w:szCs w:val="21"/>
        </w:rPr>
        <w:t>。</w:t>
      </w:r>
    </w:p>
    <w:p w14:paraId="389B4280" w14:textId="1C279989" w:rsidR="00A46BF1" w:rsidRPr="00C707CF" w:rsidRDefault="00A46BF1" w:rsidP="00C707CF">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C707CF">
        <w:rPr>
          <w:rFonts w:ascii="Times New Roman" w:hAnsi="Times New Roman" w:cs="Times New Roman" w:hint="eastAsia"/>
          <w:sz w:val="21"/>
          <w:szCs w:val="21"/>
        </w:rPr>
        <w:t>本期库存股减少系根据第五届董事会第十七次会议和第五届监事会第十三次会议</w:t>
      </w:r>
      <w:r w:rsidR="00143477">
        <w:rPr>
          <w:rFonts w:ascii="Times New Roman" w:hAnsi="Times New Roman" w:cs="Times New Roman" w:hint="eastAsia"/>
          <w:sz w:val="21"/>
          <w:szCs w:val="21"/>
        </w:rPr>
        <w:t>、</w:t>
      </w:r>
      <w:r w:rsidR="00143477">
        <w:rPr>
          <w:rFonts w:ascii="Times New Roman" w:hAnsi="Times New Roman" w:cs="Times New Roman" w:hint="eastAsia"/>
          <w:sz w:val="21"/>
          <w:szCs w:val="21"/>
        </w:rPr>
        <w:t>2</w:t>
      </w:r>
      <w:r w:rsidR="00143477">
        <w:rPr>
          <w:rFonts w:ascii="Times New Roman" w:hAnsi="Times New Roman" w:cs="Times New Roman"/>
          <w:sz w:val="21"/>
          <w:szCs w:val="21"/>
        </w:rPr>
        <w:t>024</w:t>
      </w:r>
      <w:r w:rsidR="00143477">
        <w:rPr>
          <w:rFonts w:ascii="Times New Roman" w:hAnsi="Times New Roman" w:cs="Times New Roman" w:hint="eastAsia"/>
          <w:sz w:val="21"/>
          <w:szCs w:val="21"/>
        </w:rPr>
        <w:t>年年度股东大会</w:t>
      </w:r>
      <w:r w:rsidRPr="00C707CF">
        <w:rPr>
          <w:rFonts w:ascii="Times New Roman" w:hAnsi="Times New Roman" w:cs="Times New Roman" w:hint="eastAsia"/>
          <w:sz w:val="21"/>
          <w:szCs w:val="21"/>
        </w:rPr>
        <w:t>，审议并通过《关于注销部分回购股份的议案》，公司注销存放于公司回购专用证券账户的回购库存股</w:t>
      </w:r>
      <w:r w:rsidRPr="00C707CF">
        <w:rPr>
          <w:rFonts w:ascii="Times New Roman" w:hAnsi="Times New Roman" w:cs="Times New Roman"/>
          <w:sz w:val="21"/>
          <w:szCs w:val="21"/>
        </w:rPr>
        <w:t>3,999,287</w:t>
      </w:r>
      <w:r w:rsidRPr="00C707CF">
        <w:rPr>
          <w:rFonts w:ascii="Times New Roman" w:hAnsi="Times New Roman" w:cs="Times New Roman" w:hint="eastAsia"/>
          <w:sz w:val="21"/>
          <w:szCs w:val="21"/>
        </w:rPr>
        <w:t>股</w:t>
      </w:r>
      <w:r w:rsidRPr="00C707CF">
        <w:rPr>
          <w:rFonts w:ascii="Times New Roman" w:hAnsi="Times New Roman" w:cs="Times New Roman"/>
          <w:sz w:val="21"/>
          <w:szCs w:val="21"/>
        </w:rPr>
        <w:t xml:space="preserve">, </w:t>
      </w:r>
      <w:r w:rsidRPr="00C707CF">
        <w:rPr>
          <w:rFonts w:ascii="Times New Roman" w:hAnsi="Times New Roman" w:cs="Times New Roman" w:hint="eastAsia"/>
          <w:sz w:val="21"/>
          <w:szCs w:val="21"/>
        </w:rPr>
        <w:t>回购注销金额为人民币</w:t>
      </w:r>
      <w:r w:rsidRPr="00C707CF">
        <w:rPr>
          <w:rFonts w:ascii="Times New Roman" w:hAnsi="Times New Roman" w:cs="Times New Roman"/>
          <w:sz w:val="21"/>
          <w:szCs w:val="21"/>
        </w:rPr>
        <w:t>96,327,030.98</w:t>
      </w:r>
      <w:r w:rsidRPr="00C707CF">
        <w:rPr>
          <w:rFonts w:ascii="Times New Roman" w:hAnsi="Times New Roman" w:cs="Times New Roman" w:hint="eastAsia"/>
          <w:sz w:val="21"/>
          <w:szCs w:val="21"/>
        </w:rPr>
        <w:t>元。</w:t>
      </w:r>
    </w:p>
    <w:p w14:paraId="3752E7D1" w14:textId="47031266" w:rsidR="00A46BF1" w:rsidRDefault="00DF1D4E" w:rsidP="00A46BF1">
      <w:pPr>
        <w:pStyle w:val="3"/>
        <w:spacing w:line="280" w:lineRule="exact"/>
        <w:jc w:val="left"/>
        <w:rPr>
          <w:rFonts w:ascii="宋体" w:hAnsi="宋体" w:cs="宋体"/>
          <w:b/>
          <w:bCs/>
        </w:rPr>
      </w:pPr>
      <w:r>
        <w:rPr>
          <w:rFonts w:ascii="宋体" w:hAnsi="宋体" w:cs="宋体"/>
          <w:b/>
          <w:bCs/>
        </w:rPr>
        <w:t>42</w:t>
      </w:r>
      <w:r w:rsidR="00A46BF1">
        <w:rPr>
          <w:rFonts w:ascii="宋体" w:hAnsi="宋体" w:cs="宋体"/>
          <w:b/>
          <w:bCs/>
        </w:rPr>
        <w:t>、其他综合收益</w:t>
      </w:r>
    </w:p>
    <w:p w14:paraId="0294031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095F6F" w:rsidRPr="00C707CF" w14:paraId="29ACE8F4" w14:textId="77777777" w:rsidTr="00A46BF1">
        <w:trPr>
          <w:trHeight w:val="240"/>
        </w:trPr>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34630E4"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项目</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6CE5786"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期初余额</w:t>
            </w:r>
          </w:p>
        </w:tc>
        <w:tc>
          <w:tcPr>
            <w:tcW w:w="6426" w:type="dxa"/>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25007F1A"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本期发生额</w:t>
            </w:r>
          </w:p>
        </w:tc>
        <w:tc>
          <w:tcPr>
            <w:tcW w:w="107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F18C8F6"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期末余额</w:t>
            </w:r>
          </w:p>
        </w:tc>
      </w:tr>
      <w:tr w:rsidR="00095F6F" w:rsidRPr="00C707CF" w14:paraId="47802562" w14:textId="77777777" w:rsidTr="00A46BF1">
        <w:trPr>
          <w:trHeight w:val="240"/>
        </w:trPr>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7ED4E25" w14:textId="77777777" w:rsidR="00A46BF1" w:rsidRPr="00C707CF" w:rsidRDefault="00A46BF1" w:rsidP="00C707CF">
            <w:pPr>
              <w:spacing w:line="360" w:lineRule="auto"/>
              <w:rPr>
                <w:rFonts w:ascii="Times New Roman" w:hAnsi="Times New Roman" w:cs="Times New Roman"/>
                <w:sz w:val="13"/>
                <w:szCs w:val="13"/>
              </w:rPr>
            </w:pP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5DBCA7D" w14:textId="77777777" w:rsidR="00A46BF1" w:rsidRPr="00C707CF" w:rsidRDefault="00A46BF1" w:rsidP="00C707CF">
            <w:pPr>
              <w:spacing w:line="360" w:lineRule="auto"/>
              <w:rPr>
                <w:rFonts w:ascii="Times New Roman"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BF41094"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本期所得税前发生额</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D2CB849"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减：前期计入其他综合收益当期转入损益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7A69D0A"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减：前期计入其他综合收益当期转入留存收益</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DE35E47"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减：所得税费用</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6A494DF"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税后归属于母公司</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2F00901" w14:textId="77777777" w:rsidR="00A46BF1" w:rsidRPr="00C707CF" w:rsidRDefault="00A46BF1" w:rsidP="00C707CF">
            <w:pPr>
              <w:spacing w:before="40" w:after="40" w:line="360" w:lineRule="auto"/>
              <w:jc w:val="center"/>
              <w:rPr>
                <w:rFonts w:ascii="Times New Roman" w:eastAsia="宋体" w:hAnsi="Times New Roman" w:cs="Times New Roman"/>
                <w:sz w:val="13"/>
                <w:szCs w:val="13"/>
              </w:rPr>
            </w:pPr>
            <w:r w:rsidRPr="00C707CF">
              <w:rPr>
                <w:rFonts w:ascii="Times New Roman" w:eastAsia="宋体" w:hAnsi="Times New Roman" w:cs="Times New Roman"/>
                <w:sz w:val="13"/>
                <w:szCs w:val="13"/>
              </w:rPr>
              <w:t>税后归属于少数股东</w:t>
            </w:r>
          </w:p>
        </w:tc>
        <w:tc>
          <w:tcPr>
            <w:tcW w:w="107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96249C" w14:textId="77777777" w:rsidR="00A46BF1" w:rsidRPr="00C707CF" w:rsidRDefault="00A46BF1" w:rsidP="00C707CF">
            <w:pPr>
              <w:spacing w:line="360" w:lineRule="auto"/>
              <w:rPr>
                <w:rFonts w:ascii="Times New Roman" w:hAnsi="Times New Roman" w:cs="Times New Roman"/>
                <w:sz w:val="13"/>
                <w:szCs w:val="13"/>
              </w:rPr>
            </w:pPr>
          </w:p>
        </w:tc>
      </w:tr>
      <w:tr w:rsidR="00095F6F" w:rsidRPr="00C707CF" w14:paraId="66E9559F"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60E6F43" w14:textId="77777777" w:rsidR="00A46BF1" w:rsidRPr="00C707CF" w:rsidRDefault="00A46BF1" w:rsidP="00C707CF">
            <w:pPr>
              <w:spacing w:before="40" w:after="40" w:line="360" w:lineRule="auto"/>
              <w:rPr>
                <w:rFonts w:ascii="Times New Roman" w:eastAsia="宋体" w:hAnsi="Times New Roman" w:cs="Times New Roman"/>
                <w:sz w:val="13"/>
                <w:szCs w:val="13"/>
              </w:rPr>
            </w:pPr>
            <w:r w:rsidRPr="00C707CF">
              <w:rPr>
                <w:rFonts w:ascii="Times New Roman" w:eastAsia="宋体" w:hAnsi="Times New Roman" w:cs="Times New Roman"/>
                <w:sz w:val="13"/>
                <w:szCs w:val="13"/>
              </w:rPr>
              <w:t>一、不能重分类进损益的其他综合收益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22CF65B6"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42,515,926.86</w:t>
            </w:r>
          </w:p>
        </w:tc>
        <w:tc>
          <w:tcPr>
            <w:tcW w:w="1071" w:type="dxa"/>
            <w:tcBorders>
              <w:top w:val="single" w:sz="2" w:space="0" w:color="auto"/>
              <w:left w:val="single" w:sz="2" w:space="0" w:color="auto"/>
              <w:bottom w:val="single" w:sz="2" w:space="0" w:color="auto"/>
              <w:right w:val="single" w:sz="2" w:space="0" w:color="auto"/>
            </w:tcBorders>
            <w:vAlign w:val="center"/>
          </w:tcPr>
          <w:p w14:paraId="097DC113"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-7,287,013.17</w:t>
            </w:r>
          </w:p>
        </w:tc>
        <w:tc>
          <w:tcPr>
            <w:tcW w:w="1071" w:type="dxa"/>
            <w:tcBorders>
              <w:top w:val="single" w:sz="2" w:space="0" w:color="auto"/>
              <w:left w:val="single" w:sz="2" w:space="0" w:color="auto"/>
              <w:bottom w:val="single" w:sz="2" w:space="0" w:color="auto"/>
              <w:right w:val="single" w:sz="2" w:space="0" w:color="auto"/>
            </w:tcBorders>
            <w:vAlign w:val="center"/>
          </w:tcPr>
          <w:p w14:paraId="3864B418"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27,522,548.73</w:t>
            </w:r>
          </w:p>
        </w:tc>
        <w:tc>
          <w:tcPr>
            <w:tcW w:w="1071" w:type="dxa"/>
            <w:tcBorders>
              <w:top w:val="single" w:sz="2" w:space="0" w:color="auto"/>
              <w:left w:val="single" w:sz="2" w:space="0" w:color="auto"/>
              <w:bottom w:val="single" w:sz="2" w:space="0" w:color="auto"/>
              <w:right w:val="single" w:sz="2" w:space="0" w:color="auto"/>
            </w:tcBorders>
            <w:vAlign w:val="center"/>
          </w:tcPr>
          <w:p w14:paraId="0A5DCD6C"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4B9E4D66"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-5,233,549.95</w:t>
            </w:r>
          </w:p>
        </w:tc>
        <w:tc>
          <w:tcPr>
            <w:tcW w:w="1071" w:type="dxa"/>
            <w:tcBorders>
              <w:top w:val="single" w:sz="2" w:space="0" w:color="auto"/>
              <w:left w:val="single" w:sz="2" w:space="0" w:color="auto"/>
              <w:bottom w:val="single" w:sz="2" w:space="0" w:color="auto"/>
              <w:right w:val="single" w:sz="2" w:space="0" w:color="auto"/>
            </w:tcBorders>
            <w:vAlign w:val="center"/>
          </w:tcPr>
          <w:p w14:paraId="130C1F7E"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-29,576,011.95</w:t>
            </w:r>
          </w:p>
        </w:tc>
        <w:tc>
          <w:tcPr>
            <w:tcW w:w="1071" w:type="dxa"/>
            <w:tcBorders>
              <w:top w:val="single" w:sz="2" w:space="0" w:color="auto"/>
              <w:left w:val="single" w:sz="2" w:space="0" w:color="auto"/>
              <w:bottom w:val="single" w:sz="2" w:space="0" w:color="auto"/>
              <w:right w:val="single" w:sz="2" w:space="0" w:color="auto"/>
            </w:tcBorders>
            <w:vAlign w:val="center"/>
          </w:tcPr>
          <w:p w14:paraId="5320EBA8"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66,085.48</w:t>
            </w:r>
          </w:p>
        </w:tc>
        <w:tc>
          <w:tcPr>
            <w:tcW w:w="1071" w:type="dxa"/>
            <w:tcBorders>
              <w:top w:val="single" w:sz="2" w:space="0" w:color="auto"/>
              <w:left w:val="single" w:sz="2" w:space="0" w:color="auto"/>
              <w:bottom w:val="single" w:sz="2" w:space="0" w:color="auto"/>
              <w:right w:val="single" w:sz="2" w:space="0" w:color="auto"/>
            </w:tcBorders>
            <w:vAlign w:val="center"/>
          </w:tcPr>
          <w:p w14:paraId="30FD5F6D"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12,939,914.91</w:t>
            </w:r>
          </w:p>
        </w:tc>
      </w:tr>
      <w:tr w:rsidR="00095F6F" w:rsidRPr="00C707CF" w14:paraId="69CDE56D"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1B8995E" w14:textId="77777777" w:rsidR="00A46BF1" w:rsidRPr="00C707CF" w:rsidRDefault="00A46BF1" w:rsidP="00C707CF">
            <w:pPr>
              <w:spacing w:before="40" w:after="40" w:line="360" w:lineRule="auto"/>
              <w:rPr>
                <w:rFonts w:ascii="Times New Roman" w:eastAsia="宋体" w:hAnsi="Times New Roman" w:cs="Times New Roman"/>
                <w:sz w:val="13"/>
                <w:szCs w:val="13"/>
              </w:rPr>
            </w:pPr>
            <w:r w:rsidRPr="00C707CF">
              <w:rPr>
                <w:rFonts w:ascii="Times New Roman" w:eastAsia="宋体" w:hAnsi="Times New Roman" w:cs="Times New Roman"/>
                <w:sz w:val="13"/>
                <w:szCs w:val="13"/>
              </w:rPr>
              <w:t>其中：重新计量设定受益计划变动额</w:t>
            </w:r>
          </w:p>
        </w:tc>
        <w:tc>
          <w:tcPr>
            <w:tcW w:w="1071" w:type="dxa"/>
            <w:tcBorders>
              <w:top w:val="single" w:sz="2" w:space="0" w:color="auto"/>
              <w:left w:val="single" w:sz="2" w:space="0" w:color="auto"/>
              <w:bottom w:val="single" w:sz="2" w:space="0" w:color="auto"/>
              <w:right w:val="single" w:sz="2" w:space="0" w:color="auto"/>
            </w:tcBorders>
            <w:vAlign w:val="center"/>
          </w:tcPr>
          <w:p w14:paraId="11E07F86"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1,318,553.09</w:t>
            </w:r>
          </w:p>
        </w:tc>
        <w:tc>
          <w:tcPr>
            <w:tcW w:w="1071" w:type="dxa"/>
            <w:tcBorders>
              <w:top w:val="single" w:sz="2" w:space="0" w:color="auto"/>
              <w:left w:val="single" w:sz="2" w:space="0" w:color="auto"/>
              <w:bottom w:val="single" w:sz="2" w:space="0" w:color="auto"/>
              <w:right w:val="single" w:sz="2" w:space="0" w:color="auto"/>
            </w:tcBorders>
            <w:vAlign w:val="center"/>
          </w:tcPr>
          <w:p w14:paraId="6C88F006"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80,771.15</w:t>
            </w:r>
          </w:p>
        </w:tc>
        <w:tc>
          <w:tcPr>
            <w:tcW w:w="1071" w:type="dxa"/>
            <w:tcBorders>
              <w:top w:val="single" w:sz="2" w:space="0" w:color="auto"/>
              <w:left w:val="single" w:sz="2" w:space="0" w:color="auto"/>
              <w:bottom w:val="single" w:sz="2" w:space="0" w:color="auto"/>
              <w:right w:val="single" w:sz="2" w:space="0" w:color="auto"/>
            </w:tcBorders>
            <w:vAlign w:val="center"/>
          </w:tcPr>
          <w:p w14:paraId="5C6D06CC"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5DAA9A3F"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4EC506E"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8D67B3B"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80,771.15</w:t>
            </w:r>
          </w:p>
        </w:tc>
        <w:tc>
          <w:tcPr>
            <w:tcW w:w="1071" w:type="dxa"/>
            <w:tcBorders>
              <w:top w:val="single" w:sz="2" w:space="0" w:color="auto"/>
              <w:left w:val="single" w:sz="2" w:space="0" w:color="auto"/>
              <w:bottom w:val="single" w:sz="2" w:space="0" w:color="auto"/>
              <w:right w:val="single" w:sz="2" w:space="0" w:color="auto"/>
            </w:tcBorders>
            <w:vAlign w:val="center"/>
          </w:tcPr>
          <w:p w14:paraId="4742563B"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66,085.48</w:t>
            </w:r>
          </w:p>
        </w:tc>
        <w:tc>
          <w:tcPr>
            <w:tcW w:w="1071" w:type="dxa"/>
            <w:tcBorders>
              <w:top w:val="single" w:sz="2" w:space="0" w:color="auto"/>
              <w:left w:val="single" w:sz="2" w:space="0" w:color="auto"/>
              <w:bottom w:val="single" w:sz="2" w:space="0" w:color="auto"/>
              <w:right w:val="single" w:sz="2" w:space="0" w:color="auto"/>
            </w:tcBorders>
            <w:vAlign w:val="center"/>
          </w:tcPr>
          <w:p w14:paraId="56F3006E"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1,399,324.24</w:t>
            </w:r>
          </w:p>
        </w:tc>
      </w:tr>
      <w:tr w:rsidR="00095F6F" w:rsidRPr="00C707CF" w14:paraId="3F0B9991"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D6FD1CB" w14:textId="77777777" w:rsidR="00A46BF1" w:rsidRPr="00C707CF" w:rsidRDefault="00A46BF1" w:rsidP="00C707CF">
            <w:pPr>
              <w:spacing w:before="40" w:after="40" w:line="360" w:lineRule="auto"/>
              <w:ind w:firstLineChars="200" w:firstLine="260"/>
              <w:rPr>
                <w:rFonts w:ascii="Times New Roman" w:eastAsia="宋体" w:hAnsi="Times New Roman" w:cs="Times New Roman"/>
                <w:sz w:val="13"/>
                <w:szCs w:val="13"/>
              </w:rPr>
            </w:pPr>
            <w:r w:rsidRPr="00C707CF">
              <w:rPr>
                <w:rFonts w:ascii="Times New Roman" w:eastAsia="宋体" w:hAnsi="Times New Roman" w:cs="Times New Roman"/>
                <w:sz w:val="13"/>
                <w:szCs w:val="13"/>
              </w:rPr>
              <w:t>权益法下不能转损益的其他综合收益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45D05667"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-411,428.07</w:t>
            </w:r>
          </w:p>
        </w:tc>
        <w:tc>
          <w:tcPr>
            <w:tcW w:w="1071" w:type="dxa"/>
            <w:tcBorders>
              <w:top w:val="single" w:sz="2" w:space="0" w:color="auto"/>
              <w:left w:val="single" w:sz="2" w:space="0" w:color="auto"/>
              <w:bottom w:val="single" w:sz="2" w:space="0" w:color="auto"/>
              <w:right w:val="single" w:sz="2" w:space="0" w:color="auto"/>
            </w:tcBorders>
            <w:vAlign w:val="center"/>
          </w:tcPr>
          <w:p w14:paraId="648F786B"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6F0B9A41"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B299358"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50667D0"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11C99665"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D9B4FAB"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4A4C4F0D"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-411,428.07</w:t>
            </w:r>
          </w:p>
        </w:tc>
      </w:tr>
      <w:tr w:rsidR="00095F6F" w:rsidRPr="00C707CF" w14:paraId="50B2935F"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18B6C04" w14:textId="77777777" w:rsidR="00A46BF1" w:rsidRPr="00C707CF" w:rsidRDefault="00A46BF1" w:rsidP="00C707CF">
            <w:pPr>
              <w:spacing w:before="40" w:after="40" w:line="360" w:lineRule="auto"/>
              <w:ind w:firstLineChars="200" w:firstLine="260"/>
              <w:rPr>
                <w:rFonts w:ascii="Times New Roman" w:eastAsia="宋体" w:hAnsi="Times New Roman" w:cs="Times New Roman"/>
                <w:sz w:val="13"/>
                <w:szCs w:val="13"/>
              </w:rPr>
            </w:pPr>
            <w:r w:rsidRPr="00C707CF">
              <w:rPr>
                <w:rFonts w:ascii="Times New Roman" w:eastAsia="宋体" w:hAnsi="Times New Roman" w:cs="Times New Roman"/>
                <w:sz w:val="13"/>
                <w:szCs w:val="13"/>
              </w:rPr>
              <w:t>其他权益工具投资公允价值变动</w:t>
            </w:r>
          </w:p>
        </w:tc>
        <w:tc>
          <w:tcPr>
            <w:tcW w:w="1071" w:type="dxa"/>
            <w:tcBorders>
              <w:top w:val="single" w:sz="2" w:space="0" w:color="auto"/>
              <w:left w:val="single" w:sz="2" w:space="0" w:color="auto"/>
              <w:bottom w:val="single" w:sz="2" w:space="0" w:color="auto"/>
              <w:right w:val="single" w:sz="2" w:space="0" w:color="auto"/>
            </w:tcBorders>
            <w:vAlign w:val="center"/>
          </w:tcPr>
          <w:p w14:paraId="1CBBAC99"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41,608,801.84</w:t>
            </w:r>
          </w:p>
        </w:tc>
        <w:tc>
          <w:tcPr>
            <w:tcW w:w="1071" w:type="dxa"/>
            <w:tcBorders>
              <w:top w:val="single" w:sz="2" w:space="0" w:color="auto"/>
              <w:left w:val="single" w:sz="2" w:space="0" w:color="auto"/>
              <w:bottom w:val="single" w:sz="2" w:space="0" w:color="auto"/>
              <w:right w:val="single" w:sz="2" w:space="0" w:color="auto"/>
            </w:tcBorders>
            <w:vAlign w:val="center"/>
          </w:tcPr>
          <w:p w14:paraId="66D92692"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-7,367,784.32</w:t>
            </w:r>
          </w:p>
        </w:tc>
        <w:tc>
          <w:tcPr>
            <w:tcW w:w="1071" w:type="dxa"/>
            <w:tcBorders>
              <w:top w:val="single" w:sz="2" w:space="0" w:color="auto"/>
              <w:left w:val="single" w:sz="2" w:space="0" w:color="auto"/>
              <w:bottom w:val="single" w:sz="2" w:space="0" w:color="auto"/>
              <w:right w:val="single" w:sz="2" w:space="0" w:color="auto"/>
            </w:tcBorders>
            <w:vAlign w:val="center"/>
          </w:tcPr>
          <w:p w14:paraId="33A9A9B3"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27,522,548.73</w:t>
            </w:r>
          </w:p>
        </w:tc>
        <w:tc>
          <w:tcPr>
            <w:tcW w:w="1071" w:type="dxa"/>
            <w:tcBorders>
              <w:top w:val="single" w:sz="2" w:space="0" w:color="auto"/>
              <w:left w:val="single" w:sz="2" w:space="0" w:color="auto"/>
              <w:bottom w:val="single" w:sz="2" w:space="0" w:color="auto"/>
              <w:right w:val="single" w:sz="2" w:space="0" w:color="auto"/>
            </w:tcBorders>
            <w:vAlign w:val="center"/>
          </w:tcPr>
          <w:p w14:paraId="0EDFF8C5"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41574EA5"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-5,233,549.95</w:t>
            </w:r>
          </w:p>
        </w:tc>
        <w:tc>
          <w:tcPr>
            <w:tcW w:w="1071" w:type="dxa"/>
            <w:tcBorders>
              <w:top w:val="single" w:sz="2" w:space="0" w:color="auto"/>
              <w:left w:val="single" w:sz="2" w:space="0" w:color="auto"/>
              <w:bottom w:val="single" w:sz="2" w:space="0" w:color="auto"/>
              <w:right w:val="single" w:sz="2" w:space="0" w:color="auto"/>
            </w:tcBorders>
            <w:vAlign w:val="center"/>
          </w:tcPr>
          <w:p w14:paraId="4D70E8CE"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-29,656,783.10</w:t>
            </w:r>
          </w:p>
        </w:tc>
        <w:tc>
          <w:tcPr>
            <w:tcW w:w="1071" w:type="dxa"/>
            <w:tcBorders>
              <w:top w:val="single" w:sz="2" w:space="0" w:color="auto"/>
              <w:left w:val="single" w:sz="2" w:space="0" w:color="auto"/>
              <w:bottom w:val="single" w:sz="2" w:space="0" w:color="auto"/>
              <w:right w:val="single" w:sz="2" w:space="0" w:color="auto"/>
            </w:tcBorders>
            <w:vAlign w:val="center"/>
          </w:tcPr>
          <w:p w14:paraId="7FA01101"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3AB96254"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11,952,018.74</w:t>
            </w:r>
          </w:p>
        </w:tc>
      </w:tr>
      <w:tr w:rsidR="00095F6F" w:rsidRPr="00C707CF" w14:paraId="5CA36CD1"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E67B32E" w14:textId="77777777" w:rsidR="00A46BF1" w:rsidRPr="00C707CF" w:rsidRDefault="00A46BF1" w:rsidP="00C707CF">
            <w:pPr>
              <w:spacing w:before="40" w:after="40" w:line="360" w:lineRule="auto"/>
              <w:rPr>
                <w:rFonts w:ascii="Times New Roman" w:eastAsia="宋体" w:hAnsi="Times New Roman" w:cs="Times New Roman"/>
                <w:sz w:val="13"/>
                <w:szCs w:val="13"/>
              </w:rPr>
            </w:pPr>
            <w:r w:rsidRPr="00C707CF">
              <w:rPr>
                <w:rFonts w:ascii="Times New Roman" w:eastAsia="宋体" w:hAnsi="Times New Roman" w:cs="Times New Roman"/>
                <w:sz w:val="13"/>
                <w:szCs w:val="13"/>
              </w:rPr>
              <w:t>二、将重分类进损益的其他综合收益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7B51DD86"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93,881,275.05</w:t>
            </w:r>
          </w:p>
        </w:tc>
        <w:tc>
          <w:tcPr>
            <w:tcW w:w="1071" w:type="dxa"/>
            <w:tcBorders>
              <w:top w:val="single" w:sz="2" w:space="0" w:color="auto"/>
              <w:left w:val="single" w:sz="2" w:space="0" w:color="auto"/>
              <w:bottom w:val="single" w:sz="2" w:space="0" w:color="auto"/>
              <w:right w:val="single" w:sz="2" w:space="0" w:color="auto"/>
            </w:tcBorders>
            <w:vAlign w:val="center"/>
          </w:tcPr>
          <w:p w14:paraId="0EAC5A83"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-20,806,420.45</w:t>
            </w:r>
          </w:p>
        </w:tc>
        <w:tc>
          <w:tcPr>
            <w:tcW w:w="1071" w:type="dxa"/>
            <w:tcBorders>
              <w:top w:val="single" w:sz="2" w:space="0" w:color="auto"/>
              <w:left w:val="single" w:sz="2" w:space="0" w:color="auto"/>
              <w:bottom w:val="single" w:sz="2" w:space="0" w:color="auto"/>
              <w:right w:val="single" w:sz="2" w:space="0" w:color="auto"/>
            </w:tcBorders>
            <w:vAlign w:val="center"/>
          </w:tcPr>
          <w:p w14:paraId="05191EBF"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FBD3FFB"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0A4C5BAD"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2E65A702"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-20,806,420.45</w:t>
            </w:r>
          </w:p>
        </w:tc>
        <w:tc>
          <w:tcPr>
            <w:tcW w:w="1071" w:type="dxa"/>
            <w:tcBorders>
              <w:top w:val="single" w:sz="2" w:space="0" w:color="auto"/>
              <w:left w:val="single" w:sz="2" w:space="0" w:color="auto"/>
              <w:bottom w:val="single" w:sz="2" w:space="0" w:color="auto"/>
              <w:right w:val="single" w:sz="2" w:space="0" w:color="auto"/>
            </w:tcBorders>
            <w:vAlign w:val="center"/>
          </w:tcPr>
          <w:p w14:paraId="0CC4C32F"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-7,969,610.88</w:t>
            </w:r>
          </w:p>
        </w:tc>
        <w:tc>
          <w:tcPr>
            <w:tcW w:w="1071" w:type="dxa"/>
            <w:tcBorders>
              <w:top w:val="single" w:sz="2" w:space="0" w:color="auto"/>
              <w:left w:val="single" w:sz="2" w:space="0" w:color="auto"/>
              <w:bottom w:val="single" w:sz="2" w:space="0" w:color="auto"/>
              <w:right w:val="single" w:sz="2" w:space="0" w:color="auto"/>
            </w:tcBorders>
            <w:vAlign w:val="center"/>
          </w:tcPr>
          <w:p w14:paraId="7380922D"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73,074,854.60</w:t>
            </w:r>
          </w:p>
        </w:tc>
      </w:tr>
      <w:tr w:rsidR="00095F6F" w:rsidRPr="00C707CF" w14:paraId="035DF0F1"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67057493" w14:textId="77777777" w:rsidR="00A46BF1" w:rsidRPr="00C707CF" w:rsidRDefault="00A46BF1" w:rsidP="00C707CF">
            <w:pPr>
              <w:spacing w:before="40" w:after="40" w:line="360" w:lineRule="auto"/>
              <w:rPr>
                <w:rFonts w:ascii="Times New Roman" w:eastAsia="宋体" w:hAnsi="Times New Roman" w:cs="Times New Roman"/>
                <w:sz w:val="13"/>
                <w:szCs w:val="13"/>
              </w:rPr>
            </w:pPr>
            <w:r w:rsidRPr="00C707CF">
              <w:rPr>
                <w:rFonts w:ascii="Times New Roman" w:eastAsia="宋体" w:hAnsi="Times New Roman" w:cs="Times New Roman"/>
                <w:sz w:val="13"/>
                <w:szCs w:val="13"/>
              </w:rPr>
              <w:t>其中：权益法下可转损益的其他综合收益</w:t>
            </w:r>
          </w:p>
        </w:tc>
        <w:tc>
          <w:tcPr>
            <w:tcW w:w="1071" w:type="dxa"/>
            <w:tcBorders>
              <w:top w:val="single" w:sz="2" w:space="0" w:color="auto"/>
              <w:left w:val="single" w:sz="2" w:space="0" w:color="auto"/>
              <w:bottom w:val="single" w:sz="2" w:space="0" w:color="auto"/>
              <w:right w:val="single" w:sz="2" w:space="0" w:color="auto"/>
            </w:tcBorders>
            <w:vAlign w:val="center"/>
          </w:tcPr>
          <w:p w14:paraId="57561619"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22,583,789.40</w:t>
            </w:r>
          </w:p>
        </w:tc>
        <w:tc>
          <w:tcPr>
            <w:tcW w:w="1071" w:type="dxa"/>
            <w:tcBorders>
              <w:top w:val="single" w:sz="2" w:space="0" w:color="auto"/>
              <w:left w:val="single" w:sz="2" w:space="0" w:color="auto"/>
              <w:bottom w:val="single" w:sz="2" w:space="0" w:color="auto"/>
              <w:right w:val="single" w:sz="2" w:space="0" w:color="auto"/>
            </w:tcBorders>
            <w:vAlign w:val="center"/>
          </w:tcPr>
          <w:p w14:paraId="1C9AB019"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56281F3"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5F20436F"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73C7D269"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53E00539"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543537F1"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18B00965"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22,583,789.40</w:t>
            </w:r>
          </w:p>
        </w:tc>
      </w:tr>
      <w:tr w:rsidR="00095F6F" w:rsidRPr="00C707CF" w14:paraId="4B9E65BF"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8FAADD3" w14:textId="77777777" w:rsidR="00A46BF1" w:rsidRPr="00C707CF" w:rsidRDefault="00A46BF1" w:rsidP="00C707CF">
            <w:pPr>
              <w:spacing w:before="40" w:after="40" w:line="360" w:lineRule="auto"/>
              <w:ind w:firstLineChars="200" w:firstLine="260"/>
              <w:rPr>
                <w:rFonts w:ascii="Times New Roman" w:eastAsia="宋体" w:hAnsi="Times New Roman" w:cs="Times New Roman"/>
                <w:sz w:val="13"/>
                <w:szCs w:val="13"/>
              </w:rPr>
            </w:pPr>
            <w:r w:rsidRPr="00C707CF">
              <w:rPr>
                <w:rFonts w:ascii="Times New Roman" w:eastAsia="宋体" w:hAnsi="Times New Roman" w:cs="Times New Roman"/>
                <w:sz w:val="13"/>
                <w:szCs w:val="13"/>
              </w:rPr>
              <w:t>外币财务报表折算差额</w:t>
            </w:r>
          </w:p>
        </w:tc>
        <w:tc>
          <w:tcPr>
            <w:tcW w:w="1071" w:type="dxa"/>
            <w:tcBorders>
              <w:top w:val="single" w:sz="2" w:space="0" w:color="auto"/>
              <w:left w:val="single" w:sz="2" w:space="0" w:color="auto"/>
              <w:bottom w:val="single" w:sz="2" w:space="0" w:color="auto"/>
              <w:right w:val="single" w:sz="2" w:space="0" w:color="auto"/>
            </w:tcBorders>
            <w:vAlign w:val="center"/>
          </w:tcPr>
          <w:p w14:paraId="33EB45CE"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71,297,485.65</w:t>
            </w:r>
          </w:p>
        </w:tc>
        <w:tc>
          <w:tcPr>
            <w:tcW w:w="1071" w:type="dxa"/>
            <w:tcBorders>
              <w:top w:val="single" w:sz="2" w:space="0" w:color="auto"/>
              <w:left w:val="single" w:sz="2" w:space="0" w:color="auto"/>
              <w:bottom w:val="single" w:sz="2" w:space="0" w:color="auto"/>
              <w:right w:val="single" w:sz="2" w:space="0" w:color="auto"/>
            </w:tcBorders>
            <w:vAlign w:val="center"/>
          </w:tcPr>
          <w:p w14:paraId="63E1B49E"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-20,806,420.45</w:t>
            </w:r>
          </w:p>
        </w:tc>
        <w:tc>
          <w:tcPr>
            <w:tcW w:w="1071" w:type="dxa"/>
            <w:tcBorders>
              <w:top w:val="single" w:sz="2" w:space="0" w:color="auto"/>
              <w:left w:val="single" w:sz="2" w:space="0" w:color="auto"/>
              <w:bottom w:val="single" w:sz="2" w:space="0" w:color="auto"/>
              <w:right w:val="single" w:sz="2" w:space="0" w:color="auto"/>
            </w:tcBorders>
            <w:vAlign w:val="center"/>
          </w:tcPr>
          <w:p w14:paraId="64DB07DC"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41C9636E"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65F84B00"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01622941"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-20,806,420.45</w:t>
            </w:r>
          </w:p>
        </w:tc>
        <w:tc>
          <w:tcPr>
            <w:tcW w:w="1071" w:type="dxa"/>
            <w:tcBorders>
              <w:top w:val="single" w:sz="2" w:space="0" w:color="auto"/>
              <w:left w:val="single" w:sz="2" w:space="0" w:color="auto"/>
              <w:bottom w:val="single" w:sz="2" w:space="0" w:color="auto"/>
              <w:right w:val="single" w:sz="2" w:space="0" w:color="auto"/>
            </w:tcBorders>
            <w:vAlign w:val="center"/>
          </w:tcPr>
          <w:p w14:paraId="2DD54575"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-7,969,610.88</w:t>
            </w:r>
          </w:p>
        </w:tc>
        <w:tc>
          <w:tcPr>
            <w:tcW w:w="1071" w:type="dxa"/>
            <w:tcBorders>
              <w:top w:val="single" w:sz="2" w:space="0" w:color="auto"/>
              <w:left w:val="single" w:sz="2" w:space="0" w:color="auto"/>
              <w:bottom w:val="single" w:sz="2" w:space="0" w:color="auto"/>
              <w:right w:val="single" w:sz="2" w:space="0" w:color="auto"/>
            </w:tcBorders>
            <w:vAlign w:val="center"/>
          </w:tcPr>
          <w:p w14:paraId="69D65EBD"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50,491,065.20</w:t>
            </w:r>
          </w:p>
        </w:tc>
      </w:tr>
      <w:tr w:rsidR="00095F6F" w:rsidRPr="00C707CF" w14:paraId="4CF0BA65"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51A9139" w14:textId="77777777" w:rsidR="00A46BF1" w:rsidRPr="00C707CF" w:rsidRDefault="00A46BF1" w:rsidP="00C707CF">
            <w:pPr>
              <w:spacing w:before="40" w:after="40" w:line="360" w:lineRule="auto"/>
              <w:rPr>
                <w:rFonts w:ascii="Times New Roman" w:eastAsia="宋体" w:hAnsi="Times New Roman" w:cs="Times New Roman"/>
                <w:sz w:val="13"/>
                <w:szCs w:val="13"/>
              </w:rPr>
            </w:pPr>
            <w:r w:rsidRPr="00C707CF">
              <w:rPr>
                <w:rFonts w:ascii="Times New Roman" w:eastAsia="宋体" w:hAnsi="Times New Roman" w:cs="Times New Roman"/>
                <w:sz w:val="13"/>
                <w:szCs w:val="13"/>
              </w:rPr>
              <w:t>其他综合收益合计</w:t>
            </w:r>
          </w:p>
        </w:tc>
        <w:tc>
          <w:tcPr>
            <w:tcW w:w="1071" w:type="dxa"/>
            <w:tcBorders>
              <w:top w:val="single" w:sz="2" w:space="0" w:color="auto"/>
              <w:left w:val="single" w:sz="2" w:space="0" w:color="auto"/>
              <w:bottom w:val="single" w:sz="2" w:space="0" w:color="auto"/>
              <w:right w:val="single" w:sz="2" w:space="0" w:color="auto"/>
            </w:tcBorders>
            <w:vAlign w:val="center"/>
          </w:tcPr>
          <w:p w14:paraId="374202B6"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136,397,201.91</w:t>
            </w:r>
          </w:p>
        </w:tc>
        <w:tc>
          <w:tcPr>
            <w:tcW w:w="1071" w:type="dxa"/>
            <w:tcBorders>
              <w:top w:val="single" w:sz="2" w:space="0" w:color="auto"/>
              <w:left w:val="single" w:sz="2" w:space="0" w:color="auto"/>
              <w:bottom w:val="single" w:sz="2" w:space="0" w:color="auto"/>
              <w:right w:val="single" w:sz="2" w:space="0" w:color="auto"/>
            </w:tcBorders>
            <w:vAlign w:val="center"/>
          </w:tcPr>
          <w:p w14:paraId="7A6ED322"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-28,093,433.62</w:t>
            </w:r>
          </w:p>
        </w:tc>
        <w:tc>
          <w:tcPr>
            <w:tcW w:w="1071" w:type="dxa"/>
            <w:tcBorders>
              <w:top w:val="single" w:sz="2" w:space="0" w:color="auto"/>
              <w:left w:val="single" w:sz="2" w:space="0" w:color="auto"/>
              <w:bottom w:val="single" w:sz="2" w:space="0" w:color="auto"/>
              <w:right w:val="single" w:sz="2" w:space="0" w:color="auto"/>
            </w:tcBorders>
            <w:vAlign w:val="center"/>
          </w:tcPr>
          <w:p w14:paraId="08A6C973"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27,522,548.73</w:t>
            </w:r>
          </w:p>
        </w:tc>
        <w:tc>
          <w:tcPr>
            <w:tcW w:w="1071" w:type="dxa"/>
            <w:tcBorders>
              <w:top w:val="single" w:sz="2" w:space="0" w:color="auto"/>
              <w:left w:val="single" w:sz="2" w:space="0" w:color="auto"/>
              <w:bottom w:val="single" w:sz="2" w:space="0" w:color="auto"/>
              <w:right w:val="single" w:sz="2" w:space="0" w:color="auto"/>
            </w:tcBorders>
            <w:vAlign w:val="center"/>
          </w:tcPr>
          <w:p w14:paraId="018AEB44" w14:textId="77777777" w:rsidR="00A46BF1" w:rsidRPr="00C707CF" w:rsidRDefault="00A46BF1" w:rsidP="00C707CF">
            <w:pPr>
              <w:spacing w:line="360" w:lineRule="auto"/>
              <w:jc w:val="right"/>
              <w:rPr>
                <w:rFonts w:ascii="Times New Roman" w:eastAsia="宋体" w:hAnsi="Times New Roman" w:cs="Times New Roman"/>
                <w:sz w:val="13"/>
                <w:szCs w:val="13"/>
              </w:rPr>
            </w:pPr>
          </w:p>
        </w:tc>
        <w:tc>
          <w:tcPr>
            <w:tcW w:w="1071" w:type="dxa"/>
            <w:tcBorders>
              <w:top w:val="single" w:sz="2" w:space="0" w:color="auto"/>
              <w:left w:val="single" w:sz="2" w:space="0" w:color="auto"/>
              <w:bottom w:val="single" w:sz="2" w:space="0" w:color="auto"/>
              <w:right w:val="single" w:sz="2" w:space="0" w:color="auto"/>
            </w:tcBorders>
            <w:vAlign w:val="center"/>
          </w:tcPr>
          <w:p w14:paraId="497042CE"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-5,233,549.95</w:t>
            </w:r>
          </w:p>
        </w:tc>
        <w:tc>
          <w:tcPr>
            <w:tcW w:w="1071" w:type="dxa"/>
            <w:tcBorders>
              <w:top w:val="single" w:sz="2" w:space="0" w:color="auto"/>
              <w:left w:val="single" w:sz="2" w:space="0" w:color="auto"/>
              <w:bottom w:val="single" w:sz="2" w:space="0" w:color="auto"/>
              <w:right w:val="single" w:sz="2" w:space="0" w:color="auto"/>
            </w:tcBorders>
            <w:vAlign w:val="center"/>
          </w:tcPr>
          <w:p w14:paraId="72BFAE07"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-50,382,432.40</w:t>
            </w:r>
          </w:p>
        </w:tc>
        <w:tc>
          <w:tcPr>
            <w:tcW w:w="1071" w:type="dxa"/>
            <w:tcBorders>
              <w:top w:val="single" w:sz="2" w:space="0" w:color="auto"/>
              <w:left w:val="single" w:sz="2" w:space="0" w:color="auto"/>
              <w:bottom w:val="single" w:sz="2" w:space="0" w:color="auto"/>
              <w:right w:val="single" w:sz="2" w:space="0" w:color="auto"/>
            </w:tcBorders>
            <w:vAlign w:val="center"/>
          </w:tcPr>
          <w:p w14:paraId="3E843C01"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-7,903,525.40</w:t>
            </w:r>
          </w:p>
        </w:tc>
        <w:tc>
          <w:tcPr>
            <w:tcW w:w="1071" w:type="dxa"/>
            <w:tcBorders>
              <w:top w:val="single" w:sz="2" w:space="0" w:color="auto"/>
              <w:left w:val="single" w:sz="2" w:space="0" w:color="auto"/>
              <w:bottom w:val="single" w:sz="2" w:space="0" w:color="auto"/>
              <w:right w:val="single" w:sz="2" w:space="0" w:color="auto"/>
            </w:tcBorders>
            <w:vAlign w:val="center"/>
          </w:tcPr>
          <w:p w14:paraId="71FEB6C5" w14:textId="77777777" w:rsidR="00A46BF1" w:rsidRPr="00C707CF" w:rsidRDefault="00A46BF1" w:rsidP="00C707CF">
            <w:pPr>
              <w:spacing w:line="360" w:lineRule="auto"/>
              <w:jc w:val="right"/>
              <w:rPr>
                <w:rFonts w:ascii="Times New Roman" w:eastAsia="宋体" w:hAnsi="Times New Roman" w:cs="Times New Roman"/>
                <w:sz w:val="13"/>
                <w:szCs w:val="13"/>
              </w:rPr>
            </w:pPr>
            <w:r w:rsidRPr="00C707CF">
              <w:rPr>
                <w:rFonts w:ascii="Times New Roman" w:eastAsia="宋体" w:hAnsi="Times New Roman" w:cs="Times New Roman"/>
                <w:sz w:val="13"/>
                <w:szCs w:val="13"/>
              </w:rPr>
              <w:t>86,014,769.51</w:t>
            </w:r>
          </w:p>
        </w:tc>
      </w:tr>
    </w:tbl>
    <w:p w14:paraId="1FC6F8F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其他说明，包括对现金流量套期损益的有效部分转为被套期项目初始确认金额调整：</w:t>
      </w:r>
    </w:p>
    <w:p w14:paraId="2F4A3EA0" w14:textId="77777777" w:rsidR="00A46BF1" w:rsidRPr="00DF1D4E" w:rsidRDefault="00A46BF1" w:rsidP="00DF1D4E">
      <w:pPr>
        <w:spacing w:before="100" w:after="100" w:line="240" w:lineRule="exact"/>
        <w:rPr>
          <w:rFonts w:ascii="宋体" w:eastAsia="宋体" w:hAnsi="宋体" w:cs="宋体"/>
          <w:sz w:val="18"/>
          <w:szCs w:val="18"/>
        </w:rPr>
      </w:pPr>
      <w:r w:rsidRPr="00DF1D4E">
        <w:rPr>
          <w:rFonts w:ascii="宋体" w:eastAsia="宋体" w:hAnsi="宋体" w:cs="宋体" w:hint="eastAsia"/>
          <w:sz w:val="18"/>
          <w:szCs w:val="18"/>
        </w:rPr>
        <w:t>无</w:t>
      </w:r>
    </w:p>
    <w:p w14:paraId="4E51559E" w14:textId="677E9392" w:rsidR="00A46BF1" w:rsidRDefault="00A46BF1" w:rsidP="00A46BF1">
      <w:pPr>
        <w:pStyle w:val="3"/>
        <w:spacing w:line="280" w:lineRule="exact"/>
        <w:jc w:val="left"/>
        <w:rPr>
          <w:rFonts w:ascii="宋体" w:hAnsi="宋体" w:cs="宋体"/>
          <w:b/>
          <w:bCs/>
        </w:rPr>
      </w:pPr>
      <w:r>
        <w:rPr>
          <w:rFonts w:ascii="宋体" w:hAnsi="宋体" w:cs="宋体"/>
          <w:b/>
          <w:bCs/>
        </w:rPr>
        <w:t>4</w:t>
      </w:r>
      <w:r w:rsidR="00DF1D4E">
        <w:rPr>
          <w:rFonts w:ascii="宋体" w:hAnsi="宋体" w:cs="宋体"/>
          <w:b/>
          <w:bCs/>
        </w:rPr>
        <w:t>3</w:t>
      </w:r>
      <w:r>
        <w:rPr>
          <w:rFonts w:ascii="宋体" w:hAnsi="宋体" w:cs="宋体"/>
          <w:b/>
          <w:bCs/>
        </w:rPr>
        <w:t>、盈余公积</w:t>
      </w:r>
    </w:p>
    <w:p w14:paraId="214E71E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064C6EF5"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9748D26"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项目</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757C9A9"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期初余额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DE056F3"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本期增加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2747A1A"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本期减少</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97CF869"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期末余额</w:t>
            </w:r>
          </w:p>
        </w:tc>
      </w:tr>
      <w:tr w:rsidR="00095F6F" w14:paraId="44B08D37"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DEFB07D"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法定盈余公积</w:t>
            </w:r>
          </w:p>
        </w:tc>
        <w:tc>
          <w:tcPr>
            <w:tcW w:w="1928" w:type="dxa"/>
            <w:tcBorders>
              <w:top w:val="single" w:sz="2" w:space="0" w:color="auto"/>
              <w:left w:val="single" w:sz="2" w:space="0" w:color="auto"/>
              <w:bottom w:val="single" w:sz="2" w:space="0" w:color="auto"/>
              <w:right w:val="single" w:sz="2" w:space="0" w:color="auto"/>
            </w:tcBorders>
            <w:vAlign w:val="center"/>
          </w:tcPr>
          <w:p w14:paraId="6F5296B4"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321,660,040.20</w:t>
            </w:r>
          </w:p>
        </w:tc>
        <w:tc>
          <w:tcPr>
            <w:tcW w:w="1928" w:type="dxa"/>
            <w:tcBorders>
              <w:top w:val="single" w:sz="2" w:space="0" w:color="auto"/>
              <w:left w:val="single" w:sz="2" w:space="0" w:color="auto"/>
              <w:bottom w:val="single" w:sz="2" w:space="0" w:color="auto"/>
              <w:right w:val="single" w:sz="2" w:space="0" w:color="auto"/>
            </w:tcBorders>
            <w:vAlign w:val="center"/>
          </w:tcPr>
          <w:p w14:paraId="4E6C7BCA"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33,593,416.79</w:t>
            </w:r>
          </w:p>
        </w:tc>
        <w:tc>
          <w:tcPr>
            <w:tcW w:w="1928" w:type="dxa"/>
            <w:tcBorders>
              <w:top w:val="single" w:sz="2" w:space="0" w:color="auto"/>
              <w:left w:val="single" w:sz="2" w:space="0" w:color="auto"/>
              <w:bottom w:val="single" w:sz="2" w:space="0" w:color="auto"/>
              <w:right w:val="single" w:sz="2" w:space="0" w:color="auto"/>
            </w:tcBorders>
            <w:vAlign w:val="center"/>
          </w:tcPr>
          <w:p w14:paraId="32D5CCB9"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4F1BB4F7"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355,253,456.99</w:t>
            </w:r>
          </w:p>
        </w:tc>
      </w:tr>
      <w:tr w:rsidR="00095F6F" w14:paraId="0D7B9404"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07B86A9"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任意盈余公积</w:t>
            </w:r>
          </w:p>
        </w:tc>
        <w:tc>
          <w:tcPr>
            <w:tcW w:w="1928" w:type="dxa"/>
            <w:tcBorders>
              <w:top w:val="single" w:sz="2" w:space="0" w:color="auto"/>
              <w:left w:val="single" w:sz="2" w:space="0" w:color="auto"/>
              <w:bottom w:val="single" w:sz="2" w:space="0" w:color="auto"/>
              <w:right w:val="single" w:sz="2" w:space="0" w:color="auto"/>
            </w:tcBorders>
            <w:vAlign w:val="center"/>
          </w:tcPr>
          <w:p w14:paraId="5DE9C6DA"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160,830,020.11</w:t>
            </w:r>
          </w:p>
        </w:tc>
        <w:tc>
          <w:tcPr>
            <w:tcW w:w="1928" w:type="dxa"/>
            <w:tcBorders>
              <w:top w:val="single" w:sz="2" w:space="0" w:color="auto"/>
              <w:left w:val="single" w:sz="2" w:space="0" w:color="auto"/>
              <w:bottom w:val="single" w:sz="2" w:space="0" w:color="auto"/>
              <w:right w:val="single" w:sz="2" w:space="0" w:color="auto"/>
            </w:tcBorders>
            <w:vAlign w:val="center"/>
          </w:tcPr>
          <w:p w14:paraId="6C7E81A5"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16,796,708.40</w:t>
            </w:r>
          </w:p>
        </w:tc>
        <w:tc>
          <w:tcPr>
            <w:tcW w:w="1928" w:type="dxa"/>
            <w:tcBorders>
              <w:top w:val="single" w:sz="2" w:space="0" w:color="auto"/>
              <w:left w:val="single" w:sz="2" w:space="0" w:color="auto"/>
              <w:bottom w:val="single" w:sz="2" w:space="0" w:color="auto"/>
              <w:right w:val="single" w:sz="2" w:space="0" w:color="auto"/>
            </w:tcBorders>
            <w:vAlign w:val="center"/>
          </w:tcPr>
          <w:p w14:paraId="4C4078B9"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60642CB1"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177,626,728.51</w:t>
            </w:r>
          </w:p>
        </w:tc>
      </w:tr>
      <w:tr w:rsidR="00095F6F" w14:paraId="26DD4908"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434EE4"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4D36575F"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482,490,060.31</w:t>
            </w:r>
          </w:p>
        </w:tc>
        <w:tc>
          <w:tcPr>
            <w:tcW w:w="1928" w:type="dxa"/>
            <w:tcBorders>
              <w:top w:val="single" w:sz="2" w:space="0" w:color="auto"/>
              <w:left w:val="single" w:sz="2" w:space="0" w:color="auto"/>
              <w:bottom w:val="single" w:sz="2" w:space="0" w:color="auto"/>
              <w:right w:val="single" w:sz="2" w:space="0" w:color="auto"/>
            </w:tcBorders>
            <w:vAlign w:val="center"/>
          </w:tcPr>
          <w:p w14:paraId="38C2A97C"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50,390,125.19</w:t>
            </w:r>
          </w:p>
        </w:tc>
        <w:tc>
          <w:tcPr>
            <w:tcW w:w="1928" w:type="dxa"/>
            <w:tcBorders>
              <w:top w:val="single" w:sz="2" w:space="0" w:color="auto"/>
              <w:left w:val="single" w:sz="2" w:space="0" w:color="auto"/>
              <w:bottom w:val="single" w:sz="2" w:space="0" w:color="auto"/>
              <w:right w:val="single" w:sz="2" w:space="0" w:color="auto"/>
            </w:tcBorders>
            <w:vAlign w:val="center"/>
          </w:tcPr>
          <w:p w14:paraId="1EECC8F3" w14:textId="77777777" w:rsidR="00A46BF1" w:rsidRPr="00DF1D4E" w:rsidRDefault="00A46BF1" w:rsidP="00DF1D4E">
            <w:pPr>
              <w:spacing w:line="360" w:lineRule="auto"/>
              <w:jc w:val="right"/>
              <w:rPr>
                <w:rFonts w:ascii="Times New Roman" w:eastAsia="宋体" w:hAnsi="Times New Roman" w:cs="Times New Roman"/>
                <w:sz w:val="18"/>
                <w:szCs w:val="18"/>
              </w:rPr>
            </w:pPr>
          </w:p>
        </w:tc>
        <w:tc>
          <w:tcPr>
            <w:tcW w:w="1928" w:type="dxa"/>
            <w:tcBorders>
              <w:top w:val="single" w:sz="2" w:space="0" w:color="auto"/>
              <w:left w:val="single" w:sz="2" w:space="0" w:color="auto"/>
              <w:bottom w:val="single" w:sz="2" w:space="0" w:color="auto"/>
              <w:right w:val="single" w:sz="2" w:space="0" w:color="auto"/>
            </w:tcBorders>
            <w:vAlign w:val="center"/>
          </w:tcPr>
          <w:p w14:paraId="7CE5D004"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532,880,185.50</w:t>
            </w:r>
          </w:p>
        </w:tc>
      </w:tr>
    </w:tbl>
    <w:p w14:paraId="5CE9F98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盈余公积说明，包括本期增减变动情况、变动原因说明：</w:t>
      </w:r>
    </w:p>
    <w:p w14:paraId="1715AC06" w14:textId="77777777" w:rsidR="00A46BF1" w:rsidRPr="00DF1D4E" w:rsidRDefault="00A46BF1" w:rsidP="00DF1D4E">
      <w:pPr>
        <w:spacing w:before="100" w:after="100" w:line="240" w:lineRule="exact"/>
        <w:rPr>
          <w:rFonts w:ascii="宋体" w:eastAsia="宋体" w:hAnsi="宋体" w:cs="宋体"/>
          <w:sz w:val="18"/>
          <w:szCs w:val="18"/>
        </w:rPr>
      </w:pPr>
      <w:r w:rsidRPr="00DF1D4E">
        <w:rPr>
          <w:rFonts w:ascii="宋体" w:eastAsia="宋体" w:hAnsi="宋体" w:cs="宋体" w:hint="eastAsia"/>
          <w:sz w:val="18"/>
          <w:szCs w:val="18"/>
        </w:rPr>
        <w:t>无</w:t>
      </w:r>
    </w:p>
    <w:p w14:paraId="357513B5" w14:textId="1EA94018" w:rsidR="00A46BF1" w:rsidRDefault="00A46BF1" w:rsidP="00A46BF1">
      <w:pPr>
        <w:pStyle w:val="3"/>
        <w:spacing w:line="280" w:lineRule="exact"/>
        <w:jc w:val="left"/>
        <w:rPr>
          <w:rFonts w:ascii="宋体" w:hAnsi="宋体" w:cs="宋体"/>
          <w:b/>
          <w:bCs/>
        </w:rPr>
      </w:pPr>
      <w:r>
        <w:rPr>
          <w:rFonts w:ascii="宋体" w:hAnsi="宋体" w:cs="宋体"/>
          <w:b/>
          <w:bCs/>
        </w:rPr>
        <w:t>4</w:t>
      </w:r>
      <w:r w:rsidR="00DF1D4E">
        <w:rPr>
          <w:rFonts w:ascii="宋体" w:hAnsi="宋体" w:cs="宋体"/>
          <w:b/>
          <w:bCs/>
        </w:rPr>
        <w:t>4</w:t>
      </w:r>
      <w:r>
        <w:rPr>
          <w:rFonts w:ascii="宋体" w:hAnsi="宋体" w:cs="宋体"/>
          <w:b/>
          <w:bCs/>
        </w:rPr>
        <w:t>、未分配利润</w:t>
      </w:r>
    </w:p>
    <w:p w14:paraId="6781E31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5B4B051D"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CF0D49F"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3E19C29C"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本期</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7D4BB568" w14:textId="77777777" w:rsidR="00A46BF1" w:rsidRPr="00DF1D4E" w:rsidRDefault="00A46BF1" w:rsidP="00DF1D4E">
            <w:pPr>
              <w:spacing w:before="40" w:after="40" w:line="360" w:lineRule="auto"/>
              <w:jc w:val="center"/>
              <w:rPr>
                <w:rFonts w:ascii="Times New Roman" w:eastAsia="宋体" w:hAnsi="Times New Roman" w:cs="Times New Roman"/>
                <w:sz w:val="18"/>
                <w:szCs w:val="18"/>
              </w:rPr>
            </w:pPr>
            <w:r w:rsidRPr="00DF1D4E">
              <w:rPr>
                <w:rFonts w:ascii="Times New Roman" w:eastAsia="宋体" w:hAnsi="Times New Roman" w:cs="Times New Roman"/>
                <w:sz w:val="18"/>
                <w:szCs w:val="18"/>
              </w:rPr>
              <w:t>上期</w:t>
            </w:r>
          </w:p>
        </w:tc>
      </w:tr>
      <w:tr w:rsidR="00095F6F" w14:paraId="4BD6AF18"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293F592"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调整前上期末未分配利润</w:t>
            </w:r>
          </w:p>
        </w:tc>
        <w:tc>
          <w:tcPr>
            <w:tcW w:w="3047" w:type="dxa"/>
            <w:tcBorders>
              <w:top w:val="single" w:sz="2" w:space="0" w:color="auto"/>
              <w:left w:val="single" w:sz="2" w:space="0" w:color="auto"/>
              <w:bottom w:val="single" w:sz="2" w:space="0" w:color="auto"/>
              <w:right w:val="single" w:sz="2" w:space="0" w:color="auto"/>
            </w:tcBorders>
            <w:vAlign w:val="center"/>
          </w:tcPr>
          <w:p w14:paraId="01409C5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1,127,020,330.07</w:t>
            </w:r>
          </w:p>
        </w:tc>
        <w:tc>
          <w:tcPr>
            <w:tcW w:w="3048" w:type="dxa"/>
            <w:tcBorders>
              <w:top w:val="single" w:sz="2" w:space="0" w:color="auto"/>
              <w:left w:val="single" w:sz="2" w:space="0" w:color="auto"/>
              <w:bottom w:val="single" w:sz="2" w:space="0" w:color="auto"/>
              <w:right w:val="single" w:sz="2" w:space="0" w:color="auto"/>
            </w:tcBorders>
            <w:vAlign w:val="center"/>
          </w:tcPr>
          <w:p w14:paraId="26BA4EDC"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920,121,591.90</w:t>
            </w:r>
          </w:p>
        </w:tc>
      </w:tr>
      <w:tr w:rsidR="00095F6F" w14:paraId="7ED53915"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C9E086B"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调整后期初未分配利润</w:t>
            </w:r>
          </w:p>
        </w:tc>
        <w:tc>
          <w:tcPr>
            <w:tcW w:w="3047" w:type="dxa"/>
            <w:tcBorders>
              <w:top w:val="single" w:sz="2" w:space="0" w:color="auto"/>
              <w:left w:val="single" w:sz="2" w:space="0" w:color="auto"/>
              <w:bottom w:val="single" w:sz="2" w:space="0" w:color="auto"/>
              <w:right w:val="single" w:sz="2" w:space="0" w:color="auto"/>
            </w:tcBorders>
            <w:vAlign w:val="center"/>
          </w:tcPr>
          <w:p w14:paraId="05B5D9C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1,127,020,330.07</w:t>
            </w:r>
          </w:p>
        </w:tc>
        <w:tc>
          <w:tcPr>
            <w:tcW w:w="3048" w:type="dxa"/>
            <w:tcBorders>
              <w:top w:val="single" w:sz="2" w:space="0" w:color="auto"/>
              <w:left w:val="single" w:sz="2" w:space="0" w:color="auto"/>
              <w:bottom w:val="single" w:sz="2" w:space="0" w:color="auto"/>
              <w:right w:val="single" w:sz="2" w:space="0" w:color="auto"/>
            </w:tcBorders>
            <w:vAlign w:val="center"/>
          </w:tcPr>
          <w:p w14:paraId="2C703FCC"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920,121,591.90</w:t>
            </w:r>
          </w:p>
        </w:tc>
      </w:tr>
      <w:tr w:rsidR="00095F6F" w14:paraId="59CB145F"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C0559EA"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加：本期归属于母公司所有者的净利润</w:t>
            </w:r>
          </w:p>
        </w:tc>
        <w:tc>
          <w:tcPr>
            <w:tcW w:w="3047" w:type="dxa"/>
            <w:tcBorders>
              <w:top w:val="single" w:sz="2" w:space="0" w:color="auto"/>
              <w:left w:val="single" w:sz="2" w:space="0" w:color="auto"/>
              <w:bottom w:val="single" w:sz="2" w:space="0" w:color="auto"/>
              <w:right w:val="single" w:sz="2" w:space="0" w:color="auto"/>
            </w:tcBorders>
            <w:vAlign w:val="center"/>
          </w:tcPr>
          <w:p w14:paraId="64572073"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92,648,858.69</w:t>
            </w:r>
          </w:p>
        </w:tc>
        <w:tc>
          <w:tcPr>
            <w:tcW w:w="3048" w:type="dxa"/>
            <w:tcBorders>
              <w:top w:val="single" w:sz="2" w:space="0" w:color="auto"/>
              <w:left w:val="single" w:sz="2" w:space="0" w:color="auto"/>
              <w:bottom w:val="single" w:sz="2" w:space="0" w:color="auto"/>
              <w:right w:val="single" w:sz="2" w:space="0" w:color="auto"/>
            </w:tcBorders>
            <w:vAlign w:val="center"/>
          </w:tcPr>
          <w:p w14:paraId="7D84CFB0"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326,290,993.05</w:t>
            </w:r>
          </w:p>
        </w:tc>
      </w:tr>
      <w:tr w:rsidR="00095F6F" w14:paraId="540A1941"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5BB6BE07"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减：提取法定盈余公积</w:t>
            </w:r>
          </w:p>
        </w:tc>
        <w:tc>
          <w:tcPr>
            <w:tcW w:w="3047" w:type="dxa"/>
            <w:tcBorders>
              <w:top w:val="single" w:sz="2" w:space="0" w:color="auto"/>
              <w:left w:val="single" w:sz="2" w:space="0" w:color="auto"/>
              <w:bottom w:val="single" w:sz="2" w:space="0" w:color="auto"/>
              <w:right w:val="single" w:sz="2" w:space="0" w:color="auto"/>
            </w:tcBorders>
            <w:vAlign w:val="center"/>
          </w:tcPr>
          <w:p w14:paraId="0CA4FE12"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33,593,416.79</w:t>
            </w:r>
          </w:p>
        </w:tc>
        <w:tc>
          <w:tcPr>
            <w:tcW w:w="3048" w:type="dxa"/>
            <w:tcBorders>
              <w:top w:val="single" w:sz="2" w:space="0" w:color="auto"/>
              <w:left w:val="single" w:sz="2" w:space="0" w:color="auto"/>
              <w:bottom w:val="single" w:sz="2" w:space="0" w:color="auto"/>
              <w:right w:val="single" w:sz="2" w:space="0" w:color="auto"/>
            </w:tcBorders>
            <w:vAlign w:val="center"/>
          </w:tcPr>
          <w:p w14:paraId="30B39EC1"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34,424,369.71</w:t>
            </w:r>
          </w:p>
        </w:tc>
      </w:tr>
      <w:tr w:rsidR="00095F6F" w14:paraId="64958A82"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532595D" w14:textId="77777777" w:rsidR="00A46BF1" w:rsidRPr="00DF1D4E" w:rsidRDefault="00A46BF1" w:rsidP="00DF1D4E">
            <w:pPr>
              <w:spacing w:before="40" w:after="40" w:line="360" w:lineRule="auto"/>
              <w:ind w:firstLineChars="200" w:firstLine="360"/>
              <w:rPr>
                <w:rFonts w:ascii="Times New Roman" w:eastAsia="宋体" w:hAnsi="Times New Roman" w:cs="Times New Roman"/>
                <w:sz w:val="18"/>
                <w:szCs w:val="18"/>
              </w:rPr>
            </w:pPr>
            <w:r w:rsidRPr="00DF1D4E">
              <w:rPr>
                <w:rFonts w:ascii="Times New Roman" w:eastAsia="宋体" w:hAnsi="Times New Roman" w:cs="Times New Roman"/>
                <w:sz w:val="18"/>
                <w:szCs w:val="18"/>
              </w:rPr>
              <w:t>提取任意盈余公积</w:t>
            </w:r>
          </w:p>
        </w:tc>
        <w:tc>
          <w:tcPr>
            <w:tcW w:w="3047" w:type="dxa"/>
            <w:tcBorders>
              <w:top w:val="single" w:sz="2" w:space="0" w:color="auto"/>
              <w:left w:val="single" w:sz="2" w:space="0" w:color="auto"/>
              <w:bottom w:val="single" w:sz="2" w:space="0" w:color="auto"/>
              <w:right w:val="single" w:sz="2" w:space="0" w:color="auto"/>
            </w:tcBorders>
            <w:vAlign w:val="center"/>
          </w:tcPr>
          <w:p w14:paraId="579B43CA"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16,796,708.40</w:t>
            </w:r>
          </w:p>
        </w:tc>
        <w:tc>
          <w:tcPr>
            <w:tcW w:w="3048" w:type="dxa"/>
            <w:tcBorders>
              <w:top w:val="single" w:sz="2" w:space="0" w:color="auto"/>
              <w:left w:val="single" w:sz="2" w:space="0" w:color="auto"/>
              <w:bottom w:val="single" w:sz="2" w:space="0" w:color="auto"/>
              <w:right w:val="single" w:sz="2" w:space="0" w:color="auto"/>
            </w:tcBorders>
            <w:vAlign w:val="center"/>
          </w:tcPr>
          <w:p w14:paraId="7A8471A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17,212,184.86</w:t>
            </w:r>
          </w:p>
        </w:tc>
      </w:tr>
      <w:tr w:rsidR="00095F6F" w14:paraId="1C13122F"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5DDD395F" w14:textId="77777777" w:rsidR="00A46BF1" w:rsidRPr="00DF1D4E" w:rsidRDefault="00A46BF1" w:rsidP="00DF1D4E">
            <w:pPr>
              <w:spacing w:before="40" w:after="40" w:line="360" w:lineRule="auto"/>
              <w:ind w:firstLineChars="200" w:firstLine="360"/>
              <w:rPr>
                <w:rFonts w:ascii="Times New Roman" w:eastAsia="宋体" w:hAnsi="Times New Roman" w:cs="Times New Roman"/>
                <w:sz w:val="18"/>
                <w:szCs w:val="18"/>
              </w:rPr>
            </w:pPr>
            <w:r w:rsidRPr="00DF1D4E">
              <w:rPr>
                <w:rFonts w:ascii="Times New Roman" w:eastAsia="宋体" w:hAnsi="Times New Roman" w:cs="Times New Roman"/>
                <w:sz w:val="18"/>
                <w:szCs w:val="18"/>
              </w:rPr>
              <w:t>应付普通股股利</w:t>
            </w:r>
          </w:p>
        </w:tc>
        <w:tc>
          <w:tcPr>
            <w:tcW w:w="3047" w:type="dxa"/>
            <w:tcBorders>
              <w:top w:val="single" w:sz="2" w:space="0" w:color="auto"/>
              <w:left w:val="single" w:sz="2" w:space="0" w:color="auto"/>
              <w:bottom w:val="single" w:sz="2" w:space="0" w:color="auto"/>
              <w:right w:val="single" w:sz="2" w:space="0" w:color="auto"/>
            </w:tcBorders>
            <w:vAlign w:val="center"/>
          </w:tcPr>
          <w:p w14:paraId="0AEED638"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121,654,717.36</w:t>
            </w:r>
          </w:p>
        </w:tc>
        <w:tc>
          <w:tcPr>
            <w:tcW w:w="3048" w:type="dxa"/>
            <w:tcBorders>
              <w:top w:val="single" w:sz="2" w:space="0" w:color="auto"/>
              <w:left w:val="single" w:sz="2" w:space="0" w:color="auto"/>
              <w:bottom w:val="single" w:sz="2" w:space="0" w:color="auto"/>
              <w:right w:val="single" w:sz="2" w:space="0" w:color="auto"/>
            </w:tcBorders>
            <w:vAlign w:val="center"/>
          </w:tcPr>
          <w:p w14:paraId="079CDA9E"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110,768,917.60</w:t>
            </w:r>
          </w:p>
        </w:tc>
      </w:tr>
      <w:tr w:rsidR="00095F6F" w14:paraId="6C04838F"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vAlign w:val="center"/>
          </w:tcPr>
          <w:p w14:paraId="4D1CF1C2" w14:textId="77777777" w:rsidR="00A46BF1" w:rsidRPr="00DF1D4E" w:rsidRDefault="00A46BF1" w:rsidP="00DF1D4E">
            <w:pPr>
              <w:spacing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其他</w:t>
            </w:r>
            <w:r w:rsidRPr="00DF1D4E">
              <w:rPr>
                <w:rFonts w:ascii="Times New Roman" w:eastAsia="宋体" w:hAnsi="Times New Roman" w:cs="Times New Roman"/>
                <w:color w:val="F00000"/>
                <w:vertAlign w:val="superscript"/>
              </w:rPr>
              <w:t>1</w:t>
            </w:r>
          </w:p>
        </w:tc>
        <w:tc>
          <w:tcPr>
            <w:tcW w:w="3047" w:type="dxa"/>
            <w:tcBorders>
              <w:top w:val="single" w:sz="2" w:space="0" w:color="auto"/>
              <w:left w:val="single" w:sz="2" w:space="0" w:color="auto"/>
              <w:bottom w:val="single" w:sz="2" w:space="0" w:color="auto"/>
              <w:right w:val="single" w:sz="2" w:space="0" w:color="auto"/>
            </w:tcBorders>
            <w:vAlign w:val="center"/>
          </w:tcPr>
          <w:p w14:paraId="6A7385AD"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-23,394,166.42</w:t>
            </w:r>
          </w:p>
        </w:tc>
        <w:tc>
          <w:tcPr>
            <w:tcW w:w="3048" w:type="dxa"/>
            <w:tcBorders>
              <w:top w:val="single" w:sz="2" w:space="0" w:color="auto"/>
              <w:left w:val="single" w:sz="2" w:space="0" w:color="auto"/>
              <w:bottom w:val="single" w:sz="2" w:space="0" w:color="auto"/>
              <w:right w:val="single" w:sz="2" w:space="0" w:color="auto"/>
            </w:tcBorders>
            <w:vAlign w:val="center"/>
          </w:tcPr>
          <w:p w14:paraId="6CDC34C2"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-43,013,217.29</w:t>
            </w:r>
          </w:p>
        </w:tc>
      </w:tr>
      <w:tr w:rsidR="00095F6F" w14:paraId="6F7BD0EA" w14:textId="77777777" w:rsidTr="00DF1D4E">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B2893CB" w14:textId="77777777" w:rsidR="00A46BF1" w:rsidRPr="00DF1D4E" w:rsidRDefault="00A46BF1" w:rsidP="00DF1D4E">
            <w:pPr>
              <w:spacing w:before="40" w:after="40" w:line="360" w:lineRule="auto"/>
              <w:rPr>
                <w:rFonts w:ascii="Times New Roman" w:eastAsia="宋体" w:hAnsi="Times New Roman" w:cs="Times New Roman"/>
                <w:sz w:val="18"/>
                <w:szCs w:val="18"/>
              </w:rPr>
            </w:pPr>
            <w:r w:rsidRPr="00DF1D4E">
              <w:rPr>
                <w:rFonts w:ascii="Times New Roman" w:eastAsia="宋体" w:hAnsi="Times New Roman" w:cs="Times New Roman"/>
                <w:sz w:val="18"/>
                <w:szCs w:val="18"/>
              </w:rPr>
              <w:t>期末未分配利润</w:t>
            </w:r>
          </w:p>
        </w:tc>
        <w:tc>
          <w:tcPr>
            <w:tcW w:w="3047" w:type="dxa"/>
            <w:tcBorders>
              <w:top w:val="single" w:sz="2" w:space="0" w:color="auto"/>
              <w:left w:val="single" w:sz="2" w:space="0" w:color="auto"/>
              <w:bottom w:val="single" w:sz="2" w:space="0" w:color="auto"/>
              <w:right w:val="single" w:sz="2" w:space="0" w:color="auto"/>
            </w:tcBorders>
            <w:vAlign w:val="center"/>
          </w:tcPr>
          <w:p w14:paraId="2EBA8074"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1,071,018,512.63</w:t>
            </w:r>
          </w:p>
        </w:tc>
        <w:tc>
          <w:tcPr>
            <w:tcW w:w="3048" w:type="dxa"/>
            <w:tcBorders>
              <w:top w:val="single" w:sz="2" w:space="0" w:color="auto"/>
              <w:left w:val="single" w:sz="2" w:space="0" w:color="auto"/>
              <w:bottom w:val="single" w:sz="2" w:space="0" w:color="auto"/>
              <w:right w:val="single" w:sz="2" w:space="0" w:color="auto"/>
            </w:tcBorders>
            <w:vAlign w:val="center"/>
          </w:tcPr>
          <w:p w14:paraId="43DEB456" w14:textId="77777777" w:rsidR="00A46BF1" w:rsidRPr="00DF1D4E" w:rsidRDefault="00A46BF1" w:rsidP="00DF1D4E">
            <w:pPr>
              <w:spacing w:line="360" w:lineRule="auto"/>
              <w:jc w:val="right"/>
              <w:rPr>
                <w:rFonts w:ascii="Times New Roman" w:eastAsia="宋体" w:hAnsi="Times New Roman" w:cs="Times New Roman"/>
                <w:sz w:val="18"/>
                <w:szCs w:val="18"/>
              </w:rPr>
            </w:pPr>
            <w:r w:rsidRPr="00DF1D4E">
              <w:rPr>
                <w:rFonts w:ascii="Times New Roman" w:eastAsia="宋体" w:hAnsi="Times New Roman" w:cs="Times New Roman"/>
                <w:sz w:val="18"/>
                <w:szCs w:val="18"/>
              </w:rPr>
              <w:t>1,127,020,330.07</w:t>
            </w:r>
          </w:p>
        </w:tc>
      </w:tr>
    </w:tbl>
    <w:p w14:paraId="47B5431A" w14:textId="0C577E8E" w:rsidR="00A46BF1" w:rsidRPr="003B59D6" w:rsidRDefault="00A46BF1" w:rsidP="003B59D6">
      <w:pPr>
        <w:spacing w:before="100" w:after="100" w:line="240" w:lineRule="exact"/>
        <w:rPr>
          <w:rFonts w:ascii="Times New Roman" w:eastAsia="宋体" w:hAnsi="Times New Roman" w:cs="Times New Roman"/>
          <w:sz w:val="18"/>
          <w:szCs w:val="18"/>
        </w:rPr>
      </w:pPr>
      <w:r w:rsidRPr="003B59D6">
        <w:rPr>
          <w:rFonts w:ascii="Times New Roman" w:eastAsia="宋体" w:hAnsi="Times New Roman" w:cs="Times New Roman"/>
          <w:sz w:val="18"/>
          <w:szCs w:val="18"/>
        </w:rPr>
        <w:t>注：</w:t>
      </w:r>
      <w:r w:rsidRPr="003B59D6">
        <w:rPr>
          <w:rFonts w:ascii="Times New Roman" w:eastAsia="宋体" w:hAnsi="Times New Roman" w:cs="Times New Roman"/>
          <w:sz w:val="18"/>
          <w:szCs w:val="18"/>
        </w:rPr>
        <w:t xml:space="preserve">1 </w:t>
      </w:r>
      <w:r w:rsidRPr="003B59D6">
        <w:rPr>
          <w:rFonts w:ascii="Times New Roman" w:eastAsia="宋体" w:hAnsi="Times New Roman" w:cs="Times New Roman"/>
          <w:sz w:val="18"/>
          <w:szCs w:val="18"/>
        </w:rPr>
        <w:t>本年其他增加</w:t>
      </w:r>
      <w:r w:rsidRPr="003B59D6">
        <w:rPr>
          <w:rFonts w:ascii="Times New Roman" w:eastAsia="宋体" w:hAnsi="Times New Roman" w:cs="Times New Roman"/>
          <w:sz w:val="18"/>
          <w:szCs w:val="18"/>
        </w:rPr>
        <w:t>23,394,166.42</w:t>
      </w:r>
      <w:r w:rsidRPr="003B59D6">
        <w:rPr>
          <w:rFonts w:ascii="Times New Roman" w:eastAsia="宋体" w:hAnsi="Times New Roman" w:cs="Times New Roman"/>
          <w:sz w:val="18"/>
          <w:szCs w:val="18"/>
        </w:rPr>
        <w:t>为处置其他权益工具投资的税后收益。</w:t>
      </w:r>
    </w:p>
    <w:p w14:paraId="0FDC0AD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调整期初未分配利润明细：</w:t>
      </w:r>
    </w:p>
    <w:p w14:paraId="0797F3FB" w14:textId="77777777" w:rsidR="00A46BF1" w:rsidRPr="003B59D6" w:rsidRDefault="00A46BF1" w:rsidP="00A46BF1">
      <w:pPr>
        <w:spacing w:before="100" w:after="100" w:line="240" w:lineRule="exact"/>
        <w:rPr>
          <w:rFonts w:ascii="Times New Roman" w:eastAsia="宋体" w:hAnsi="Times New Roman" w:cs="Times New Roman"/>
          <w:sz w:val="18"/>
          <w:szCs w:val="18"/>
        </w:rPr>
      </w:pPr>
      <w:r w:rsidRPr="003B59D6">
        <w:rPr>
          <w:rFonts w:ascii="Times New Roman" w:eastAsia="宋体" w:hAnsi="Times New Roman" w:cs="Times New Roman"/>
          <w:sz w:val="18"/>
          <w:szCs w:val="18"/>
        </w:rPr>
        <w:t>1</w:t>
      </w:r>
      <w:r w:rsidRPr="003B59D6">
        <w:rPr>
          <w:rFonts w:ascii="Times New Roman" w:eastAsia="宋体" w:hAnsi="Times New Roman" w:cs="Times New Roman"/>
          <w:sz w:val="18"/>
          <w:szCs w:val="18"/>
        </w:rPr>
        <w:t>）、由于《企业会计准则》及其相关新规定进行追溯调整，影响期初未分配利润</w:t>
      </w:r>
      <w:r w:rsidRPr="003B59D6">
        <w:rPr>
          <w:rFonts w:ascii="Times New Roman" w:eastAsia="宋体" w:hAnsi="Times New Roman" w:cs="Times New Roman"/>
          <w:sz w:val="18"/>
          <w:szCs w:val="18"/>
        </w:rPr>
        <w:t>0.00</w:t>
      </w:r>
      <w:r w:rsidRPr="003B59D6">
        <w:rPr>
          <w:rFonts w:ascii="Times New Roman" w:eastAsia="宋体" w:hAnsi="Times New Roman" w:cs="Times New Roman"/>
          <w:sz w:val="18"/>
          <w:szCs w:val="18"/>
        </w:rPr>
        <w:t>元。</w:t>
      </w:r>
    </w:p>
    <w:p w14:paraId="6B77A7EB" w14:textId="77777777" w:rsidR="00A46BF1" w:rsidRPr="003B59D6" w:rsidRDefault="00A46BF1" w:rsidP="00A46BF1">
      <w:pPr>
        <w:spacing w:before="100" w:after="100" w:line="240" w:lineRule="exact"/>
        <w:rPr>
          <w:rFonts w:ascii="Times New Roman" w:eastAsia="宋体" w:hAnsi="Times New Roman" w:cs="Times New Roman"/>
          <w:sz w:val="18"/>
          <w:szCs w:val="18"/>
        </w:rPr>
      </w:pPr>
      <w:r w:rsidRPr="003B59D6">
        <w:rPr>
          <w:rFonts w:ascii="Times New Roman" w:eastAsia="宋体" w:hAnsi="Times New Roman" w:cs="Times New Roman"/>
          <w:sz w:val="18"/>
          <w:szCs w:val="18"/>
        </w:rPr>
        <w:t>2</w:t>
      </w:r>
      <w:r w:rsidRPr="003B59D6">
        <w:rPr>
          <w:rFonts w:ascii="Times New Roman" w:eastAsia="宋体" w:hAnsi="Times New Roman" w:cs="Times New Roman"/>
          <w:sz w:val="18"/>
          <w:szCs w:val="18"/>
        </w:rPr>
        <w:t>）、由于会计政策变更，影响期初未分配利润</w:t>
      </w:r>
      <w:r w:rsidRPr="003B59D6">
        <w:rPr>
          <w:rFonts w:ascii="Times New Roman" w:eastAsia="宋体" w:hAnsi="Times New Roman" w:cs="Times New Roman"/>
          <w:sz w:val="18"/>
          <w:szCs w:val="18"/>
        </w:rPr>
        <w:t>0.00</w:t>
      </w:r>
      <w:r w:rsidRPr="003B59D6">
        <w:rPr>
          <w:rFonts w:ascii="Times New Roman" w:eastAsia="宋体" w:hAnsi="Times New Roman" w:cs="Times New Roman"/>
          <w:sz w:val="18"/>
          <w:szCs w:val="18"/>
        </w:rPr>
        <w:t>元。</w:t>
      </w:r>
    </w:p>
    <w:p w14:paraId="6871C400" w14:textId="77777777" w:rsidR="00A46BF1" w:rsidRPr="003B59D6" w:rsidRDefault="00A46BF1" w:rsidP="00A46BF1">
      <w:pPr>
        <w:spacing w:before="100" w:after="100" w:line="240" w:lineRule="exact"/>
        <w:rPr>
          <w:rFonts w:ascii="Times New Roman" w:eastAsia="宋体" w:hAnsi="Times New Roman" w:cs="Times New Roman"/>
          <w:sz w:val="18"/>
          <w:szCs w:val="18"/>
        </w:rPr>
      </w:pPr>
      <w:r w:rsidRPr="003B59D6">
        <w:rPr>
          <w:rFonts w:ascii="Times New Roman" w:eastAsia="宋体" w:hAnsi="Times New Roman" w:cs="Times New Roman"/>
          <w:sz w:val="18"/>
          <w:szCs w:val="18"/>
        </w:rPr>
        <w:t>3</w:t>
      </w:r>
      <w:r w:rsidRPr="003B59D6">
        <w:rPr>
          <w:rFonts w:ascii="Times New Roman" w:eastAsia="宋体" w:hAnsi="Times New Roman" w:cs="Times New Roman"/>
          <w:sz w:val="18"/>
          <w:szCs w:val="18"/>
        </w:rPr>
        <w:t>）、由于重大会计差错更正，影响期初未分配利润</w:t>
      </w:r>
      <w:r w:rsidRPr="003B59D6">
        <w:rPr>
          <w:rFonts w:ascii="Times New Roman" w:eastAsia="宋体" w:hAnsi="Times New Roman" w:cs="Times New Roman"/>
          <w:sz w:val="18"/>
          <w:szCs w:val="18"/>
        </w:rPr>
        <w:t>0.00</w:t>
      </w:r>
      <w:r w:rsidRPr="003B59D6">
        <w:rPr>
          <w:rFonts w:ascii="Times New Roman" w:eastAsia="宋体" w:hAnsi="Times New Roman" w:cs="Times New Roman"/>
          <w:sz w:val="18"/>
          <w:szCs w:val="18"/>
        </w:rPr>
        <w:t>元。</w:t>
      </w:r>
    </w:p>
    <w:p w14:paraId="6F7927E9" w14:textId="77777777" w:rsidR="00A46BF1" w:rsidRPr="003B59D6" w:rsidRDefault="00A46BF1" w:rsidP="00A46BF1">
      <w:pPr>
        <w:spacing w:before="100" w:after="100" w:line="240" w:lineRule="exact"/>
        <w:rPr>
          <w:rFonts w:ascii="Times New Roman" w:eastAsia="宋体" w:hAnsi="Times New Roman" w:cs="Times New Roman"/>
          <w:sz w:val="18"/>
          <w:szCs w:val="18"/>
        </w:rPr>
      </w:pPr>
      <w:r w:rsidRPr="003B59D6">
        <w:rPr>
          <w:rFonts w:ascii="Times New Roman" w:eastAsia="宋体" w:hAnsi="Times New Roman" w:cs="Times New Roman"/>
          <w:sz w:val="18"/>
          <w:szCs w:val="18"/>
        </w:rPr>
        <w:t>4</w:t>
      </w:r>
      <w:r w:rsidRPr="003B59D6">
        <w:rPr>
          <w:rFonts w:ascii="Times New Roman" w:eastAsia="宋体" w:hAnsi="Times New Roman" w:cs="Times New Roman"/>
          <w:sz w:val="18"/>
          <w:szCs w:val="18"/>
        </w:rPr>
        <w:t>）、由于同一控制导致的合并范围变更，影响期初未分配利润</w:t>
      </w:r>
      <w:r w:rsidRPr="003B59D6">
        <w:rPr>
          <w:rFonts w:ascii="Times New Roman" w:eastAsia="宋体" w:hAnsi="Times New Roman" w:cs="Times New Roman"/>
          <w:sz w:val="18"/>
          <w:szCs w:val="18"/>
        </w:rPr>
        <w:t>0.00</w:t>
      </w:r>
      <w:r w:rsidRPr="003B59D6">
        <w:rPr>
          <w:rFonts w:ascii="Times New Roman" w:eastAsia="宋体" w:hAnsi="Times New Roman" w:cs="Times New Roman"/>
          <w:sz w:val="18"/>
          <w:szCs w:val="18"/>
        </w:rPr>
        <w:t>元。</w:t>
      </w:r>
    </w:p>
    <w:p w14:paraId="15FD15C6" w14:textId="77777777" w:rsidR="00A46BF1" w:rsidRPr="003B59D6" w:rsidRDefault="00A46BF1" w:rsidP="00A46BF1">
      <w:pPr>
        <w:spacing w:before="100" w:after="100" w:line="240" w:lineRule="exact"/>
        <w:rPr>
          <w:rFonts w:ascii="Times New Roman" w:eastAsia="宋体" w:hAnsi="Times New Roman" w:cs="Times New Roman"/>
          <w:sz w:val="18"/>
          <w:szCs w:val="18"/>
        </w:rPr>
      </w:pPr>
      <w:r w:rsidRPr="003B59D6">
        <w:rPr>
          <w:rFonts w:ascii="Times New Roman" w:eastAsia="宋体" w:hAnsi="Times New Roman" w:cs="Times New Roman"/>
          <w:sz w:val="18"/>
          <w:szCs w:val="18"/>
        </w:rPr>
        <w:t>5</w:t>
      </w:r>
      <w:r w:rsidRPr="003B59D6">
        <w:rPr>
          <w:rFonts w:ascii="Times New Roman" w:eastAsia="宋体" w:hAnsi="Times New Roman" w:cs="Times New Roman"/>
          <w:sz w:val="18"/>
          <w:szCs w:val="18"/>
        </w:rPr>
        <w:t>）、其他调整合计影响期初未分配利润</w:t>
      </w:r>
      <w:r w:rsidRPr="003B59D6">
        <w:rPr>
          <w:rFonts w:ascii="Times New Roman" w:eastAsia="宋体" w:hAnsi="Times New Roman" w:cs="Times New Roman"/>
          <w:sz w:val="18"/>
          <w:szCs w:val="18"/>
        </w:rPr>
        <w:t>0.00</w:t>
      </w:r>
      <w:r w:rsidRPr="003B59D6">
        <w:rPr>
          <w:rFonts w:ascii="Times New Roman" w:eastAsia="宋体" w:hAnsi="Times New Roman" w:cs="Times New Roman"/>
          <w:sz w:val="18"/>
          <w:szCs w:val="18"/>
        </w:rPr>
        <w:t>元。</w:t>
      </w:r>
    </w:p>
    <w:p w14:paraId="293917C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使用资本公积弥补亏损详细情况说明：</w:t>
      </w:r>
    </w:p>
    <w:p w14:paraId="0E523F1B" w14:textId="77777777" w:rsidR="00A46BF1" w:rsidRPr="003B59D6" w:rsidRDefault="00A46BF1" w:rsidP="003B59D6">
      <w:pPr>
        <w:spacing w:before="100" w:after="100" w:line="240" w:lineRule="exact"/>
        <w:rPr>
          <w:rFonts w:ascii="宋体" w:eastAsia="宋体" w:hAnsi="宋体" w:cs="宋体"/>
          <w:sz w:val="18"/>
          <w:szCs w:val="18"/>
        </w:rPr>
      </w:pPr>
      <w:r w:rsidRPr="003B59D6">
        <w:rPr>
          <w:rFonts w:ascii="宋体" w:eastAsia="宋体" w:hAnsi="宋体" w:cs="宋体" w:hint="eastAsia"/>
          <w:sz w:val="18"/>
          <w:szCs w:val="18"/>
        </w:rPr>
        <w:t>不适用</w:t>
      </w:r>
    </w:p>
    <w:p w14:paraId="044BB46C" w14:textId="3DD034EA" w:rsidR="00A46BF1" w:rsidRDefault="00A46BF1" w:rsidP="00A46BF1">
      <w:pPr>
        <w:pStyle w:val="3"/>
        <w:spacing w:line="280" w:lineRule="exact"/>
        <w:jc w:val="left"/>
        <w:rPr>
          <w:rFonts w:ascii="宋体" w:hAnsi="宋体" w:cs="宋体"/>
          <w:b/>
          <w:bCs/>
        </w:rPr>
      </w:pPr>
      <w:r>
        <w:rPr>
          <w:rFonts w:ascii="宋体" w:hAnsi="宋体" w:cs="宋体"/>
          <w:b/>
          <w:bCs/>
        </w:rPr>
        <w:t>4</w:t>
      </w:r>
      <w:r w:rsidR="003B59D6">
        <w:rPr>
          <w:rFonts w:ascii="宋体" w:hAnsi="宋体" w:cs="宋体"/>
          <w:b/>
          <w:bCs/>
        </w:rPr>
        <w:t>5</w:t>
      </w:r>
      <w:r>
        <w:rPr>
          <w:rFonts w:ascii="宋体" w:hAnsi="宋体" w:cs="宋体"/>
          <w:b/>
          <w:bCs/>
        </w:rPr>
        <w:t>、营业收入和营业成本</w:t>
      </w:r>
    </w:p>
    <w:p w14:paraId="67553CE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rsidRPr="003B59D6" w14:paraId="3FAEFCBD" w14:textId="77777777" w:rsidTr="00A46BF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0DF6BB"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EBF4018"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A0AC298"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上期发生额</w:t>
            </w:r>
          </w:p>
        </w:tc>
      </w:tr>
      <w:tr w:rsidR="00095F6F" w:rsidRPr="003B59D6" w14:paraId="4BC1C484" w14:textId="77777777" w:rsidTr="00A46BF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09BD6C0" w14:textId="77777777" w:rsidR="00A46BF1" w:rsidRPr="003B59D6" w:rsidRDefault="00A46BF1" w:rsidP="003B59D6">
            <w:pPr>
              <w:spacing w:line="360" w:lineRule="auto"/>
              <w:rPr>
                <w:rFonts w:ascii="Times New Roman" w:hAnsi="Times New Roman" w:cs="Times New Roman"/>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58A7BC9"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CBBA769"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6123560"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03964945" w14:textId="77777777" w:rsidR="00A46BF1" w:rsidRPr="003B59D6" w:rsidRDefault="00A46BF1"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成本</w:t>
            </w:r>
          </w:p>
        </w:tc>
      </w:tr>
      <w:tr w:rsidR="00095F6F" w:rsidRPr="003B59D6" w14:paraId="10CE74ED"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7CCD119" w14:textId="77777777" w:rsidR="00A46BF1" w:rsidRPr="003B59D6" w:rsidRDefault="00A46BF1"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14:paraId="277E5A3D"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4,657,033,402.38</w:t>
            </w:r>
          </w:p>
        </w:tc>
        <w:tc>
          <w:tcPr>
            <w:tcW w:w="1928" w:type="dxa"/>
            <w:tcBorders>
              <w:top w:val="single" w:sz="2" w:space="0" w:color="auto"/>
              <w:left w:val="single" w:sz="2" w:space="0" w:color="auto"/>
              <w:bottom w:val="single" w:sz="2" w:space="0" w:color="auto"/>
              <w:right w:val="single" w:sz="2" w:space="0" w:color="auto"/>
            </w:tcBorders>
            <w:vAlign w:val="center"/>
          </w:tcPr>
          <w:p w14:paraId="3558ABCE"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2,386,923,122.78</w:t>
            </w:r>
          </w:p>
        </w:tc>
        <w:tc>
          <w:tcPr>
            <w:tcW w:w="1928" w:type="dxa"/>
            <w:tcBorders>
              <w:top w:val="single" w:sz="2" w:space="0" w:color="auto"/>
              <w:left w:val="single" w:sz="2" w:space="0" w:color="auto"/>
              <w:bottom w:val="single" w:sz="2" w:space="0" w:color="auto"/>
              <w:right w:val="single" w:sz="2" w:space="0" w:color="auto"/>
            </w:tcBorders>
            <w:vAlign w:val="center"/>
          </w:tcPr>
          <w:p w14:paraId="25C3C8EA"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4,427,902,444.24</w:t>
            </w:r>
          </w:p>
        </w:tc>
        <w:tc>
          <w:tcPr>
            <w:tcW w:w="1928" w:type="dxa"/>
            <w:tcBorders>
              <w:top w:val="single" w:sz="2" w:space="0" w:color="auto"/>
              <w:left w:val="single" w:sz="2" w:space="0" w:color="auto"/>
              <w:bottom w:val="single" w:sz="2" w:space="0" w:color="auto"/>
              <w:right w:val="single" w:sz="2" w:space="0" w:color="auto"/>
            </w:tcBorders>
            <w:vAlign w:val="center"/>
          </w:tcPr>
          <w:p w14:paraId="62FF92FF"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2,001,832,005.84</w:t>
            </w:r>
          </w:p>
        </w:tc>
      </w:tr>
      <w:tr w:rsidR="00095F6F" w:rsidRPr="003B59D6" w14:paraId="4BB67D49"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95CE208" w14:textId="77777777" w:rsidR="00A46BF1" w:rsidRPr="003B59D6" w:rsidRDefault="00A46BF1"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14:paraId="2B58423F"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2,302,511.12</w:t>
            </w:r>
          </w:p>
        </w:tc>
        <w:tc>
          <w:tcPr>
            <w:tcW w:w="1928" w:type="dxa"/>
            <w:tcBorders>
              <w:top w:val="single" w:sz="2" w:space="0" w:color="auto"/>
              <w:left w:val="single" w:sz="2" w:space="0" w:color="auto"/>
              <w:bottom w:val="single" w:sz="2" w:space="0" w:color="auto"/>
              <w:right w:val="single" w:sz="2" w:space="0" w:color="auto"/>
            </w:tcBorders>
            <w:vAlign w:val="center"/>
          </w:tcPr>
          <w:p w14:paraId="73F24699"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1,543,327.42</w:t>
            </w:r>
          </w:p>
        </w:tc>
        <w:tc>
          <w:tcPr>
            <w:tcW w:w="1928" w:type="dxa"/>
            <w:tcBorders>
              <w:top w:val="single" w:sz="2" w:space="0" w:color="auto"/>
              <w:left w:val="single" w:sz="2" w:space="0" w:color="auto"/>
              <w:bottom w:val="single" w:sz="2" w:space="0" w:color="auto"/>
              <w:right w:val="single" w:sz="2" w:space="0" w:color="auto"/>
            </w:tcBorders>
            <w:vAlign w:val="center"/>
          </w:tcPr>
          <w:p w14:paraId="308B4203"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15,221,126.37</w:t>
            </w:r>
          </w:p>
        </w:tc>
        <w:tc>
          <w:tcPr>
            <w:tcW w:w="1928" w:type="dxa"/>
            <w:tcBorders>
              <w:top w:val="single" w:sz="2" w:space="0" w:color="auto"/>
              <w:left w:val="single" w:sz="2" w:space="0" w:color="auto"/>
              <w:bottom w:val="single" w:sz="2" w:space="0" w:color="auto"/>
              <w:right w:val="single" w:sz="2" w:space="0" w:color="auto"/>
            </w:tcBorders>
            <w:vAlign w:val="center"/>
          </w:tcPr>
          <w:p w14:paraId="69702C41"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2,890,403.74</w:t>
            </w:r>
          </w:p>
        </w:tc>
      </w:tr>
      <w:tr w:rsidR="00095F6F" w:rsidRPr="003B59D6" w14:paraId="68077C37"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B00B2AA" w14:textId="77777777" w:rsidR="00A46BF1" w:rsidRPr="003B59D6" w:rsidRDefault="00A46BF1"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24D30611"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928" w:type="dxa"/>
            <w:tcBorders>
              <w:top w:val="single" w:sz="2" w:space="0" w:color="auto"/>
              <w:left w:val="single" w:sz="2" w:space="0" w:color="auto"/>
              <w:bottom w:val="single" w:sz="2" w:space="0" w:color="auto"/>
              <w:right w:val="single" w:sz="2" w:space="0" w:color="auto"/>
            </w:tcBorders>
            <w:vAlign w:val="center"/>
          </w:tcPr>
          <w:p w14:paraId="4E9C79A4"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928" w:type="dxa"/>
            <w:tcBorders>
              <w:top w:val="single" w:sz="2" w:space="0" w:color="auto"/>
              <w:left w:val="single" w:sz="2" w:space="0" w:color="auto"/>
              <w:bottom w:val="single" w:sz="2" w:space="0" w:color="auto"/>
              <w:right w:val="single" w:sz="2" w:space="0" w:color="auto"/>
            </w:tcBorders>
            <w:vAlign w:val="center"/>
          </w:tcPr>
          <w:p w14:paraId="63F35CA5"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4,443,123,570.61</w:t>
            </w:r>
          </w:p>
        </w:tc>
        <w:tc>
          <w:tcPr>
            <w:tcW w:w="1928" w:type="dxa"/>
            <w:tcBorders>
              <w:top w:val="single" w:sz="2" w:space="0" w:color="auto"/>
              <w:left w:val="single" w:sz="2" w:space="0" w:color="auto"/>
              <w:bottom w:val="single" w:sz="2" w:space="0" w:color="auto"/>
              <w:right w:val="single" w:sz="2" w:space="0" w:color="auto"/>
            </w:tcBorders>
            <w:vAlign w:val="center"/>
          </w:tcPr>
          <w:p w14:paraId="0A361E81" w14:textId="77777777" w:rsidR="00A46BF1" w:rsidRPr="003B59D6" w:rsidRDefault="00A46BF1"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2,004,722,409.58</w:t>
            </w:r>
          </w:p>
        </w:tc>
      </w:tr>
    </w:tbl>
    <w:p w14:paraId="130EA01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公司报告期内经审计利润总额、净利润、扣除非经常性损益后的净利润三者孰低为负值</w:t>
      </w:r>
    </w:p>
    <w:p w14:paraId="331FEDA4"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6AEC8644"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营业收入、营业成本的分解信息：</w:t>
      </w:r>
    </w:p>
    <w:p w14:paraId="0EE7C8C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Look w:val="04A0" w:firstRow="1" w:lastRow="0" w:firstColumn="1" w:lastColumn="0" w:noHBand="0" w:noVBand="1"/>
      </w:tblPr>
      <w:tblGrid>
        <w:gridCol w:w="2094"/>
        <w:gridCol w:w="1846"/>
        <w:gridCol w:w="1971"/>
        <w:gridCol w:w="1971"/>
        <w:gridCol w:w="1971"/>
      </w:tblGrid>
      <w:tr w:rsidR="003B59D6" w14:paraId="4F9FD370" w14:textId="77777777" w:rsidTr="0092645D">
        <w:trPr>
          <w:trHeight w:val="240"/>
        </w:trPr>
        <w:tc>
          <w:tcPr>
            <w:tcW w:w="1063"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D0F421A"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合同分类</w:t>
            </w:r>
          </w:p>
        </w:tc>
        <w:tc>
          <w:tcPr>
            <w:tcW w:w="1937"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D67D348"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分部</w:t>
            </w:r>
            <w:r w:rsidRPr="003B59D6">
              <w:rPr>
                <w:rFonts w:ascii="Times New Roman" w:eastAsia="宋体" w:hAnsi="Times New Roman" w:cs="Times New Roman"/>
                <w:sz w:val="18"/>
                <w:szCs w:val="18"/>
              </w:rPr>
              <w:t>1</w:t>
            </w:r>
          </w:p>
        </w:tc>
        <w:tc>
          <w:tcPr>
            <w:tcW w:w="2000"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4A204C0A"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合计</w:t>
            </w:r>
          </w:p>
        </w:tc>
      </w:tr>
      <w:tr w:rsidR="003B59D6" w14:paraId="4C375D14" w14:textId="77777777" w:rsidTr="0092645D">
        <w:trPr>
          <w:trHeight w:val="240"/>
        </w:trPr>
        <w:tc>
          <w:tcPr>
            <w:tcW w:w="1063"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4E3CC910" w14:textId="77777777" w:rsidR="003B59D6" w:rsidRPr="003B59D6" w:rsidRDefault="003B59D6" w:rsidP="003B59D6">
            <w:pPr>
              <w:spacing w:line="360" w:lineRule="auto"/>
              <w:rPr>
                <w:rFonts w:ascii="Times New Roman" w:hAnsi="Times New Roman" w:cs="Times New Roman"/>
              </w:rPr>
            </w:pPr>
          </w:p>
        </w:tc>
        <w:tc>
          <w:tcPr>
            <w:tcW w:w="937" w:type="pct"/>
            <w:tcBorders>
              <w:top w:val="single" w:sz="2" w:space="0" w:color="auto"/>
              <w:left w:val="single" w:sz="2" w:space="0" w:color="auto"/>
              <w:bottom w:val="single" w:sz="2" w:space="0" w:color="auto"/>
              <w:right w:val="single" w:sz="2" w:space="0" w:color="auto"/>
            </w:tcBorders>
            <w:shd w:val="clear" w:color="auto" w:fill="D3D3D3"/>
            <w:vAlign w:val="center"/>
          </w:tcPr>
          <w:p w14:paraId="0CFA4328"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营业收入</w:t>
            </w: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77EF0EEC"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营业成本</w:t>
            </w: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6C7BB9BE"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营业收入</w:t>
            </w: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61918CE2" w14:textId="77777777" w:rsidR="003B59D6" w:rsidRPr="003B59D6" w:rsidRDefault="003B59D6" w:rsidP="003B59D6">
            <w:pPr>
              <w:spacing w:before="40" w:after="40" w:line="360" w:lineRule="auto"/>
              <w:jc w:val="center"/>
              <w:rPr>
                <w:rFonts w:ascii="Times New Roman" w:eastAsia="宋体" w:hAnsi="Times New Roman" w:cs="Times New Roman"/>
                <w:sz w:val="18"/>
                <w:szCs w:val="18"/>
              </w:rPr>
            </w:pPr>
            <w:r w:rsidRPr="003B59D6">
              <w:rPr>
                <w:rFonts w:ascii="Times New Roman" w:eastAsia="宋体" w:hAnsi="Times New Roman" w:cs="Times New Roman"/>
                <w:sz w:val="18"/>
                <w:szCs w:val="18"/>
              </w:rPr>
              <w:t>营业成本</w:t>
            </w:r>
          </w:p>
        </w:tc>
      </w:tr>
      <w:tr w:rsidR="003B59D6" w14:paraId="5F8A2098"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0856FF7E" w14:textId="77777777"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按经营地区分类</w:t>
            </w:r>
          </w:p>
        </w:tc>
        <w:tc>
          <w:tcPr>
            <w:tcW w:w="937" w:type="pct"/>
            <w:tcBorders>
              <w:top w:val="single" w:sz="2" w:space="0" w:color="auto"/>
              <w:left w:val="single" w:sz="2" w:space="0" w:color="auto"/>
              <w:bottom w:val="single" w:sz="2" w:space="0" w:color="auto"/>
              <w:right w:val="single" w:sz="2" w:space="0" w:color="auto"/>
            </w:tcBorders>
            <w:vAlign w:val="center"/>
          </w:tcPr>
          <w:p w14:paraId="0C943900"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2D5B7FA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000" w:type="pct"/>
            <w:tcBorders>
              <w:top w:val="single" w:sz="2" w:space="0" w:color="auto"/>
              <w:left w:val="single" w:sz="2" w:space="0" w:color="auto"/>
              <w:bottom w:val="single" w:sz="2" w:space="0" w:color="auto"/>
              <w:right w:val="single" w:sz="2" w:space="0" w:color="auto"/>
            </w:tcBorders>
            <w:vAlign w:val="center"/>
          </w:tcPr>
          <w:p w14:paraId="5C10080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6E114BE2"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r>
      <w:tr w:rsidR="003B59D6" w14:paraId="20FC0B77"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1539C8C2" w14:textId="50D4F91D"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其中：</w:t>
            </w:r>
          </w:p>
        </w:tc>
        <w:tc>
          <w:tcPr>
            <w:tcW w:w="937" w:type="pct"/>
            <w:tcBorders>
              <w:top w:val="single" w:sz="2" w:space="0" w:color="auto"/>
              <w:left w:val="single" w:sz="2" w:space="0" w:color="auto"/>
              <w:bottom w:val="single" w:sz="2" w:space="0" w:color="auto"/>
              <w:right w:val="single" w:sz="2" w:space="0" w:color="auto"/>
            </w:tcBorders>
            <w:shd w:val="clear" w:color="auto" w:fill="D3D3D3"/>
            <w:vAlign w:val="center"/>
          </w:tcPr>
          <w:p w14:paraId="64D77704"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38FDCBAA"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390C41A8"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263F8A52" w14:textId="77777777" w:rsidR="003B59D6" w:rsidRPr="003B59D6" w:rsidRDefault="003B59D6" w:rsidP="003B59D6">
            <w:pPr>
              <w:spacing w:line="360" w:lineRule="auto"/>
              <w:rPr>
                <w:rFonts w:ascii="Times New Roman" w:hAnsi="Times New Roman" w:cs="Times New Roman"/>
              </w:rPr>
            </w:pPr>
          </w:p>
        </w:tc>
      </w:tr>
      <w:tr w:rsidR="003B59D6" w14:paraId="2D982F3C"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45DCD40"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境内</w:t>
            </w:r>
          </w:p>
        </w:tc>
        <w:tc>
          <w:tcPr>
            <w:tcW w:w="937" w:type="pct"/>
            <w:tcBorders>
              <w:top w:val="single" w:sz="2" w:space="0" w:color="auto"/>
              <w:left w:val="single" w:sz="2" w:space="0" w:color="auto"/>
              <w:bottom w:val="single" w:sz="2" w:space="0" w:color="auto"/>
              <w:right w:val="single" w:sz="2" w:space="0" w:color="auto"/>
            </w:tcBorders>
            <w:vAlign w:val="center"/>
          </w:tcPr>
          <w:p w14:paraId="6D97D1CF"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2,607,394,459.74</w:t>
            </w:r>
          </w:p>
        </w:tc>
        <w:tc>
          <w:tcPr>
            <w:tcW w:w="1000" w:type="pct"/>
            <w:tcBorders>
              <w:top w:val="single" w:sz="2" w:space="0" w:color="auto"/>
              <w:left w:val="single" w:sz="2" w:space="0" w:color="auto"/>
              <w:bottom w:val="single" w:sz="2" w:space="0" w:color="auto"/>
              <w:right w:val="single" w:sz="2" w:space="0" w:color="auto"/>
            </w:tcBorders>
            <w:vAlign w:val="center"/>
          </w:tcPr>
          <w:p w14:paraId="7458EFED"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1,008,000,820.94</w:t>
            </w:r>
          </w:p>
        </w:tc>
        <w:tc>
          <w:tcPr>
            <w:tcW w:w="1000" w:type="pct"/>
            <w:tcBorders>
              <w:top w:val="single" w:sz="2" w:space="0" w:color="auto"/>
              <w:left w:val="single" w:sz="2" w:space="0" w:color="auto"/>
              <w:bottom w:val="single" w:sz="2" w:space="0" w:color="auto"/>
              <w:right w:val="single" w:sz="2" w:space="0" w:color="auto"/>
            </w:tcBorders>
            <w:vAlign w:val="center"/>
          </w:tcPr>
          <w:p w14:paraId="0A196CE5"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2,607,394,459.74</w:t>
            </w:r>
          </w:p>
        </w:tc>
        <w:tc>
          <w:tcPr>
            <w:tcW w:w="1000" w:type="pct"/>
            <w:tcBorders>
              <w:top w:val="single" w:sz="2" w:space="0" w:color="auto"/>
              <w:left w:val="single" w:sz="2" w:space="0" w:color="auto"/>
              <w:bottom w:val="single" w:sz="2" w:space="0" w:color="auto"/>
              <w:right w:val="single" w:sz="2" w:space="0" w:color="auto"/>
            </w:tcBorders>
            <w:vAlign w:val="center"/>
          </w:tcPr>
          <w:p w14:paraId="0C73388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1,008,000,820.94</w:t>
            </w:r>
          </w:p>
        </w:tc>
      </w:tr>
      <w:tr w:rsidR="003B59D6" w14:paraId="685C4D34"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0CCDB101"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境外</w:t>
            </w:r>
          </w:p>
        </w:tc>
        <w:tc>
          <w:tcPr>
            <w:tcW w:w="937" w:type="pct"/>
            <w:tcBorders>
              <w:top w:val="single" w:sz="2" w:space="0" w:color="auto"/>
              <w:left w:val="single" w:sz="2" w:space="0" w:color="auto"/>
              <w:bottom w:val="single" w:sz="2" w:space="0" w:color="auto"/>
              <w:right w:val="single" w:sz="2" w:space="0" w:color="auto"/>
            </w:tcBorders>
            <w:vAlign w:val="center"/>
          </w:tcPr>
          <w:p w14:paraId="4A0C18F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2,051,941,453.76</w:t>
            </w:r>
          </w:p>
        </w:tc>
        <w:tc>
          <w:tcPr>
            <w:tcW w:w="1000" w:type="pct"/>
            <w:tcBorders>
              <w:top w:val="single" w:sz="2" w:space="0" w:color="auto"/>
              <w:left w:val="single" w:sz="2" w:space="0" w:color="auto"/>
              <w:bottom w:val="single" w:sz="2" w:space="0" w:color="auto"/>
              <w:right w:val="single" w:sz="2" w:space="0" w:color="auto"/>
            </w:tcBorders>
            <w:vAlign w:val="center"/>
          </w:tcPr>
          <w:p w14:paraId="4D270FB4"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1,380,465,629.26</w:t>
            </w:r>
          </w:p>
        </w:tc>
        <w:tc>
          <w:tcPr>
            <w:tcW w:w="1000" w:type="pct"/>
            <w:tcBorders>
              <w:top w:val="single" w:sz="2" w:space="0" w:color="auto"/>
              <w:left w:val="single" w:sz="2" w:space="0" w:color="auto"/>
              <w:bottom w:val="single" w:sz="2" w:space="0" w:color="auto"/>
              <w:right w:val="single" w:sz="2" w:space="0" w:color="auto"/>
            </w:tcBorders>
            <w:vAlign w:val="center"/>
          </w:tcPr>
          <w:p w14:paraId="448EF06E"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2,051,941,453.76</w:t>
            </w:r>
          </w:p>
        </w:tc>
        <w:tc>
          <w:tcPr>
            <w:tcW w:w="1000" w:type="pct"/>
            <w:tcBorders>
              <w:top w:val="single" w:sz="2" w:space="0" w:color="auto"/>
              <w:left w:val="single" w:sz="2" w:space="0" w:color="auto"/>
              <w:bottom w:val="single" w:sz="2" w:space="0" w:color="auto"/>
              <w:right w:val="single" w:sz="2" w:space="0" w:color="auto"/>
            </w:tcBorders>
            <w:vAlign w:val="center"/>
          </w:tcPr>
          <w:p w14:paraId="3AAA795D"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1,380,465,629.26</w:t>
            </w:r>
          </w:p>
        </w:tc>
      </w:tr>
      <w:tr w:rsidR="003B59D6" w14:paraId="03DC718B"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25051C62" w14:textId="77777777"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按商品转让的时间分类</w:t>
            </w:r>
          </w:p>
        </w:tc>
        <w:tc>
          <w:tcPr>
            <w:tcW w:w="937" w:type="pct"/>
            <w:tcBorders>
              <w:top w:val="single" w:sz="2" w:space="0" w:color="auto"/>
              <w:left w:val="single" w:sz="2" w:space="0" w:color="auto"/>
              <w:bottom w:val="single" w:sz="2" w:space="0" w:color="auto"/>
              <w:right w:val="single" w:sz="2" w:space="0" w:color="auto"/>
            </w:tcBorders>
            <w:vAlign w:val="center"/>
          </w:tcPr>
          <w:p w14:paraId="501EB2F8"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44C4A5FE"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000" w:type="pct"/>
            <w:tcBorders>
              <w:top w:val="single" w:sz="2" w:space="0" w:color="auto"/>
              <w:left w:val="single" w:sz="2" w:space="0" w:color="auto"/>
              <w:bottom w:val="single" w:sz="2" w:space="0" w:color="auto"/>
              <w:right w:val="single" w:sz="2" w:space="0" w:color="auto"/>
            </w:tcBorders>
            <w:vAlign w:val="center"/>
          </w:tcPr>
          <w:p w14:paraId="6446CB2F"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0AEDA437"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r>
      <w:tr w:rsidR="003B59D6" w14:paraId="0967298D"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731DA929" w14:textId="153C4A2D"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其中：</w:t>
            </w:r>
          </w:p>
        </w:tc>
        <w:tc>
          <w:tcPr>
            <w:tcW w:w="937" w:type="pct"/>
            <w:tcBorders>
              <w:top w:val="single" w:sz="2" w:space="0" w:color="auto"/>
              <w:left w:val="single" w:sz="2" w:space="0" w:color="auto"/>
              <w:bottom w:val="single" w:sz="2" w:space="0" w:color="auto"/>
              <w:right w:val="single" w:sz="2" w:space="0" w:color="auto"/>
            </w:tcBorders>
            <w:shd w:val="clear" w:color="auto" w:fill="D3D3D3"/>
            <w:vAlign w:val="center"/>
          </w:tcPr>
          <w:p w14:paraId="53EF7FFB"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260DA437"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2FBDE9BA"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23BC580B" w14:textId="77777777" w:rsidR="003B59D6" w:rsidRPr="003B59D6" w:rsidRDefault="003B59D6" w:rsidP="003B59D6">
            <w:pPr>
              <w:spacing w:line="360" w:lineRule="auto"/>
              <w:rPr>
                <w:rFonts w:ascii="Times New Roman" w:hAnsi="Times New Roman" w:cs="Times New Roman"/>
              </w:rPr>
            </w:pPr>
          </w:p>
        </w:tc>
      </w:tr>
      <w:tr w:rsidR="003B59D6" w14:paraId="1F9AE947"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5664099C"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在某一时点确认收入</w:t>
            </w:r>
          </w:p>
        </w:tc>
        <w:tc>
          <w:tcPr>
            <w:tcW w:w="937" w:type="pct"/>
            <w:tcBorders>
              <w:top w:val="single" w:sz="2" w:space="0" w:color="auto"/>
              <w:left w:val="single" w:sz="2" w:space="0" w:color="auto"/>
              <w:bottom w:val="single" w:sz="2" w:space="0" w:color="auto"/>
              <w:right w:val="single" w:sz="2" w:space="0" w:color="auto"/>
            </w:tcBorders>
            <w:vAlign w:val="center"/>
          </w:tcPr>
          <w:p w14:paraId="56D17A6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4,656,568,672.22</w:t>
            </w:r>
          </w:p>
        </w:tc>
        <w:tc>
          <w:tcPr>
            <w:tcW w:w="1000" w:type="pct"/>
            <w:tcBorders>
              <w:top w:val="single" w:sz="2" w:space="0" w:color="auto"/>
              <w:left w:val="single" w:sz="2" w:space="0" w:color="auto"/>
              <w:bottom w:val="single" w:sz="2" w:space="0" w:color="auto"/>
              <w:right w:val="single" w:sz="2" w:space="0" w:color="auto"/>
            </w:tcBorders>
            <w:vAlign w:val="center"/>
          </w:tcPr>
          <w:p w14:paraId="3D521F0E"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2,388,231,207.05</w:t>
            </w:r>
          </w:p>
        </w:tc>
        <w:tc>
          <w:tcPr>
            <w:tcW w:w="1000" w:type="pct"/>
            <w:tcBorders>
              <w:top w:val="single" w:sz="2" w:space="0" w:color="auto"/>
              <w:left w:val="single" w:sz="2" w:space="0" w:color="auto"/>
              <w:bottom w:val="single" w:sz="2" w:space="0" w:color="auto"/>
              <w:right w:val="single" w:sz="2" w:space="0" w:color="auto"/>
            </w:tcBorders>
            <w:vAlign w:val="center"/>
          </w:tcPr>
          <w:p w14:paraId="4F6EE18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4,656,568,672.22</w:t>
            </w:r>
          </w:p>
        </w:tc>
        <w:tc>
          <w:tcPr>
            <w:tcW w:w="1000" w:type="pct"/>
            <w:tcBorders>
              <w:top w:val="single" w:sz="2" w:space="0" w:color="auto"/>
              <w:left w:val="single" w:sz="2" w:space="0" w:color="auto"/>
              <w:bottom w:val="single" w:sz="2" w:space="0" w:color="auto"/>
              <w:right w:val="single" w:sz="2" w:space="0" w:color="auto"/>
            </w:tcBorders>
            <w:vAlign w:val="center"/>
          </w:tcPr>
          <w:p w14:paraId="6BCF3862"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2,388,231,207.05</w:t>
            </w:r>
          </w:p>
        </w:tc>
      </w:tr>
      <w:tr w:rsidR="003B59D6" w14:paraId="711E7DD8"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760F0BE5"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在某一时段内确认收入</w:t>
            </w:r>
          </w:p>
        </w:tc>
        <w:tc>
          <w:tcPr>
            <w:tcW w:w="937" w:type="pct"/>
            <w:tcBorders>
              <w:top w:val="single" w:sz="2" w:space="0" w:color="auto"/>
              <w:left w:val="single" w:sz="2" w:space="0" w:color="auto"/>
              <w:bottom w:val="single" w:sz="2" w:space="0" w:color="auto"/>
              <w:right w:val="single" w:sz="2" w:space="0" w:color="auto"/>
            </w:tcBorders>
            <w:vAlign w:val="center"/>
          </w:tcPr>
          <w:p w14:paraId="3A483A24"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2,767,241.28</w:t>
            </w:r>
          </w:p>
        </w:tc>
        <w:tc>
          <w:tcPr>
            <w:tcW w:w="1000" w:type="pct"/>
            <w:tcBorders>
              <w:top w:val="single" w:sz="2" w:space="0" w:color="auto"/>
              <w:left w:val="single" w:sz="2" w:space="0" w:color="auto"/>
              <w:bottom w:val="single" w:sz="2" w:space="0" w:color="auto"/>
              <w:right w:val="single" w:sz="2" w:space="0" w:color="auto"/>
            </w:tcBorders>
            <w:vAlign w:val="center"/>
          </w:tcPr>
          <w:p w14:paraId="7FEB4AEB"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235,243.15</w:t>
            </w:r>
          </w:p>
        </w:tc>
        <w:tc>
          <w:tcPr>
            <w:tcW w:w="1000" w:type="pct"/>
            <w:tcBorders>
              <w:top w:val="single" w:sz="2" w:space="0" w:color="auto"/>
              <w:left w:val="single" w:sz="2" w:space="0" w:color="auto"/>
              <w:bottom w:val="single" w:sz="2" w:space="0" w:color="auto"/>
              <w:right w:val="single" w:sz="2" w:space="0" w:color="auto"/>
            </w:tcBorders>
            <w:vAlign w:val="center"/>
          </w:tcPr>
          <w:p w14:paraId="2CB94FA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2,767,241.28</w:t>
            </w:r>
          </w:p>
        </w:tc>
        <w:tc>
          <w:tcPr>
            <w:tcW w:w="1000" w:type="pct"/>
            <w:tcBorders>
              <w:top w:val="single" w:sz="2" w:space="0" w:color="auto"/>
              <w:left w:val="single" w:sz="2" w:space="0" w:color="auto"/>
              <w:bottom w:val="single" w:sz="2" w:space="0" w:color="auto"/>
              <w:right w:val="single" w:sz="2" w:space="0" w:color="auto"/>
            </w:tcBorders>
            <w:vAlign w:val="center"/>
          </w:tcPr>
          <w:p w14:paraId="5C30F76E"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235,243.15</w:t>
            </w:r>
          </w:p>
        </w:tc>
      </w:tr>
      <w:tr w:rsidR="003B59D6" w14:paraId="6FE25AF9"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1C94B215" w14:textId="77777777"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按销售渠道分类</w:t>
            </w:r>
          </w:p>
        </w:tc>
        <w:tc>
          <w:tcPr>
            <w:tcW w:w="937" w:type="pct"/>
            <w:tcBorders>
              <w:top w:val="single" w:sz="2" w:space="0" w:color="auto"/>
              <w:left w:val="single" w:sz="2" w:space="0" w:color="auto"/>
              <w:bottom w:val="single" w:sz="2" w:space="0" w:color="auto"/>
              <w:right w:val="single" w:sz="2" w:space="0" w:color="auto"/>
            </w:tcBorders>
            <w:vAlign w:val="center"/>
          </w:tcPr>
          <w:p w14:paraId="0F8082CF"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5026F4FF"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000" w:type="pct"/>
            <w:tcBorders>
              <w:top w:val="single" w:sz="2" w:space="0" w:color="auto"/>
              <w:left w:val="single" w:sz="2" w:space="0" w:color="auto"/>
              <w:bottom w:val="single" w:sz="2" w:space="0" w:color="auto"/>
              <w:right w:val="single" w:sz="2" w:space="0" w:color="auto"/>
            </w:tcBorders>
            <w:vAlign w:val="center"/>
          </w:tcPr>
          <w:p w14:paraId="5051917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6446D959"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r>
      <w:tr w:rsidR="003B59D6" w14:paraId="0B2810CE"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4A5DBA32" w14:textId="55583EBE"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其中：</w:t>
            </w:r>
          </w:p>
        </w:tc>
        <w:tc>
          <w:tcPr>
            <w:tcW w:w="937" w:type="pct"/>
            <w:tcBorders>
              <w:top w:val="single" w:sz="2" w:space="0" w:color="auto"/>
              <w:left w:val="single" w:sz="2" w:space="0" w:color="auto"/>
              <w:bottom w:val="single" w:sz="2" w:space="0" w:color="auto"/>
              <w:right w:val="single" w:sz="2" w:space="0" w:color="auto"/>
            </w:tcBorders>
            <w:shd w:val="clear" w:color="auto" w:fill="D3D3D3"/>
            <w:vAlign w:val="center"/>
          </w:tcPr>
          <w:p w14:paraId="08BCEAFB"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528F585A"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22F9746E" w14:textId="77777777" w:rsidR="003B59D6" w:rsidRPr="003B59D6" w:rsidRDefault="003B59D6" w:rsidP="003B59D6">
            <w:pPr>
              <w:spacing w:line="360" w:lineRule="auto"/>
              <w:rPr>
                <w:rFonts w:ascii="Times New Roman" w:hAnsi="Times New Roman" w:cs="Times New Roman"/>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56F4565C" w14:textId="77777777" w:rsidR="003B59D6" w:rsidRPr="003B59D6" w:rsidRDefault="003B59D6" w:rsidP="003B59D6">
            <w:pPr>
              <w:spacing w:line="360" w:lineRule="auto"/>
              <w:rPr>
                <w:rFonts w:ascii="Times New Roman" w:hAnsi="Times New Roman" w:cs="Times New Roman"/>
              </w:rPr>
            </w:pPr>
          </w:p>
        </w:tc>
      </w:tr>
      <w:tr w:rsidR="003B59D6" w14:paraId="3A476CEE"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3A8DE18C"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直销</w:t>
            </w:r>
          </w:p>
        </w:tc>
        <w:tc>
          <w:tcPr>
            <w:tcW w:w="937" w:type="pct"/>
            <w:tcBorders>
              <w:top w:val="single" w:sz="2" w:space="0" w:color="auto"/>
              <w:left w:val="single" w:sz="2" w:space="0" w:color="auto"/>
              <w:bottom w:val="single" w:sz="2" w:space="0" w:color="auto"/>
              <w:right w:val="single" w:sz="2" w:space="0" w:color="auto"/>
            </w:tcBorders>
            <w:vAlign w:val="center"/>
          </w:tcPr>
          <w:p w14:paraId="701294B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1,041,301,690.17</w:t>
            </w:r>
          </w:p>
        </w:tc>
        <w:tc>
          <w:tcPr>
            <w:tcW w:w="1000" w:type="pct"/>
            <w:tcBorders>
              <w:top w:val="single" w:sz="2" w:space="0" w:color="auto"/>
              <w:left w:val="single" w:sz="2" w:space="0" w:color="auto"/>
              <w:bottom w:val="single" w:sz="2" w:space="0" w:color="auto"/>
              <w:right w:val="single" w:sz="2" w:space="0" w:color="auto"/>
            </w:tcBorders>
            <w:vAlign w:val="center"/>
          </w:tcPr>
          <w:p w14:paraId="13DF4C87"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494,489,219.75</w:t>
            </w:r>
          </w:p>
        </w:tc>
        <w:tc>
          <w:tcPr>
            <w:tcW w:w="1000" w:type="pct"/>
            <w:tcBorders>
              <w:top w:val="single" w:sz="2" w:space="0" w:color="auto"/>
              <w:left w:val="single" w:sz="2" w:space="0" w:color="auto"/>
              <w:bottom w:val="single" w:sz="2" w:space="0" w:color="auto"/>
              <w:right w:val="single" w:sz="2" w:space="0" w:color="auto"/>
            </w:tcBorders>
            <w:vAlign w:val="center"/>
          </w:tcPr>
          <w:p w14:paraId="2F103B6D"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1,041,301,690.17</w:t>
            </w:r>
          </w:p>
        </w:tc>
        <w:tc>
          <w:tcPr>
            <w:tcW w:w="1000" w:type="pct"/>
            <w:tcBorders>
              <w:top w:val="single" w:sz="2" w:space="0" w:color="auto"/>
              <w:left w:val="single" w:sz="2" w:space="0" w:color="auto"/>
              <w:bottom w:val="single" w:sz="2" w:space="0" w:color="auto"/>
              <w:right w:val="single" w:sz="2" w:space="0" w:color="auto"/>
            </w:tcBorders>
            <w:vAlign w:val="center"/>
          </w:tcPr>
          <w:p w14:paraId="1CC4893C"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494,489,219.75</w:t>
            </w:r>
          </w:p>
        </w:tc>
      </w:tr>
      <w:tr w:rsidR="003B59D6" w14:paraId="3F8202C2"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2E693C2"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经销</w:t>
            </w:r>
          </w:p>
        </w:tc>
        <w:tc>
          <w:tcPr>
            <w:tcW w:w="937" w:type="pct"/>
            <w:tcBorders>
              <w:top w:val="single" w:sz="2" w:space="0" w:color="auto"/>
              <w:left w:val="single" w:sz="2" w:space="0" w:color="auto"/>
              <w:bottom w:val="single" w:sz="2" w:space="0" w:color="auto"/>
              <w:right w:val="single" w:sz="2" w:space="0" w:color="auto"/>
            </w:tcBorders>
            <w:vAlign w:val="center"/>
          </w:tcPr>
          <w:p w14:paraId="32BF2A68"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3,618,034,223.33</w:t>
            </w:r>
          </w:p>
        </w:tc>
        <w:tc>
          <w:tcPr>
            <w:tcW w:w="1000" w:type="pct"/>
            <w:tcBorders>
              <w:top w:val="single" w:sz="2" w:space="0" w:color="auto"/>
              <w:left w:val="single" w:sz="2" w:space="0" w:color="auto"/>
              <w:bottom w:val="single" w:sz="2" w:space="0" w:color="auto"/>
              <w:right w:val="single" w:sz="2" w:space="0" w:color="auto"/>
            </w:tcBorders>
            <w:vAlign w:val="center"/>
          </w:tcPr>
          <w:p w14:paraId="6ACAA2B5"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1,893,977,230.45</w:t>
            </w:r>
          </w:p>
        </w:tc>
        <w:tc>
          <w:tcPr>
            <w:tcW w:w="1000" w:type="pct"/>
            <w:tcBorders>
              <w:top w:val="single" w:sz="2" w:space="0" w:color="auto"/>
              <w:left w:val="single" w:sz="2" w:space="0" w:color="auto"/>
              <w:bottom w:val="single" w:sz="2" w:space="0" w:color="auto"/>
              <w:right w:val="single" w:sz="2" w:space="0" w:color="auto"/>
            </w:tcBorders>
            <w:vAlign w:val="center"/>
          </w:tcPr>
          <w:p w14:paraId="5899E0E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3,618,034,223.33</w:t>
            </w:r>
          </w:p>
        </w:tc>
        <w:tc>
          <w:tcPr>
            <w:tcW w:w="1000" w:type="pct"/>
            <w:tcBorders>
              <w:top w:val="single" w:sz="2" w:space="0" w:color="auto"/>
              <w:left w:val="single" w:sz="2" w:space="0" w:color="auto"/>
              <w:bottom w:val="single" w:sz="2" w:space="0" w:color="auto"/>
              <w:right w:val="single" w:sz="2" w:space="0" w:color="auto"/>
            </w:tcBorders>
            <w:vAlign w:val="center"/>
          </w:tcPr>
          <w:p w14:paraId="2256599C"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1,893,977,230.45</w:t>
            </w:r>
          </w:p>
        </w:tc>
      </w:tr>
      <w:tr w:rsidR="003B59D6" w14:paraId="0850E9F5"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71EE02B6" w14:textId="77777777" w:rsidR="003B59D6" w:rsidRPr="003B59D6" w:rsidRDefault="003B59D6" w:rsidP="0092645D">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按行业分类</w:t>
            </w:r>
          </w:p>
        </w:tc>
        <w:tc>
          <w:tcPr>
            <w:tcW w:w="937" w:type="pct"/>
            <w:tcBorders>
              <w:top w:val="single" w:sz="2" w:space="0" w:color="auto"/>
              <w:left w:val="single" w:sz="2" w:space="0" w:color="auto"/>
              <w:bottom w:val="single" w:sz="2" w:space="0" w:color="auto"/>
              <w:right w:val="single" w:sz="2" w:space="0" w:color="auto"/>
            </w:tcBorders>
            <w:vAlign w:val="center"/>
          </w:tcPr>
          <w:p w14:paraId="52EAF1C8"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1A4A74A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000" w:type="pct"/>
            <w:tcBorders>
              <w:top w:val="single" w:sz="2" w:space="0" w:color="auto"/>
              <w:left w:val="single" w:sz="2" w:space="0" w:color="auto"/>
              <w:bottom w:val="single" w:sz="2" w:space="0" w:color="auto"/>
              <w:right w:val="single" w:sz="2" w:space="0" w:color="auto"/>
            </w:tcBorders>
            <w:vAlign w:val="center"/>
          </w:tcPr>
          <w:p w14:paraId="3A4F5532"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10843735"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r>
      <w:tr w:rsidR="003B59D6" w14:paraId="6A89084E"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21E01E49" w14:textId="77777777" w:rsidR="003B59D6" w:rsidRPr="003B59D6" w:rsidRDefault="003B59D6" w:rsidP="0092645D">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其中：</w:t>
            </w:r>
          </w:p>
        </w:tc>
        <w:tc>
          <w:tcPr>
            <w:tcW w:w="937" w:type="pct"/>
            <w:tcBorders>
              <w:top w:val="single" w:sz="2" w:space="0" w:color="auto"/>
              <w:left w:val="single" w:sz="2" w:space="0" w:color="auto"/>
              <w:bottom w:val="single" w:sz="2" w:space="0" w:color="auto"/>
              <w:right w:val="single" w:sz="2" w:space="0" w:color="auto"/>
            </w:tcBorders>
            <w:shd w:val="clear" w:color="auto" w:fill="D3D3D3"/>
            <w:vAlign w:val="center"/>
          </w:tcPr>
          <w:p w14:paraId="2DF69BC1" w14:textId="77777777" w:rsidR="003B59D6" w:rsidRPr="003B59D6" w:rsidRDefault="003B59D6" w:rsidP="003B59D6">
            <w:pPr>
              <w:spacing w:line="360" w:lineRule="auto"/>
              <w:jc w:val="right"/>
              <w:rPr>
                <w:rFonts w:ascii="Times New Roman" w:eastAsia="宋体" w:hAnsi="Times New Roman" w:cs="Times New Roman"/>
                <w:sz w:val="18"/>
                <w:szCs w:val="18"/>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68C20EA8" w14:textId="77777777" w:rsidR="003B59D6" w:rsidRPr="003B59D6" w:rsidRDefault="003B59D6" w:rsidP="003B59D6">
            <w:pPr>
              <w:spacing w:line="360" w:lineRule="auto"/>
              <w:jc w:val="right"/>
              <w:rPr>
                <w:rFonts w:ascii="Times New Roman" w:eastAsia="宋体" w:hAnsi="Times New Roman" w:cs="Times New Roman"/>
                <w:sz w:val="18"/>
                <w:szCs w:val="18"/>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3EFD00A5" w14:textId="77777777" w:rsidR="003B59D6" w:rsidRPr="003B59D6" w:rsidRDefault="003B59D6" w:rsidP="003B59D6">
            <w:pPr>
              <w:spacing w:line="360" w:lineRule="auto"/>
              <w:jc w:val="right"/>
              <w:rPr>
                <w:rFonts w:ascii="Times New Roman" w:eastAsia="宋体" w:hAnsi="Times New Roman" w:cs="Times New Roman"/>
                <w:sz w:val="18"/>
                <w:szCs w:val="18"/>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0B0E974E" w14:textId="77777777" w:rsidR="003B59D6" w:rsidRPr="003B59D6" w:rsidRDefault="003B59D6" w:rsidP="003B59D6">
            <w:pPr>
              <w:spacing w:line="360" w:lineRule="auto"/>
              <w:jc w:val="right"/>
              <w:rPr>
                <w:rFonts w:ascii="Times New Roman" w:eastAsia="宋体" w:hAnsi="Times New Roman" w:cs="Times New Roman"/>
                <w:sz w:val="18"/>
                <w:szCs w:val="18"/>
              </w:rPr>
            </w:pPr>
          </w:p>
        </w:tc>
      </w:tr>
      <w:tr w:rsidR="003B59D6" w14:paraId="6237E027"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3086ADC4"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医疗器械行业</w:t>
            </w:r>
          </w:p>
        </w:tc>
        <w:tc>
          <w:tcPr>
            <w:tcW w:w="937" w:type="pct"/>
            <w:tcBorders>
              <w:top w:val="single" w:sz="2" w:space="0" w:color="auto"/>
              <w:left w:val="single" w:sz="2" w:space="0" w:color="auto"/>
              <w:bottom w:val="single" w:sz="2" w:space="0" w:color="auto"/>
              <w:right w:val="single" w:sz="2" w:space="0" w:color="auto"/>
            </w:tcBorders>
            <w:vAlign w:val="center"/>
          </w:tcPr>
          <w:p w14:paraId="39C5180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4,650,846,735.83</w:t>
            </w:r>
          </w:p>
        </w:tc>
        <w:tc>
          <w:tcPr>
            <w:tcW w:w="1000" w:type="pct"/>
            <w:tcBorders>
              <w:top w:val="single" w:sz="2" w:space="0" w:color="auto"/>
              <w:left w:val="single" w:sz="2" w:space="0" w:color="auto"/>
              <w:bottom w:val="single" w:sz="2" w:space="0" w:color="auto"/>
              <w:right w:val="single" w:sz="2" w:space="0" w:color="auto"/>
            </w:tcBorders>
            <w:vAlign w:val="center"/>
          </w:tcPr>
          <w:p w14:paraId="5937F752"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2,383,451,644.59</w:t>
            </w:r>
          </w:p>
        </w:tc>
        <w:tc>
          <w:tcPr>
            <w:tcW w:w="1000" w:type="pct"/>
            <w:tcBorders>
              <w:top w:val="single" w:sz="2" w:space="0" w:color="auto"/>
              <w:left w:val="single" w:sz="2" w:space="0" w:color="auto"/>
              <w:bottom w:val="single" w:sz="2" w:space="0" w:color="auto"/>
              <w:right w:val="single" w:sz="2" w:space="0" w:color="auto"/>
            </w:tcBorders>
            <w:vAlign w:val="center"/>
          </w:tcPr>
          <w:p w14:paraId="08EDC7D4"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4,650,846,735.83</w:t>
            </w:r>
          </w:p>
        </w:tc>
        <w:tc>
          <w:tcPr>
            <w:tcW w:w="1000" w:type="pct"/>
            <w:tcBorders>
              <w:top w:val="single" w:sz="2" w:space="0" w:color="auto"/>
              <w:left w:val="single" w:sz="2" w:space="0" w:color="auto"/>
              <w:bottom w:val="single" w:sz="2" w:space="0" w:color="auto"/>
              <w:right w:val="single" w:sz="2" w:space="0" w:color="auto"/>
            </w:tcBorders>
            <w:vAlign w:val="center"/>
          </w:tcPr>
          <w:p w14:paraId="2517D6E6"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2,383,451,644.59</w:t>
            </w:r>
          </w:p>
        </w:tc>
      </w:tr>
      <w:tr w:rsidR="003B59D6" w14:paraId="38684708"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6310327C"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其他行业</w:t>
            </w:r>
          </w:p>
        </w:tc>
        <w:tc>
          <w:tcPr>
            <w:tcW w:w="937" w:type="pct"/>
            <w:tcBorders>
              <w:top w:val="single" w:sz="2" w:space="0" w:color="auto"/>
              <w:left w:val="single" w:sz="2" w:space="0" w:color="auto"/>
              <w:bottom w:val="single" w:sz="2" w:space="0" w:color="auto"/>
              <w:right w:val="single" w:sz="2" w:space="0" w:color="auto"/>
            </w:tcBorders>
            <w:vAlign w:val="center"/>
          </w:tcPr>
          <w:p w14:paraId="7F6DA19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8,489,177.67</w:t>
            </w:r>
          </w:p>
        </w:tc>
        <w:tc>
          <w:tcPr>
            <w:tcW w:w="1000" w:type="pct"/>
            <w:tcBorders>
              <w:top w:val="single" w:sz="2" w:space="0" w:color="auto"/>
              <w:left w:val="single" w:sz="2" w:space="0" w:color="auto"/>
              <w:bottom w:val="single" w:sz="2" w:space="0" w:color="auto"/>
              <w:right w:val="single" w:sz="2" w:space="0" w:color="auto"/>
            </w:tcBorders>
            <w:vAlign w:val="center"/>
          </w:tcPr>
          <w:p w14:paraId="2BDC7F2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5,014,805.61</w:t>
            </w:r>
          </w:p>
        </w:tc>
        <w:tc>
          <w:tcPr>
            <w:tcW w:w="1000" w:type="pct"/>
            <w:tcBorders>
              <w:top w:val="single" w:sz="2" w:space="0" w:color="auto"/>
              <w:left w:val="single" w:sz="2" w:space="0" w:color="auto"/>
              <w:bottom w:val="single" w:sz="2" w:space="0" w:color="auto"/>
              <w:right w:val="single" w:sz="2" w:space="0" w:color="auto"/>
            </w:tcBorders>
            <w:vAlign w:val="center"/>
          </w:tcPr>
          <w:p w14:paraId="4E57271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8,489,177.67</w:t>
            </w:r>
          </w:p>
        </w:tc>
        <w:tc>
          <w:tcPr>
            <w:tcW w:w="1000" w:type="pct"/>
            <w:tcBorders>
              <w:top w:val="single" w:sz="2" w:space="0" w:color="auto"/>
              <w:left w:val="single" w:sz="2" w:space="0" w:color="auto"/>
              <w:bottom w:val="single" w:sz="2" w:space="0" w:color="auto"/>
              <w:right w:val="single" w:sz="2" w:space="0" w:color="auto"/>
            </w:tcBorders>
            <w:vAlign w:val="center"/>
          </w:tcPr>
          <w:p w14:paraId="0082A5ED"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5,014,805.61</w:t>
            </w:r>
          </w:p>
        </w:tc>
      </w:tr>
      <w:tr w:rsidR="003B59D6" w14:paraId="45E8F9F4"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1621C483" w14:textId="77777777" w:rsidR="003B59D6" w:rsidRPr="003B59D6" w:rsidRDefault="003B59D6" w:rsidP="0092645D">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按产品类型分类</w:t>
            </w:r>
          </w:p>
        </w:tc>
        <w:tc>
          <w:tcPr>
            <w:tcW w:w="937" w:type="pct"/>
            <w:tcBorders>
              <w:top w:val="single" w:sz="2" w:space="0" w:color="auto"/>
              <w:left w:val="single" w:sz="2" w:space="0" w:color="auto"/>
              <w:bottom w:val="single" w:sz="2" w:space="0" w:color="auto"/>
              <w:right w:val="single" w:sz="2" w:space="0" w:color="auto"/>
            </w:tcBorders>
            <w:vAlign w:val="center"/>
          </w:tcPr>
          <w:p w14:paraId="287CA4C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50C94310"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000" w:type="pct"/>
            <w:tcBorders>
              <w:top w:val="single" w:sz="2" w:space="0" w:color="auto"/>
              <w:left w:val="single" w:sz="2" w:space="0" w:color="auto"/>
              <w:bottom w:val="single" w:sz="2" w:space="0" w:color="auto"/>
              <w:right w:val="single" w:sz="2" w:space="0" w:color="auto"/>
            </w:tcBorders>
            <w:vAlign w:val="center"/>
          </w:tcPr>
          <w:p w14:paraId="7948BC1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76642DA5"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r>
      <w:tr w:rsidR="003B59D6" w14:paraId="7C4486B7"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0B5DA58F" w14:textId="77777777" w:rsidR="003B59D6" w:rsidRPr="003B59D6" w:rsidRDefault="003B59D6" w:rsidP="0092645D">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其中：</w:t>
            </w:r>
          </w:p>
        </w:tc>
        <w:tc>
          <w:tcPr>
            <w:tcW w:w="937" w:type="pct"/>
            <w:tcBorders>
              <w:top w:val="single" w:sz="2" w:space="0" w:color="auto"/>
              <w:left w:val="single" w:sz="2" w:space="0" w:color="auto"/>
              <w:bottom w:val="single" w:sz="2" w:space="0" w:color="auto"/>
              <w:right w:val="single" w:sz="2" w:space="0" w:color="auto"/>
            </w:tcBorders>
            <w:shd w:val="clear" w:color="auto" w:fill="D3D3D3"/>
            <w:vAlign w:val="center"/>
          </w:tcPr>
          <w:p w14:paraId="22A50E15" w14:textId="77777777" w:rsidR="003B59D6" w:rsidRPr="003B59D6" w:rsidRDefault="003B59D6" w:rsidP="003B59D6">
            <w:pPr>
              <w:spacing w:line="360" w:lineRule="auto"/>
              <w:jc w:val="right"/>
              <w:rPr>
                <w:rFonts w:ascii="Times New Roman" w:eastAsia="宋体" w:hAnsi="Times New Roman" w:cs="Times New Roman"/>
                <w:sz w:val="18"/>
                <w:szCs w:val="18"/>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3119F8C6" w14:textId="77777777" w:rsidR="003B59D6" w:rsidRPr="003B59D6" w:rsidRDefault="003B59D6" w:rsidP="003B59D6">
            <w:pPr>
              <w:spacing w:line="360" w:lineRule="auto"/>
              <w:jc w:val="right"/>
              <w:rPr>
                <w:rFonts w:ascii="Times New Roman" w:eastAsia="宋体" w:hAnsi="Times New Roman" w:cs="Times New Roman"/>
                <w:sz w:val="18"/>
                <w:szCs w:val="18"/>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38D7DBEF" w14:textId="77777777" w:rsidR="003B59D6" w:rsidRPr="003B59D6" w:rsidRDefault="003B59D6" w:rsidP="003B59D6">
            <w:pPr>
              <w:spacing w:line="360" w:lineRule="auto"/>
              <w:jc w:val="right"/>
              <w:rPr>
                <w:rFonts w:ascii="Times New Roman" w:eastAsia="宋体" w:hAnsi="Times New Roman" w:cs="Times New Roman"/>
                <w:sz w:val="18"/>
                <w:szCs w:val="18"/>
              </w:rPr>
            </w:pPr>
          </w:p>
        </w:tc>
        <w:tc>
          <w:tcPr>
            <w:tcW w:w="1000" w:type="pct"/>
            <w:tcBorders>
              <w:top w:val="single" w:sz="2" w:space="0" w:color="auto"/>
              <w:left w:val="single" w:sz="2" w:space="0" w:color="auto"/>
              <w:bottom w:val="single" w:sz="2" w:space="0" w:color="auto"/>
              <w:right w:val="single" w:sz="2" w:space="0" w:color="auto"/>
            </w:tcBorders>
            <w:shd w:val="clear" w:color="auto" w:fill="D3D3D3"/>
            <w:vAlign w:val="center"/>
          </w:tcPr>
          <w:p w14:paraId="4C1D25E2" w14:textId="77777777" w:rsidR="003B59D6" w:rsidRPr="003B59D6" w:rsidRDefault="003B59D6" w:rsidP="003B59D6">
            <w:pPr>
              <w:spacing w:line="360" w:lineRule="auto"/>
              <w:jc w:val="right"/>
              <w:rPr>
                <w:rFonts w:ascii="Times New Roman" w:eastAsia="宋体" w:hAnsi="Times New Roman" w:cs="Times New Roman"/>
                <w:sz w:val="18"/>
                <w:szCs w:val="18"/>
              </w:rPr>
            </w:pPr>
          </w:p>
        </w:tc>
      </w:tr>
      <w:tr w:rsidR="003B59D6" w14:paraId="1A578BCF"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B922237"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血糖监测系统</w:t>
            </w:r>
          </w:p>
        </w:tc>
        <w:tc>
          <w:tcPr>
            <w:tcW w:w="937" w:type="pct"/>
            <w:tcBorders>
              <w:top w:val="single" w:sz="2" w:space="0" w:color="auto"/>
              <w:left w:val="single" w:sz="2" w:space="0" w:color="auto"/>
              <w:bottom w:val="single" w:sz="2" w:space="0" w:color="auto"/>
              <w:right w:val="single" w:sz="2" w:space="0" w:color="auto"/>
            </w:tcBorders>
            <w:vAlign w:val="center"/>
          </w:tcPr>
          <w:p w14:paraId="40377664"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3,469,631,232.56</w:t>
            </w:r>
          </w:p>
        </w:tc>
        <w:tc>
          <w:tcPr>
            <w:tcW w:w="1000" w:type="pct"/>
            <w:tcBorders>
              <w:top w:val="single" w:sz="2" w:space="0" w:color="auto"/>
              <w:left w:val="single" w:sz="2" w:space="0" w:color="auto"/>
              <w:bottom w:val="single" w:sz="2" w:space="0" w:color="auto"/>
              <w:right w:val="single" w:sz="2" w:space="0" w:color="auto"/>
            </w:tcBorders>
            <w:vAlign w:val="center"/>
          </w:tcPr>
          <w:p w14:paraId="2AC5AF1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1,672,453,510.92</w:t>
            </w:r>
          </w:p>
        </w:tc>
        <w:tc>
          <w:tcPr>
            <w:tcW w:w="1000" w:type="pct"/>
            <w:tcBorders>
              <w:top w:val="single" w:sz="2" w:space="0" w:color="auto"/>
              <w:left w:val="single" w:sz="2" w:space="0" w:color="auto"/>
              <w:bottom w:val="single" w:sz="2" w:space="0" w:color="auto"/>
              <w:right w:val="single" w:sz="2" w:space="0" w:color="auto"/>
            </w:tcBorders>
            <w:vAlign w:val="center"/>
          </w:tcPr>
          <w:p w14:paraId="3A09F91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3,469,631,232.56</w:t>
            </w:r>
          </w:p>
        </w:tc>
        <w:tc>
          <w:tcPr>
            <w:tcW w:w="1000" w:type="pct"/>
            <w:tcBorders>
              <w:top w:val="single" w:sz="2" w:space="0" w:color="auto"/>
              <w:left w:val="single" w:sz="2" w:space="0" w:color="auto"/>
              <w:bottom w:val="single" w:sz="2" w:space="0" w:color="auto"/>
              <w:right w:val="single" w:sz="2" w:space="0" w:color="auto"/>
            </w:tcBorders>
            <w:vAlign w:val="center"/>
          </w:tcPr>
          <w:p w14:paraId="2BA4D639"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1,672,453,510.92</w:t>
            </w:r>
          </w:p>
        </w:tc>
      </w:tr>
      <w:tr w:rsidR="003B59D6" w14:paraId="7DDEAC11"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3A57FE03" w14:textId="55D40E9F" w:rsidR="003B59D6" w:rsidRPr="003B59D6" w:rsidRDefault="0092645D" w:rsidP="003B59D6">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i</w:t>
            </w:r>
            <w:r w:rsidR="003B59D6" w:rsidRPr="003B59D6">
              <w:rPr>
                <w:rFonts w:ascii="Times New Roman" w:eastAsia="宋体" w:hAnsi="Times New Roman" w:cs="Times New Roman"/>
                <w:sz w:val="18"/>
                <w:szCs w:val="18"/>
              </w:rPr>
              <w:t>POCT</w:t>
            </w:r>
            <w:r w:rsidR="003B59D6" w:rsidRPr="003B59D6">
              <w:rPr>
                <w:rFonts w:ascii="Times New Roman" w:eastAsia="宋体" w:hAnsi="Times New Roman" w:cs="Times New Roman"/>
                <w:sz w:val="18"/>
                <w:szCs w:val="18"/>
              </w:rPr>
              <w:t>监测系统</w:t>
            </w:r>
          </w:p>
        </w:tc>
        <w:tc>
          <w:tcPr>
            <w:tcW w:w="937" w:type="pct"/>
            <w:tcBorders>
              <w:top w:val="single" w:sz="2" w:space="0" w:color="auto"/>
              <w:left w:val="single" w:sz="2" w:space="0" w:color="auto"/>
              <w:bottom w:val="single" w:sz="2" w:space="0" w:color="auto"/>
              <w:right w:val="single" w:sz="2" w:space="0" w:color="auto"/>
            </w:tcBorders>
            <w:vAlign w:val="center"/>
          </w:tcPr>
          <w:p w14:paraId="5CB895C6"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167,999,567.90</w:t>
            </w:r>
          </w:p>
        </w:tc>
        <w:tc>
          <w:tcPr>
            <w:tcW w:w="1000" w:type="pct"/>
            <w:tcBorders>
              <w:top w:val="single" w:sz="2" w:space="0" w:color="auto"/>
              <w:left w:val="single" w:sz="2" w:space="0" w:color="auto"/>
              <w:bottom w:val="single" w:sz="2" w:space="0" w:color="auto"/>
              <w:right w:val="single" w:sz="2" w:space="0" w:color="auto"/>
            </w:tcBorders>
            <w:vAlign w:val="center"/>
          </w:tcPr>
          <w:p w14:paraId="3056C138"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71,701,134.40</w:t>
            </w:r>
          </w:p>
        </w:tc>
        <w:tc>
          <w:tcPr>
            <w:tcW w:w="1000" w:type="pct"/>
            <w:tcBorders>
              <w:top w:val="single" w:sz="2" w:space="0" w:color="auto"/>
              <w:left w:val="single" w:sz="2" w:space="0" w:color="auto"/>
              <w:bottom w:val="single" w:sz="2" w:space="0" w:color="auto"/>
              <w:right w:val="single" w:sz="2" w:space="0" w:color="auto"/>
            </w:tcBorders>
            <w:vAlign w:val="center"/>
          </w:tcPr>
          <w:p w14:paraId="73F5475B"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167,999,567.90</w:t>
            </w:r>
          </w:p>
        </w:tc>
        <w:tc>
          <w:tcPr>
            <w:tcW w:w="1000" w:type="pct"/>
            <w:tcBorders>
              <w:top w:val="single" w:sz="2" w:space="0" w:color="auto"/>
              <w:left w:val="single" w:sz="2" w:space="0" w:color="auto"/>
              <w:bottom w:val="single" w:sz="2" w:space="0" w:color="auto"/>
              <w:right w:val="single" w:sz="2" w:space="0" w:color="auto"/>
            </w:tcBorders>
            <w:vAlign w:val="center"/>
          </w:tcPr>
          <w:p w14:paraId="23BF5802"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71,701,134.40</w:t>
            </w:r>
          </w:p>
        </w:tc>
      </w:tr>
      <w:tr w:rsidR="003B59D6" w14:paraId="4A4C0F24"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5EDB7CB1"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血脂检测系统</w:t>
            </w:r>
          </w:p>
        </w:tc>
        <w:tc>
          <w:tcPr>
            <w:tcW w:w="937" w:type="pct"/>
            <w:tcBorders>
              <w:top w:val="single" w:sz="2" w:space="0" w:color="auto"/>
              <w:left w:val="single" w:sz="2" w:space="0" w:color="auto"/>
              <w:bottom w:val="single" w:sz="2" w:space="0" w:color="auto"/>
              <w:right w:val="single" w:sz="2" w:space="0" w:color="auto"/>
            </w:tcBorders>
            <w:vAlign w:val="center"/>
          </w:tcPr>
          <w:p w14:paraId="254B829F"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197,240,379.01</w:t>
            </w:r>
          </w:p>
        </w:tc>
        <w:tc>
          <w:tcPr>
            <w:tcW w:w="1000" w:type="pct"/>
            <w:tcBorders>
              <w:top w:val="single" w:sz="2" w:space="0" w:color="auto"/>
              <w:left w:val="single" w:sz="2" w:space="0" w:color="auto"/>
              <w:bottom w:val="single" w:sz="2" w:space="0" w:color="auto"/>
              <w:right w:val="single" w:sz="2" w:space="0" w:color="auto"/>
            </w:tcBorders>
            <w:vAlign w:val="center"/>
          </w:tcPr>
          <w:p w14:paraId="5CDECBF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80,671,008.36</w:t>
            </w:r>
          </w:p>
        </w:tc>
        <w:tc>
          <w:tcPr>
            <w:tcW w:w="1000" w:type="pct"/>
            <w:tcBorders>
              <w:top w:val="single" w:sz="2" w:space="0" w:color="auto"/>
              <w:left w:val="single" w:sz="2" w:space="0" w:color="auto"/>
              <w:bottom w:val="single" w:sz="2" w:space="0" w:color="auto"/>
              <w:right w:val="single" w:sz="2" w:space="0" w:color="auto"/>
            </w:tcBorders>
            <w:vAlign w:val="center"/>
          </w:tcPr>
          <w:p w14:paraId="33130619"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197,240,379.01</w:t>
            </w:r>
          </w:p>
        </w:tc>
        <w:tc>
          <w:tcPr>
            <w:tcW w:w="1000" w:type="pct"/>
            <w:tcBorders>
              <w:top w:val="single" w:sz="2" w:space="0" w:color="auto"/>
              <w:left w:val="single" w:sz="2" w:space="0" w:color="auto"/>
              <w:bottom w:val="single" w:sz="2" w:space="0" w:color="auto"/>
              <w:right w:val="single" w:sz="2" w:space="0" w:color="auto"/>
            </w:tcBorders>
            <w:vAlign w:val="center"/>
          </w:tcPr>
          <w:p w14:paraId="7BDDCD49"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80,671,008.36</w:t>
            </w:r>
          </w:p>
        </w:tc>
      </w:tr>
      <w:tr w:rsidR="003B59D6" w14:paraId="55592453"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764720F3"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糖化血红蛋白检测系统</w:t>
            </w:r>
          </w:p>
        </w:tc>
        <w:tc>
          <w:tcPr>
            <w:tcW w:w="937" w:type="pct"/>
            <w:tcBorders>
              <w:top w:val="single" w:sz="2" w:space="0" w:color="auto"/>
              <w:left w:val="single" w:sz="2" w:space="0" w:color="auto"/>
              <w:bottom w:val="single" w:sz="2" w:space="0" w:color="auto"/>
              <w:right w:val="single" w:sz="2" w:space="0" w:color="auto"/>
            </w:tcBorders>
            <w:vAlign w:val="center"/>
          </w:tcPr>
          <w:p w14:paraId="21C7FF5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211,117,726.88</w:t>
            </w:r>
          </w:p>
        </w:tc>
        <w:tc>
          <w:tcPr>
            <w:tcW w:w="1000" w:type="pct"/>
            <w:tcBorders>
              <w:top w:val="single" w:sz="2" w:space="0" w:color="auto"/>
              <w:left w:val="single" w:sz="2" w:space="0" w:color="auto"/>
              <w:bottom w:val="single" w:sz="2" w:space="0" w:color="auto"/>
              <w:right w:val="single" w:sz="2" w:space="0" w:color="auto"/>
            </w:tcBorders>
            <w:vAlign w:val="center"/>
          </w:tcPr>
          <w:p w14:paraId="109A95C7"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166,308,208.06</w:t>
            </w:r>
          </w:p>
        </w:tc>
        <w:tc>
          <w:tcPr>
            <w:tcW w:w="1000" w:type="pct"/>
            <w:tcBorders>
              <w:top w:val="single" w:sz="2" w:space="0" w:color="auto"/>
              <w:left w:val="single" w:sz="2" w:space="0" w:color="auto"/>
              <w:bottom w:val="single" w:sz="2" w:space="0" w:color="auto"/>
              <w:right w:val="single" w:sz="2" w:space="0" w:color="auto"/>
            </w:tcBorders>
            <w:vAlign w:val="center"/>
          </w:tcPr>
          <w:p w14:paraId="647FAD2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211,117,726.88</w:t>
            </w:r>
          </w:p>
        </w:tc>
        <w:tc>
          <w:tcPr>
            <w:tcW w:w="1000" w:type="pct"/>
            <w:tcBorders>
              <w:top w:val="single" w:sz="2" w:space="0" w:color="auto"/>
              <w:left w:val="single" w:sz="2" w:space="0" w:color="auto"/>
              <w:bottom w:val="single" w:sz="2" w:space="0" w:color="auto"/>
              <w:right w:val="single" w:sz="2" w:space="0" w:color="auto"/>
            </w:tcBorders>
            <w:vAlign w:val="center"/>
          </w:tcPr>
          <w:p w14:paraId="1121B92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166,308,208.06</w:t>
            </w:r>
          </w:p>
        </w:tc>
      </w:tr>
      <w:tr w:rsidR="003B59D6" w14:paraId="645938F8"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7AA593B2"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血压计</w:t>
            </w:r>
          </w:p>
        </w:tc>
        <w:tc>
          <w:tcPr>
            <w:tcW w:w="937" w:type="pct"/>
            <w:tcBorders>
              <w:top w:val="single" w:sz="2" w:space="0" w:color="auto"/>
              <w:left w:val="single" w:sz="2" w:space="0" w:color="auto"/>
              <w:bottom w:val="single" w:sz="2" w:space="0" w:color="auto"/>
              <w:right w:val="single" w:sz="2" w:space="0" w:color="auto"/>
            </w:tcBorders>
            <w:vAlign w:val="center"/>
          </w:tcPr>
          <w:p w14:paraId="3D1FFAB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168,163,048.73</w:t>
            </w:r>
          </w:p>
        </w:tc>
        <w:tc>
          <w:tcPr>
            <w:tcW w:w="1000" w:type="pct"/>
            <w:tcBorders>
              <w:top w:val="single" w:sz="2" w:space="0" w:color="auto"/>
              <w:left w:val="single" w:sz="2" w:space="0" w:color="auto"/>
              <w:bottom w:val="single" w:sz="2" w:space="0" w:color="auto"/>
              <w:right w:val="single" w:sz="2" w:space="0" w:color="auto"/>
            </w:tcBorders>
            <w:vAlign w:val="center"/>
          </w:tcPr>
          <w:p w14:paraId="0EE128D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111,796,298.91</w:t>
            </w:r>
          </w:p>
        </w:tc>
        <w:tc>
          <w:tcPr>
            <w:tcW w:w="1000" w:type="pct"/>
            <w:tcBorders>
              <w:top w:val="single" w:sz="2" w:space="0" w:color="auto"/>
              <w:left w:val="single" w:sz="2" w:space="0" w:color="auto"/>
              <w:bottom w:val="single" w:sz="2" w:space="0" w:color="auto"/>
              <w:right w:val="single" w:sz="2" w:space="0" w:color="auto"/>
            </w:tcBorders>
            <w:vAlign w:val="center"/>
          </w:tcPr>
          <w:p w14:paraId="19E2B1C6"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168,163,048.73</w:t>
            </w:r>
          </w:p>
        </w:tc>
        <w:tc>
          <w:tcPr>
            <w:tcW w:w="1000" w:type="pct"/>
            <w:tcBorders>
              <w:top w:val="single" w:sz="2" w:space="0" w:color="auto"/>
              <w:left w:val="single" w:sz="2" w:space="0" w:color="auto"/>
              <w:bottom w:val="single" w:sz="2" w:space="0" w:color="auto"/>
              <w:right w:val="single" w:sz="2" w:space="0" w:color="auto"/>
            </w:tcBorders>
            <w:vAlign w:val="center"/>
          </w:tcPr>
          <w:p w14:paraId="28CAB49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111,796,298.91</w:t>
            </w:r>
          </w:p>
        </w:tc>
      </w:tr>
      <w:tr w:rsidR="003B59D6" w14:paraId="59860DBF"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BD1C89D"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经营品</w:t>
            </w:r>
          </w:p>
        </w:tc>
        <w:tc>
          <w:tcPr>
            <w:tcW w:w="937" w:type="pct"/>
            <w:tcBorders>
              <w:top w:val="single" w:sz="2" w:space="0" w:color="auto"/>
              <w:left w:val="single" w:sz="2" w:space="0" w:color="auto"/>
              <w:bottom w:val="single" w:sz="2" w:space="0" w:color="auto"/>
              <w:right w:val="single" w:sz="2" w:space="0" w:color="auto"/>
            </w:tcBorders>
            <w:vAlign w:val="center"/>
          </w:tcPr>
          <w:p w14:paraId="5A09FFBB"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104,157,141.12</w:t>
            </w:r>
          </w:p>
        </w:tc>
        <w:tc>
          <w:tcPr>
            <w:tcW w:w="1000" w:type="pct"/>
            <w:tcBorders>
              <w:top w:val="single" w:sz="2" w:space="0" w:color="auto"/>
              <w:left w:val="single" w:sz="2" w:space="0" w:color="auto"/>
              <w:bottom w:val="single" w:sz="2" w:space="0" w:color="auto"/>
              <w:right w:val="single" w:sz="2" w:space="0" w:color="auto"/>
            </w:tcBorders>
            <w:vAlign w:val="center"/>
          </w:tcPr>
          <w:p w14:paraId="4CA49AD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59,300,994.57</w:t>
            </w:r>
          </w:p>
        </w:tc>
        <w:tc>
          <w:tcPr>
            <w:tcW w:w="1000" w:type="pct"/>
            <w:tcBorders>
              <w:top w:val="single" w:sz="2" w:space="0" w:color="auto"/>
              <w:left w:val="single" w:sz="2" w:space="0" w:color="auto"/>
              <w:bottom w:val="single" w:sz="2" w:space="0" w:color="auto"/>
              <w:right w:val="single" w:sz="2" w:space="0" w:color="auto"/>
            </w:tcBorders>
            <w:vAlign w:val="center"/>
          </w:tcPr>
          <w:p w14:paraId="12805348"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104,157,141.12</w:t>
            </w:r>
          </w:p>
        </w:tc>
        <w:tc>
          <w:tcPr>
            <w:tcW w:w="1000" w:type="pct"/>
            <w:tcBorders>
              <w:top w:val="single" w:sz="2" w:space="0" w:color="auto"/>
              <w:left w:val="single" w:sz="2" w:space="0" w:color="auto"/>
              <w:bottom w:val="single" w:sz="2" w:space="0" w:color="auto"/>
              <w:right w:val="single" w:sz="2" w:space="0" w:color="auto"/>
            </w:tcBorders>
            <w:vAlign w:val="center"/>
          </w:tcPr>
          <w:p w14:paraId="60079F3C"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59,300,994.57</w:t>
            </w:r>
          </w:p>
        </w:tc>
      </w:tr>
      <w:tr w:rsidR="003B59D6" w14:paraId="153AD527"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5B70A1F1"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糖尿病营养、护理等辅助产品</w:t>
            </w:r>
          </w:p>
        </w:tc>
        <w:tc>
          <w:tcPr>
            <w:tcW w:w="937" w:type="pct"/>
            <w:tcBorders>
              <w:top w:val="single" w:sz="2" w:space="0" w:color="auto"/>
              <w:left w:val="single" w:sz="2" w:space="0" w:color="auto"/>
              <w:bottom w:val="single" w:sz="2" w:space="0" w:color="auto"/>
              <w:right w:val="single" w:sz="2" w:space="0" w:color="auto"/>
            </w:tcBorders>
            <w:vAlign w:val="center"/>
          </w:tcPr>
          <w:p w14:paraId="0B01742B"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297,099,559.70</w:t>
            </w:r>
          </w:p>
        </w:tc>
        <w:tc>
          <w:tcPr>
            <w:tcW w:w="1000" w:type="pct"/>
            <w:tcBorders>
              <w:top w:val="single" w:sz="2" w:space="0" w:color="auto"/>
              <w:left w:val="single" w:sz="2" w:space="0" w:color="auto"/>
              <w:bottom w:val="single" w:sz="2" w:space="0" w:color="auto"/>
              <w:right w:val="single" w:sz="2" w:space="0" w:color="auto"/>
            </w:tcBorders>
            <w:vAlign w:val="center"/>
          </w:tcPr>
          <w:p w14:paraId="51D25263"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211,009,500.39</w:t>
            </w:r>
          </w:p>
        </w:tc>
        <w:tc>
          <w:tcPr>
            <w:tcW w:w="1000" w:type="pct"/>
            <w:tcBorders>
              <w:top w:val="single" w:sz="2" w:space="0" w:color="auto"/>
              <w:left w:val="single" w:sz="2" w:space="0" w:color="auto"/>
              <w:bottom w:val="single" w:sz="2" w:space="0" w:color="auto"/>
              <w:right w:val="single" w:sz="2" w:space="0" w:color="auto"/>
            </w:tcBorders>
            <w:vAlign w:val="center"/>
          </w:tcPr>
          <w:p w14:paraId="243E658D"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297,099,559.70</w:t>
            </w:r>
          </w:p>
        </w:tc>
        <w:tc>
          <w:tcPr>
            <w:tcW w:w="1000" w:type="pct"/>
            <w:tcBorders>
              <w:top w:val="single" w:sz="2" w:space="0" w:color="auto"/>
              <w:left w:val="single" w:sz="2" w:space="0" w:color="auto"/>
              <w:bottom w:val="single" w:sz="2" w:space="0" w:color="auto"/>
              <w:right w:val="single" w:sz="2" w:space="0" w:color="auto"/>
            </w:tcBorders>
            <w:vAlign w:val="center"/>
          </w:tcPr>
          <w:p w14:paraId="08CA8ED8"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211,009,500.39</w:t>
            </w:r>
          </w:p>
        </w:tc>
      </w:tr>
      <w:tr w:rsidR="003B59D6" w14:paraId="36CB298E"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0EA82415" w14:textId="77777777" w:rsidR="003B59D6" w:rsidRPr="003B59D6" w:rsidRDefault="003B59D6" w:rsidP="003B59D6">
            <w:pPr>
              <w:spacing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其他</w:t>
            </w:r>
          </w:p>
        </w:tc>
        <w:tc>
          <w:tcPr>
            <w:tcW w:w="937" w:type="pct"/>
            <w:tcBorders>
              <w:top w:val="single" w:sz="2" w:space="0" w:color="auto"/>
              <w:left w:val="single" w:sz="2" w:space="0" w:color="auto"/>
              <w:bottom w:val="single" w:sz="2" w:space="0" w:color="auto"/>
              <w:right w:val="single" w:sz="2" w:space="0" w:color="auto"/>
            </w:tcBorders>
            <w:vAlign w:val="center"/>
          </w:tcPr>
          <w:p w14:paraId="637CE8D5"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43,927,257.60</w:t>
            </w:r>
          </w:p>
        </w:tc>
        <w:tc>
          <w:tcPr>
            <w:tcW w:w="1000" w:type="pct"/>
            <w:tcBorders>
              <w:top w:val="single" w:sz="2" w:space="0" w:color="auto"/>
              <w:left w:val="single" w:sz="2" w:space="0" w:color="auto"/>
              <w:bottom w:val="single" w:sz="2" w:space="0" w:color="auto"/>
              <w:right w:val="single" w:sz="2" w:space="0" w:color="auto"/>
            </w:tcBorders>
            <w:vAlign w:val="center"/>
          </w:tcPr>
          <w:p w14:paraId="49FD1DDA"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15,225,794.61</w:t>
            </w:r>
          </w:p>
        </w:tc>
        <w:tc>
          <w:tcPr>
            <w:tcW w:w="1000" w:type="pct"/>
            <w:tcBorders>
              <w:top w:val="single" w:sz="2" w:space="0" w:color="auto"/>
              <w:left w:val="single" w:sz="2" w:space="0" w:color="auto"/>
              <w:bottom w:val="single" w:sz="2" w:space="0" w:color="auto"/>
              <w:right w:val="single" w:sz="2" w:space="0" w:color="auto"/>
            </w:tcBorders>
            <w:vAlign w:val="center"/>
          </w:tcPr>
          <w:p w14:paraId="2F145714"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43,927,257.60</w:t>
            </w:r>
          </w:p>
        </w:tc>
        <w:tc>
          <w:tcPr>
            <w:tcW w:w="1000" w:type="pct"/>
            <w:tcBorders>
              <w:top w:val="single" w:sz="2" w:space="0" w:color="auto"/>
              <w:left w:val="single" w:sz="2" w:space="0" w:color="auto"/>
              <w:bottom w:val="single" w:sz="2" w:space="0" w:color="auto"/>
              <w:right w:val="single" w:sz="2" w:space="0" w:color="auto"/>
            </w:tcBorders>
            <w:vAlign w:val="center"/>
          </w:tcPr>
          <w:p w14:paraId="3A5D7501"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15,225,794.61</w:t>
            </w:r>
          </w:p>
        </w:tc>
      </w:tr>
      <w:tr w:rsidR="003B59D6" w14:paraId="1EE40FC9" w14:textId="77777777" w:rsidTr="0092645D">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7A5E9BC2" w14:textId="77777777" w:rsidR="003B59D6" w:rsidRPr="003B59D6" w:rsidRDefault="003B59D6" w:rsidP="003B59D6">
            <w:pPr>
              <w:spacing w:before="40" w:after="40" w:line="360" w:lineRule="auto"/>
              <w:rPr>
                <w:rFonts w:ascii="Times New Roman" w:eastAsia="宋体" w:hAnsi="Times New Roman" w:cs="Times New Roman"/>
                <w:sz w:val="18"/>
                <w:szCs w:val="18"/>
              </w:rPr>
            </w:pPr>
            <w:r w:rsidRPr="003B59D6">
              <w:rPr>
                <w:rFonts w:ascii="Times New Roman" w:eastAsia="宋体" w:hAnsi="Times New Roman" w:cs="Times New Roman"/>
                <w:sz w:val="18"/>
                <w:szCs w:val="18"/>
              </w:rPr>
              <w:t>合计</w:t>
            </w:r>
          </w:p>
        </w:tc>
        <w:tc>
          <w:tcPr>
            <w:tcW w:w="937" w:type="pct"/>
            <w:tcBorders>
              <w:top w:val="single" w:sz="2" w:space="0" w:color="auto"/>
              <w:left w:val="single" w:sz="2" w:space="0" w:color="auto"/>
              <w:bottom w:val="single" w:sz="2" w:space="0" w:color="auto"/>
              <w:right w:val="single" w:sz="2" w:space="0" w:color="auto"/>
            </w:tcBorders>
            <w:vAlign w:val="center"/>
          </w:tcPr>
          <w:p w14:paraId="1A8A5A90"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48C10E2B"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c>
          <w:tcPr>
            <w:tcW w:w="1000" w:type="pct"/>
            <w:tcBorders>
              <w:top w:val="single" w:sz="2" w:space="0" w:color="auto"/>
              <w:left w:val="single" w:sz="2" w:space="0" w:color="auto"/>
              <w:bottom w:val="single" w:sz="2" w:space="0" w:color="auto"/>
              <w:right w:val="single" w:sz="2" w:space="0" w:color="auto"/>
            </w:tcBorders>
            <w:vAlign w:val="center"/>
          </w:tcPr>
          <w:p w14:paraId="6D66A390"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4,659,335,913.50</w:t>
            </w:r>
          </w:p>
        </w:tc>
        <w:tc>
          <w:tcPr>
            <w:tcW w:w="1000" w:type="pct"/>
            <w:tcBorders>
              <w:top w:val="single" w:sz="2" w:space="0" w:color="auto"/>
              <w:left w:val="single" w:sz="2" w:space="0" w:color="auto"/>
              <w:bottom w:val="single" w:sz="2" w:space="0" w:color="auto"/>
              <w:right w:val="single" w:sz="2" w:space="0" w:color="auto"/>
            </w:tcBorders>
            <w:vAlign w:val="center"/>
          </w:tcPr>
          <w:p w14:paraId="159DB6FD" w14:textId="77777777" w:rsidR="003B59D6" w:rsidRPr="003B59D6" w:rsidRDefault="003B59D6" w:rsidP="003B59D6">
            <w:pPr>
              <w:spacing w:line="360" w:lineRule="auto"/>
              <w:jc w:val="right"/>
              <w:rPr>
                <w:rFonts w:ascii="Times New Roman" w:eastAsia="宋体" w:hAnsi="Times New Roman" w:cs="Times New Roman"/>
                <w:sz w:val="18"/>
                <w:szCs w:val="18"/>
              </w:rPr>
            </w:pPr>
            <w:r w:rsidRPr="003B59D6">
              <w:rPr>
                <w:rFonts w:ascii="Times New Roman" w:eastAsia="宋体" w:hAnsi="Times New Roman" w:cs="Times New Roman"/>
                <w:sz w:val="18"/>
                <w:szCs w:val="18"/>
              </w:rPr>
              <w:t>2,388,466,450.20</w:t>
            </w:r>
          </w:p>
        </w:tc>
      </w:tr>
    </w:tbl>
    <w:p w14:paraId="321B555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tbl>
      <w:tblPr>
        <w:tblW w:w="9639" w:type="dxa"/>
        <w:tblInd w:w="108" w:type="dxa"/>
        <w:tblLayout w:type="fixed"/>
        <w:tblCellMar>
          <w:left w:w="28" w:type="dxa"/>
          <w:right w:w="28" w:type="dxa"/>
        </w:tblCellMar>
        <w:tblLook w:val="04A0" w:firstRow="1" w:lastRow="0" w:firstColumn="1" w:lastColumn="0" w:noHBand="0" w:noVBand="1"/>
      </w:tblPr>
      <w:tblGrid>
        <w:gridCol w:w="913"/>
        <w:gridCol w:w="1417"/>
        <w:gridCol w:w="1985"/>
        <w:gridCol w:w="1275"/>
        <w:gridCol w:w="993"/>
        <w:gridCol w:w="1559"/>
        <w:gridCol w:w="1497"/>
      </w:tblGrid>
      <w:tr w:rsidR="00095F6F" w14:paraId="260B4A2A" w14:textId="77777777" w:rsidTr="00271E03">
        <w:trPr>
          <w:trHeight w:val="240"/>
        </w:trPr>
        <w:tc>
          <w:tcPr>
            <w:tcW w:w="913" w:type="dxa"/>
            <w:tcBorders>
              <w:top w:val="single" w:sz="2" w:space="0" w:color="auto"/>
              <w:left w:val="single" w:sz="2" w:space="0" w:color="auto"/>
              <w:bottom w:val="single" w:sz="2" w:space="0" w:color="auto"/>
              <w:right w:val="single" w:sz="2" w:space="0" w:color="auto"/>
            </w:tcBorders>
            <w:shd w:val="clear" w:color="auto" w:fill="D3D3D3"/>
            <w:vAlign w:val="center"/>
          </w:tcPr>
          <w:p w14:paraId="5DA5E782"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项目</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40AF5E90"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履行履约义务的时间</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22CB8937"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重要的支付条款</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755BC0B8"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公司承诺转让商品的性质</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5BFD4675"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是否为主要责任人</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1E84DAD6"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公司承担的预期将退还给客户的款项</w:t>
            </w:r>
          </w:p>
        </w:tc>
        <w:tc>
          <w:tcPr>
            <w:tcW w:w="1497" w:type="dxa"/>
            <w:tcBorders>
              <w:top w:val="single" w:sz="2" w:space="0" w:color="auto"/>
              <w:left w:val="single" w:sz="2" w:space="0" w:color="auto"/>
              <w:bottom w:val="single" w:sz="2" w:space="0" w:color="auto"/>
              <w:right w:val="single" w:sz="2" w:space="0" w:color="auto"/>
            </w:tcBorders>
            <w:shd w:val="clear" w:color="auto" w:fill="D3D3D3"/>
            <w:vAlign w:val="center"/>
          </w:tcPr>
          <w:p w14:paraId="69CBFF88" w14:textId="77777777" w:rsidR="00A46BF1" w:rsidRPr="00271E03" w:rsidRDefault="00A46BF1" w:rsidP="00271E03">
            <w:pPr>
              <w:spacing w:before="40" w:after="40"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公司提供的质量保证类型及相关义务</w:t>
            </w:r>
          </w:p>
        </w:tc>
      </w:tr>
      <w:tr w:rsidR="00095F6F" w14:paraId="2FDA6019" w14:textId="77777777" w:rsidTr="00271E03">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57CDE9B4"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国内销售</w:t>
            </w:r>
          </w:p>
        </w:tc>
        <w:tc>
          <w:tcPr>
            <w:tcW w:w="1417" w:type="dxa"/>
            <w:tcBorders>
              <w:top w:val="single" w:sz="2" w:space="0" w:color="auto"/>
              <w:left w:val="single" w:sz="2" w:space="0" w:color="auto"/>
              <w:bottom w:val="single" w:sz="2" w:space="0" w:color="auto"/>
              <w:right w:val="single" w:sz="2" w:space="0" w:color="auto"/>
            </w:tcBorders>
            <w:vAlign w:val="center"/>
          </w:tcPr>
          <w:p w14:paraId="118B9634" w14:textId="39D43FBE" w:rsidR="00A46BF1" w:rsidRPr="00271E03" w:rsidRDefault="00271E03"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hint="eastAsia"/>
                <w:sz w:val="18"/>
                <w:szCs w:val="18"/>
              </w:rPr>
              <w:t>以物运送至约定地点，客户确认收到商品之日确定</w:t>
            </w:r>
          </w:p>
        </w:tc>
        <w:tc>
          <w:tcPr>
            <w:tcW w:w="1985" w:type="dxa"/>
            <w:tcBorders>
              <w:top w:val="single" w:sz="2" w:space="0" w:color="auto"/>
              <w:left w:val="single" w:sz="2" w:space="0" w:color="auto"/>
              <w:bottom w:val="single" w:sz="2" w:space="0" w:color="auto"/>
              <w:right w:val="single" w:sz="2" w:space="0" w:color="auto"/>
            </w:tcBorders>
            <w:vAlign w:val="center"/>
          </w:tcPr>
          <w:p w14:paraId="330E0D60" w14:textId="77777777" w:rsidR="00A46BF1" w:rsidRPr="00271E03" w:rsidRDefault="00A46BF1"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sz w:val="18"/>
                <w:szCs w:val="18"/>
              </w:rPr>
              <w:t>（</w:t>
            </w:r>
            <w:r w:rsidRPr="00271E03">
              <w:rPr>
                <w:rFonts w:ascii="Times New Roman" w:eastAsia="宋体" w:hAnsi="Times New Roman" w:cs="Times New Roman"/>
                <w:sz w:val="18"/>
                <w:szCs w:val="18"/>
              </w:rPr>
              <w:t>1</w:t>
            </w:r>
            <w:r w:rsidRPr="00271E03">
              <w:rPr>
                <w:rFonts w:ascii="Times New Roman" w:eastAsia="宋体" w:hAnsi="Times New Roman" w:cs="Times New Roman"/>
                <w:sz w:val="18"/>
                <w:szCs w:val="18"/>
              </w:rPr>
              <w:t>）电商平台：客户确认收货后平台结算；</w:t>
            </w:r>
          </w:p>
          <w:p w14:paraId="3D23F677" w14:textId="77777777" w:rsidR="00A46BF1" w:rsidRPr="00271E03" w:rsidRDefault="00A46BF1"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sz w:val="18"/>
                <w:szCs w:val="18"/>
              </w:rPr>
              <w:t>（</w:t>
            </w:r>
            <w:r w:rsidRPr="00271E03">
              <w:rPr>
                <w:rFonts w:ascii="Times New Roman" w:eastAsia="宋体" w:hAnsi="Times New Roman" w:cs="Times New Roman"/>
                <w:sz w:val="18"/>
                <w:szCs w:val="18"/>
              </w:rPr>
              <w:t>2</w:t>
            </w:r>
            <w:r w:rsidRPr="00271E03">
              <w:rPr>
                <w:rFonts w:ascii="Times New Roman" w:eastAsia="宋体" w:hAnsi="Times New Roman" w:cs="Times New Roman"/>
                <w:sz w:val="18"/>
                <w:szCs w:val="18"/>
              </w:rPr>
              <w:t>）经销商：交付后在信用期内付款；</w:t>
            </w:r>
          </w:p>
          <w:p w14:paraId="27B2FDDC" w14:textId="77777777" w:rsidR="00A46BF1" w:rsidRPr="00271E03" w:rsidRDefault="00A46BF1"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sz w:val="18"/>
                <w:szCs w:val="18"/>
              </w:rPr>
              <w:t>（</w:t>
            </w:r>
            <w:r w:rsidRPr="00271E03">
              <w:rPr>
                <w:rFonts w:ascii="Times New Roman" w:eastAsia="宋体" w:hAnsi="Times New Roman" w:cs="Times New Roman"/>
                <w:sz w:val="18"/>
                <w:szCs w:val="18"/>
              </w:rPr>
              <w:t>3</w:t>
            </w:r>
            <w:r w:rsidRPr="00271E03">
              <w:rPr>
                <w:rFonts w:ascii="Times New Roman" w:eastAsia="宋体" w:hAnsi="Times New Roman" w:cs="Times New Roman"/>
                <w:sz w:val="18"/>
                <w:szCs w:val="18"/>
              </w:rPr>
              <w:t>）一件代发客户：先款后货，对账结算。</w:t>
            </w:r>
          </w:p>
        </w:tc>
        <w:tc>
          <w:tcPr>
            <w:tcW w:w="1275" w:type="dxa"/>
            <w:tcBorders>
              <w:top w:val="single" w:sz="2" w:space="0" w:color="auto"/>
              <w:left w:val="single" w:sz="2" w:space="0" w:color="auto"/>
              <w:bottom w:val="single" w:sz="2" w:space="0" w:color="auto"/>
              <w:right w:val="single" w:sz="2" w:space="0" w:color="auto"/>
            </w:tcBorders>
            <w:vAlign w:val="center"/>
          </w:tcPr>
          <w:p w14:paraId="18C1B777"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货物</w:t>
            </w:r>
          </w:p>
        </w:tc>
        <w:tc>
          <w:tcPr>
            <w:tcW w:w="993" w:type="dxa"/>
            <w:tcBorders>
              <w:top w:val="single" w:sz="2" w:space="0" w:color="auto"/>
              <w:left w:val="single" w:sz="2" w:space="0" w:color="auto"/>
              <w:bottom w:val="single" w:sz="2" w:space="0" w:color="auto"/>
              <w:right w:val="single" w:sz="2" w:space="0" w:color="auto"/>
            </w:tcBorders>
            <w:vAlign w:val="center"/>
          </w:tcPr>
          <w:p w14:paraId="5AA82233"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是</w:t>
            </w:r>
          </w:p>
        </w:tc>
        <w:tc>
          <w:tcPr>
            <w:tcW w:w="1559" w:type="dxa"/>
            <w:tcBorders>
              <w:top w:val="single" w:sz="2" w:space="0" w:color="auto"/>
              <w:left w:val="single" w:sz="2" w:space="0" w:color="auto"/>
              <w:bottom w:val="single" w:sz="2" w:space="0" w:color="auto"/>
              <w:right w:val="single" w:sz="2" w:space="0" w:color="auto"/>
            </w:tcBorders>
            <w:vAlign w:val="center"/>
          </w:tcPr>
          <w:p w14:paraId="7F34F3C9"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否</w:t>
            </w:r>
          </w:p>
        </w:tc>
        <w:tc>
          <w:tcPr>
            <w:tcW w:w="1497" w:type="dxa"/>
            <w:tcBorders>
              <w:top w:val="single" w:sz="2" w:space="0" w:color="auto"/>
              <w:left w:val="single" w:sz="2" w:space="0" w:color="auto"/>
              <w:bottom w:val="single" w:sz="2" w:space="0" w:color="auto"/>
              <w:right w:val="single" w:sz="2" w:space="0" w:color="auto"/>
            </w:tcBorders>
            <w:vAlign w:val="center"/>
          </w:tcPr>
          <w:p w14:paraId="2D79707D"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产品质量保证</w:t>
            </w:r>
          </w:p>
        </w:tc>
      </w:tr>
      <w:tr w:rsidR="00095F6F" w14:paraId="4D5CDE1C" w14:textId="77777777" w:rsidTr="00271E03">
        <w:trPr>
          <w:trHeight w:val="240"/>
        </w:trPr>
        <w:tc>
          <w:tcPr>
            <w:tcW w:w="913" w:type="dxa"/>
            <w:tcBorders>
              <w:top w:val="single" w:sz="2" w:space="0" w:color="auto"/>
              <w:left w:val="single" w:sz="2" w:space="0" w:color="auto"/>
              <w:bottom w:val="single" w:sz="2" w:space="0" w:color="auto"/>
              <w:right w:val="single" w:sz="2" w:space="0" w:color="auto"/>
            </w:tcBorders>
            <w:vAlign w:val="center"/>
          </w:tcPr>
          <w:p w14:paraId="0FD38FA7"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国际销售</w:t>
            </w:r>
          </w:p>
        </w:tc>
        <w:tc>
          <w:tcPr>
            <w:tcW w:w="1417" w:type="dxa"/>
            <w:tcBorders>
              <w:top w:val="single" w:sz="2" w:space="0" w:color="auto"/>
              <w:left w:val="single" w:sz="2" w:space="0" w:color="auto"/>
              <w:bottom w:val="single" w:sz="2" w:space="0" w:color="auto"/>
              <w:right w:val="single" w:sz="2" w:space="0" w:color="auto"/>
            </w:tcBorders>
            <w:vAlign w:val="center"/>
          </w:tcPr>
          <w:p w14:paraId="423AAE7E" w14:textId="5BA40298" w:rsidR="00A46BF1" w:rsidRPr="00271E03" w:rsidRDefault="00271E03"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hint="eastAsia"/>
                <w:sz w:val="18"/>
                <w:szCs w:val="18"/>
              </w:rPr>
              <w:t>根据不同国际贸易条款，以取得报关单和提运单之日确定</w:t>
            </w:r>
          </w:p>
        </w:tc>
        <w:tc>
          <w:tcPr>
            <w:tcW w:w="1985" w:type="dxa"/>
            <w:tcBorders>
              <w:top w:val="single" w:sz="2" w:space="0" w:color="auto"/>
              <w:left w:val="single" w:sz="2" w:space="0" w:color="auto"/>
              <w:bottom w:val="single" w:sz="2" w:space="0" w:color="auto"/>
              <w:right w:val="single" w:sz="2" w:space="0" w:color="auto"/>
            </w:tcBorders>
            <w:vAlign w:val="center"/>
          </w:tcPr>
          <w:p w14:paraId="6044F3C9" w14:textId="77777777" w:rsidR="00A46BF1" w:rsidRPr="00271E03" w:rsidRDefault="00A46BF1"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sz w:val="18"/>
                <w:szCs w:val="18"/>
              </w:rPr>
              <w:t>（</w:t>
            </w:r>
            <w:r w:rsidRPr="00271E03">
              <w:rPr>
                <w:rFonts w:ascii="Times New Roman" w:eastAsia="宋体" w:hAnsi="Times New Roman" w:cs="Times New Roman"/>
                <w:sz w:val="18"/>
                <w:szCs w:val="18"/>
              </w:rPr>
              <w:t>1</w:t>
            </w:r>
            <w:r w:rsidRPr="00271E03">
              <w:rPr>
                <w:rFonts w:ascii="Times New Roman" w:eastAsia="宋体" w:hAnsi="Times New Roman" w:cs="Times New Roman"/>
                <w:sz w:val="18"/>
                <w:szCs w:val="18"/>
              </w:rPr>
              <w:t>）电商平台：客户确认收货后平台结算；</w:t>
            </w:r>
          </w:p>
          <w:p w14:paraId="504941F5" w14:textId="77777777" w:rsidR="00A46BF1" w:rsidRPr="00271E03" w:rsidRDefault="00A46BF1" w:rsidP="00271E03">
            <w:pPr>
              <w:spacing w:line="360" w:lineRule="auto"/>
              <w:rPr>
                <w:rFonts w:ascii="Times New Roman" w:eastAsia="宋体" w:hAnsi="Times New Roman" w:cs="Times New Roman"/>
                <w:sz w:val="18"/>
                <w:szCs w:val="18"/>
              </w:rPr>
            </w:pPr>
            <w:r w:rsidRPr="00271E03">
              <w:rPr>
                <w:rFonts w:ascii="Times New Roman" w:eastAsia="宋体" w:hAnsi="Times New Roman" w:cs="Times New Roman"/>
                <w:sz w:val="18"/>
                <w:szCs w:val="18"/>
              </w:rPr>
              <w:t>（</w:t>
            </w:r>
            <w:r w:rsidRPr="00271E03">
              <w:rPr>
                <w:rFonts w:ascii="Times New Roman" w:eastAsia="宋体" w:hAnsi="Times New Roman" w:cs="Times New Roman"/>
                <w:sz w:val="18"/>
                <w:szCs w:val="18"/>
              </w:rPr>
              <w:t>2</w:t>
            </w:r>
            <w:r w:rsidRPr="00271E03">
              <w:rPr>
                <w:rFonts w:ascii="Times New Roman" w:eastAsia="宋体" w:hAnsi="Times New Roman" w:cs="Times New Roman"/>
                <w:sz w:val="18"/>
                <w:szCs w:val="18"/>
              </w:rPr>
              <w:t>）经销商：交付后在信用期内付款。</w:t>
            </w:r>
          </w:p>
        </w:tc>
        <w:tc>
          <w:tcPr>
            <w:tcW w:w="1275" w:type="dxa"/>
            <w:tcBorders>
              <w:top w:val="single" w:sz="2" w:space="0" w:color="auto"/>
              <w:left w:val="single" w:sz="2" w:space="0" w:color="auto"/>
              <w:bottom w:val="single" w:sz="2" w:space="0" w:color="auto"/>
              <w:right w:val="single" w:sz="2" w:space="0" w:color="auto"/>
            </w:tcBorders>
            <w:vAlign w:val="center"/>
          </w:tcPr>
          <w:p w14:paraId="257428F9"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货物</w:t>
            </w:r>
          </w:p>
        </w:tc>
        <w:tc>
          <w:tcPr>
            <w:tcW w:w="993" w:type="dxa"/>
            <w:tcBorders>
              <w:top w:val="single" w:sz="2" w:space="0" w:color="auto"/>
              <w:left w:val="single" w:sz="2" w:space="0" w:color="auto"/>
              <w:bottom w:val="single" w:sz="2" w:space="0" w:color="auto"/>
              <w:right w:val="single" w:sz="2" w:space="0" w:color="auto"/>
            </w:tcBorders>
            <w:vAlign w:val="center"/>
          </w:tcPr>
          <w:p w14:paraId="7454B18B"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是</w:t>
            </w:r>
          </w:p>
        </w:tc>
        <w:tc>
          <w:tcPr>
            <w:tcW w:w="1559" w:type="dxa"/>
            <w:tcBorders>
              <w:top w:val="single" w:sz="2" w:space="0" w:color="auto"/>
              <w:left w:val="single" w:sz="2" w:space="0" w:color="auto"/>
              <w:bottom w:val="single" w:sz="2" w:space="0" w:color="auto"/>
              <w:right w:val="single" w:sz="2" w:space="0" w:color="auto"/>
            </w:tcBorders>
            <w:vAlign w:val="center"/>
          </w:tcPr>
          <w:p w14:paraId="702C2092"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否</w:t>
            </w:r>
          </w:p>
        </w:tc>
        <w:tc>
          <w:tcPr>
            <w:tcW w:w="1497" w:type="dxa"/>
            <w:tcBorders>
              <w:top w:val="single" w:sz="2" w:space="0" w:color="auto"/>
              <w:left w:val="single" w:sz="2" w:space="0" w:color="auto"/>
              <w:bottom w:val="single" w:sz="2" w:space="0" w:color="auto"/>
              <w:right w:val="single" w:sz="2" w:space="0" w:color="auto"/>
            </w:tcBorders>
            <w:vAlign w:val="center"/>
          </w:tcPr>
          <w:p w14:paraId="67EA83A3" w14:textId="77777777" w:rsidR="00A46BF1" w:rsidRPr="00271E03" w:rsidRDefault="00A46BF1" w:rsidP="00271E03">
            <w:pPr>
              <w:spacing w:line="360" w:lineRule="auto"/>
              <w:jc w:val="center"/>
              <w:rPr>
                <w:rFonts w:ascii="Times New Roman" w:eastAsia="宋体" w:hAnsi="Times New Roman" w:cs="Times New Roman"/>
                <w:sz w:val="18"/>
                <w:szCs w:val="18"/>
              </w:rPr>
            </w:pPr>
            <w:r w:rsidRPr="00271E03">
              <w:rPr>
                <w:rFonts w:ascii="Times New Roman" w:eastAsia="宋体" w:hAnsi="Times New Roman" w:cs="Times New Roman"/>
                <w:sz w:val="18"/>
                <w:szCs w:val="18"/>
              </w:rPr>
              <w:t>产品质量保证</w:t>
            </w:r>
          </w:p>
        </w:tc>
      </w:tr>
    </w:tbl>
    <w:p w14:paraId="7A70E8E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8A4A230" w14:textId="3795BE08"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国内销售项目以物运送至约定地点，客户确认收到商品之日确定履行履约义务的时间，</w:t>
      </w:r>
      <w:r w:rsidRPr="00952ED6">
        <w:rPr>
          <w:rFonts w:ascii="Times New Roman" w:hAnsi="Times New Roman" w:cs="Times New Roman" w:hint="eastAsia"/>
          <w:sz w:val="21"/>
          <w:szCs w:val="21"/>
        </w:rPr>
        <w:t xml:space="preserve"> </w:t>
      </w:r>
      <w:r w:rsidRPr="00952ED6">
        <w:rPr>
          <w:rFonts w:ascii="Times New Roman" w:hAnsi="Times New Roman" w:cs="Times New Roman" w:hint="eastAsia"/>
          <w:sz w:val="21"/>
          <w:szCs w:val="21"/>
        </w:rPr>
        <w:t>国际销售根据不同国际贸易条款，以取得报关单和提运单之日确定履行履约义务的时间。</w:t>
      </w:r>
    </w:p>
    <w:p w14:paraId="3EEF006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14:paraId="71EF37A5" w14:textId="5D423510" w:rsidR="00A46BF1" w:rsidRPr="00F23FCC" w:rsidRDefault="00A46BF1" w:rsidP="00F23FCC">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F23FCC">
        <w:rPr>
          <w:rFonts w:ascii="Times New Roman" w:hAnsi="Times New Roman" w:cs="Times New Roman"/>
          <w:sz w:val="21"/>
          <w:szCs w:val="21"/>
        </w:rPr>
        <w:t>本报告期末已签订合同、但尚未履行或尚未履行完毕的履约义务所对应的收入金额为</w:t>
      </w:r>
      <w:r w:rsidRPr="00F23FCC">
        <w:rPr>
          <w:rFonts w:ascii="Times New Roman" w:hAnsi="Times New Roman" w:cs="Times New Roman"/>
          <w:sz w:val="21"/>
          <w:szCs w:val="21"/>
        </w:rPr>
        <w:t>116,773,417.65</w:t>
      </w:r>
      <w:r w:rsidRPr="00F23FCC">
        <w:rPr>
          <w:rFonts w:ascii="Times New Roman" w:hAnsi="Times New Roman" w:cs="Times New Roman"/>
          <w:sz w:val="21"/>
          <w:szCs w:val="21"/>
        </w:rPr>
        <w:t>元，其中，</w:t>
      </w:r>
      <w:r w:rsidRPr="00F23FCC">
        <w:rPr>
          <w:rFonts w:ascii="Times New Roman" w:hAnsi="Times New Roman" w:cs="Times New Roman"/>
          <w:sz w:val="21"/>
          <w:szCs w:val="21"/>
        </w:rPr>
        <w:t>105,204,500.20</w:t>
      </w:r>
      <w:r w:rsidRPr="00F23FCC">
        <w:rPr>
          <w:rFonts w:ascii="Times New Roman" w:hAnsi="Times New Roman" w:cs="Times New Roman"/>
          <w:sz w:val="21"/>
          <w:szCs w:val="21"/>
        </w:rPr>
        <w:t>元预计将于</w:t>
      </w:r>
      <w:r w:rsidRPr="00F23FCC">
        <w:rPr>
          <w:rFonts w:ascii="Times New Roman" w:hAnsi="Times New Roman" w:cs="Times New Roman"/>
          <w:sz w:val="21"/>
          <w:szCs w:val="21"/>
        </w:rPr>
        <w:t>2026</w:t>
      </w:r>
      <w:r w:rsidRPr="00F23FCC">
        <w:rPr>
          <w:rFonts w:ascii="Times New Roman" w:hAnsi="Times New Roman" w:cs="Times New Roman"/>
          <w:sz w:val="21"/>
          <w:szCs w:val="21"/>
        </w:rPr>
        <w:t>年度确认收入。</w:t>
      </w:r>
    </w:p>
    <w:p w14:paraId="0136B90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合同中可变对价相关信息：</w:t>
      </w:r>
    </w:p>
    <w:p w14:paraId="2B659777"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不适用</w:t>
      </w:r>
    </w:p>
    <w:p w14:paraId="73707A1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重大合同变更或重大交易价格调整</w:t>
      </w:r>
    </w:p>
    <w:p w14:paraId="3D096D42"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A4C727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B1608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D210C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会计处理方法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DAC9C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对收入的影响金额</w:t>
            </w:r>
          </w:p>
        </w:tc>
      </w:tr>
    </w:tbl>
    <w:p w14:paraId="0057A47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D4C8A12"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无</w:t>
      </w:r>
    </w:p>
    <w:p w14:paraId="3C59BA85" w14:textId="3CB90D27" w:rsidR="00A46BF1" w:rsidRDefault="00A46BF1" w:rsidP="00A46BF1">
      <w:pPr>
        <w:pStyle w:val="3"/>
        <w:spacing w:line="280" w:lineRule="exact"/>
        <w:jc w:val="left"/>
        <w:rPr>
          <w:rFonts w:ascii="宋体" w:hAnsi="宋体" w:cs="宋体"/>
          <w:b/>
          <w:bCs/>
        </w:rPr>
      </w:pPr>
      <w:r>
        <w:rPr>
          <w:rFonts w:ascii="宋体" w:hAnsi="宋体" w:cs="宋体"/>
          <w:b/>
          <w:bCs/>
        </w:rPr>
        <w:t>4</w:t>
      </w:r>
      <w:r w:rsidR="00F23FCC">
        <w:rPr>
          <w:rFonts w:ascii="宋体" w:hAnsi="宋体" w:cs="宋体"/>
          <w:b/>
          <w:bCs/>
        </w:rPr>
        <w:t>6</w:t>
      </w:r>
      <w:r>
        <w:rPr>
          <w:rFonts w:ascii="宋体" w:hAnsi="宋体" w:cs="宋体"/>
          <w:b/>
          <w:bCs/>
        </w:rPr>
        <w:t>、税金及附加</w:t>
      </w:r>
    </w:p>
    <w:p w14:paraId="59554A5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1CC89E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11FD7E"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36975A"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A592399"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上期发生额</w:t>
            </w:r>
          </w:p>
        </w:tc>
      </w:tr>
      <w:tr w:rsidR="00095F6F" w14:paraId="2939827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7CA6C8"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城市维护建设税</w:t>
            </w:r>
          </w:p>
        </w:tc>
        <w:tc>
          <w:tcPr>
            <w:tcW w:w="3213" w:type="dxa"/>
            <w:tcBorders>
              <w:top w:val="single" w:sz="2" w:space="0" w:color="auto"/>
              <w:left w:val="single" w:sz="2" w:space="0" w:color="auto"/>
              <w:bottom w:val="single" w:sz="2" w:space="0" w:color="auto"/>
              <w:right w:val="single" w:sz="2" w:space="0" w:color="auto"/>
            </w:tcBorders>
            <w:vAlign w:val="center"/>
          </w:tcPr>
          <w:p w14:paraId="0316F59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13,070,554.80</w:t>
            </w:r>
          </w:p>
        </w:tc>
        <w:tc>
          <w:tcPr>
            <w:tcW w:w="3213" w:type="dxa"/>
            <w:tcBorders>
              <w:top w:val="single" w:sz="2" w:space="0" w:color="auto"/>
              <w:left w:val="single" w:sz="2" w:space="0" w:color="auto"/>
              <w:bottom w:val="single" w:sz="2" w:space="0" w:color="auto"/>
              <w:right w:val="single" w:sz="2" w:space="0" w:color="auto"/>
            </w:tcBorders>
            <w:vAlign w:val="center"/>
          </w:tcPr>
          <w:p w14:paraId="22D763E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12,811,411.32</w:t>
            </w:r>
          </w:p>
        </w:tc>
      </w:tr>
      <w:tr w:rsidR="00095F6F" w14:paraId="0111E5B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53DC2F"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教育费附加</w:t>
            </w:r>
          </w:p>
        </w:tc>
        <w:tc>
          <w:tcPr>
            <w:tcW w:w="3213" w:type="dxa"/>
            <w:tcBorders>
              <w:top w:val="single" w:sz="2" w:space="0" w:color="auto"/>
              <w:left w:val="single" w:sz="2" w:space="0" w:color="auto"/>
              <w:bottom w:val="single" w:sz="2" w:space="0" w:color="auto"/>
              <w:right w:val="single" w:sz="2" w:space="0" w:color="auto"/>
            </w:tcBorders>
            <w:vAlign w:val="center"/>
          </w:tcPr>
          <w:p w14:paraId="0D32ECC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9,378,044.63</w:t>
            </w:r>
          </w:p>
        </w:tc>
        <w:tc>
          <w:tcPr>
            <w:tcW w:w="3213" w:type="dxa"/>
            <w:tcBorders>
              <w:top w:val="single" w:sz="2" w:space="0" w:color="auto"/>
              <w:left w:val="single" w:sz="2" w:space="0" w:color="auto"/>
              <w:bottom w:val="single" w:sz="2" w:space="0" w:color="auto"/>
              <w:right w:val="single" w:sz="2" w:space="0" w:color="auto"/>
            </w:tcBorders>
            <w:vAlign w:val="center"/>
          </w:tcPr>
          <w:p w14:paraId="75B2C29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9,202,225.75</w:t>
            </w:r>
          </w:p>
        </w:tc>
      </w:tr>
      <w:tr w:rsidR="00095F6F" w14:paraId="5FDCA12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F24ABAD"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房产税</w:t>
            </w:r>
          </w:p>
        </w:tc>
        <w:tc>
          <w:tcPr>
            <w:tcW w:w="3213" w:type="dxa"/>
            <w:tcBorders>
              <w:top w:val="single" w:sz="2" w:space="0" w:color="auto"/>
              <w:left w:val="single" w:sz="2" w:space="0" w:color="auto"/>
              <w:bottom w:val="single" w:sz="2" w:space="0" w:color="auto"/>
              <w:right w:val="single" w:sz="2" w:space="0" w:color="auto"/>
            </w:tcBorders>
            <w:vAlign w:val="center"/>
          </w:tcPr>
          <w:p w14:paraId="7CDAD8D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10,498,888.26</w:t>
            </w:r>
          </w:p>
        </w:tc>
        <w:tc>
          <w:tcPr>
            <w:tcW w:w="3213" w:type="dxa"/>
            <w:tcBorders>
              <w:top w:val="single" w:sz="2" w:space="0" w:color="auto"/>
              <w:left w:val="single" w:sz="2" w:space="0" w:color="auto"/>
              <w:bottom w:val="single" w:sz="2" w:space="0" w:color="auto"/>
              <w:right w:val="single" w:sz="2" w:space="0" w:color="auto"/>
            </w:tcBorders>
            <w:vAlign w:val="center"/>
          </w:tcPr>
          <w:p w14:paraId="72BED8B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10,457,834.77</w:t>
            </w:r>
          </w:p>
        </w:tc>
      </w:tr>
      <w:tr w:rsidR="00095F6F" w14:paraId="25C5EFE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5FE8550"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土地使用税</w:t>
            </w:r>
          </w:p>
        </w:tc>
        <w:tc>
          <w:tcPr>
            <w:tcW w:w="3213" w:type="dxa"/>
            <w:tcBorders>
              <w:top w:val="single" w:sz="2" w:space="0" w:color="auto"/>
              <w:left w:val="single" w:sz="2" w:space="0" w:color="auto"/>
              <w:bottom w:val="single" w:sz="2" w:space="0" w:color="auto"/>
              <w:right w:val="single" w:sz="2" w:space="0" w:color="auto"/>
            </w:tcBorders>
            <w:vAlign w:val="center"/>
          </w:tcPr>
          <w:p w14:paraId="304D110D"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1,562,695.92</w:t>
            </w:r>
          </w:p>
        </w:tc>
        <w:tc>
          <w:tcPr>
            <w:tcW w:w="3213" w:type="dxa"/>
            <w:tcBorders>
              <w:top w:val="single" w:sz="2" w:space="0" w:color="auto"/>
              <w:left w:val="single" w:sz="2" w:space="0" w:color="auto"/>
              <w:bottom w:val="single" w:sz="2" w:space="0" w:color="auto"/>
              <w:right w:val="single" w:sz="2" w:space="0" w:color="auto"/>
            </w:tcBorders>
            <w:vAlign w:val="center"/>
          </w:tcPr>
          <w:p w14:paraId="1793E20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1,030,239.16</w:t>
            </w:r>
          </w:p>
        </w:tc>
      </w:tr>
      <w:tr w:rsidR="00095F6F" w14:paraId="46CD9D7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54ED44"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印花税</w:t>
            </w:r>
          </w:p>
        </w:tc>
        <w:tc>
          <w:tcPr>
            <w:tcW w:w="3213" w:type="dxa"/>
            <w:tcBorders>
              <w:top w:val="single" w:sz="2" w:space="0" w:color="auto"/>
              <w:left w:val="single" w:sz="2" w:space="0" w:color="auto"/>
              <w:bottom w:val="single" w:sz="2" w:space="0" w:color="auto"/>
              <w:right w:val="single" w:sz="2" w:space="0" w:color="auto"/>
            </w:tcBorders>
            <w:vAlign w:val="center"/>
          </w:tcPr>
          <w:p w14:paraId="4D1F3BB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1,751,278.11</w:t>
            </w:r>
          </w:p>
        </w:tc>
        <w:tc>
          <w:tcPr>
            <w:tcW w:w="3213" w:type="dxa"/>
            <w:tcBorders>
              <w:top w:val="single" w:sz="2" w:space="0" w:color="auto"/>
              <w:left w:val="single" w:sz="2" w:space="0" w:color="auto"/>
              <w:bottom w:val="single" w:sz="2" w:space="0" w:color="auto"/>
              <w:right w:val="single" w:sz="2" w:space="0" w:color="auto"/>
            </w:tcBorders>
            <w:vAlign w:val="center"/>
          </w:tcPr>
          <w:p w14:paraId="4243D36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1,546,482.83</w:t>
            </w:r>
          </w:p>
        </w:tc>
      </w:tr>
      <w:tr w:rsidR="00095F6F" w14:paraId="69461B4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467B6CF"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财产税</w:t>
            </w:r>
            <w:r w:rsidRPr="00F23FCC">
              <w:rPr>
                <w:rFonts w:ascii="Times New Roman" w:eastAsia="宋体" w:hAnsi="Times New Roman" w:cs="Times New Roman"/>
                <w:sz w:val="18"/>
                <w:szCs w:val="18"/>
              </w:rPr>
              <w:t>US</w:t>
            </w:r>
          </w:p>
        </w:tc>
        <w:tc>
          <w:tcPr>
            <w:tcW w:w="3213" w:type="dxa"/>
            <w:tcBorders>
              <w:top w:val="single" w:sz="2" w:space="0" w:color="auto"/>
              <w:left w:val="single" w:sz="2" w:space="0" w:color="auto"/>
              <w:bottom w:val="single" w:sz="2" w:space="0" w:color="auto"/>
              <w:right w:val="single" w:sz="2" w:space="0" w:color="auto"/>
            </w:tcBorders>
            <w:vAlign w:val="center"/>
          </w:tcPr>
          <w:p w14:paraId="39DCFC5D"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8,458,044.01</w:t>
            </w:r>
          </w:p>
        </w:tc>
        <w:tc>
          <w:tcPr>
            <w:tcW w:w="3213" w:type="dxa"/>
            <w:tcBorders>
              <w:top w:val="single" w:sz="2" w:space="0" w:color="auto"/>
              <w:left w:val="single" w:sz="2" w:space="0" w:color="auto"/>
              <w:bottom w:val="single" w:sz="2" w:space="0" w:color="auto"/>
              <w:right w:val="single" w:sz="2" w:space="0" w:color="auto"/>
            </w:tcBorders>
            <w:vAlign w:val="center"/>
          </w:tcPr>
          <w:p w14:paraId="6DCA5B7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7,729,447.12</w:t>
            </w:r>
          </w:p>
        </w:tc>
      </w:tr>
      <w:tr w:rsidR="00095F6F" w14:paraId="7972EB5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6BD2AF9"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销售税</w:t>
            </w:r>
            <w:r w:rsidRPr="00F23FCC">
              <w:rPr>
                <w:rFonts w:ascii="Times New Roman" w:eastAsia="宋体" w:hAnsi="Times New Roman" w:cs="Times New Roman"/>
                <w:sz w:val="18"/>
                <w:szCs w:val="18"/>
              </w:rPr>
              <w:t>US</w:t>
            </w:r>
          </w:p>
        </w:tc>
        <w:tc>
          <w:tcPr>
            <w:tcW w:w="3213" w:type="dxa"/>
            <w:tcBorders>
              <w:top w:val="single" w:sz="2" w:space="0" w:color="auto"/>
              <w:left w:val="single" w:sz="2" w:space="0" w:color="auto"/>
              <w:bottom w:val="single" w:sz="2" w:space="0" w:color="auto"/>
              <w:right w:val="single" w:sz="2" w:space="0" w:color="auto"/>
            </w:tcBorders>
            <w:vAlign w:val="center"/>
          </w:tcPr>
          <w:p w14:paraId="2226578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479,202.21</w:t>
            </w:r>
          </w:p>
        </w:tc>
        <w:tc>
          <w:tcPr>
            <w:tcW w:w="3213" w:type="dxa"/>
            <w:tcBorders>
              <w:top w:val="single" w:sz="2" w:space="0" w:color="auto"/>
              <w:left w:val="single" w:sz="2" w:space="0" w:color="auto"/>
              <w:bottom w:val="single" w:sz="2" w:space="0" w:color="auto"/>
              <w:right w:val="single" w:sz="2" w:space="0" w:color="auto"/>
            </w:tcBorders>
            <w:vAlign w:val="center"/>
          </w:tcPr>
          <w:p w14:paraId="33F9351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745,185.98</w:t>
            </w:r>
          </w:p>
        </w:tc>
      </w:tr>
      <w:tr w:rsidR="00095F6F" w14:paraId="6D0374D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699F0E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其他税费</w:t>
            </w:r>
          </w:p>
        </w:tc>
        <w:tc>
          <w:tcPr>
            <w:tcW w:w="3213" w:type="dxa"/>
            <w:tcBorders>
              <w:top w:val="single" w:sz="2" w:space="0" w:color="auto"/>
              <w:left w:val="single" w:sz="2" w:space="0" w:color="auto"/>
              <w:bottom w:val="single" w:sz="2" w:space="0" w:color="auto"/>
              <w:right w:val="single" w:sz="2" w:space="0" w:color="auto"/>
            </w:tcBorders>
            <w:vAlign w:val="center"/>
          </w:tcPr>
          <w:p w14:paraId="1ABC439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735,343.46</w:t>
            </w:r>
          </w:p>
        </w:tc>
        <w:tc>
          <w:tcPr>
            <w:tcW w:w="3213" w:type="dxa"/>
            <w:tcBorders>
              <w:top w:val="single" w:sz="2" w:space="0" w:color="auto"/>
              <w:left w:val="single" w:sz="2" w:space="0" w:color="auto"/>
              <w:bottom w:val="single" w:sz="2" w:space="0" w:color="auto"/>
              <w:right w:val="single" w:sz="2" w:space="0" w:color="auto"/>
            </w:tcBorders>
            <w:vAlign w:val="center"/>
          </w:tcPr>
          <w:p w14:paraId="437A822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609,303.89</w:t>
            </w:r>
          </w:p>
        </w:tc>
      </w:tr>
      <w:tr w:rsidR="00095F6F" w14:paraId="022A788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D8B825"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81D319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45,934,051.40</w:t>
            </w:r>
          </w:p>
        </w:tc>
        <w:tc>
          <w:tcPr>
            <w:tcW w:w="3213" w:type="dxa"/>
            <w:tcBorders>
              <w:top w:val="single" w:sz="2" w:space="0" w:color="auto"/>
              <w:left w:val="single" w:sz="2" w:space="0" w:color="auto"/>
              <w:bottom w:val="single" w:sz="2" w:space="0" w:color="auto"/>
              <w:right w:val="single" w:sz="2" w:space="0" w:color="auto"/>
            </w:tcBorders>
            <w:vAlign w:val="center"/>
          </w:tcPr>
          <w:p w14:paraId="7304590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44,132,130.82</w:t>
            </w:r>
          </w:p>
        </w:tc>
      </w:tr>
    </w:tbl>
    <w:p w14:paraId="4676CE7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6DAF0C9"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无</w:t>
      </w:r>
    </w:p>
    <w:p w14:paraId="28543526" w14:textId="7981EE07" w:rsidR="00A46BF1" w:rsidRDefault="00A46BF1" w:rsidP="00A46BF1">
      <w:pPr>
        <w:pStyle w:val="3"/>
        <w:spacing w:line="280" w:lineRule="exact"/>
        <w:jc w:val="left"/>
        <w:rPr>
          <w:rFonts w:ascii="宋体" w:hAnsi="宋体" w:cs="宋体"/>
          <w:b/>
          <w:bCs/>
        </w:rPr>
      </w:pPr>
      <w:r>
        <w:rPr>
          <w:rFonts w:ascii="宋体" w:hAnsi="宋体" w:cs="宋体"/>
          <w:b/>
          <w:bCs/>
        </w:rPr>
        <w:t>4</w:t>
      </w:r>
      <w:r w:rsidR="00F23FCC">
        <w:rPr>
          <w:rFonts w:ascii="宋体" w:hAnsi="宋体" w:cs="宋体"/>
          <w:b/>
          <w:bCs/>
        </w:rPr>
        <w:t>7</w:t>
      </w:r>
      <w:r>
        <w:rPr>
          <w:rFonts w:ascii="宋体" w:hAnsi="宋体" w:cs="宋体"/>
          <w:b/>
          <w:bCs/>
        </w:rPr>
        <w:t>、管理费用</w:t>
      </w:r>
    </w:p>
    <w:p w14:paraId="4187BC62"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92BE4A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F52E3AE"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F54926"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0426D2"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上期发生额</w:t>
            </w:r>
          </w:p>
        </w:tc>
      </w:tr>
      <w:tr w:rsidR="00095F6F" w14:paraId="68837EA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0D7BEEE"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4FC49CB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208,094,132.22</w:t>
            </w:r>
          </w:p>
        </w:tc>
        <w:tc>
          <w:tcPr>
            <w:tcW w:w="3213" w:type="dxa"/>
            <w:tcBorders>
              <w:top w:val="single" w:sz="2" w:space="0" w:color="auto"/>
              <w:left w:val="single" w:sz="2" w:space="0" w:color="auto"/>
              <w:bottom w:val="single" w:sz="2" w:space="0" w:color="auto"/>
              <w:right w:val="single" w:sz="2" w:space="0" w:color="auto"/>
            </w:tcBorders>
            <w:vAlign w:val="center"/>
          </w:tcPr>
          <w:p w14:paraId="44BD9DD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175,386,404.36</w:t>
            </w:r>
          </w:p>
        </w:tc>
      </w:tr>
      <w:tr w:rsidR="00095F6F" w14:paraId="3FF2F20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5DC28F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商务服务费</w:t>
            </w:r>
          </w:p>
        </w:tc>
        <w:tc>
          <w:tcPr>
            <w:tcW w:w="3213" w:type="dxa"/>
            <w:tcBorders>
              <w:top w:val="single" w:sz="2" w:space="0" w:color="auto"/>
              <w:left w:val="single" w:sz="2" w:space="0" w:color="auto"/>
              <w:bottom w:val="single" w:sz="2" w:space="0" w:color="auto"/>
              <w:right w:val="single" w:sz="2" w:space="0" w:color="auto"/>
            </w:tcBorders>
            <w:vAlign w:val="center"/>
          </w:tcPr>
          <w:p w14:paraId="5A1D275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99,652,302.10</w:t>
            </w:r>
          </w:p>
        </w:tc>
        <w:tc>
          <w:tcPr>
            <w:tcW w:w="3213" w:type="dxa"/>
            <w:tcBorders>
              <w:top w:val="single" w:sz="2" w:space="0" w:color="auto"/>
              <w:left w:val="single" w:sz="2" w:space="0" w:color="auto"/>
              <w:bottom w:val="single" w:sz="2" w:space="0" w:color="auto"/>
              <w:right w:val="single" w:sz="2" w:space="0" w:color="auto"/>
            </w:tcBorders>
            <w:vAlign w:val="center"/>
          </w:tcPr>
          <w:p w14:paraId="2B7AD54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77,023,341.63</w:t>
            </w:r>
          </w:p>
        </w:tc>
      </w:tr>
      <w:tr w:rsidR="00095F6F" w14:paraId="25B50C3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84D73CF"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办公相关费用</w:t>
            </w:r>
          </w:p>
        </w:tc>
        <w:tc>
          <w:tcPr>
            <w:tcW w:w="3213" w:type="dxa"/>
            <w:tcBorders>
              <w:top w:val="single" w:sz="2" w:space="0" w:color="auto"/>
              <w:left w:val="single" w:sz="2" w:space="0" w:color="auto"/>
              <w:bottom w:val="single" w:sz="2" w:space="0" w:color="auto"/>
              <w:right w:val="single" w:sz="2" w:space="0" w:color="auto"/>
            </w:tcBorders>
            <w:vAlign w:val="center"/>
          </w:tcPr>
          <w:p w14:paraId="3E60891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65,683,727.57</w:t>
            </w:r>
          </w:p>
        </w:tc>
        <w:tc>
          <w:tcPr>
            <w:tcW w:w="3213" w:type="dxa"/>
            <w:tcBorders>
              <w:top w:val="single" w:sz="2" w:space="0" w:color="auto"/>
              <w:left w:val="single" w:sz="2" w:space="0" w:color="auto"/>
              <w:bottom w:val="single" w:sz="2" w:space="0" w:color="auto"/>
              <w:right w:val="single" w:sz="2" w:space="0" w:color="auto"/>
            </w:tcBorders>
            <w:vAlign w:val="center"/>
          </w:tcPr>
          <w:p w14:paraId="1879113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59,926,377.27</w:t>
            </w:r>
          </w:p>
        </w:tc>
      </w:tr>
      <w:tr w:rsidR="00095F6F" w14:paraId="4A1A29C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8F55B87"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折旧摊销费</w:t>
            </w:r>
          </w:p>
        </w:tc>
        <w:tc>
          <w:tcPr>
            <w:tcW w:w="3213" w:type="dxa"/>
            <w:tcBorders>
              <w:top w:val="single" w:sz="2" w:space="0" w:color="auto"/>
              <w:left w:val="single" w:sz="2" w:space="0" w:color="auto"/>
              <w:bottom w:val="single" w:sz="2" w:space="0" w:color="auto"/>
              <w:right w:val="single" w:sz="2" w:space="0" w:color="auto"/>
            </w:tcBorders>
            <w:vAlign w:val="center"/>
          </w:tcPr>
          <w:p w14:paraId="27C5269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52,232,956.17</w:t>
            </w:r>
          </w:p>
        </w:tc>
        <w:tc>
          <w:tcPr>
            <w:tcW w:w="3213" w:type="dxa"/>
            <w:tcBorders>
              <w:top w:val="single" w:sz="2" w:space="0" w:color="auto"/>
              <w:left w:val="single" w:sz="2" w:space="0" w:color="auto"/>
              <w:bottom w:val="single" w:sz="2" w:space="0" w:color="auto"/>
              <w:right w:val="single" w:sz="2" w:space="0" w:color="auto"/>
            </w:tcBorders>
            <w:vAlign w:val="center"/>
          </w:tcPr>
          <w:p w14:paraId="5165E21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66,784,022.62</w:t>
            </w:r>
          </w:p>
        </w:tc>
      </w:tr>
      <w:tr w:rsidR="00095F6F" w14:paraId="79AF67C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310C650"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保险费</w:t>
            </w:r>
          </w:p>
        </w:tc>
        <w:tc>
          <w:tcPr>
            <w:tcW w:w="3213" w:type="dxa"/>
            <w:tcBorders>
              <w:top w:val="single" w:sz="2" w:space="0" w:color="auto"/>
              <w:left w:val="single" w:sz="2" w:space="0" w:color="auto"/>
              <w:bottom w:val="single" w:sz="2" w:space="0" w:color="auto"/>
              <w:right w:val="single" w:sz="2" w:space="0" w:color="auto"/>
            </w:tcBorders>
            <w:vAlign w:val="center"/>
          </w:tcPr>
          <w:p w14:paraId="7594D17D"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14,542,284.91</w:t>
            </w:r>
          </w:p>
        </w:tc>
        <w:tc>
          <w:tcPr>
            <w:tcW w:w="3213" w:type="dxa"/>
            <w:tcBorders>
              <w:top w:val="single" w:sz="2" w:space="0" w:color="auto"/>
              <w:left w:val="single" w:sz="2" w:space="0" w:color="auto"/>
              <w:bottom w:val="single" w:sz="2" w:space="0" w:color="auto"/>
              <w:right w:val="single" w:sz="2" w:space="0" w:color="auto"/>
            </w:tcBorders>
            <w:vAlign w:val="center"/>
          </w:tcPr>
          <w:p w14:paraId="69358DD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12,960,481.78</w:t>
            </w:r>
          </w:p>
        </w:tc>
      </w:tr>
      <w:tr w:rsidR="00095F6F" w14:paraId="27D9387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468EDE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招待费</w:t>
            </w:r>
          </w:p>
        </w:tc>
        <w:tc>
          <w:tcPr>
            <w:tcW w:w="3213" w:type="dxa"/>
            <w:tcBorders>
              <w:top w:val="single" w:sz="2" w:space="0" w:color="auto"/>
              <w:left w:val="single" w:sz="2" w:space="0" w:color="auto"/>
              <w:bottom w:val="single" w:sz="2" w:space="0" w:color="auto"/>
              <w:right w:val="single" w:sz="2" w:space="0" w:color="auto"/>
            </w:tcBorders>
            <w:vAlign w:val="center"/>
          </w:tcPr>
          <w:p w14:paraId="687C2A0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5,065,387.82</w:t>
            </w:r>
          </w:p>
        </w:tc>
        <w:tc>
          <w:tcPr>
            <w:tcW w:w="3213" w:type="dxa"/>
            <w:tcBorders>
              <w:top w:val="single" w:sz="2" w:space="0" w:color="auto"/>
              <w:left w:val="single" w:sz="2" w:space="0" w:color="auto"/>
              <w:bottom w:val="single" w:sz="2" w:space="0" w:color="auto"/>
              <w:right w:val="single" w:sz="2" w:space="0" w:color="auto"/>
            </w:tcBorders>
            <w:vAlign w:val="center"/>
          </w:tcPr>
          <w:p w14:paraId="7E666B8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2,404,080.08</w:t>
            </w:r>
          </w:p>
        </w:tc>
      </w:tr>
      <w:tr w:rsidR="00095F6F" w14:paraId="6786344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D7D9E53"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通讯交通费</w:t>
            </w:r>
          </w:p>
        </w:tc>
        <w:tc>
          <w:tcPr>
            <w:tcW w:w="3213" w:type="dxa"/>
            <w:tcBorders>
              <w:top w:val="single" w:sz="2" w:space="0" w:color="auto"/>
              <w:left w:val="single" w:sz="2" w:space="0" w:color="auto"/>
              <w:bottom w:val="single" w:sz="2" w:space="0" w:color="auto"/>
              <w:right w:val="single" w:sz="2" w:space="0" w:color="auto"/>
            </w:tcBorders>
            <w:vAlign w:val="center"/>
          </w:tcPr>
          <w:p w14:paraId="472FAFE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3,214,912.49</w:t>
            </w:r>
          </w:p>
        </w:tc>
        <w:tc>
          <w:tcPr>
            <w:tcW w:w="3213" w:type="dxa"/>
            <w:tcBorders>
              <w:top w:val="single" w:sz="2" w:space="0" w:color="auto"/>
              <w:left w:val="single" w:sz="2" w:space="0" w:color="auto"/>
              <w:bottom w:val="single" w:sz="2" w:space="0" w:color="auto"/>
              <w:right w:val="single" w:sz="2" w:space="0" w:color="auto"/>
            </w:tcBorders>
            <w:vAlign w:val="center"/>
          </w:tcPr>
          <w:p w14:paraId="0B7C951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2,938,128.93</w:t>
            </w:r>
          </w:p>
        </w:tc>
      </w:tr>
      <w:tr w:rsidR="00095F6F" w14:paraId="26830E4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EA7CB5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363157B2"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2,883,072.20</w:t>
            </w:r>
          </w:p>
        </w:tc>
        <w:tc>
          <w:tcPr>
            <w:tcW w:w="3213" w:type="dxa"/>
            <w:tcBorders>
              <w:top w:val="single" w:sz="2" w:space="0" w:color="auto"/>
              <w:left w:val="single" w:sz="2" w:space="0" w:color="auto"/>
              <w:bottom w:val="single" w:sz="2" w:space="0" w:color="auto"/>
              <w:right w:val="single" w:sz="2" w:space="0" w:color="auto"/>
            </w:tcBorders>
            <w:vAlign w:val="center"/>
          </w:tcPr>
          <w:p w14:paraId="1DFE286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2,991,411.44</w:t>
            </w:r>
          </w:p>
        </w:tc>
      </w:tr>
      <w:tr w:rsidR="00095F6F" w14:paraId="083CC9F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6A6261A"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租赁费</w:t>
            </w:r>
          </w:p>
        </w:tc>
        <w:tc>
          <w:tcPr>
            <w:tcW w:w="3213" w:type="dxa"/>
            <w:tcBorders>
              <w:top w:val="single" w:sz="2" w:space="0" w:color="auto"/>
              <w:left w:val="single" w:sz="2" w:space="0" w:color="auto"/>
              <w:bottom w:val="single" w:sz="2" w:space="0" w:color="auto"/>
              <w:right w:val="single" w:sz="2" w:space="0" w:color="auto"/>
            </w:tcBorders>
            <w:vAlign w:val="center"/>
          </w:tcPr>
          <w:p w14:paraId="4F107DC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1,508,278.32</w:t>
            </w:r>
          </w:p>
        </w:tc>
        <w:tc>
          <w:tcPr>
            <w:tcW w:w="3213" w:type="dxa"/>
            <w:tcBorders>
              <w:top w:val="single" w:sz="2" w:space="0" w:color="auto"/>
              <w:left w:val="single" w:sz="2" w:space="0" w:color="auto"/>
              <w:bottom w:val="single" w:sz="2" w:space="0" w:color="auto"/>
              <w:right w:val="single" w:sz="2" w:space="0" w:color="auto"/>
            </w:tcBorders>
            <w:vAlign w:val="center"/>
          </w:tcPr>
          <w:p w14:paraId="46B5F5F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1,800,438.28</w:t>
            </w:r>
          </w:p>
        </w:tc>
      </w:tr>
      <w:tr w:rsidR="00095F6F" w14:paraId="0F553E0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4572C0F"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1F41E0E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3,944,042.18</w:t>
            </w:r>
          </w:p>
        </w:tc>
        <w:tc>
          <w:tcPr>
            <w:tcW w:w="3213" w:type="dxa"/>
            <w:tcBorders>
              <w:top w:val="single" w:sz="2" w:space="0" w:color="auto"/>
              <w:left w:val="single" w:sz="2" w:space="0" w:color="auto"/>
              <w:bottom w:val="single" w:sz="2" w:space="0" w:color="auto"/>
              <w:right w:val="single" w:sz="2" w:space="0" w:color="auto"/>
            </w:tcBorders>
            <w:vAlign w:val="center"/>
          </w:tcPr>
          <w:p w14:paraId="3D5E43F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3,315,376.20</w:t>
            </w:r>
          </w:p>
        </w:tc>
      </w:tr>
      <w:tr w:rsidR="00095F6F" w14:paraId="1F15934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5B87851"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0EC672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456,821,095.98</w:t>
            </w:r>
          </w:p>
        </w:tc>
        <w:tc>
          <w:tcPr>
            <w:tcW w:w="3213" w:type="dxa"/>
            <w:tcBorders>
              <w:top w:val="single" w:sz="2" w:space="0" w:color="auto"/>
              <w:left w:val="single" w:sz="2" w:space="0" w:color="auto"/>
              <w:bottom w:val="single" w:sz="2" w:space="0" w:color="auto"/>
              <w:right w:val="single" w:sz="2" w:space="0" w:color="auto"/>
            </w:tcBorders>
            <w:vAlign w:val="center"/>
          </w:tcPr>
          <w:p w14:paraId="683F52E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405,530,062.59</w:t>
            </w:r>
          </w:p>
        </w:tc>
      </w:tr>
    </w:tbl>
    <w:p w14:paraId="5A20993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FA32348"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无</w:t>
      </w:r>
    </w:p>
    <w:p w14:paraId="208D5980" w14:textId="3CF37742" w:rsidR="00A46BF1" w:rsidRDefault="00F23FCC" w:rsidP="00A46BF1">
      <w:pPr>
        <w:pStyle w:val="3"/>
        <w:spacing w:line="280" w:lineRule="exact"/>
        <w:jc w:val="left"/>
        <w:rPr>
          <w:rFonts w:ascii="宋体" w:hAnsi="宋体" w:cs="宋体"/>
          <w:b/>
          <w:bCs/>
        </w:rPr>
      </w:pPr>
      <w:r>
        <w:rPr>
          <w:rFonts w:ascii="宋体" w:hAnsi="宋体" w:cs="宋体"/>
          <w:b/>
          <w:bCs/>
        </w:rPr>
        <w:t>48</w:t>
      </w:r>
      <w:r w:rsidR="00A46BF1">
        <w:rPr>
          <w:rFonts w:ascii="宋体" w:hAnsi="宋体" w:cs="宋体"/>
          <w:b/>
          <w:bCs/>
        </w:rPr>
        <w:t>、销售费用</w:t>
      </w:r>
    </w:p>
    <w:p w14:paraId="69AF3CE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333F37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2BFFC48"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3DF687"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275E81"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上期发生额</w:t>
            </w:r>
          </w:p>
        </w:tc>
      </w:tr>
      <w:tr w:rsidR="00095F6F" w14:paraId="2938CCF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DE905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C54CF4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451,379,728.75</w:t>
            </w:r>
          </w:p>
        </w:tc>
        <w:tc>
          <w:tcPr>
            <w:tcW w:w="3213" w:type="dxa"/>
            <w:tcBorders>
              <w:top w:val="single" w:sz="2" w:space="0" w:color="auto"/>
              <w:left w:val="single" w:sz="2" w:space="0" w:color="auto"/>
              <w:bottom w:val="single" w:sz="2" w:space="0" w:color="auto"/>
              <w:right w:val="single" w:sz="2" w:space="0" w:color="auto"/>
            </w:tcBorders>
            <w:vAlign w:val="center"/>
          </w:tcPr>
          <w:p w14:paraId="3CA1611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421,168,132.95</w:t>
            </w:r>
          </w:p>
        </w:tc>
      </w:tr>
      <w:tr w:rsidR="00095F6F" w14:paraId="0C522EC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04F294"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营销推广与差旅费用</w:t>
            </w:r>
          </w:p>
        </w:tc>
        <w:tc>
          <w:tcPr>
            <w:tcW w:w="3213" w:type="dxa"/>
            <w:tcBorders>
              <w:top w:val="single" w:sz="2" w:space="0" w:color="auto"/>
              <w:left w:val="single" w:sz="2" w:space="0" w:color="auto"/>
              <w:bottom w:val="single" w:sz="2" w:space="0" w:color="auto"/>
              <w:right w:val="single" w:sz="2" w:space="0" w:color="auto"/>
            </w:tcBorders>
            <w:vAlign w:val="center"/>
          </w:tcPr>
          <w:p w14:paraId="13DB0C48"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451,208,904.65</w:t>
            </w:r>
          </w:p>
        </w:tc>
        <w:tc>
          <w:tcPr>
            <w:tcW w:w="3213" w:type="dxa"/>
            <w:tcBorders>
              <w:top w:val="single" w:sz="2" w:space="0" w:color="auto"/>
              <w:left w:val="single" w:sz="2" w:space="0" w:color="auto"/>
              <w:bottom w:val="single" w:sz="2" w:space="0" w:color="auto"/>
              <w:right w:val="single" w:sz="2" w:space="0" w:color="auto"/>
            </w:tcBorders>
            <w:vAlign w:val="center"/>
          </w:tcPr>
          <w:p w14:paraId="5572EB0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441,878,413.67</w:t>
            </w:r>
          </w:p>
        </w:tc>
      </w:tr>
      <w:tr w:rsidR="00095F6F" w14:paraId="692EF7F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15BFDB4"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促销活动费</w:t>
            </w:r>
          </w:p>
        </w:tc>
        <w:tc>
          <w:tcPr>
            <w:tcW w:w="3213" w:type="dxa"/>
            <w:tcBorders>
              <w:top w:val="single" w:sz="2" w:space="0" w:color="auto"/>
              <w:left w:val="single" w:sz="2" w:space="0" w:color="auto"/>
              <w:bottom w:val="single" w:sz="2" w:space="0" w:color="auto"/>
              <w:right w:val="single" w:sz="2" w:space="0" w:color="auto"/>
            </w:tcBorders>
            <w:vAlign w:val="center"/>
          </w:tcPr>
          <w:p w14:paraId="3120BAC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107,834,035.18</w:t>
            </w:r>
          </w:p>
        </w:tc>
        <w:tc>
          <w:tcPr>
            <w:tcW w:w="3213" w:type="dxa"/>
            <w:tcBorders>
              <w:top w:val="single" w:sz="2" w:space="0" w:color="auto"/>
              <w:left w:val="single" w:sz="2" w:space="0" w:color="auto"/>
              <w:bottom w:val="single" w:sz="2" w:space="0" w:color="auto"/>
              <w:right w:val="single" w:sz="2" w:space="0" w:color="auto"/>
            </w:tcBorders>
            <w:vAlign w:val="center"/>
          </w:tcPr>
          <w:p w14:paraId="4FAB579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140,712,208.45</w:t>
            </w:r>
          </w:p>
        </w:tc>
      </w:tr>
      <w:tr w:rsidR="00095F6F" w14:paraId="6A3E194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8D60CE7"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渠道维护及售后</w:t>
            </w:r>
          </w:p>
        </w:tc>
        <w:tc>
          <w:tcPr>
            <w:tcW w:w="3213" w:type="dxa"/>
            <w:tcBorders>
              <w:top w:val="single" w:sz="2" w:space="0" w:color="auto"/>
              <w:left w:val="single" w:sz="2" w:space="0" w:color="auto"/>
              <w:bottom w:val="single" w:sz="2" w:space="0" w:color="auto"/>
              <w:right w:val="single" w:sz="2" w:space="0" w:color="auto"/>
            </w:tcBorders>
            <w:vAlign w:val="center"/>
          </w:tcPr>
          <w:p w14:paraId="16B9BBE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90,723,226.85</w:t>
            </w:r>
          </w:p>
        </w:tc>
        <w:tc>
          <w:tcPr>
            <w:tcW w:w="3213" w:type="dxa"/>
            <w:tcBorders>
              <w:top w:val="single" w:sz="2" w:space="0" w:color="auto"/>
              <w:left w:val="single" w:sz="2" w:space="0" w:color="auto"/>
              <w:bottom w:val="single" w:sz="2" w:space="0" w:color="auto"/>
              <w:right w:val="single" w:sz="2" w:space="0" w:color="auto"/>
            </w:tcBorders>
            <w:vAlign w:val="center"/>
          </w:tcPr>
          <w:p w14:paraId="6E6B744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67,170,838.06</w:t>
            </w:r>
          </w:p>
        </w:tc>
      </w:tr>
      <w:tr w:rsidR="00095F6F" w14:paraId="4BFE7D7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D584DF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商务服务费</w:t>
            </w:r>
          </w:p>
        </w:tc>
        <w:tc>
          <w:tcPr>
            <w:tcW w:w="3213" w:type="dxa"/>
            <w:tcBorders>
              <w:top w:val="single" w:sz="2" w:space="0" w:color="auto"/>
              <w:left w:val="single" w:sz="2" w:space="0" w:color="auto"/>
              <w:bottom w:val="single" w:sz="2" w:space="0" w:color="auto"/>
              <w:right w:val="single" w:sz="2" w:space="0" w:color="auto"/>
            </w:tcBorders>
            <w:vAlign w:val="center"/>
          </w:tcPr>
          <w:p w14:paraId="3FB4969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50,909,257.58</w:t>
            </w:r>
          </w:p>
        </w:tc>
        <w:tc>
          <w:tcPr>
            <w:tcW w:w="3213" w:type="dxa"/>
            <w:tcBorders>
              <w:top w:val="single" w:sz="2" w:space="0" w:color="auto"/>
              <w:left w:val="single" w:sz="2" w:space="0" w:color="auto"/>
              <w:bottom w:val="single" w:sz="2" w:space="0" w:color="auto"/>
              <w:right w:val="single" w:sz="2" w:space="0" w:color="auto"/>
            </w:tcBorders>
            <w:vAlign w:val="center"/>
          </w:tcPr>
          <w:p w14:paraId="0E02C56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17,221,928.47</w:t>
            </w:r>
          </w:p>
        </w:tc>
      </w:tr>
      <w:tr w:rsidR="00095F6F" w14:paraId="45F155D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83C47ED"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办公相关费用</w:t>
            </w:r>
          </w:p>
        </w:tc>
        <w:tc>
          <w:tcPr>
            <w:tcW w:w="3213" w:type="dxa"/>
            <w:tcBorders>
              <w:top w:val="single" w:sz="2" w:space="0" w:color="auto"/>
              <w:left w:val="single" w:sz="2" w:space="0" w:color="auto"/>
              <w:bottom w:val="single" w:sz="2" w:space="0" w:color="auto"/>
              <w:right w:val="single" w:sz="2" w:space="0" w:color="auto"/>
            </w:tcBorders>
            <w:vAlign w:val="center"/>
          </w:tcPr>
          <w:p w14:paraId="2BA0110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27,899,882.05</w:t>
            </w:r>
          </w:p>
        </w:tc>
        <w:tc>
          <w:tcPr>
            <w:tcW w:w="3213" w:type="dxa"/>
            <w:tcBorders>
              <w:top w:val="single" w:sz="2" w:space="0" w:color="auto"/>
              <w:left w:val="single" w:sz="2" w:space="0" w:color="auto"/>
              <w:bottom w:val="single" w:sz="2" w:space="0" w:color="auto"/>
              <w:right w:val="single" w:sz="2" w:space="0" w:color="auto"/>
            </w:tcBorders>
            <w:vAlign w:val="center"/>
          </w:tcPr>
          <w:p w14:paraId="36BA5A1D"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36,187,259.60</w:t>
            </w:r>
          </w:p>
        </w:tc>
      </w:tr>
      <w:tr w:rsidR="00095F6F" w14:paraId="3B5352C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201979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折旧摊销费用</w:t>
            </w:r>
          </w:p>
        </w:tc>
        <w:tc>
          <w:tcPr>
            <w:tcW w:w="3213" w:type="dxa"/>
            <w:tcBorders>
              <w:top w:val="single" w:sz="2" w:space="0" w:color="auto"/>
              <w:left w:val="single" w:sz="2" w:space="0" w:color="auto"/>
              <w:bottom w:val="single" w:sz="2" w:space="0" w:color="auto"/>
              <w:right w:val="single" w:sz="2" w:space="0" w:color="auto"/>
            </w:tcBorders>
            <w:vAlign w:val="center"/>
          </w:tcPr>
          <w:p w14:paraId="0221EBE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26,090,410.73</w:t>
            </w:r>
          </w:p>
        </w:tc>
        <w:tc>
          <w:tcPr>
            <w:tcW w:w="3213" w:type="dxa"/>
            <w:tcBorders>
              <w:top w:val="single" w:sz="2" w:space="0" w:color="auto"/>
              <w:left w:val="single" w:sz="2" w:space="0" w:color="auto"/>
              <w:bottom w:val="single" w:sz="2" w:space="0" w:color="auto"/>
              <w:right w:val="single" w:sz="2" w:space="0" w:color="auto"/>
            </w:tcBorders>
            <w:vAlign w:val="center"/>
          </w:tcPr>
          <w:p w14:paraId="6A64BC0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24,034,240.52</w:t>
            </w:r>
          </w:p>
        </w:tc>
      </w:tr>
      <w:tr w:rsidR="00095F6F" w14:paraId="4005993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A2D35A1"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会议及培训相关费用</w:t>
            </w:r>
          </w:p>
        </w:tc>
        <w:tc>
          <w:tcPr>
            <w:tcW w:w="3213" w:type="dxa"/>
            <w:tcBorders>
              <w:top w:val="single" w:sz="2" w:space="0" w:color="auto"/>
              <w:left w:val="single" w:sz="2" w:space="0" w:color="auto"/>
              <w:bottom w:val="single" w:sz="2" w:space="0" w:color="auto"/>
              <w:right w:val="single" w:sz="2" w:space="0" w:color="auto"/>
            </w:tcBorders>
            <w:vAlign w:val="center"/>
          </w:tcPr>
          <w:p w14:paraId="736F222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22,483,548.50</w:t>
            </w:r>
          </w:p>
        </w:tc>
        <w:tc>
          <w:tcPr>
            <w:tcW w:w="3213" w:type="dxa"/>
            <w:tcBorders>
              <w:top w:val="single" w:sz="2" w:space="0" w:color="auto"/>
              <w:left w:val="single" w:sz="2" w:space="0" w:color="auto"/>
              <w:bottom w:val="single" w:sz="2" w:space="0" w:color="auto"/>
              <w:right w:val="single" w:sz="2" w:space="0" w:color="auto"/>
            </w:tcBorders>
            <w:vAlign w:val="center"/>
          </w:tcPr>
          <w:p w14:paraId="097E02A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18,318,847.75</w:t>
            </w:r>
          </w:p>
        </w:tc>
      </w:tr>
      <w:tr w:rsidR="00095F6F" w14:paraId="2C0DC20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FCB7FD9"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招待费</w:t>
            </w:r>
          </w:p>
        </w:tc>
        <w:tc>
          <w:tcPr>
            <w:tcW w:w="3213" w:type="dxa"/>
            <w:tcBorders>
              <w:top w:val="single" w:sz="2" w:space="0" w:color="auto"/>
              <w:left w:val="single" w:sz="2" w:space="0" w:color="auto"/>
              <w:bottom w:val="single" w:sz="2" w:space="0" w:color="auto"/>
              <w:right w:val="single" w:sz="2" w:space="0" w:color="auto"/>
            </w:tcBorders>
            <w:vAlign w:val="center"/>
          </w:tcPr>
          <w:p w14:paraId="3CF4B213"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10,284,553.05</w:t>
            </w:r>
          </w:p>
        </w:tc>
        <w:tc>
          <w:tcPr>
            <w:tcW w:w="3213" w:type="dxa"/>
            <w:tcBorders>
              <w:top w:val="single" w:sz="2" w:space="0" w:color="auto"/>
              <w:left w:val="single" w:sz="2" w:space="0" w:color="auto"/>
              <w:bottom w:val="single" w:sz="2" w:space="0" w:color="auto"/>
              <w:right w:val="single" w:sz="2" w:space="0" w:color="auto"/>
            </w:tcBorders>
            <w:vAlign w:val="center"/>
          </w:tcPr>
          <w:p w14:paraId="126061B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9,709,338.24</w:t>
            </w:r>
          </w:p>
        </w:tc>
      </w:tr>
      <w:tr w:rsidR="00095F6F" w14:paraId="1B793A8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DDEF0D6"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通讯交通费</w:t>
            </w:r>
          </w:p>
        </w:tc>
        <w:tc>
          <w:tcPr>
            <w:tcW w:w="3213" w:type="dxa"/>
            <w:tcBorders>
              <w:top w:val="single" w:sz="2" w:space="0" w:color="auto"/>
              <w:left w:val="single" w:sz="2" w:space="0" w:color="auto"/>
              <w:bottom w:val="single" w:sz="2" w:space="0" w:color="auto"/>
              <w:right w:val="single" w:sz="2" w:space="0" w:color="auto"/>
            </w:tcBorders>
            <w:vAlign w:val="center"/>
          </w:tcPr>
          <w:p w14:paraId="2CCA28B2"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9,859,704.83</w:t>
            </w:r>
          </w:p>
        </w:tc>
        <w:tc>
          <w:tcPr>
            <w:tcW w:w="3213" w:type="dxa"/>
            <w:tcBorders>
              <w:top w:val="single" w:sz="2" w:space="0" w:color="auto"/>
              <w:left w:val="single" w:sz="2" w:space="0" w:color="auto"/>
              <w:bottom w:val="single" w:sz="2" w:space="0" w:color="auto"/>
              <w:right w:val="single" w:sz="2" w:space="0" w:color="auto"/>
            </w:tcBorders>
            <w:vAlign w:val="center"/>
          </w:tcPr>
          <w:p w14:paraId="6287FE2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6,497,185.03</w:t>
            </w:r>
          </w:p>
        </w:tc>
      </w:tr>
      <w:tr w:rsidR="00095F6F" w14:paraId="316BBFF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4A600FF"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租赁费</w:t>
            </w:r>
          </w:p>
        </w:tc>
        <w:tc>
          <w:tcPr>
            <w:tcW w:w="3213" w:type="dxa"/>
            <w:tcBorders>
              <w:top w:val="single" w:sz="2" w:space="0" w:color="auto"/>
              <w:left w:val="single" w:sz="2" w:space="0" w:color="auto"/>
              <w:bottom w:val="single" w:sz="2" w:space="0" w:color="auto"/>
              <w:right w:val="single" w:sz="2" w:space="0" w:color="auto"/>
            </w:tcBorders>
            <w:vAlign w:val="center"/>
          </w:tcPr>
          <w:p w14:paraId="3F80FFE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5,360,732.22</w:t>
            </w:r>
          </w:p>
        </w:tc>
        <w:tc>
          <w:tcPr>
            <w:tcW w:w="3213" w:type="dxa"/>
            <w:tcBorders>
              <w:top w:val="single" w:sz="2" w:space="0" w:color="auto"/>
              <w:left w:val="single" w:sz="2" w:space="0" w:color="auto"/>
              <w:bottom w:val="single" w:sz="2" w:space="0" w:color="auto"/>
              <w:right w:val="single" w:sz="2" w:space="0" w:color="auto"/>
            </w:tcBorders>
            <w:vAlign w:val="center"/>
          </w:tcPr>
          <w:p w14:paraId="52E6A693"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5,919,727.67</w:t>
            </w:r>
          </w:p>
        </w:tc>
      </w:tr>
      <w:tr w:rsidR="00095F6F" w14:paraId="6017263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3EA12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69B9EBD3"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4,267,490.60</w:t>
            </w:r>
          </w:p>
        </w:tc>
        <w:tc>
          <w:tcPr>
            <w:tcW w:w="3213" w:type="dxa"/>
            <w:tcBorders>
              <w:top w:val="single" w:sz="2" w:space="0" w:color="auto"/>
              <w:left w:val="single" w:sz="2" w:space="0" w:color="auto"/>
              <w:bottom w:val="single" w:sz="2" w:space="0" w:color="auto"/>
              <w:right w:val="single" w:sz="2" w:space="0" w:color="auto"/>
            </w:tcBorders>
            <w:vAlign w:val="center"/>
          </w:tcPr>
          <w:p w14:paraId="1C98EB8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2,956,471.36</w:t>
            </w:r>
          </w:p>
        </w:tc>
      </w:tr>
      <w:tr w:rsidR="00095F6F" w14:paraId="5D5F1C2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160359C"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2F58733"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1,258,301,474.99</w:t>
            </w:r>
          </w:p>
        </w:tc>
        <w:tc>
          <w:tcPr>
            <w:tcW w:w="3213" w:type="dxa"/>
            <w:tcBorders>
              <w:top w:val="single" w:sz="2" w:space="0" w:color="auto"/>
              <w:left w:val="single" w:sz="2" w:space="0" w:color="auto"/>
              <w:bottom w:val="single" w:sz="2" w:space="0" w:color="auto"/>
              <w:right w:val="single" w:sz="2" w:space="0" w:color="auto"/>
            </w:tcBorders>
            <w:vAlign w:val="center"/>
          </w:tcPr>
          <w:p w14:paraId="60508E1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1,191,774,591.77</w:t>
            </w:r>
          </w:p>
        </w:tc>
      </w:tr>
    </w:tbl>
    <w:p w14:paraId="60F0DCC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3531737"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无</w:t>
      </w:r>
    </w:p>
    <w:p w14:paraId="75AE46AF" w14:textId="6D0C7D5C" w:rsidR="00A46BF1" w:rsidRDefault="00F23FCC" w:rsidP="00A46BF1">
      <w:pPr>
        <w:pStyle w:val="3"/>
        <w:spacing w:line="280" w:lineRule="exact"/>
        <w:jc w:val="left"/>
        <w:rPr>
          <w:rFonts w:ascii="宋体" w:hAnsi="宋体" w:cs="宋体"/>
          <w:b/>
          <w:bCs/>
        </w:rPr>
      </w:pPr>
      <w:r>
        <w:rPr>
          <w:rFonts w:ascii="宋体" w:hAnsi="宋体" w:cs="宋体"/>
          <w:b/>
          <w:bCs/>
        </w:rPr>
        <w:t>49</w:t>
      </w:r>
      <w:r w:rsidR="00A46BF1">
        <w:rPr>
          <w:rFonts w:ascii="宋体" w:hAnsi="宋体" w:cs="宋体"/>
          <w:b/>
          <w:bCs/>
        </w:rPr>
        <w:t>、研发费用</w:t>
      </w:r>
    </w:p>
    <w:p w14:paraId="39DAA022"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6F2031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33E1C3C"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0CDE224"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696FB3"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上期发生额</w:t>
            </w:r>
          </w:p>
        </w:tc>
      </w:tr>
      <w:tr w:rsidR="00095F6F" w14:paraId="08A82E0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E239B26"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7703CDD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140,028,343.41</w:t>
            </w:r>
          </w:p>
        </w:tc>
        <w:tc>
          <w:tcPr>
            <w:tcW w:w="3213" w:type="dxa"/>
            <w:tcBorders>
              <w:top w:val="single" w:sz="2" w:space="0" w:color="auto"/>
              <w:left w:val="single" w:sz="2" w:space="0" w:color="auto"/>
              <w:bottom w:val="single" w:sz="2" w:space="0" w:color="auto"/>
              <w:right w:val="single" w:sz="2" w:space="0" w:color="auto"/>
            </w:tcBorders>
            <w:vAlign w:val="center"/>
          </w:tcPr>
          <w:p w14:paraId="67FC33B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157,320,952.28</w:t>
            </w:r>
          </w:p>
        </w:tc>
      </w:tr>
      <w:tr w:rsidR="00095F6F" w14:paraId="4085FB6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A19B605"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专利申请及中介费</w:t>
            </w:r>
          </w:p>
        </w:tc>
        <w:tc>
          <w:tcPr>
            <w:tcW w:w="3213" w:type="dxa"/>
            <w:tcBorders>
              <w:top w:val="single" w:sz="2" w:space="0" w:color="auto"/>
              <w:left w:val="single" w:sz="2" w:space="0" w:color="auto"/>
              <w:bottom w:val="single" w:sz="2" w:space="0" w:color="auto"/>
              <w:right w:val="single" w:sz="2" w:space="0" w:color="auto"/>
            </w:tcBorders>
            <w:vAlign w:val="center"/>
          </w:tcPr>
          <w:p w14:paraId="7768C032"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36,634,281.64</w:t>
            </w:r>
          </w:p>
        </w:tc>
        <w:tc>
          <w:tcPr>
            <w:tcW w:w="3213" w:type="dxa"/>
            <w:tcBorders>
              <w:top w:val="single" w:sz="2" w:space="0" w:color="auto"/>
              <w:left w:val="single" w:sz="2" w:space="0" w:color="auto"/>
              <w:bottom w:val="single" w:sz="2" w:space="0" w:color="auto"/>
              <w:right w:val="single" w:sz="2" w:space="0" w:color="auto"/>
            </w:tcBorders>
            <w:vAlign w:val="center"/>
          </w:tcPr>
          <w:p w14:paraId="08A22AF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55,319,857.29</w:t>
            </w:r>
          </w:p>
        </w:tc>
      </w:tr>
      <w:tr w:rsidR="00095F6F" w14:paraId="67F79F0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227C8FF"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折旧摊销费</w:t>
            </w:r>
          </w:p>
        </w:tc>
        <w:tc>
          <w:tcPr>
            <w:tcW w:w="3213" w:type="dxa"/>
            <w:tcBorders>
              <w:top w:val="single" w:sz="2" w:space="0" w:color="auto"/>
              <w:left w:val="single" w:sz="2" w:space="0" w:color="auto"/>
              <w:bottom w:val="single" w:sz="2" w:space="0" w:color="auto"/>
              <w:right w:val="single" w:sz="2" w:space="0" w:color="auto"/>
            </w:tcBorders>
            <w:vAlign w:val="center"/>
          </w:tcPr>
          <w:p w14:paraId="3B56BEE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28,762,550.04</w:t>
            </w:r>
          </w:p>
        </w:tc>
        <w:tc>
          <w:tcPr>
            <w:tcW w:w="3213" w:type="dxa"/>
            <w:tcBorders>
              <w:top w:val="single" w:sz="2" w:space="0" w:color="auto"/>
              <w:left w:val="single" w:sz="2" w:space="0" w:color="auto"/>
              <w:bottom w:val="single" w:sz="2" w:space="0" w:color="auto"/>
              <w:right w:val="single" w:sz="2" w:space="0" w:color="auto"/>
            </w:tcBorders>
            <w:vAlign w:val="center"/>
          </w:tcPr>
          <w:p w14:paraId="09E726E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30,865,770.44</w:t>
            </w:r>
          </w:p>
        </w:tc>
      </w:tr>
      <w:tr w:rsidR="00095F6F" w14:paraId="298CD83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F2F176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材料费</w:t>
            </w:r>
          </w:p>
        </w:tc>
        <w:tc>
          <w:tcPr>
            <w:tcW w:w="3213" w:type="dxa"/>
            <w:tcBorders>
              <w:top w:val="single" w:sz="2" w:space="0" w:color="auto"/>
              <w:left w:val="single" w:sz="2" w:space="0" w:color="auto"/>
              <w:bottom w:val="single" w:sz="2" w:space="0" w:color="auto"/>
              <w:right w:val="single" w:sz="2" w:space="0" w:color="auto"/>
            </w:tcBorders>
            <w:vAlign w:val="center"/>
          </w:tcPr>
          <w:p w14:paraId="6CA25A08"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25,533,577.43</w:t>
            </w:r>
          </w:p>
        </w:tc>
        <w:tc>
          <w:tcPr>
            <w:tcW w:w="3213" w:type="dxa"/>
            <w:tcBorders>
              <w:top w:val="single" w:sz="2" w:space="0" w:color="auto"/>
              <w:left w:val="single" w:sz="2" w:space="0" w:color="auto"/>
              <w:bottom w:val="single" w:sz="2" w:space="0" w:color="auto"/>
              <w:right w:val="single" w:sz="2" w:space="0" w:color="auto"/>
            </w:tcBorders>
            <w:vAlign w:val="center"/>
          </w:tcPr>
          <w:p w14:paraId="2B64CFE8"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41,936,739.57</w:t>
            </w:r>
          </w:p>
        </w:tc>
      </w:tr>
      <w:tr w:rsidR="00095F6F" w14:paraId="7CC541E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93F0CC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测试服务费</w:t>
            </w:r>
          </w:p>
        </w:tc>
        <w:tc>
          <w:tcPr>
            <w:tcW w:w="3213" w:type="dxa"/>
            <w:tcBorders>
              <w:top w:val="single" w:sz="2" w:space="0" w:color="auto"/>
              <w:left w:val="single" w:sz="2" w:space="0" w:color="auto"/>
              <w:bottom w:val="single" w:sz="2" w:space="0" w:color="auto"/>
              <w:right w:val="single" w:sz="2" w:space="0" w:color="auto"/>
            </w:tcBorders>
            <w:vAlign w:val="center"/>
          </w:tcPr>
          <w:p w14:paraId="02DAEBC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15,489,800.95</w:t>
            </w:r>
          </w:p>
        </w:tc>
        <w:tc>
          <w:tcPr>
            <w:tcW w:w="3213" w:type="dxa"/>
            <w:tcBorders>
              <w:top w:val="single" w:sz="2" w:space="0" w:color="auto"/>
              <w:left w:val="single" w:sz="2" w:space="0" w:color="auto"/>
              <w:bottom w:val="single" w:sz="2" w:space="0" w:color="auto"/>
              <w:right w:val="single" w:sz="2" w:space="0" w:color="auto"/>
            </w:tcBorders>
            <w:vAlign w:val="center"/>
          </w:tcPr>
          <w:p w14:paraId="2393893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56,612,398.40</w:t>
            </w:r>
          </w:p>
        </w:tc>
      </w:tr>
      <w:tr w:rsidR="00095F6F" w14:paraId="0C76717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8B63D2A"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办公相关费用</w:t>
            </w:r>
          </w:p>
        </w:tc>
        <w:tc>
          <w:tcPr>
            <w:tcW w:w="3213" w:type="dxa"/>
            <w:tcBorders>
              <w:top w:val="single" w:sz="2" w:space="0" w:color="auto"/>
              <w:left w:val="single" w:sz="2" w:space="0" w:color="auto"/>
              <w:bottom w:val="single" w:sz="2" w:space="0" w:color="auto"/>
              <w:right w:val="single" w:sz="2" w:space="0" w:color="auto"/>
            </w:tcBorders>
            <w:vAlign w:val="center"/>
          </w:tcPr>
          <w:p w14:paraId="22553C1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9,747,618.80</w:t>
            </w:r>
          </w:p>
        </w:tc>
        <w:tc>
          <w:tcPr>
            <w:tcW w:w="3213" w:type="dxa"/>
            <w:tcBorders>
              <w:top w:val="single" w:sz="2" w:space="0" w:color="auto"/>
              <w:left w:val="single" w:sz="2" w:space="0" w:color="auto"/>
              <w:bottom w:val="single" w:sz="2" w:space="0" w:color="auto"/>
              <w:right w:val="single" w:sz="2" w:space="0" w:color="auto"/>
            </w:tcBorders>
            <w:vAlign w:val="center"/>
          </w:tcPr>
          <w:p w14:paraId="3AF005C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8,990,323.84</w:t>
            </w:r>
          </w:p>
        </w:tc>
      </w:tr>
      <w:tr w:rsidR="00095F6F" w14:paraId="7D3021C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EB196D"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注册代理费</w:t>
            </w:r>
          </w:p>
        </w:tc>
        <w:tc>
          <w:tcPr>
            <w:tcW w:w="3213" w:type="dxa"/>
            <w:tcBorders>
              <w:top w:val="single" w:sz="2" w:space="0" w:color="auto"/>
              <w:left w:val="single" w:sz="2" w:space="0" w:color="auto"/>
              <w:bottom w:val="single" w:sz="2" w:space="0" w:color="auto"/>
              <w:right w:val="single" w:sz="2" w:space="0" w:color="auto"/>
            </w:tcBorders>
            <w:vAlign w:val="center"/>
          </w:tcPr>
          <w:p w14:paraId="6B3B378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5,027,213.46</w:t>
            </w:r>
          </w:p>
        </w:tc>
        <w:tc>
          <w:tcPr>
            <w:tcW w:w="3213" w:type="dxa"/>
            <w:tcBorders>
              <w:top w:val="single" w:sz="2" w:space="0" w:color="auto"/>
              <w:left w:val="single" w:sz="2" w:space="0" w:color="auto"/>
              <w:bottom w:val="single" w:sz="2" w:space="0" w:color="auto"/>
              <w:right w:val="single" w:sz="2" w:space="0" w:color="auto"/>
            </w:tcBorders>
            <w:vAlign w:val="center"/>
          </w:tcPr>
          <w:p w14:paraId="59CEE49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5,166,445.37</w:t>
            </w:r>
          </w:p>
        </w:tc>
      </w:tr>
      <w:tr w:rsidR="00095F6F" w14:paraId="3E41D18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CDCEEA8"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模具费</w:t>
            </w:r>
          </w:p>
        </w:tc>
        <w:tc>
          <w:tcPr>
            <w:tcW w:w="3213" w:type="dxa"/>
            <w:tcBorders>
              <w:top w:val="single" w:sz="2" w:space="0" w:color="auto"/>
              <w:left w:val="single" w:sz="2" w:space="0" w:color="auto"/>
              <w:bottom w:val="single" w:sz="2" w:space="0" w:color="auto"/>
              <w:right w:val="single" w:sz="2" w:space="0" w:color="auto"/>
            </w:tcBorders>
            <w:vAlign w:val="center"/>
          </w:tcPr>
          <w:p w14:paraId="32BC5E9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4,943,039.47</w:t>
            </w:r>
          </w:p>
        </w:tc>
        <w:tc>
          <w:tcPr>
            <w:tcW w:w="3213" w:type="dxa"/>
            <w:tcBorders>
              <w:top w:val="single" w:sz="2" w:space="0" w:color="auto"/>
              <w:left w:val="single" w:sz="2" w:space="0" w:color="auto"/>
              <w:bottom w:val="single" w:sz="2" w:space="0" w:color="auto"/>
              <w:right w:val="single" w:sz="2" w:space="0" w:color="auto"/>
            </w:tcBorders>
            <w:vAlign w:val="center"/>
          </w:tcPr>
          <w:p w14:paraId="7F85FCED"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6,573,298.45</w:t>
            </w:r>
          </w:p>
        </w:tc>
      </w:tr>
      <w:tr w:rsidR="00095F6F" w14:paraId="6D7D732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0C8521D"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6002F88D"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3,941,127.90</w:t>
            </w:r>
          </w:p>
        </w:tc>
        <w:tc>
          <w:tcPr>
            <w:tcW w:w="3213" w:type="dxa"/>
            <w:tcBorders>
              <w:top w:val="single" w:sz="2" w:space="0" w:color="auto"/>
              <w:left w:val="single" w:sz="2" w:space="0" w:color="auto"/>
              <w:bottom w:val="single" w:sz="2" w:space="0" w:color="auto"/>
              <w:right w:val="single" w:sz="2" w:space="0" w:color="auto"/>
            </w:tcBorders>
            <w:vAlign w:val="center"/>
          </w:tcPr>
          <w:p w14:paraId="6D06272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5,622,997.13</w:t>
            </w:r>
          </w:p>
        </w:tc>
      </w:tr>
      <w:tr w:rsidR="00095F6F" w14:paraId="7240996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6532F48"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2049D0F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4,523,556.36</w:t>
            </w:r>
          </w:p>
        </w:tc>
        <w:tc>
          <w:tcPr>
            <w:tcW w:w="3213" w:type="dxa"/>
            <w:tcBorders>
              <w:top w:val="single" w:sz="2" w:space="0" w:color="auto"/>
              <w:left w:val="single" w:sz="2" w:space="0" w:color="auto"/>
              <w:bottom w:val="single" w:sz="2" w:space="0" w:color="auto"/>
              <w:right w:val="single" w:sz="2" w:space="0" w:color="auto"/>
            </w:tcBorders>
            <w:vAlign w:val="center"/>
          </w:tcPr>
          <w:p w14:paraId="4AE3996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6,588,889.66</w:t>
            </w:r>
          </w:p>
        </w:tc>
      </w:tr>
      <w:tr w:rsidR="00095F6F" w14:paraId="3AE4F65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F32BCF1"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8873AE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274,631,109.46</w:t>
            </w:r>
          </w:p>
        </w:tc>
        <w:tc>
          <w:tcPr>
            <w:tcW w:w="3213" w:type="dxa"/>
            <w:tcBorders>
              <w:top w:val="single" w:sz="2" w:space="0" w:color="auto"/>
              <w:left w:val="single" w:sz="2" w:space="0" w:color="auto"/>
              <w:bottom w:val="single" w:sz="2" w:space="0" w:color="auto"/>
              <w:right w:val="single" w:sz="2" w:space="0" w:color="auto"/>
            </w:tcBorders>
            <w:vAlign w:val="center"/>
          </w:tcPr>
          <w:p w14:paraId="26EC539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374,997,672.43</w:t>
            </w:r>
          </w:p>
        </w:tc>
      </w:tr>
    </w:tbl>
    <w:p w14:paraId="543445A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4607EA4"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无</w:t>
      </w:r>
    </w:p>
    <w:p w14:paraId="34E74028" w14:textId="4BAA6E16" w:rsidR="00A46BF1" w:rsidRDefault="00A46BF1" w:rsidP="00A46BF1">
      <w:pPr>
        <w:pStyle w:val="3"/>
        <w:spacing w:line="280" w:lineRule="exact"/>
        <w:jc w:val="left"/>
        <w:rPr>
          <w:rFonts w:ascii="宋体" w:hAnsi="宋体" w:cs="宋体"/>
          <w:b/>
          <w:bCs/>
        </w:rPr>
      </w:pPr>
      <w:r>
        <w:rPr>
          <w:rFonts w:ascii="宋体" w:hAnsi="宋体" w:cs="宋体"/>
          <w:b/>
          <w:bCs/>
        </w:rPr>
        <w:t>5</w:t>
      </w:r>
      <w:r w:rsidR="00F23FCC">
        <w:rPr>
          <w:rFonts w:ascii="宋体" w:hAnsi="宋体" w:cs="宋体"/>
          <w:b/>
          <w:bCs/>
        </w:rPr>
        <w:t>0</w:t>
      </w:r>
      <w:r>
        <w:rPr>
          <w:rFonts w:ascii="宋体" w:hAnsi="宋体" w:cs="宋体"/>
          <w:b/>
          <w:bCs/>
        </w:rPr>
        <w:t>、财务费用</w:t>
      </w:r>
    </w:p>
    <w:p w14:paraId="26950BA2"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3853A4C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EC1C2B"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01810E"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C0AAFC"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上期发生额</w:t>
            </w:r>
          </w:p>
        </w:tc>
      </w:tr>
      <w:tr w:rsidR="00095F6F" w14:paraId="2940F75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EF2F1DD"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利息费用</w:t>
            </w:r>
          </w:p>
        </w:tc>
        <w:tc>
          <w:tcPr>
            <w:tcW w:w="3213" w:type="dxa"/>
            <w:tcBorders>
              <w:top w:val="single" w:sz="2" w:space="0" w:color="auto"/>
              <w:left w:val="single" w:sz="2" w:space="0" w:color="auto"/>
              <w:bottom w:val="single" w:sz="2" w:space="0" w:color="auto"/>
              <w:right w:val="single" w:sz="2" w:space="0" w:color="auto"/>
            </w:tcBorders>
            <w:vAlign w:val="center"/>
          </w:tcPr>
          <w:p w14:paraId="3935779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38,881,795.30</w:t>
            </w:r>
          </w:p>
        </w:tc>
        <w:tc>
          <w:tcPr>
            <w:tcW w:w="3213" w:type="dxa"/>
            <w:tcBorders>
              <w:top w:val="single" w:sz="2" w:space="0" w:color="auto"/>
              <w:left w:val="single" w:sz="2" w:space="0" w:color="auto"/>
              <w:bottom w:val="single" w:sz="2" w:space="0" w:color="auto"/>
              <w:right w:val="single" w:sz="2" w:space="0" w:color="auto"/>
            </w:tcBorders>
            <w:vAlign w:val="center"/>
          </w:tcPr>
          <w:p w14:paraId="5338A5B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47,465,477.96</w:t>
            </w:r>
          </w:p>
        </w:tc>
      </w:tr>
      <w:tr w:rsidR="00095F6F" w14:paraId="5CA89B7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8A52087"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减：利息收入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61DD9808"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21,556,449.10</w:t>
            </w:r>
          </w:p>
        </w:tc>
        <w:tc>
          <w:tcPr>
            <w:tcW w:w="3213" w:type="dxa"/>
            <w:tcBorders>
              <w:top w:val="single" w:sz="2" w:space="0" w:color="auto"/>
              <w:left w:val="single" w:sz="2" w:space="0" w:color="auto"/>
              <w:bottom w:val="single" w:sz="2" w:space="0" w:color="auto"/>
              <w:right w:val="single" w:sz="2" w:space="0" w:color="auto"/>
            </w:tcBorders>
            <w:vAlign w:val="center"/>
          </w:tcPr>
          <w:p w14:paraId="0D1E659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20,506,208.52</w:t>
            </w:r>
          </w:p>
        </w:tc>
      </w:tr>
      <w:tr w:rsidR="00095F6F" w14:paraId="07FC603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D53B5F3"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加：汇兑损益</w:t>
            </w:r>
          </w:p>
        </w:tc>
        <w:tc>
          <w:tcPr>
            <w:tcW w:w="3213" w:type="dxa"/>
            <w:tcBorders>
              <w:top w:val="single" w:sz="2" w:space="0" w:color="auto"/>
              <w:left w:val="single" w:sz="2" w:space="0" w:color="auto"/>
              <w:bottom w:val="single" w:sz="2" w:space="0" w:color="auto"/>
              <w:right w:val="single" w:sz="2" w:space="0" w:color="auto"/>
            </w:tcBorders>
            <w:vAlign w:val="center"/>
          </w:tcPr>
          <w:p w14:paraId="7F78042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12,587,152.49</w:t>
            </w:r>
          </w:p>
        </w:tc>
        <w:tc>
          <w:tcPr>
            <w:tcW w:w="3213" w:type="dxa"/>
            <w:tcBorders>
              <w:top w:val="single" w:sz="2" w:space="0" w:color="auto"/>
              <w:left w:val="single" w:sz="2" w:space="0" w:color="auto"/>
              <w:bottom w:val="single" w:sz="2" w:space="0" w:color="auto"/>
              <w:right w:val="single" w:sz="2" w:space="0" w:color="auto"/>
            </w:tcBorders>
            <w:vAlign w:val="center"/>
          </w:tcPr>
          <w:p w14:paraId="3A43C34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-12,317,489.82</w:t>
            </w:r>
          </w:p>
        </w:tc>
      </w:tr>
      <w:tr w:rsidR="00095F6F" w14:paraId="46563DD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C61926D"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 xml:space="preserve">    </w:t>
            </w:r>
            <w:r w:rsidRPr="00F23FCC">
              <w:rPr>
                <w:rFonts w:ascii="Times New Roman" w:eastAsia="宋体" w:hAnsi="Times New Roman" w:cs="Times New Roman"/>
                <w:sz w:val="18"/>
                <w:szCs w:val="18"/>
              </w:rPr>
              <w:t>其他支出</w:t>
            </w:r>
          </w:p>
        </w:tc>
        <w:tc>
          <w:tcPr>
            <w:tcW w:w="3213" w:type="dxa"/>
            <w:tcBorders>
              <w:top w:val="single" w:sz="2" w:space="0" w:color="auto"/>
              <w:left w:val="single" w:sz="2" w:space="0" w:color="auto"/>
              <w:bottom w:val="single" w:sz="2" w:space="0" w:color="auto"/>
              <w:right w:val="single" w:sz="2" w:space="0" w:color="auto"/>
            </w:tcBorders>
            <w:vAlign w:val="center"/>
          </w:tcPr>
          <w:p w14:paraId="163B084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5,254,628.60</w:t>
            </w:r>
          </w:p>
        </w:tc>
        <w:tc>
          <w:tcPr>
            <w:tcW w:w="3213" w:type="dxa"/>
            <w:tcBorders>
              <w:top w:val="single" w:sz="2" w:space="0" w:color="auto"/>
              <w:left w:val="single" w:sz="2" w:space="0" w:color="auto"/>
              <w:bottom w:val="single" w:sz="2" w:space="0" w:color="auto"/>
              <w:right w:val="single" w:sz="2" w:space="0" w:color="auto"/>
            </w:tcBorders>
            <w:vAlign w:val="center"/>
          </w:tcPr>
          <w:p w14:paraId="71B9A432"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5,430,435.35</w:t>
            </w:r>
          </w:p>
        </w:tc>
      </w:tr>
      <w:tr w:rsidR="00095F6F" w14:paraId="36CF093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F755D9" w14:textId="77777777" w:rsidR="00A46BF1" w:rsidRPr="00F23FCC" w:rsidRDefault="00A46BF1" w:rsidP="00F23FCC">
            <w:pPr>
              <w:spacing w:before="40" w:after="40"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4A5410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35,167,127.29</w:t>
            </w:r>
          </w:p>
        </w:tc>
        <w:tc>
          <w:tcPr>
            <w:tcW w:w="3213" w:type="dxa"/>
            <w:tcBorders>
              <w:top w:val="single" w:sz="2" w:space="0" w:color="auto"/>
              <w:left w:val="single" w:sz="2" w:space="0" w:color="auto"/>
              <w:bottom w:val="single" w:sz="2" w:space="0" w:color="auto"/>
              <w:right w:val="single" w:sz="2" w:space="0" w:color="auto"/>
            </w:tcBorders>
            <w:vAlign w:val="center"/>
          </w:tcPr>
          <w:p w14:paraId="52BC38D4"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20,072,214.97</w:t>
            </w:r>
          </w:p>
        </w:tc>
      </w:tr>
    </w:tbl>
    <w:p w14:paraId="4D477D9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AAAA2C3" w14:textId="77777777" w:rsidR="00A46BF1" w:rsidRPr="00F23FCC" w:rsidRDefault="00A46BF1" w:rsidP="00F23FCC">
      <w:pPr>
        <w:spacing w:before="100" w:after="100" w:line="240" w:lineRule="exact"/>
        <w:rPr>
          <w:rFonts w:ascii="宋体" w:eastAsia="宋体" w:hAnsi="宋体" w:cs="宋体"/>
          <w:sz w:val="18"/>
          <w:szCs w:val="18"/>
        </w:rPr>
      </w:pPr>
      <w:r w:rsidRPr="00F23FCC">
        <w:rPr>
          <w:rFonts w:ascii="宋体" w:eastAsia="宋体" w:hAnsi="宋体" w:cs="宋体" w:hint="eastAsia"/>
          <w:sz w:val="18"/>
          <w:szCs w:val="18"/>
        </w:rPr>
        <w:t>无</w:t>
      </w:r>
    </w:p>
    <w:p w14:paraId="0F32EB8F" w14:textId="5A09ECD9" w:rsidR="00A46BF1" w:rsidRDefault="00A46BF1" w:rsidP="00A46BF1">
      <w:pPr>
        <w:pStyle w:val="3"/>
        <w:spacing w:line="280" w:lineRule="exact"/>
        <w:jc w:val="left"/>
        <w:rPr>
          <w:rFonts w:ascii="宋体" w:hAnsi="宋体" w:cs="宋体"/>
          <w:b/>
          <w:bCs/>
        </w:rPr>
      </w:pPr>
      <w:r>
        <w:rPr>
          <w:rFonts w:ascii="宋体" w:hAnsi="宋体" w:cs="宋体"/>
          <w:b/>
          <w:bCs/>
        </w:rPr>
        <w:t>5</w:t>
      </w:r>
      <w:r w:rsidR="00F23FCC">
        <w:rPr>
          <w:rFonts w:ascii="宋体" w:hAnsi="宋体" w:cs="宋体"/>
          <w:b/>
          <w:bCs/>
        </w:rPr>
        <w:t>1</w:t>
      </w:r>
      <w:r>
        <w:rPr>
          <w:rFonts w:ascii="宋体" w:hAnsi="宋体" w:cs="宋体"/>
          <w:b/>
          <w:bCs/>
        </w:rPr>
        <w:t>、其他收益</w:t>
      </w:r>
    </w:p>
    <w:p w14:paraId="2F8382D3"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5103"/>
        <w:gridCol w:w="2268"/>
        <w:gridCol w:w="2268"/>
      </w:tblGrid>
      <w:tr w:rsidR="00095F6F" w14:paraId="3C9DFBBB"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shd w:val="clear" w:color="auto" w:fill="D3D3D3"/>
            <w:vAlign w:val="center"/>
          </w:tcPr>
          <w:p w14:paraId="633EA321"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产生其他收益的来源</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750517F4"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本期发生额</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5F74EC37" w14:textId="77777777" w:rsidR="00A46BF1" w:rsidRPr="00F23FCC" w:rsidRDefault="00A46BF1" w:rsidP="00F23FCC">
            <w:pPr>
              <w:spacing w:before="40" w:after="40" w:line="360" w:lineRule="auto"/>
              <w:jc w:val="center"/>
              <w:rPr>
                <w:rFonts w:ascii="Times New Roman" w:eastAsia="宋体" w:hAnsi="Times New Roman" w:cs="Times New Roman"/>
                <w:sz w:val="18"/>
                <w:szCs w:val="18"/>
              </w:rPr>
            </w:pPr>
            <w:r w:rsidRPr="00F23FCC">
              <w:rPr>
                <w:rFonts w:ascii="Times New Roman" w:eastAsia="宋体" w:hAnsi="Times New Roman" w:cs="Times New Roman"/>
                <w:sz w:val="18"/>
                <w:szCs w:val="18"/>
              </w:rPr>
              <w:t>上期发生额</w:t>
            </w:r>
          </w:p>
        </w:tc>
      </w:tr>
      <w:tr w:rsidR="00095F6F" w14:paraId="0B313FB0"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704842E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增值税退税</w:t>
            </w:r>
          </w:p>
        </w:tc>
        <w:tc>
          <w:tcPr>
            <w:tcW w:w="2268" w:type="dxa"/>
            <w:tcBorders>
              <w:top w:val="single" w:sz="2" w:space="0" w:color="auto"/>
              <w:left w:val="single" w:sz="2" w:space="0" w:color="auto"/>
              <w:bottom w:val="single" w:sz="2" w:space="0" w:color="auto"/>
              <w:right w:val="single" w:sz="2" w:space="0" w:color="auto"/>
            </w:tcBorders>
            <w:vAlign w:val="center"/>
          </w:tcPr>
          <w:p w14:paraId="1F3C27D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29,615,015.44</w:t>
            </w:r>
          </w:p>
        </w:tc>
        <w:tc>
          <w:tcPr>
            <w:tcW w:w="2268" w:type="dxa"/>
            <w:tcBorders>
              <w:top w:val="single" w:sz="2" w:space="0" w:color="auto"/>
              <w:left w:val="single" w:sz="2" w:space="0" w:color="auto"/>
              <w:bottom w:val="single" w:sz="2" w:space="0" w:color="auto"/>
              <w:right w:val="single" w:sz="2" w:space="0" w:color="auto"/>
            </w:tcBorders>
            <w:vAlign w:val="center"/>
          </w:tcPr>
          <w:p w14:paraId="61D0F6F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62,614,508.25</w:t>
            </w:r>
          </w:p>
        </w:tc>
      </w:tr>
      <w:tr w:rsidR="00095F6F" w14:paraId="6DDD74B1"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7AC3BB00"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企业研发财政奖补资金</w:t>
            </w:r>
          </w:p>
        </w:tc>
        <w:tc>
          <w:tcPr>
            <w:tcW w:w="2268" w:type="dxa"/>
            <w:tcBorders>
              <w:top w:val="single" w:sz="2" w:space="0" w:color="auto"/>
              <w:left w:val="single" w:sz="2" w:space="0" w:color="auto"/>
              <w:bottom w:val="single" w:sz="2" w:space="0" w:color="auto"/>
              <w:right w:val="single" w:sz="2" w:space="0" w:color="auto"/>
            </w:tcBorders>
            <w:vAlign w:val="center"/>
          </w:tcPr>
          <w:p w14:paraId="41E9DEF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5,623,600.00</w:t>
            </w:r>
          </w:p>
        </w:tc>
        <w:tc>
          <w:tcPr>
            <w:tcW w:w="2268" w:type="dxa"/>
            <w:tcBorders>
              <w:top w:val="single" w:sz="2" w:space="0" w:color="auto"/>
              <w:left w:val="single" w:sz="2" w:space="0" w:color="auto"/>
              <w:bottom w:val="single" w:sz="2" w:space="0" w:color="auto"/>
              <w:right w:val="single" w:sz="2" w:space="0" w:color="auto"/>
            </w:tcBorders>
            <w:vAlign w:val="center"/>
          </w:tcPr>
          <w:p w14:paraId="441AABC7"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4,593,000.00</w:t>
            </w:r>
          </w:p>
        </w:tc>
      </w:tr>
      <w:tr w:rsidR="00095F6F" w14:paraId="210409B8"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0B585F66" w14:textId="36888D66"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三诺生物</w:t>
            </w:r>
            <w:r w:rsidR="00F23FCC">
              <w:rPr>
                <w:rFonts w:ascii="Times New Roman" w:eastAsia="宋体" w:hAnsi="Times New Roman" w:cs="Times New Roman"/>
                <w:sz w:val="18"/>
                <w:szCs w:val="18"/>
              </w:rPr>
              <w:t>i</w:t>
            </w:r>
            <w:r w:rsidRPr="00F23FCC">
              <w:rPr>
                <w:rFonts w:ascii="Times New Roman" w:eastAsia="宋体" w:hAnsi="Times New Roman" w:cs="Times New Roman"/>
                <w:sz w:val="18"/>
                <w:szCs w:val="18"/>
              </w:rPr>
              <w:t>POCT</w:t>
            </w:r>
            <w:r w:rsidRPr="00F23FCC">
              <w:rPr>
                <w:rFonts w:ascii="Times New Roman" w:eastAsia="宋体" w:hAnsi="Times New Roman" w:cs="Times New Roman"/>
                <w:sz w:val="18"/>
                <w:szCs w:val="18"/>
              </w:rPr>
              <w:t>产业园项目</w:t>
            </w:r>
          </w:p>
        </w:tc>
        <w:tc>
          <w:tcPr>
            <w:tcW w:w="2268" w:type="dxa"/>
            <w:tcBorders>
              <w:top w:val="single" w:sz="2" w:space="0" w:color="auto"/>
              <w:left w:val="single" w:sz="2" w:space="0" w:color="auto"/>
              <w:bottom w:val="single" w:sz="2" w:space="0" w:color="auto"/>
              <w:right w:val="single" w:sz="2" w:space="0" w:color="auto"/>
            </w:tcBorders>
            <w:vAlign w:val="center"/>
          </w:tcPr>
          <w:p w14:paraId="5850957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5,147,077.98</w:t>
            </w:r>
          </w:p>
        </w:tc>
        <w:tc>
          <w:tcPr>
            <w:tcW w:w="2268" w:type="dxa"/>
            <w:tcBorders>
              <w:top w:val="single" w:sz="2" w:space="0" w:color="auto"/>
              <w:left w:val="single" w:sz="2" w:space="0" w:color="auto"/>
              <w:bottom w:val="single" w:sz="2" w:space="0" w:color="auto"/>
              <w:right w:val="single" w:sz="2" w:space="0" w:color="auto"/>
            </w:tcBorders>
            <w:vAlign w:val="center"/>
          </w:tcPr>
          <w:p w14:paraId="2683903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2,840,779.61</w:t>
            </w:r>
          </w:p>
        </w:tc>
      </w:tr>
      <w:tr w:rsidR="00095F6F" w14:paraId="14C88E1B"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36D1C4A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智慧健康工业园项目</w:t>
            </w:r>
          </w:p>
        </w:tc>
        <w:tc>
          <w:tcPr>
            <w:tcW w:w="2268" w:type="dxa"/>
            <w:tcBorders>
              <w:top w:val="single" w:sz="2" w:space="0" w:color="auto"/>
              <w:left w:val="single" w:sz="2" w:space="0" w:color="auto"/>
              <w:bottom w:val="single" w:sz="2" w:space="0" w:color="auto"/>
              <w:right w:val="single" w:sz="2" w:space="0" w:color="auto"/>
            </w:tcBorders>
            <w:vAlign w:val="center"/>
          </w:tcPr>
          <w:p w14:paraId="2872A3D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5,048,830.59</w:t>
            </w:r>
          </w:p>
        </w:tc>
        <w:tc>
          <w:tcPr>
            <w:tcW w:w="2268" w:type="dxa"/>
            <w:tcBorders>
              <w:top w:val="single" w:sz="2" w:space="0" w:color="auto"/>
              <w:left w:val="single" w:sz="2" w:space="0" w:color="auto"/>
              <w:bottom w:val="single" w:sz="2" w:space="0" w:color="auto"/>
              <w:right w:val="single" w:sz="2" w:space="0" w:color="auto"/>
            </w:tcBorders>
            <w:vAlign w:val="center"/>
          </w:tcPr>
          <w:p w14:paraId="5104797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5,167,143.81</w:t>
            </w:r>
          </w:p>
        </w:tc>
      </w:tr>
      <w:tr w:rsidR="00095F6F" w14:paraId="41A679C0"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64D68608"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增值税加计抵减税额</w:t>
            </w:r>
          </w:p>
        </w:tc>
        <w:tc>
          <w:tcPr>
            <w:tcW w:w="2268" w:type="dxa"/>
            <w:tcBorders>
              <w:top w:val="single" w:sz="2" w:space="0" w:color="auto"/>
              <w:left w:val="single" w:sz="2" w:space="0" w:color="auto"/>
              <w:bottom w:val="single" w:sz="2" w:space="0" w:color="auto"/>
              <w:right w:val="single" w:sz="2" w:space="0" w:color="auto"/>
            </w:tcBorders>
            <w:vAlign w:val="center"/>
          </w:tcPr>
          <w:p w14:paraId="14E0BBB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3,268,774.38</w:t>
            </w:r>
          </w:p>
        </w:tc>
        <w:tc>
          <w:tcPr>
            <w:tcW w:w="2268" w:type="dxa"/>
            <w:tcBorders>
              <w:top w:val="single" w:sz="2" w:space="0" w:color="auto"/>
              <w:left w:val="single" w:sz="2" w:space="0" w:color="auto"/>
              <w:bottom w:val="single" w:sz="2" w:space="0" w:color="auto"/>
              <w:right w:val="single" w:sz="2" w:space="0" w:color="auto"/>
            </w:tcBorders>
            <w:vAlign w:val="center"/>
          </w:tcPr>
          <w:p w14:paraId="0C8E616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16,798,436.27</w:t>
            </w:r>
          </w:p>
        </w:tc>
      </w:tr>
      <w:tr w:rsidR="00095F6F" w14:paraId="61C0ACB2"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5AC32BF7"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重点境外展会资金</w:t>
            </w:r>
          </w:p>
        </w:tc>
        <w:tc>
          <w:tcPr>
            <w:tcW w:w="2268" w:type="dxa"/>
            <w:tcBorders>
              <w:top w:val="single" w:sz="2" w:space="0" w:color="auto"/>
              <w:left w:val="single" w:sz="2" w:space="0" w:color="auto"/>
              <w:bottom w:val="single" w:sz="2" w:space="0" w:color="auto"/>
              <w:right w:val="single" w:sz="2" w:space="0" w:color="auto"/>
            </w:tcBorders>
            <w:vAlign w:val="center"/>
          </w:tcPr>
          <w:p w14:paraId="0C7A8D6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1,198,700.00</w:t>
            </w:r>
          </w:p>
        </w:tc>
        <w:tc>
          <w:tcPr>
            <w:tcW w:w="2268" w:type="dxa"/>
            <w:tcBorders>
              <w:top w:val="single" w:sz="2" w:space="0" w:color="auto"/>
              <w:left w:val="single" w:sz="2" w:space="0" w:color="auto"/>
              <w:bottom w:val="single" w:sz="2" w:space="0" w:color="auto"/>
              <w:right w:val="single" w:sz="2" w:space="0" w:color="auto"/>
            </w:tcBorders>
            <w:vAlign w:val="center"/>
          </w:tcPr>
          <w:p w14:paraId="5490819D"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2E5FE9F6"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304C3813"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高性能血糖诊疗设备智能工厂新模式应用</w:t>
            </w:r>
          </w:p>
        </w:tc>
        <w:tc>
          <w:tcPr>
            <w:tcW w:w="2268" w:type="dxa"/>
            <w:tcBorders>
              <w:top w:val="single" w:sz="2" w:space="0" w:color="auto"/>
              <w:left w:val="single" w:sz="2" w:space="0" w:color="auto"/>
              <w:bottom w:val="single" w:sz="2" w:space="0" w:color="auto"/>
              <w:right w:val="single" w:sz="2" w:space="0" w:color="auto"/>
            </w:tcBorders>
            <w:vAlign w:val="center"/>
          </w:tcPr>
          <w:p w14:paraId="771009E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1,189,709.46</w:t>
            </w:r>
          </w:p>
        </w:tc>
        <w:tc>
          <w:tcPr>
            <w:tcW w:w="2268" w:type="dxa"/>
            <w:tcBorders>
              <w:top w:val="single" w:sz="2" w:space="0" w:color="auto"/>
              <w:left w:val="single" w:sz="2" w:space="0" w:color="auto"/>
              <w:bottom w:val="single" w:sz="2" w:space="0" w:color="auto"/>
              <w:right w:val="single" w:sz="2" w:space="0" w:color="auto"/>
            </w:tcBorders>
            <w:vAlign w:val="center"/>
          </w:tcPr>
          <w:p w14:paraId="3D594E1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1,434,492.13</w:t>
            </w:r>
          </w:p>
        </w:tc>
      </w:tr>
      <w:tr w:rsidR="00095F6F" w14:paraId="6AA745AF"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50374EF3"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功能核酸分子诊疗技术与高端装备开发及前期产业化应用</w:t>
            </w:r>
          </w:p>
        </w:tc>
        <w:tc>
          <w:tcPr>
            <w:tcW w:w="2268" w:type="dxa"/>
            <w:tcBorders>
              <w:top w:val="single" w:sz="2" w:space="0" w:color="auto"/>
              <w:left w:val="single" w:sz="2" w:space="0" w:color="auto"/>
              <w:bottom w:val="single" w:sz="2" w:space="0" w:color="auto"/>
              <w:right w:val="single" w:sz="2" w:space="0" w:color="auto"/>
            </w:tcBorders>
            <w:vAlign w:val="center"/>
          </w:tcPr>
          <w:p w14:paraId="74DCAEA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800,000.00</w:t>
            </w:r>
          </w:p>
        </w:tc>
        <w:tc>
          <w:tcPr>
            <w:tcW w:w="2268" w:type="dxa"/>
            <w:tcBorders>
              <w:top w:val="single" w:sz="2" w:space="0" w:color="auto"/>
              <w:left w:val="single" w:sz="2" w:space="0" w:color="auto"/>
              <w:bottom w:val="single" w:sz="2" w:space="0" w:color="auto"/>
              <w:right w:val="single" w:sz="2" w:space="0" w:color="auto"/>
            </w:tcBorders>
            <w:vAlign w:val="center"/>
          </w:tcPr>
          <w:p w14:paraId="5124DF22"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008B4CF4"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6D4B85BE"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重点人群税收优惠减免</w:t>
            </w:r>
          </w:p>
        </w:tc>
        <w:tc>
          <w:tcPr>
            <w:tcW w:w="2268" w:type="dxa"/>
            <w:tcBorders>
              <w:top w:val="single" w:sz="2" w:space="0" w:color="auto"/>
              <w:left w:val="single" w:sz="2" w:space="0" w:color="auto"/>
              <w:bottom w:val="single" w:sz="2" w:space="0" w:color="auto"/>
              <w:right w:val="single" w:sz="2" w:space="0" w:color="auto"/>
            </w:tcBorders>
            <w:vAlign w:val="center"/>
          </w:tcPr>
          <w:p w14:paraId="0556B64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752,200.00</w:t>
            </w:r>
          </w:p>
        </w:tc>
        <w:tc>
          <w:tcPr>
            <w:tcW w:w="2268" w:type="dxa"/>
            <w:tcBorders>
              <w:top w:val="single" w:sz="2" w:space="0" w:color="auto"/>
              <w:left w:val="single" w:sz="2" w:space="0" w:color="auto"/>
              <w:bottom w:val="single" w:sz="2" w:space="0" w:color="auto"/>
              <w:right w:val="single" w:sz="2" w:space="0" w:color="auto"/>
            </w:tcBorders>
            <w:vAlign w:val="center"/>
          </w:tcPr>
          <w:p w14:paraId="6A9C4737"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43533E8A"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25A592B1"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稳岗补贴款</w:t>
            </w:r>
          </w:p>
        </w:tc>
        <w:tc>
          <w:tcPr>
            <w:tcW w:w="2268" w:type="dxa"/>
            <w:tcBorders>
              <w:top w:val="single" w:sz="2" w:space="0" w:color="auto"/>
              <w:left w:val="single" w:sz="2" w:space="0" w:color="auto"/>
              <w:bottom w:val="single" w:sz="2" w:space="0" w:color="auto"/>
              <w:right w:val="single" w:sz="2" w:space="0" w:color="auto"/>
            </w:tcBorders>
            <w:vAlign w:val="center"/>
          </w:tcPr>
          <w:p w14:paraId="5BF9461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564,658.04</w:t>
            </w:r>
          </w:p>
        </w:tc>
        <w:tc>
          <w:tcPr>
            <w:tcW w:w="2268" w:type="dxa"/>
            <w:tcBorders>
              <w:top w:val="single" w:sz="2" w:space="0" w:color="auto"/>
              <w:left w:val="single" w:sz="2" w:space="0" w:color="auto"/>
              <w:bottom w:val="single" w:sz="2" w:space="0" w:color="auto"/>
              <w:right w:val="single" w:sz="2" w:space="0" w:color="auto"/>
            </w:tcBorders>
            <w:vAlign w:val="center"/>
          </w:tcPr>
          <w:p w14:paraId="050316F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502,890.92</w:t>
            </w:r>
          </w:p>
        </w:tc>
      </w:tr>
      <w:tr w:rsidR="00095F6F" w14:paraId="02EAE260"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7641BCC5"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省级外贸促进领域资金</w:t>
            </w:r>
          </w:p>
        </w:tc>
        <w:tc>
          <w:tcPr>
            <w:tcW w:w="2268" w:type="dxa"/>
            <w:tcBorders>
              <w:top w:val="single" w:sz="2" w:space="0" w:color="auto"/>
              <w:left w:val="single" w:sz="2" w:space="0" w:color="auto"/>
              <w:bottom w:val="single" w:sz="2" w:space="0" w:color="auto"/>
              <w:right w:val="single" w:sz="2" w:space="0" w:color="auto"/>
            </w:tcBorders>
            <w:vAlign w:val="center"/>
          </w:tcPr>
          <w:p w14:paraId="52F3C99A"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500,000.00</w:t>
            </w:r>
          </w:p>
        </w:tc>
        <w:tc>
          <w:tcPr>
            <w:tcW w:w="2268" w:type="dxa"/>
            <w:tcBorders>
              <w:top w:val="single" w:sz="2" w:space="0" w:color="auto"/>
              <w:left w:val="single" w:sz="2" w:space="0" w:color="auto"/>
              <w:bottom w:val="single" w:sz="2" w:space="0" w:color="auto"/>
              <w:right w:val="single" w:sz="2" w:space="0" w:color="auto"/>
            </w:tcBorders>
            <w:vAlign w:val="center"/>
          </w:tcPr>
          <w:p w14:paraId="6D89F27B"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4A863DDA"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073FEA48"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省级跨境电商项目支持资金</w:t>
            </w:r>
            <w:r w:rsidRPr="00F23FCC">
              <w:rPr>
                <w:rFonts w:ascii="Times New Roman" w:eastAsia="宋体" w:hAnsi="Times New Roman" w:cs="Times New Roman"/>
                <w:sz w:val="18"/>
                <w:szCs w:val="18"/>
              </w:rPr>
              <w:t>-</w:t>
            </w:r>
            <w:r w:rsidRPr="00F23FCC">
              <w:rPr>
                <w:rFonts w:ascii="Times New Roman" w:eastAsia="宋体" w:hAnsi="Times New Roman" w:cs="Times New Roman"/>
                <w:sz w:val="18"/>
                <w:szCs w:val="18"/>
              </w:rPr>
              <w:t>跨境电商自主品奖补资金</w:t>
            </w:r>
          </w:p>
        </w:tc>
        <w:tc>
          <w:tcPr>
            <w:tcW w:w="2268" w:type="dxa"/>
            <w:tcBorders>
              <w:top w:val="single" w:sz="2" w:space="0" w:color="auto"/>
              <w:left w:val="single" w:sz="2" w:space="0" w:color="auto"/>
              <w:bottom w:val="single" w:sz="2" w:space="0" w:color="auto"/>
              <w:right w:val="single" w:sz="2" w:space="0" w:color="auto"/>
            </w:tcBorders>
            <w:vAlign w:val="center"/>
          </w:tcPr>
          <w:p w14:paraId="3A0B807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500,000.00</w:t>
            </w:r>
          </w:p>
        </w:tc>
        <w:tc>
          <w:tcPr>
            <w:tcW w:w="2268" w:type="dxa"/>
            <w:tcBorders>
              <w:top w:val="single" w:sz="2" w:space="0" w:color="auto"/>
              <w:left w:val="single" w:sz="2" w:space="0" w:color="auto"/>
              <w:bottom w:val="single" w:sz="2" w:space="0" w:color="auto"/>
              <w:right w:val="single" w:sz="2" w:space="0" w:color="auto"/>
            </w:tcBorders>
            <w:vAlign w:val="center"/>
          </w:tcPr>
          <w:p w14:paraId="664BDA19"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5EACDA74"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62EABBFE"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个人所得税手续费返还</w:t>
            </w:r>
          </w:p>
        </w:tc>
        <w:tc>
          <w:tcPr>
            <w:tcW w:w="2268" w:type="dxa"/>
            <w:tcBorders>
              <w:top w:val="single" w:sz="2" w:space="0" w:color="auto"/>
              <w:left w:val="single" w:sz="2" w:space="0" w:color="auto"/>
              <w:bottom w:val="single" w:sz="2" w:space="0" w:color="auto"/>
              <w:right w:val="single" w:sz="2" w:space="0" w:color="auto"/>
            </w:tcBorders>
            <w:vAlign w:val="center"/>
          </w:tcPr>
          <w:p w14:paraId="623AF103"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461,279.86</w:t>
            </w:r>
          </w:p>
        </w:tc>
        <w:tc>
          <w:tcPr>
            <w:tcW w:w="2268" w:type="dxa"/>
            <w:tcBorders>
              <w:top w:val="single" w:sz="2" w:space="0" w:color="auto"/>
              <w:left w:val="single" w:sz="2" w:space="0" w:color="auto"/>
              <w:bottom w:val="single" w:sz="2" w:space="0" w:color="auto"/>
              <w:right w:val="single" w:sz="2" w:space="0" w:color="auto"/>
            </w:tcBorders>
            <w:vAlign w:val="center"/>
          </w:tcPr>
          <w:p w14:paraId="0A3CF5F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443,586.54</w:t>
            </w:r>
          </w:p>
        </w:tc>
      </w:tr>
      <w:tr w:rsidR="00095F6F" w14:paraId="0BEF1878"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25F111DA"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长沙市科技重大专项项目验收支持资金</w:t>
            </w:r>
          </w:p>
        </w:tc>
        <w:tc>
          <w:tcPr>
            <w:tcW w:w="2268" w:type="dxa"/>
            <w:tcBorders>
              <w:top w:val="single" w:sz="2" w:space="0" w:color="auto"/>
              <w:left w:val="single" w:sz="2" w:space="0" w:color="auto"/>
              <w:bottom w:val="single" w:sz="2" w:space="0" w:color="auto"/>
              <w:right w:val="single" w:sz="2" w:space="0" w:color="auto"/>
            </w:tcBorders>
            <w:vAlign w:val="center"/>
          </w:tcPr>
          <w:p w14:paraId="2C469916"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400,000.00</w:t>
            </w:r>
          </w:p>
        </w:tc>
        <w:tc>
          <w:tcPr>
            <w:tcW w:w="2268" w:type="dxa"/>
            <w:tcBorders>
              <w:top w:val="single" w:sz="2" w:space="0" w:color="auto"/>
              <w:left w:val="single" w:sz="2" w:space="0" w:color="auto"/>
              <w:bottom w:val="single" w:sz="2" w:space="0" w:color="auto"/>
              <w:right w:val="single" w:sz="2" w:space="0" w:color="auto"/>
            </w:tcBorders>
            <w:vAlign w:val="center"/>
          </w:tcPr>
          <w:p w14:paraId="2B6BA002"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4FCEC1A2"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4DCC6A41"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就业间隙补贴和剩余期限补贴</w:t>
            </w:r>
          </w:p>
        </w:tc>
        <w:tc>
          <w:tcPr>
            <w:tcW w:w="2268" w:type="dxa"/>
            <w:tcBorders>
              <w:top w:val="single" w:sz="2" w:space="0" w:color="auto"/>
              <w:left w:val="single" w:sz="2" w:space="0" w:color="auto"/>
              <w:bottom w:val="single" w:sz="2" w:space="0" w:color="auto"/>
              <w:right w:val="single" w:sz="2" w:space="0" w:color="auto"/>
            </w:tcBorders>
            <w:vAlign w:val="center"/>
          </w:tcPr>
          <w:p w14:paraId="3615212C"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357,880.00</w:t>
            </w:r>
          </w:p>
        </w:tc>
        <w:tc>
          <w:tcPr>
            <w:tcW w:w="2268" w:type="dxa"/>
            <w:tcBorders>
              <w:top w:val="single" w:sz="2" w:space="0" w:color="auto"/>
              <w:left w:val="single" w:sz="2" w:space="0" w:color="auto"/>
              <w:bottom w:val="single" w:sz="2" w:space="0" w:color="auto"/>
              <w:right w:val="single" w:sz="2" w:space="0" w:color="auto"/>
            </w:tcBorders>
            <w:vAlign w:val="center"/>
          </w:tcPr>
          <w:p w14:paraId="63A65B7D"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458D141D"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1EC99FC1"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湖南省财政厅出口信用保险保费扶持资金</w:t>
            </w:r>
          </w:p>
        </w:tc>
        <w:tc>
          <w:tcPr>
            <w:tcW w:w="2268" w:type="dxa"/>
            <w:tcBorders>
              <w:top w:val="single" w:sz="2" w:space="0" w:color="auto"/>
              <w:left w:val="single" w:sz="2" w:space="0" w:color="auto"/>
              <w:bottom w:val="single" w:sz="2" w:space="0" w:color="auto"/>
              <w:right w:val="single" w:sz="2" w:space="0" w:color="auto"/>
            </w:tcBorders>
            <w:vAlign w:val="center"/>
          </w:tcPr>
          <w:p w14:paraId="3802696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329,900.00</w:t>
            </w:r>
          </w:p>
        </w:tc>
        <w:tc>
          <w:tcPr>
            <w:tcW w:w="2268" w:type="dxa"/>
            <w:tcBorders>
              <w:top w:val="single" w:sz="2" w:space="0" w:color="auto"/>
              <w:left w:val="single" w:sz="2" w:space="0" w:color="auto"/>
              <w:bottom w:val="single" w:sz="2" w:space="0" w:color="auto"/>
              <w:right w:val="single" w:sz="2" w:space="0" w:color="auto"/>
            </w:tcBorders>
            <w:vAlign w:val="center"/>
          </w:tcPr>
          <w:p w14:paraId="4F92AE6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150,200.00</w:t>
            </w:r>
          </w:p>
        </w:tc>
      </w:tr>
      <w:tr w:rsidR="00095F6F" w14:paraId="2CA85A0D"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33E3EB1A"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外贸稳增长资金</w:t>
            </w:r>
          </w:p>
        </w:tc>
        <w:tc>
          <w:tcPr>
            <w:tcW w:w="2268" w:type="dxa"/>
            <w:tcBorders>
              <w:top w:val="single" w:sz="2" w:space="0" w:color="auto"/>
              <w:left w:val="single" w:sz="2" w:space="0" w:color="auto"/>
              <w:bottom w:val="single" w:sz="2" w:space="0" w:color="auto"/>
              <w:right w:val="single" w:sz="2" w:space="0" w:color="auto"/>
            </w:tcBorders>
            <w:vAlign w:val="center"/>
          </w:tcPr>
          <w:p w14:paraId="49BF207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228,000.00</w:t>
            </w:r>
          </w:p>
        </w:tc>
        <w:tc>
          <w:tcPr>
            <w:tcW w:w="2268" w:type="dxa"/>
            <w:tcBorders>
              <w:top w:val="single" w:sz="2" w:space="0" w:color="auto"/>
              <w:left w:val="single" w:sz="2" w:space="0" w:color="auto"/>
              <w:bottom w:val="single" w:sz="2" w:space="0" w:color="auto"/>
              <w:right w:val="single" w:sz="2" w:space="0" w:color="auto"/>
            </w:tcBorders>
            <w:vAlign w:val="center"/>
          </w:tcPr>
          <w:p w14:paraId="444D0471" w14:textId="77777777" w:rsidR="00A46BF1" w:rsidRPr="00F23FCC" w:rsidRDefault="00A46BF1" w:rsidP="00F23FCC">
            <w:pPr>
              <w:spacing w:line="360" w:lineRule="auto"/>
              <w:jc w:val="right"/>
              <w:rPr>
                <w:rFonts w:ascii="Times New Roman" w:eastAsia="宋体" w:hAnsi="Times New Roman" w:cs="Times New Roman"/>
                <w:sz w:val="18"/>
                <w:szCs w:val="18"/>
              </w:rPr>
            </w:pPr>
          </w:p>
        </w:tc>
      </w:tr>
      <w:tr w:rsidR="00095F6F" w14:paraId="1DED5FB8"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5861F0E8"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2022</w:t>
            </w:r>
            <w:r w:rsidRPr="00F23FCC">
              <w:rPr>
                <w:rFonts w:ascii="Times New Roman" w:eastAsia="宋体" w:hAnsi="Times New Roman" w:cs="Times New Roman"/>
                <w:sz w:val="18"/>
                <w:szCs w:val="18"/>
              </w:rPr>
              <w:t>年长沙市生物医药产业高质量发展专项资金</w:t>
            </w:r>
          </w:p>
        </w:tc>
        <w:tc>
          <w:tcPr>
            <w:tcW w:w="2268" w:type="dxa"/>
            <w:tcBorders>
              <w:top w:val="single" w:sz="2" w:space="0" w:color="auto"/>
              <w:left w:val="single" w:sz="2" w:space="0" w:color="auto"/>
              <w:bottom w:val="single" w:sz="2" w:space="0" w:color="auto"/>
              <w:right w:val="single" w:sz="2" w:space="0" w:color="auto"/>
            </w:tcBorders>
            <w:vAlign w:val="center"/>
          </w:tcPr>
          <w:p w14:paraId="4063CCFF" w14:textId="77777777" w:rsidR="00A46BF1" w:rsidRPr="00F23FCC" w:rsidRDefault="00A46BF1" w:rsidP="00F23FCC">
            <w:pPr>
              <w:spacing w:line="360" w:lineRule="auto"/>
              <w:jc w:val="right"/>
              <w:rPr>
                <w:rFonts w:ascii="Times New Roman" w:eastAsia="宋体" w:hAnsi="Times New Roman" w:cs="Times New Roman"/>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4FBC2ED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1,245,000.00</w:t>
            </w:r>
          </w:p>
        </w:tc>
      </w:tr>
      <w:tr w:rsidR="00095F6F" w14:paraId="1261E34F"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373CC72A"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2024</w:t>
            </w:r>
            <w:r w:rsidRPr="00F23FCC">
              <w:rPr>
                <w:rFonts w:ascii="Times New Roman" w:eastAsia="宋体" w:hAnsi="Times New Roman" w:cs="Times New Roman"/>
                <w:sz w:val="18"/>
                <w:szCs w:val="18"/>
              </w:rPr>
              <w:t>年度第一批企业招用脱贫劳动力社补贴资金</w:t>
            </w:r>
          </w:p>
        </w:tc>
        <w:tc>
          <w:tcPr>
            <w:tcW w:w="2268" w:type="dxa"/>
            <w:tcBorders>
              <w:top w:val="single" w:sz="2" w:space="0" w:color="auto"/>
              <w:left w:val="single" w:sz="2" w:space="0" w:color="auto"/>
              <w:bottom w:val="single" w:sz="2" w:space="0" w:color="auto"/>
              <w:right w:val="single" w:sz="2" w:space="0" w:color="auto"/>
            </w:tcBorders>
            <w:vAlign w:val="center"/>
          </w:tcPr>
          <w:p w14:paraId="31B17079" w14:textId="77777777" w:rsidR="00A46BF1" w:rsidRPr="00F23FCC" w:rsidRDefault="00A46BF1" w:rsidP="00F23FCC">
            <w:pPr>
              <w:spacing w:line="360" w:lineRule="auto"/>
              <w:jc w:val="right"/>
              <w:rPr>
                <w:rFonts w:ascii="Times New Roman" w:eastAsia="宋体" w:hAnsi="Times New Roman" w:cs="Times New Roman"/>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7F34AB9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961,118.24</w:t>
            </w:r>
          </w:p>
        </w:tc>
      </w:tr>
      <w:tr w:rsidR="00095F6F" w14:paraId="29F155BE"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7765CE72"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2024</w:t>
            </w:r>
            <w:r w:rsidRPr="00F23FCC">
              <w:rPr>
                <w:rFonts w:ascii="Times New Roman" w:eastAsia="宋体" w:hAnsi="Times New Roman" w:cs="Times New Roman"/>
                <w:sz w:val="18"/>
                <w:szCs w:val="18"/>
              </w:rPr>
              <w:t>年第一批湖南省先进制造业高地建设专项资金</w:t>
            </w:r>
          </w:p>
        </w:tc>
        <w:tc>
          <w:tcPr>
            <w:tcW w:w="2268" w:type="dxa"/>
            <w:tcBorders>
              <w:top w:val="single" w:sz="2" w:space="0" w:color="auto"/>
              <w:left w:val="single" w:sz="2" w:space="0" w:color="auto"/>
              <w:bottom w:val="single" w:sz="2" w:space="0" w:color="auto"/>
              <w:right w:val="single" w:sz="2" w:space="0" w:color="auto"/>
            </w:tcBorders>
            <w:vAlign w:val="center"/>
          </w:tcPr>
          <w:p w14:paraId="17ADE5DA" w14:textId="77777777" w:rsidR="00A46BF1" w:rsidRPr="00F23FCC" w:rsidRDefault="00A46BF1" w:rsidP="00F23FCC">
            <w:pPr>
              <w:spacing w:line="360" w:lineRule="auto"/>
              <w:jc w:val="right"/>
              <w:rPr>
                <w:rFonts w:ascii="Times New Roman" w:eastAsia="宋体" w:hAnsi="Times New Roman" w:cs="Times New Roman"/>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0557882F"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500,000.00</w:t>
            </w:r>
          </w:p>
        </w:tc>
      </w:tr>
      <w:tr w:rsidR="00095F6F" w14:paraId="1E99CDFB"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2678F9DB"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稳岗返还</w:t>
            </w:r>
          </w:p>
        </w:tc>
        <w:tc>
          <w:tcPr>
            <w:tcW w:w="2268" w:type="dxa"/>
            <w:tcBorders>
              <w:top w:val="single" w:sz="2" w:space="0" w:color="auto"/>
              <w:left w:val="single" w:sz="2" w:space="0" w:color="auto"/>
              <w:bottom w:val="single" w:sz="2" w:space="0" w:color="auto"/>
              <w:right w:val="single" w:sz="2" w:space="0" w:color="auto"/>
            </w:tcBorders>
            <w:vAlign w:val="center"/>
          </w:tcPr>
          <w:p w14:paraId="0A1615B0" w14:textId="77777777" w:rsidR="00A46BF1" w:rsidRPr="00F23FCC" w:rsidRDefault="00A46BF1" w:rsidP="00F23FCC">
            <w:pPr>
              <w:spacing w:line="360" w:lineRule="auto"/>
              <w:jc w:val="right"/>
              <w:rPr>
                <w:rFonts w:ascii="Times New Roman" w:eastAsia="宋体" w:hAnsi="Times New Roman" w:cs="Times New Roman"/>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0C4AAD39"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473,571.40</w:t>
            </w:r>
          </w:p>
        </w:tc>
      </w:tr>
      <w:tr w:rsidR="00095F6F" w14:paraId="7B0922D2"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765CC098"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2023</w:t>
            </w:r>
            <w:r w:rsidRPr="00F23FCC">
              <w:rPr>
                <w:rFonts w:ascii="Times New Roman" w:eastAsia="宋体" w:hAnsi="Times New Roman" w:cs="Times New Roman"/>
                <w:sz w:val="18"/>
                <w:szCs w:val="18"/>
              </w:rPr>
              <w:t>年中央外经贸发展资金</w:t>
            </w:r>
            <w:r w:rsidRPr="00F23FCC">
              <w:rPr>
                <w:rFonts w:ascii="Times New Roman" w:eastAsia="宋体" w:hAnsi="Times New Roman" w:cs="Times New Roman"/>
                <w:sz w:val="18"/>
                <w:szCs w:val="18"/>
              </w:rPr>
              <w:t>-</w:t>
            </w:r>
            <w:r w:rsidRPr="00F23FCC">
              <w:rPr>
                <w:rFonts w:ascii="Times New Roman" w:eastAsia="宋体" w:hAnsi="Times New Roman" w:cs="Times New Roman"/>
                <w:sz w:val="18"/>
                <w:szCs w:val="18"/>
              </w:rPr>
              <w:t>支持企业实体展会</w:t>
            </w:r>
          </w:p>
        </w:tc>
        <w:tc>
          <w:tcPr>
            <w:tcW w:w="2268" w:type="dxa"/>
            <w:tcBorders>
              <w:top w:val="single" w:sz="2" w:space="0" w:color="auto"/>
              <w:left w:val="single" w:sz="2" w:space="0" w:color="auto"/>
              <w:bottom w:val="single" w:sz="2" w:space="0" w:color="auto"/>
              <w:right w:val="single" w:sz="2" w:space="0" w:color="auto"/>
            </w:tcBorders>
            <w:vAlign w:val="center"/>
          </w:tcPr>
          <w:p w14:paraId="5F557E34" w14:textId="77777777" w:rsidR="00A46BF1" w:rsidRPr="00F23FCC" w:rsidRDefault="00A46BF1" w:rsidP="00F23FCC">
            <w:pPr>
              <w:spacing w:line="360" w:lineRule="auto"/>
              <w:jc w:val="right"/>
              <w:rPr>
                <w:rFonts w:ascii="Times New Roman" w:eastAsia="宋体" w:hAnsi="Times New Roman" w:cs="Times New Roman"/>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6DD77BD0"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367,000.00</w:t>
            </w:r>
          </w:p>
        </w:tc>
      </w:tr>
      <w:tr w:rsidR="00095F6F" w14:paraId="4A34BF55"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1CFEB7E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长沙高新技术产业开发区支持医疗器械研制和产业化补助资金</w:t>
            </w:r>
          </w:p>
        </w:tc>
        <w:tc>
          <w:tcPr>
            <w:tcW w:w="2268" w:type="dxa"/>
            <w:tcBorders>
              <w:top w:val="single" w:sz="2" w:space="0" w:color="auto"/>
              <w:left w:val="single" w:sz="2" w:space="0" w:color="auto"/>
              <w:bottom w:val="single" w:sz="2" w:space="0" w:color="auto"/>
              <w:right w:val="single" w:sz="2" w:space="0" w:color="auto"/>
            </w:tcBorders>
            <w:vAlign w:val="center"/>
          </w:tcPr>
          <w:p w14:paraId="72E2974C" w14:textId="77777777" w:rsidR="00A46BF1" w:rsidRPr="00F23FCC" w:rsidRDefault="00A46BF1" w:rsidP="00F23FCC">
            <w:pPr>
              <w:spacing w:line="360" w:lineRule="auto"/>
              <w:jc w:val="right"/>
              <w:rPr>
                <w:rFonts w:ascii="Times New Roman" w:eastAsia="宋体" w:hAnsi="Times New Roman" w:cs="Times New Roman"/>
                <w:sz w:val="18"/>
                <w:szCs w:val="18"/>
              </w:rPr>
            </w:pPr>
          </w:p>
        </w:tc>
        <w:tc>
          <w:tcPr>
            <w:tcW w:w="2268" w:type="dxa"/>
            <w:tcBorders>
              <w:top w:val="single" w:sz="2" w:space="0" w:color="auto"/>
              <w:left w:val="single" w:sz="2" w:space="0" w:color="auto"/>
              <w:bottom w:val="single" w:sz="2" w:space="0" w:color="auto"/>
              <w:right w:val="single" w:sz="2" w:space="0" w:color="auto"/>
            </w:tcBorders>
            <w:vAlign w:val="center"/>
          </w:tcPr>
          <w:p w14:paraId="79D33225"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320,000.00</w:t>
            </w:r>
          </w:p>
        </w:tc>
      </w:tr>
      <w:tr w:rsidR="00095F6F" w14:paraId="7344CF1C"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12CA467C"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其他</w:t>
            </w:r>
          </w:p>
        </w:tc>
        <w:tc>
          <w:tcPr>
            <w:tcW w:w="2268" w:type="dxa"/>
            <w:tcBorders>
              <w:top w:val="single" w:sz="2" w:space="0" w:color="auto"/>
              <w:left w:val="single" w:sz="2" w:space="0" w:color="auto"/>
              <w:bottom w:val="single" w:sz="2" w:space="0" w:color="auto"/>
              <w:right w:val="single" w:sz="2" w:space="0" w:color="auto"/>
            </w:tcBorders>
            <w:vAlign w:val="center"/>
          </w:tcPr>
          <w:p w14:paraId="74FEB70B"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1,478,877.23</w:t>
            </w:r>
          </w:p>
        </w:tc>
        <w:tc>
          <w:tcPr>
            <w:tcW w:w="2268" w:type="dxa"/>
            <w:tcBorders>
              <w:top w:val="single" w:sz="2" w:space="0" w:color="auto"/>
              <w:left w:val="single" w:sz="2" w:space="0" w:color="auto"/>
              <w:bottom w:val="single" w:sz="2" w:space="0" w:color="auto"/>
              <w:right w:val="single" w:sz="2" w:space="0" w:color="auto"/>
            </w:tcBorders>
            <w:vAlign w:val="center"/>
          </w:tcPr>
          <w:p w14:paraId="6AC12372"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2,096,057.03</w:t>
            </w:r>
          </w:p>
        </w:tc>
      </w:tr>
      <w:tr w:rsidR="00095F6F" w14:paraId="3C358A7B" w14:textId="77777777" w:rsidTr="00F23FCC">
        <w:trPr>
          <w:trHeight w:val="240"/>
        </w:trPr>
        <w:tc>
          <w:tcPr>
            <w:tcW w:w="5103" w:type="dxa"/>
            <w:tcBorders>
              <w:top w:val="single" w:sz="2" w:space="0" w:color="auto"/>
              <w:left w:val="single" w:sz="2" w:space="0" w:color="auto"/>
              <w:bottom w:val="single" w:sz="2" w:space="0" w:color="auto"/>
              <w:right w:val="single" w:sz="2" w:space="0" w:color="auto"/>
            </w:tcBorders>
            <w:vAlign w:val="center"/>
          </w:tcPr>
          <w:p w14:paraId="6D4A8D81" w14:textId="77777777" w:rsidR="00A46BF1" w:rsidRPr="00F23FCC" w:rsidRDefault="00A46BF1" w:rsidP="00F23FCC">
            <w:pPr>
              <w:spacing w:line="360" w:lineRule="auto"/>
              <w:rPr>
                <w:rFonts w:ascii="Times New Roman" w:eastAsia="宋体" w:hAnsi="Times New Roman" w:cs="Times New Roman"/>
                <w:sz w:val="18"/>
                <w:szCs w:val="18"/>
              </w:rPr>
            </w:pPr>
            <w:r w:rsidRPr="00F23FCC">
              <w:rPr>
                <w:rFonts w:ascii="Times New Roman" w:eastAsia="宋体" w:hAnsi="Times New Roman" w:cs="Times New Roman"/>
                <w:sz w:val="18"/>
                <w:szCs w:val="18"/>
              </w:rPr>
              <w:t>合计</w:t>
            </w:r>
          </w:p>
        </w:tc>
        <w:tc>
          <w:tcPr>
            <w:tcW w:w="2268" w:type="dxa"/>
            <w:tcBorders>
              <w:top w:val="single" w:sz="2" w:space="0" w:color="auto"/>
              <w:left w:val="single" w:sz="2" w:space="0" w:color="auto"/>
              <w:bottom w:val="single" w:sz="2" w:space="0" w:color="auto"/>
              <w:right w:val="single" w:sz="2" w:space="0" w:color="auto"/>
            </w:tcBorders>
            <w:vAlign w:val="center"/>
          </w:tcPr>
          <w:p w14:paraId="60238991"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57,464,502.98</w:t>
            </w:r>
          </w:p>
        </w:tc>
        <w:tc>
          <w:tcPr>
            <w:tcW w:w="2268" w:type="dxa"/>
            <w:tcBorders>
              <w:top w:val="single" w:sz="2" w:space="0" w:color="auto"/>
              <w:left w:val="single" w:sz="2" w:space="0" w:color="auto"/>
              <w:bottom w:val="single" w:sz="2" w:space="0" w:color="auto"/>
              <w:right w:val="single" w:sz="2" w:space="0" w:color="auto"/>
            </w:tcBorders>
            <w:vAlign w:val="center"/>
          </w:tcPr>
          <w:p w14:paraId="4E617BAE" w14:textId="77777777" w:rsidR="00A46BF1" w:rsidRPr="00F23FCC" w:rsidRDefault="00A46BF1" w:rsidP="00F23FCC">
            <w:pPr>
              <w:spacing w:line="360" w:lineRule="auto"/>
              <w:jc w:val="right"/>
              <w:rPr>
                <w:rFonts w:ascii="Times New Roman" w:eastAsia="宋体" w:hAnsi="Times New Roman" w:cs="Times New Roman"/>
                <w:sz w:val="18"/>
                <w:szCs w:val="18"/>
              </w:rPr>
            </w:pPr>
            <w:r w:rsidRPr="00F23FCC">
              <w:rPr>
                <w:rFonts w:ascii="Times New Roman" w:eastAsia="宋体" w:hAnsi="Times New Roman" w:cs="Times New Roman"/>
                <w:sz w:val="18"/>
                <w:szCs w:val="18"/>
              </w:rPr>
              <w:t>100,507,784.20</w:t>
            </w:r>
          </w:p>
        </w:tc>
      </w:tr>
    </w:tbl>
    <w:p w14:paraId="0A42E7A9" w14:textId="35B472DA" w:rsidR="00A46BF1" w:rsidRDefault="00A46BF1" w:rsidP="00A46BF1">
      <w:pPr>
        <w:pStyle w:val="3"/>
        <w:spacing w:line="280" w:lineRule="exact"/>
        <w:jc w:val="left"/>
        <w:rPr>
          <w:rFonts w:ascii="宋体" w:hAnsi="宋体" w:cs="宋体"/>
          <w:b/>
          <w:bCs/>
        </w:rPr>
      </w:pPr>
      <w:r>
        <w:rPr>
          <w:rFonts w:ascii="宋体" w:hAnsi="宋体" w:cs="宋体"/>
          <w:b/>
          <w:bCs/>
        </w:rPr>
        <w:t>5</w:t>
      </w:r>
      <w:r w:rsidR="00F23FCC">
        <w:rPr>
          <w:rFonts w:ascii="宋体" w:hAnsi="宋体" w:cs="宋体"/>
          <w:b/>
          <w:bCs/>
        </w:rPr>
        <w:t>2</w:t>
      </w:r>
      <w:r>
        <w:rPr>
          <w:rFonts w:ascii="宋体" w:hAnsi="宋体" w:cs="宋体"/>
          <w:b/>
          <w:bCs/>
        </w:rPr>
        <w:t>、公允价值变动收益</w:t>
      </w:r>
    </w:p>
    <w:p w14:paraId="43BDF7A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EF972C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D21FB9"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产生公允价值变动收益的来源</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D17F18C"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A9A4C91"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上期发生额</w:t>
            </w:r>
          </w:p>
        </w:tc>
      </w:tr>
      <w:tr w:rsidR="00095F6F" w14:paraId="75EB31F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D28C440"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交易性金融资产</w:t>
            </w:r>
          </w:p>
        </w:tc>
        <w:tc>
          <w:tcPr>
            <w:tcW w:w="3213" w:type="dxa"/>
            <w:tcBorders>
              <w:top w:val="single" w:sz="2" w:space="0" w:color="auto"/>
              <w:left w:val="single" w:sz="2" w:space="0" w:color="auto"/>
              <w:bottom w:val="single" w:sz="2" w:space="0" w:color="auto"/>
              <w:right w:val="single" w:sz="2" w:space="0" w:color="auto"/>
            </w:tcBorders>
            <w:vAlign w:val="center"/>
          </w:tcPr>
          <w:p w14:paraId="7FFDA2FD"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1,345,429.99</w:t>
            </w:r>
          </w:p>
        </w:tc>
        <w:tc>
          <w:tcPr>
            <w:tcW w:w="3213" w:type="dxa"/>
            <w:tcBorders>
              <w:top w:val="single" w:sz="2" w:space="0" w:color="auto"/>
              <w:left w:val="single" w:sz="2" w:space="0" w:color="auto"/>
              <w:bottom w:val="single" w:sz="2" w:space="0" w:color="auto"/>
              <w:right w:val="single" w:sz="2" w:space="0" w:color="auto"/>
            </w:tcBorders>
            <w:vAlign w:val="center"/>
          </w:tcPr>
          <w:p w14:paraId="4062B8A6" w14:textId="77777777" w:rsidR="00A46BF1" w:rsidRPr="004E4CAF" w:rsidRDefault="00A46BF1" w:rsidP="004E4CAF">
            <w:pPr>
              <w:spacing w:line="360" w:lineRule="auto"/>
              <w:jc w:val="right"/>
              <w:rPr>
                <w:rFonts w:ascii="Times New Roman" w:eastAsia="宋体" w:hAnsi="Times New Roman" w:cs="Times New Roman"/>
                <w:sz w:val="18"/>
                <w:szCs w:val="18"/>
              </w:rPr>
            </w:pPr>
          </w:p>
        </w:tc>
      </w:tr>
      <w:tr w:rsidR="00095F6F" w14:paraId="1504F0B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BD671D"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5299CED"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1,345,429.99</w:t>
            </w:r>
          </w:p>
        </w:tc>
        <w:tc>
          <w:tcPr>
            <w:tcW w:w="3213" w:type="dxa"/>
            <w:tcBorders>
              <w:top w:val="single" w:sz="2" w:space="0" w:color="auto"/>
              <w:left w:val="single" w:sz="2" w:space="0" w:color="auto"/>
              <w:bottom w:val="single" w:sz="2" w:space="0" w:color="auto"/>
              <w:right w:val="single" w:sz="2" w:space="0" w:color="auto"/>
            </w:tcBorders>
            <w:vAlign w:val="center"/>
          </w:tcPr>
          <w:p w14:paraId="4875FE53" w14:textId="77777777" w:rsidR="00A46BF1" w:rsidRPr="004E4CAF" w:rsidRDefault="00A46BF1" w:rsidP="004E4CAF">
            <w:pPr>
              <w:spacing w:line="360" w:lineRule="auto"/>
              <w:jc w:val="right"/>
              <w:rPr>
                <w:rFonts w:ascii="Times New Roman" w:eastAsia="宋体" w:hAnsi="Times New Roman" w:cs="Times New Roman"/>
                <w:sz w:val="18"/>
                <w:szCs w:val="18"/>
              </w:rPr>
            </w:pPr>
          </w:p>
        </w:tc>
      </w:tr>
    </w:tbl>
    <w:p w14:paraId="35466D4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9DA5E02" w14:textId="77777777" w:rsidR="00A46BF1" w:rsidRPr="004E4CAF" w:rsidRDefault="00A46BF1" w:rsidP="004E4CAF">
      <w:pPr>
        <w:spacing w:before="100" w:after="100" w:line="240" w:lineRule="exact"/>
        <w:rPr>
          <w:rFonts w:ascii="宋体" w:eastAsia="宋体" w:hAnsi="宋体" w:cs="宋体"/>
          <w:sz w:val="18"/>
          <w:szCs w:val="18"/>
        </w:rPr>
      </w:pPr>
      <w:r w:rsidRPr="004E4CAF">
        <w:rPr>
          <w:rFonts w:ascii="宋体" w:eastAsia="宋体" w:hAnsi="宋体" w:cs="宋体" w:hint="eastAsia"/>
          <w:sz w:val="18"/>
          <w:szCs w:val="18"/>
        </w:rPr>
        <w:t>无</w:t>
      </w:r>
    </w:p>
    <w:p w14:paraId="7955552E" w14:textId="26DB6F3D" w:rsidR="00A46BF1" w:rsidRDefault="00A46BF1" w:rsidP="00A46BF1">
      <w:pPr>
        <w:pStyle w:val="3"/>
        <w:spacing w:line="280" w:lineRule="exact"/>
        <w:jc w:val="left"/>
        <w:rPr>
          <w:rFonts w:ascii="宋体" w:hAnsi="宋体" w:cs="宋体"/>
          <w:b/>
          <w:bCs/>
        </w:rPr>
      </w:pPr>
      <w:r>
        <w:rPr>
          <w:rFonts w:ascii="宋体" w:hAnsi="宋体" w:cs="宋体"/>
          <w:b/>
          <w:bCs/>
        </w:rPr>
        <w:t>5</w:t>
      </w:r>
      <w:r w:rsidR="004E4CAF">
        <w:rPr>
          <w:rFonts w:ascii="宋体" w:hAnsi="宋体" w:cs="宋体"/>
          <w:b/>
          <w:bCs/>
        </w:rPr>
        <w:t>3</w:t>
      </w:r>
      <w:r>
        <w:rPr>
          <w:rFonts w:ascii="宋体" w:hAnsi="宋体" w:cs="宋体"/>
          <w:b/>
          <w:bCs/>
        </w:rPr>
        <w:t>、投资收益</w:t>
      </w:r>
    </w:p>
    <w:p w14:paraId="59B1B97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25E4BF5B" w14:textId="77777777" w:rsidTr="004E4CAF">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1225493A"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3B76E99F"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本期发生额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5BED5167"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上期发生额</w:t>
            </w:r>
          </w:p>
        </w:tc>
      </w:tr>
      <w:tr w:rsidR="00095F6F" w14:paraId="01BFAFAA" w14:textId="77777777" w:rsidTr="004E4CAF">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7A57B89"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权益法核算的长期股权投资收益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2281255E"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-308,588.70</w:t>
            </w:r>
          </w:p>
        </w:tc>
        <w:tc>
          <w:tcPr>
            <w:tcW w:w="3048" w:type="dxa"/>
            <w:tcBorders>
              <w:top w:val="single" w:sz="2" w:space="0" w:color="auto"/>
              <w:left w:val="single" w:sz="2" w:space="0" w:color="auto"/>
              <w:bottom w:val="single" w:sz="2" w:space="0" w:color="auto"/>
              <w:right w:val="single" w:sz="2" w:space="0" w:color="auto"/>
            </w:tcBorders>
            <w:vAlign w:val="center"/>
          </w:tcPr>
          <w:p w14:paraId="4F833E85"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-2,731,326.61</w:t>
            </w:r>
          </w:p>
        </w:tc>
      </w:tr>
      <w:tr w:rsidR="00095F6F" w14:paraId="19C2738A" w14:textId="77777777" w:rsidTr="004E4CAF">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9D336D0"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处置长期股权投资产生的投资收益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66EAAB58"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113,994.59</w:t>
            </w:r>
          </w:p>
        </w:tc>
        <w:tc>
          <w:tcPr>
            <w:tcW w:w="3048" w:type="dxa"/>
            <w:tcBorders>
              <w:top w:val="single" w:sz="2" w:space="0" w:color="auto"/>
              <w:left w:val="single" w:sz="2" w:space="0" w:color="auto"/>
              <w:bottom w:val="single" w:sz="2" w:space="0" w:color="auto"/>
              <w:right w:val="single" w:sz="2" w:space="0" w:color="auto"/>
            </w:tcBorders>
            <w:vAlign w:val="center"/>
          </w:tcPr>
          <w:p w14:paraId="53BC2A61" w14:textId="77777777" w:rsidR="00A46BF1" w:rsidRPr="004E4CAF" w:rsidRDefault="00A46BF1" w:rsidP="004E4CAF">
            <w:pPr>
              <w:spacing w:line="360" w:lineRule="auto"/>
              <w:jc w:val="right"/>
              <w:rPr>
                <w:rFonts w:ascii="Times New Roman" w:eastAsia="宋体" w:hAnsi="Times New Roman" w:cs="Times New Roman"/>
                <w:sz w:val="18"/>
                <w:szCs w:val="18"/>
              </w:rPr>
            </w:pPr>
          </w:p>
        </w:tc>
      </w:tr>
      <w:tr w:rsidR="00095F6F" w14:paraId="027400DF" w14:textId="77777777" w:rsidTr="004E4CAF">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7E91A1C"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交易性金融资产在持有期间的投资收益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149B540E"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1,595,604.89</w:t>
            </w:r>
          </w:p>
        </w:tc>
        <w:tc>
          <w:tcPr>
            <w:tcW w:w="3048" w:type="dxa"/>
            <w:tcBorders>
              <w:top w:val="single" w:sz="2" w:space="0" w:color="auto"/>
              <w:left w:val="single" w:sz="2" w:space="0" w:color="auto"/>
              <w:bottom w:val="single" w:sz="2" w:space="0" w:color="auto"/>
              <w:right w:val="single" w:sz="2" w:space="0" w:color="auto"/>
            </w:tcBorders>
            <w:vAlign w:val="center"/>
          </w:tcPr>
          <w:p w14:paraId="25F45330"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1,135,959.66</w:t>
            </w:r>
          </w:p>
        </w:tc>
      </w:tr>
      <w:tr w:rsidR="00095F6F" w14:paraId="63689E98" w14:textId="77777777" w:rsidTr="004E4CAF">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132981D"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合计</w:t>
            </w:r>
          </w:p>
        </w:tc>
        <w:tc>
          <w:tcPr>
            <w:tcW w:w="3047" w:type="dxa"/>
            <w:tcBorders>
              <w:top w:val="single" w:sz="2" w:space="0" w:color="auto"/>
              <w:left w:val="single" w:sz="2" w:space="0" w:color="auto"/>
              <w:bottom w:val="single" w:sz="2" w:space="0" w:color="auto"/>
              <w:right w:val="single" w:sz="2" w:space="0" w:color="auto"/>
            </w:tcBorders>
            <w:vAlign w:val="center"/>
          </w:tcPr>
          <w:p w14:paraId="0D024583"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1,401,010.78</w:t>
            </w:r>
          </w:p>
        </w:tc>
        <w:tc>
          <w:tcPr>
            <w:tcW w:w="3048" w:type="dxa"/>
            <w:tcBorders>
              <w:top w:val="single" w:sz="2" w:space="0" w:color="auto"/>
              <w:left w:val="single" w:sz="2" w:space="0" w:color="auto"/>
              <w:bottom w:val="single" w:sz="2" w:space="0" w:color="auto"/>
              <w:right w:val="single" w:sz="2" w:space="0" w:color="auto"/>
            </w:tcBorders>
            <w:vAlign w:val="center"/>
          </w:tcPr>
          <w:p w14:paraId="2B31762E"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-1,595,366.95</w:t>
            </w:r>
          </w:p>
        </w:tc>
      </w:tr>
    </w:tbl>
    <w:p w14:paraId="528367D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6345BBF" w14:textId="77777777" w:rsidR="00A46BF1" w:rsidRPr="004E4CAF" w:rsidRDefault="00A46BF1" w:rsidP="004E4CAF">
      <w:pPr>
        <w:spacing w:before="100" w:after="100" w:line="240" w:lineRule="exact"/>
        <w:rPr>
          <w:rFonts w:ascii="宋体" w:eastAsia="宋体" w:hAnsi="宋体" w:cs="宋体"/>
          <w:sz w:val="18"/>
          <w:szCs w:val="18"/>
        </w:rPr>
      </w:pPr>
      <w:r w:rsidRPr="004E4CAF">
        <w:rPr>
          <w:rFonts w:ascii="宋体" w:eastAsia="宋体" w:hAnsi="宋体" w:cs="宋体" w:hint="eastAsia"/>
          <w:sz w:val="18"/>
          <w:szCs w:val="18"/>
        </w:rPr>
        <w:t>无</w:t>
      </w:r>
    </w:p>
    <w:p w14:paraId="71B07112" w14:textId="2FA2ADD4" w:rsidR="00A46BF1" w:rsidRDefault="00A46BF1" w:rsidP="00A46BF1">
      <w:pPr>
        <w:pStyle w:val="3"/>
        <w:spacing w:line="280" w:lineRule="exact"/>
        <w:jc w:val="left"/>
        <w:rPr>
          <w:rFonts w:ascii="宋体" w:hAnsi="宋体" w:cs="宋体"/>
          <w:b/>
          <w:bCs/>
        </w:rPr>
      </w:pPr>
      <w:r>
        <w:rPr>
          <w:rFonts w:ascii="宋体" w:hAnsi="宋体" w:cs="宋体"/>
          <w:b/>
          <w:bCs/>
        </w:rPr>
        <w:t>5</w:t>
      </w:r>
      <w:r w:rsidR="004E4CAF">
        <w:rPr>
          <w:rFonts w:ascii="宋体" w:hAnsi="宋体" w:cs="宋体"/>
          <w:b/>
          <w:bCs/>
        </w:rPr>
        <w:t>4</w:t>
      </w:r>
      <w:r>
        <w:rPr>
          <w:rFonts w:ascii="宋体" w:hAnsi="宋体" w:cs="宋体"/>
          <w:b/>
          <w:bCs/>
        </w:rPr>
        <w:t>、信用减值损失</w:t>
      </w:r>
    </w:p>
    <w:p w14:paraId="18EEB2B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D8B124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4A8447"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DC145F2"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A550EB"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上期发生额</w:t>
            </w:r>
          </w:p>
        </w:tc>
      </w:tr>
      <w:tr w:rsidR="00095F6F" w14:paraId="21B2E66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793D80"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应收账款坏账损失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2B391398"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14,860,998.47</w:t>
            </w:r>
          </w:p>
        </w:tc>
        <w:tc>
          <w:tcPr>
            <w:tcW w:w="3213" w:type="dxa"/>
            <w:tcBorders>
              <w:top w:val="single" w:sz="2" w:space="0" w:color="auto"/>
              <w:left w:val="single" w:sz="2" w:space="0" w:color="auto"/>
              <w:bottom w:val="single" w:sz="2" w:space="0" w:color="auto"/>
              <w:right w:val="single" w:sz="2" w:space="0" w:color="auto"/>
            </w:tcBorders>
            <w:vAlign w:val="center"/>
          </w:tcPr>
          <w:p w14:paraId="47B17B9F"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-29,436,295.41</w:t>
            </w:r>
          </w:p>
        </w:tc>
      </w:tr>
      <w:tr w:rsidR="00095F6F" w14:paraId="270AC8A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33C9CC"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其他应收款坏账损失</w:t>
            </w:r>
          </w:p>
        </w:tc>
        <w:tc>
          <w:tcPr>
            <w:tcW w:w="3213" w:type="dxa"/>
            <w:tcBorders>
              <w:top w:val="single" w:sz="2" w:space="0" w:color="auto"/>
              <w:left w:val="single" w:sz="2" w:space="0" w:color="auto"/>
              <w:bottom w:val="single" w:sz="2" w:space="0" w:color="auto"/>
              <w:right w:val="single" w:sz="2" w:space="0" w:color="auto"/>
            </w:tcBorders>
            <w:vAlign w:val="center"/>
          </w:tcPr>
          <w:p w14:paraId="23D19A50"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-25,618,728.71</w:t>
            </w:r>
          </w:p>
        </w:tc>
        <w:tc>
          <w:tcPr>
            <w:tcW w:w="3213" w:type="dxa"/>
            <w:tcBorders>
              <w:top w:val="single" w:sz="2" w:space="0" w:color="auto"/>
              <w:left w:val="single" w:sz="2" w:space="0" w:color="auto"/>
              <w:bottom w:val="single" w:sz="2" w:space="0" w:color="auto"/>
              <w:right w:val="single" w:sz="2" w:space="0" w:color="auto"/>
            </w:tcBorders>
            <w:vAlign w:val="center"/>
          </w:tcPr>
          <w:p w14:paraId="3B19A4A3"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1,046,235.99</w:t>
            </w:r>
          </w:p>
        </w:tc>
      </w:tr>
      <w:tr w:rsidR="00095F6F" w14:paraId="0873902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9EA22A"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0BFFDF9"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-10,757,730.24</w:t>
            </w:r>
          </w:p>
        </w:tc>
        <w:tc>
          <w:tcPr>
            <w:tcW w:w="3213" w:type="dxa"/>
            <w:tcBorders>
              <w:top w:val="single" w:sz="2" w:space="0" w:color="auto"/>
              <w:left w:val="single" w:sz="2" w:space="0" w:color="auto"/>
              <w:bottom w:val="single" w:sz="2" w:space="0" w:color="auto"/>
              <w:right w:val="single" w:sz="2" w:space="0" w:color="auto"/>
            </w:tcBorders>
            <w:vAlign w:val="center"/>
          </w:tcPr>
          <w:p w14:paraId="707F15B1"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-28,390,059.42</w:t>
            </w:r>
          </w:p>
        </w:tc>
      </w:tr>
    </w:tbl>
    <w:p w14:paraId="255B0C3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0EFC251" w14:textId="77777777" w:rsidR="00A46BF1" w:rsidRPr="004E4CAF" w:rsidRDefault="00A46BF1" w:rsidP="004E4CAF">
      <w:pPr>
        <w:spacing w:before="100" w:after="100" w:line="240" w:lineRule="exact"/>
        <w:rPr>
          <w:rFonts w:ascii="宋体" w:eastAsia="宋体" w:hAnsi="宋体" w:cs="宋体"/>
          <w:sz w:val="18"/>
          <w:szCs w:val="18"/>
        </w:rPr>
      </w:pPr>
      <w:r w:rsidRPr="004E4CAF">
        <w:rPr>
          <w:rFonts w:ascii="宋体" w:eastAsia="宋体" w:hAnsi="宋体" w:cs="宋体" w:hint="eastAsia"/>
          <w:sz w:val="18"/>
          <w:szCs w:val="18"/>
        </w:rPr>
        <w:t>无</w:t>
      </w:r>
    </w:p>
    <w:p w14:paraId="78FE6355" w14:textId="125A87B2" w:rsidR="00A46BF1" w:rsidRDefault="00A46BF1" w:rsidP="00A46BF1">
      <w:pPr>
        <w:pStyle w:val="3"/>
        <w:spacing w:line="280" w:lineRule="exact"/>
        <w:jc w:val="left"/>
        <w:rPr>
          <w:rFonts w:ascii="宋体" w:hAnsi="宋体" w:cs="宋体"/>
          <w:b/>
          <w:bCs/>
        </w:rPr>
      </w:pPr>
      <w:r>
        <w:rPr>
          <w:rFonts w:ascii="宋体" w:hAnsi="宋体" w:cs="宋体"/>
          <w:b/>
          <w:bCs/>
        </w:rPr>
        <w:t>5</w:t>
      </w:r>
      <w:r w:rsidR="004E4CAF">
        <w:rPr>
          <w:rFonts w:ascii="宋体" w:hAnsi="宋体" w:cs="宋体"/>
          <w:b/>
          <w:bCs/>
        </w:rPr>
        <w:t>5</w:t>
      </w:r>
      <w:r>
        <w:rPr>
          <w:rFonts w:ascii="宋体" w:hAnsi="宋体" w:cs="宋体"/>
          <w:b/>
          <w:bCs/>
        </w:rPr>
        <w:t>、资产减值损失</w:t>
      </w:r>
    </w:p>
    <w:p w14:paraId="52359FC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828"/>
        <w:gridCol w:w="2905"/>
        <w:gridCol w:w="2906"/>
      </w:tblGrid>
      <w:tr w:rsidR="00095F6F" w14:paraId="2842234A"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6E3F5E58"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项目</w:t>
            </w:r>
          </w:p>
        </w:tc>
        <w:tc>
          <w:tcPr>
            <w:tcW w:w="2905" w:type="dxa"/>
            <w:tcBorders>
              <w:top w:val="single" w:sz="2" w:space="0" w:color="auto"/>
              <w:left w:val="single" w:sz="2" w:space="0" w:color="auto"/>
              <w:bottom w:val="single" w:sz="2" w:space="0" w:color="auto"/>
              <w:right w:val="single" w:sz="2" w:space="0" w:color="auto"/>
            </w:tcBorders>
            <w:shd w:val="clear" w:color="auto" w:fill="D3D3D3"/>
            <w:vAlign w:val="center"/>
          </w:tcPr>
          <w:p w14:paraId="101359FF"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本期发生额</w:t>
            </w:r>
          </w:p>
        </w:tc>
        <w:tc>
          <w:tcPr>
            <w:tcW w:w="2906" w:type="dxa"/>
            <w:tcBorders>
              <w:top w:val="single" w:sz="2" w:space="0" w:color="auto"/>
              <w:left w:val="single" w:sz="2" w:space="0" w:color="auto"/>
              <w:bottom w:val="single" w:sz="2" w:space="0" w:color="auto"/>
              <w:right w:val="single" w:sz="2" w:space="0" w:color="auto"/>
            </w:tcBorders>
            <w:shd w:val="clear" w:color="auto" w:fill="D3D3D3"/>
            <w:vAlign w:val="center"/>
          </w:tcPr>
          <w:p w14:paraId="51704136"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上期发生额</w:t>
            </w:r>
          </w:p>
        </w:tc>
      </w:tr>
      <w:tr w:rsidR="00095F6F" w14:paraId="08400F6F"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5CE51895"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一、存货跌价损失及合同履约成本减值损失</w:t>
            </w:r>
          </w:p>
        </w:tc>
        <w:tc>
          <w:tcPr>
            <w:tcW w:w="2905" w:type="dxa"/>
            <w:tcBorders>
              <w:top w:val="single" w:sz="2" w:space="0" w:color="auto"/>
              <w:left w:val="single" w:sz="2" w:space="0" w:color="auto"/>
              <w:bottom w:val="single" w:sz="2" w:space="0" w:color="auto"/>
              <w:right w:val="single" w:sz="2" w:space="0" w:color="auto"/>
            </w:tcBorders>
            <w:vAlign w:val="center"/>
          </w:tcPr>
          <w:p w14:paraId="5BECE4D8"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-34,713,473.07</w:t>
            </w:r>
          </w:p>
        </w:tc>
        <w:tc>
          <w:tcPr>
            <w:tcW w:w="2906" w:type="dxa"/>
            <w:tcBorders>
              <w:top w:val="single" w:sz="2" w:space="0" w:color="auto"/>
              <w:left w:val="single" w:sz="2" w:space="0" w:color="auto"/>
              <w:bottom w:val="single" w:sz="2" w:space="0" w:color="auto"/>
              <w:right w:val="single" w:sz="2" w:space="0" w:color="auto"/>
            </w:tcBorders>
            <w:vAlign w:val="center"/>
          </w:tcPr>
          <w:p w14:paraId="2A140EB5"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-21,208,843.83</w:t>
            </w:r>
          </w:p>
        </w:tc>
      </w:tr>
      <w:tr w:rsidR="00095F6F" w14:paraId="449C9FFB"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2F66C667"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二、长期股权投资减值损失</w:t>
            </w:r>
          </w:p>
        </w:tc>
        <w:tc>
          <w:tcPr>
            <w:tcW w:w="2905" w:type="dxa"/>
            <w:tcBorders>
              <w:top w:val="single" w:sz="2" w:space="0" w:color="auto"/>
              <w:left w:val="single" w:sz="2" w:space="0" w:color="auto"/>
              <w:bottom w:val="single" w:sz="2" w:space="0" w:color="auto"/>
              <w:right w:val="single" w:sz="2" w:space="0" w:color="auto"/>
            </w:tcBorders>
            <w:vAlign w:val="center"/>
          </w:tcPr>
          <w:p w14:paraId="14D637A2"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-5,047,427.28</w:t>
            </w:r>
          </w:p>
        </w:tc>
        <w:tc>
          <w:tcPr>
            <w:tcW w:w="2906" w:type="dxa"/>
            <w:tcBorders>
              <w:top w:val="single" w:sz="2" w:space="0" w:color="auto"/>
              <w:left w:val="single" w:sz="2" w:space="0" w:color="auto"/>
              <w:bottom w:val="single" w:sz="2" w:space="0" w:color="auto"/>
              <w:right w:val="single" w:sz="2" w:space="0" w:color="auto"/>
            </w:tcBorders>
            <w:vAlign w:val="center"/>
          </w:tcPr>
          <w:p w14:paraId="79211000"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-31,678,692.44</w:t>
            </w:r>
          </w:p>
        </w:tc>
      </w:tr>
      <w:tr w:rsidR="00095F6F" w14:paraId="1E2EC9E9"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4D6B710D"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四、固定资产减值损失</w:t>
            </w:r>
          </w:p>
        </w:tc>
        <w:tc>
          <w:tcPr>
            <w:tcW w:w="2905" w:type="dxa"/>
            <w:tcBorders>
              <w:top w:val="single" w:sz="2" w:space="0" w:color="auto"/>
              <w:left w:val="single" w:sz="2" w:space="0" w:color="auto"/>
              <w:bottom w:val="single" w:sz="2" w:space="0" w:color="auto"/>
              <w:right w:val="single" w:sz="2" w:space="0" w:color="auto"/>
            </w:tcBorders>
            <w:vAlign w:val="center"/>
          </w:tcPr>
          <w:p w14:paraId="2DDCEE2B" w14:textId="77777777" w:rsidR="00A46BF1" w:rsidRPr="004E4CAF" w:rsidRDefault="00A46BF1" w:rsidP="004E4CAF">
            <w:pPr>
              <w:spacing w:line="360" w:lineRule="auto"/>
              <w:jc w:val="right"/>
              <w:rPr>
                <w:rFonts w:ascii="Times New Roman" w:eastAsia="宋体" w:hAnsi="Times New Roman" w:cs="Times New Roman"/>
                <w:sz w:val="18"/>
                <w:szCs w:val="18"/>
              </w:rPr>
            </w:pPr>
          </w:p>
        </w:tc>
        <w:tc>
          <w:tcPr>
            <w:tcW w:w="2906" w:type="dxa"/>
            <w:tcBorders>
              <w:top w:val="single" w:sz="2" w:space="0" w:color="auto"/>
              <w:left w:val="single" w:sz="2" w:space="0" w:color="auto"/>
              <w:bottom w:val="single" w:sz="2" w:space="0" w:color="auto"/>
              <w:right w:val="single" w:sz="2" w:space="0" w:color="auto"/>
            </w:tcBorders>
            <w:vAlign w:val="center"/>
          </w:tcPr>
          <w:p w14:paraId="0FA9B76C"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-10,587,689.91</w:t>
            </w:r>
          </w:p>
        </w:tc>
      </w:tr>
      <w:tr w:rsidR="00095F6F" w14:paraId="43906FCD"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6220232C"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六、在建工程减值损失</w:t>
            </w:r>
          </w:p>
        </w:tc>
        <w:tc>
          <w:tcPr>
            <w:tcW w:w="2905" w:type="dxa"/>
            <w:tcBorders>
              <w:top w:val="single" w:sz="2" w:space="0" w:color="auto"/>
              <w:left w:val="single" w:sz="2" w:space="0" w:color="auto"/>
              <w:bottom w:val="single" w:sz="2" w:space="0" w:color="auto"/>
              <w:right w:val="single" w:sz="2" w:space="0" w:color="auto"/>
            </w:tcBorders>
            <w:vAlign w:val="center"/>
          </w:tcPr>
          <w:p w14:paraId="05F237D0" w14:textId="77777777" w:rsidR="00A46BF1" w:rsidRPr="004E4CAF" w:rsidRDefault="00A46BF1" w:rsidP="004E4CAF">
            <w:pPr>
              <w:spacing w:line="360" w:lineRule="auto"/>
              <w:jc w:val="right"/>
              <w:rPr>
                <w:rFonts w:ascii="Times New Roman" w:eastAsia="宋体" w:hAnsi="Times New Roman" w:cs="Times New Roman"/>
                <w:sz w:val="18"/>
                <w:szCs w:val="18"/>
              </w:rPr>
            </w:pPr>
          </w:p>
        </w:tc>
        <w:tc>
          <w:tcPr>
            <w:tcW w:w="2906" w:type="dxa"/>
            <w:tcBorders>
              <w:top w:val="single" w:sz="2" w:space="0" w:color="auto"/>
              <w:left w:val="single" w:sz="2" w:space="0" w:color="auto"/>
              <w:bottom w:val="single" w:sz="2" w:space="0" w:color="auto"/>
              <w:right w:val="single" w:sz="2" w:space="0" w:color="auto"/>
            </w:tcBorders>
            <w:vAlign w:val="center"/>
          </w:tcPr>
          <w:p w14:paraId="3853DE76"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-3,003,227.69</w:t>
            </w:r>
          </w:p>
        </w:tc>
      </w:tr>
      <w:tr w:rsidR="00095F6F" w14:paraId="70B6A273"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41548846"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九、无形资产减值损失</w:t>
            </w:r>
          </w:p>
        </w:tc>
        <w:tc>
          <w:tcPr>
            <w:tcW w:w="2905" w:type="dxa"/>
            <w:tcBorders>
              <w:top w:val="single" w:sz="2" w:space="0" w:color="auto"/>
              <w:left w:val="single" w:sz="2" w:space="0" w:color="auto"/>
              <w:bottom w:val="single" w:sz="2" w:space="0" w:color="auto"/>
              <w:right w:val="single" w:sz="2" w:space="0" w:color="auto"/>
            </w:tcBorders>
            <w:vAlign w:val="center"/>
          </w:tcPr>
          <w:p w14:paraId="62FCC9C2" w14:textId="77777777" w:rsidR="00A46BF1" w:rsidRPr="004E4CAF" w:rsidRDefault="00A46BF1" w:rsidP="004E4CAF">
            <w:pPr>
              <w:spacing w:line="360" w:lineRule="auto"/>
              <w:jc w:val="right"/>
              <w:rPr>
                <w:rFonts w:ascii="Times New Roman" w:eastAsia="宋体" w:hAnsi="Times New Roman" w:cs="Times New Roman"/>
                <w:sz w:val="18"/>
                <w:szCs w:val="18"/>
              </w:rPr>
            </w:pPr>
          </w:p>
        </w:tc>
        <w:tc>
          <w:tcPr>
            <w:tcW w:w="2906" w:type="dxa"/>
            <w:tcBorders>
              <w:top w:val="single" w:sz="2" w:space="0" w:color="auto"/>
              <w:left w:val="single" w:sz="2" w:space="0" w:color="auto"/>
              <w:bottom w:val="single" w:sz="2" w:space="0" w:color="auto"/>
              <w:right w:val="single" w:sz="2" w:space="0" w:color="auto"/>
            </w:tcBorders>
            <w:vAlign w:val="center"/>
          </w:tcPr>
          <w:p w14:paraId="16D4F9A3"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-7,917,998.95</w:t>
            </w:r>
          </w:p>
        </w:tc>
      </w:tr>
      <w:tr w:rsidR="00095F6F" w14:paraId="2096A1E8"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6A25BC55"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十、商誉减值损失</w:t>
            </w:r>
          </w:p>
        </w:tc>
        <w:tc>
          <w:tcPr>
            <w:tcW w:w="2905" w:type="dxa"/>
            <w:tcBorders>
              <w:top w:val="single" w:sz="2" w:space="0" w:color="auto"/>
              <w:left w:val="single" w:sz="2" w:space="0" w:color="auto"/>
              <w:bottom w:val="single" w:sz="2" w:space="0" w:color="auto"/>
              <w:right w:val="single" w:sz="2" w:space="0" w:color="auto"/>
            </w:tcBorders>
            <w:vAlign w:val="center"/>
          </w:tcPr>
          <w:p w14:paraId="44B700B0"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-144,556,359.35</w:t>
            </w:r>
          </w:p>
        </w:tc>
        <w:tc>
          <w:tcPr>
            <w:tcW w:w="2906" w:type="dxa"/>
            <w:tcBorders>
              <w:top w:val="single" w:sz="2" w:space="0" w:color="auto"/>
              <w:left w:val="single" w:sz="2" w:space="0" w:color="auto"/>
              <w:bottom w:val="single" w:sz="2" w:space="0" w:color="auto"/>
              <w:right w:val="single" w:sz="2" w:space="0" w:color="auto"/>
            </w:tcBorders>
            <w:vAlign w:val="center"/>
          </w:tcPr>
          <w:p w14:paraId="3BA24AC9" w14:textId="77777777" w:rsidR="00A46BF1" w:rsidRPr="004E4CAF" w:rsidRDefault="00A46BF1" w:rsidP="004E4CAF">
            <w:pPr>
              <w:spacing w:line="360" w:lineRule="auto"/>
              <w:jc w:val="right"/>
              <w:rPr>
                <w:rFonts w:ascii="Times New Roman" w:eastAsia="宋体" w:hAnsi="Times New Roman" w:cs="Times New Roman"/>
                <w:sz w:val="18"/>
                <w:szCs w:val="18"/>
              </w:rPr>
            </w:pPr>
          </w:p>
        </w:tc>
      </w:tr>
      <w:tr w:rsidR="00095F6F" w14:paraId="746C8307" w14:textId="77777777" w:rsidTr="004E4CAF">
        <w:trPr>
          <w:trHeight w:val="240"/>
        </w:trPr>
        <w:tc>
          <w:tcPr>
            <w:tcW w:w="3828" w:type="dxa"/>
            <w:tcBorders>
              <w:top w:val="single" w:sz="2" w:space="0" w:color="auto"/>
              <w:left w:val="single" w:sz="2" w:space="0" w:color="auto"/>
              <w:bottom w:val="single" w:sz="2" w:space="0" w:color="auto"/>
              <w:right w:val="single" w:sz="2" w:space="0" w:color="auto"/>
            </w:tcBorders>
            <w:shd w:val="clear" w:color="auto" w:fill="D3D3D3"/>
            <w:vAlign w:val="center"/>
          </w:tcPr>
          <w:p w14:paraId="33C4BA4D" w14:textId="77777777" w:rsidR="00A46BF1" w:rsidRPr="004E4CAF" w:rsidRDefault="00A46BF1" w:rsidP="004E4CAF">
            <w:pPr>
              <w:spacing w:before="40" w:after="40"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合计</w:t>
            </w:r>
          </w:p>
        </w:tc>
        <w:tc>
          <w:tcPr>
            <w:tcW w:w="2905" w:type="dxa"/>
            <w:tcBorders>
              <w:top w:val="single" w:sz="2" w:space="0" w:color="auto"/>
              <w:left w:val="single" w:sz="2" w:space="0" w:color="auto"/>
              <w:bottom w:val="single" w:sz="2" w:space="0" w:color="auto"/>
              <w:right w:val="single" w:sz="2" w:space="0" w:color="auto"/>
            </w:tcBorders>
            <w:vAlign w:val="center"/>
          </w:tcPr>
          <w:p w14:paraId="1D2BF284"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-184,317,259.70</w:t>
            </w:r>
          </w:p>
        </w:tc>
        <w:tc>
          <w:tcPr>
            <w:tcW w:w="2906" w:type="dxa"/>
            <w:tcBorders>
              <w:top w:val="single" w:sz="2" w:space="0" w:color="auto"/>
              <w:left w:val="single" w:sz="2" w:space="0" w:color="auto"/>
              <w:bottom w:val="single" w:sz="2" w:space="0" w:color="auto"/>
              <w:right w:val="single" w:sz="2" w:space="0" w:color="auto"/>
            </w:tcBorders>
            <w:vAlign w:val="center"/>
          </w:tcPr>
          <w:p w14:paraId="3A0383ED"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-74,396,452.82</w:t>
            </w:r>
          </w:p>
        </w:tc>
      </w:tr>
    </w:tbl>
    <w:p w14:paraId="0965BFB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F79A947" w14:textId="77777777" w:rsidR="00A46BF1" w:rsidRPr="004E4CAF" w:rsidRDefault="00A46BF1" w:rsidP="004E4CAF">
      <w:pPr>
        <w:spacing w:before="100" w:after="100" w:line="240" w:lineRule="exact"/>
        <w:rPr>
          <w:rFonts w:ascii="宋体" w:eastAsia="宋体" w:hAnsi="宋体" w:cs="宋体"/>
          <w:sz w:val="18"/>
          <w:szCs w:val="18"/>
        </w:rPr>
      </w:pPr>
      <w:r w:rsidRPr="004E4CAF">
        <w:rPr>
          <w:rFonts w:ascii="宋体" w:eastAsia="宋体" w:hAnsi="宋体" w:cs="宋体" w:hint="eastAsia"/>
          <w:sz w:val="18"/>
          <w:szCs w:val="18"/>
        </w:rPr>
        <w:t>无</w:t>
      </w:r>
    </w:p>
    <w:p w14:paraId="195FC6B0" w14:textId="0EAE64C5" w:rsidR="00A46BF1" w:rsidRDefault="00A46BF1" w:rsidP="00A46BF1">
      <w:pPr>
        <w:pStyle w:val="3"/>
        <w:spacing w:line="280" w:lineRule="exact"/>
        <w:jc w:val="left"/>
        <w:rPr>
          <w:rFonts w:ascii="宋体" w:hAnsi="宋体" w:cs="宋体"/>
          <w:b/>
          <w:bCs/>
        </w:rPr>
      </w:pPr>
      <w:r>
        <w:rPr>
          <w:rFonts w:ascii="宋体" w:hAnsi="宋体" w:cs="宋体"/>
          <w:b/>
          <w:bCs/>
        </w:rPr>
        <w:t>5</w:t>
      </w:r>
      <w:r w:rsidR="004E4CAF">
        <w:rPr>
          <w:rFonts w:ascii="宋体" w:hAnsi="宋体" w:cs="宋体"/>
          <w:b/>
          <w:bCs/>
        </w:rPr>
        <w:t>6</w:t>
      </w:r>
      <w:r>
        <w:rPr>
          <w:rFonts w:ascii="宋体" w:hAnsi="宋体" w:cs="宋体"/>
          <w:b/>
          <w:bCs/>
        </w:rPr>
        <w:t>、资产处置收益</w:t>
      </w:r>
    </w:p>
    <w:p w14:paraId="0A5602C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536"/>
        <w:gridCol w:w="2551"/>
        <w:gridCol w:w="2552"/>
      </w:tblGrid>
      <w:tr w:rsidR="00095F6F" w14:paraId="48DE7D95"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shd w:val="clear" w:color="auto" w:fill="D3D3D3"/>
            <w:vAlign w:val="center"/>
          </w:tcPr>
          <w:p w14:paraId="20B4CEDB"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资产处置收益的来源</w:t>
            </w:r>
          </w:p>
        </w:tc>
        <w:tc>
          <w:tcPr>
            <w:tcW w:w="2551" w:type="dxa"/>
            <w:tcBorders>
              <w:top w:val="single" w:sz="2" w:space="0" w:color="auto"/>
              <w:left w:val="single" w:sz="2" w:space="0" w:color="auto"/>
              <w:bottom w:val="single" w:sz="2" w:space="0" w:color="auto"/>
              <w:right w:val="single" w:sz="2" w:space="0" w:color="auto"/>
            </w:tcBorders>
            <w:shd w:val="clear" w:color="auto" w:fill="D3D3D3"/>
            <w:vAlign w:val="center"/>
          </w:tcPr>
          <w:p w14:paraId="53705D22"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本期发生额</w:t>
            </w:r>
          </w:p>
        </w:tc>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18B1B653" w14:textId="77777777" w:rsidR="00A46BF1" w:rsidRPr="004E4CAF" w:rsidRDefault="00A46BF1" w:rsidP="004E4CAF">
            <w:pPr>
              <w:spacing w:before="40" w:after="40" w:line="360" w:lineRule="auto"/>
              <w:jc w:val="center"/>
              <w:rPr>
                <w:rFonts w:ascii="Times New Roman" w:eastAsia="宋体" w:hAnsi="Times New Roman" w:cs="Times New Roman"/>
                <w:sz w:val="18"/>
                <w:szCs w:val="18"/>
              </w:rPr>
            </w:pPr>
            <w:r w:rsidRPr="004E4CAF">
              <w:rPr>
                <w:rFonts w:ascii="Times New Roman" w:eastAsia="宋体" w:hAnsi="Times New Roman" w:cs="Times New Roman"/>
                <w:sz w:val="18"/>
                <w:szCs w:val="18"/>
              </w:rPr>
              <w:t>上期发生额</w:t>
            </w:r>
          </w:p>
        </w:tc>
      </w:tr>
      <w:tr w:rsidR="00095F6F" w14:paraId="6D471DC1"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0F41D075" w14:textId="77777777" w:rsidR="00A46BF1" w:rsidRPr="004E4CAF" w:rsidRDefault="00A46BF1" w:rsidP="004E4CAF">
            <w:pPr>
              <w:spacing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持有待售处置组处置收益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6AE6CE60" w14:textId="77777777" w:rsidR="00A46BF1" w:rsidRPr="004E4CAF" w:rsidRDefault="00A46BF1" w:rsidP="004E4CAF">
            <w:pPr>
              <w:spacing w:line="360" w:lineRule="auto"/>
              <w:jc w:val="right"/>
              <w:rPr>
                <w:rFonts w:ascii="Times New Roman" w:eastAsia="宋体" w:hAnsi="Times New Roman" w:cs="Times New Roman"/>
                <w:sz w:val="18"/>
                <w:szCs w:val="18"/>
              </w:rPr>
            </w:pPr>
          </w:p>
        </w:tc>
        <w:tc>
          <w:tcPr>
            <w:tcW w:w="2552" w:type="dxa"/>
            <w:tcBorders>
              <w:top w:val="single" w:sz="2" w:space="0" w:color="auto"/>
              <w:left w:val="single" w:sz="2" w:space="0" w:color="auto"/>
              <w:bottom w:val="single" w:sz="2" w:space="0" w:color="auto"/>
              <w:right w:val="single" w:sz="2" w:space="0" w:color="auto"/>
            </w:tcBorders>
            <w:vAlign w:val="center"/>
          </w:tcPr>
          <w:p w14:paraId="338829B8" w14:textId="77777777" w:rsidR="00A46BF1" w:rsidRPr="004E4CAF" w:rsidRDefault="00A46BF1" w:rsidP="004E4CAF">
            <w:pPr>
              <w:spacing w:line="360" w:lineRule="auto"/>
              <w:jc w:val="right"/>
              <w:rPr>
                <w:rFonts w:ascii="Times New Roman" w:eastAsia="宋体" w:hAnsi="Times New Roman" w:cs="Times New Roman"/>
                <w:sz w:val="18"/>
                <w:szCs w:val="18"/>
              </w:rPr>
            </w:pPr>
          </w:p>
        </w:tc>
      </w:tr>
      <w:tr w:rsidR="00095F6F" w14:paraId="2260F8C3"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097C15BC" w14:textId="77777777" w:rsidR="00A46BF1" w:rsidRPr="004E4CAF" w:rsidRDefault="00A46BF1" w:rsidP="004E4CAF">
            <w:pPr>
              <w:spacing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非流动资产处置收益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785A9334"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-1,143,532.66</w:t>
            </w:r>
          </w:p>
        </w:tc>
        <w:tc>
          <w:tcPr>
            <w:tcW w:w="2552" w:type="dxa"/>
            <w:tcBorders>
              <w:top w:val="single" w:sz="2" w:space="0" w:color="auto"/>
              <w:left w:val="single" w:sz="2" w:space="0" w:color="auto"/>
              <w:bottom w:val="single" w:sz="2" w:space="0" w:color="auto"/>
              <w:right w:val="single" w:sz="2" w:space="0" w:color="auto"/>
            </w:tcBorders>
            <w:vAlign w:val="center"/>
          </w:tcPr>
          <w:p w14:paraId="45CE1DCA"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957,336.24</w:t>
            </w:r>
          </w:p>
        </w:tc>
      </w:tr>
      <w:tr w:rsidR="00095F6F" w14:paraId="516AF404"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7B138158" w14:textId="5934A76C" w:rsidR="00A46BF1" w:rsidRPr="004E4CAF" w:rsidRDefault="00A46BF1" w:rsidP="004E4CAF">
            <w:pPr>
              <w:spacing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其中</w:t>
            </w:r>
            <w:r w:rsidR="004E4CAF">
              <w:rPr>
                <w:rFonts w:ascii="Times New Roman" w:eastAsia="宋体" w:hAnsi="Times New Roman" w:cs="Times New Roman" w:hint="eastAsia"/>
                <w:sz w:val="18"/>
                <w:szCs w:val="18"/>
              </w:rPr>
              <w:t>：</w:t>
            </w:r>
            <w:r w:rsidRPr="004E4CAF">
              <w:rPr>
                <w:rFonts w:ascii="Times New Roman" w:eastAsia="宋体" w:hAnsi="Times New Roman" w:cs="Times New Roman"/>
                <w:sz w:val="18"/>
                <w:szCs w:val="18"/>
              </w:rPr>
              <w:t>划分为持有待售的非流动资产处置收益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36560F1F" w14:textId="77777777" w:rsidR="00A46BF1" w:rsidRPr="004E4CAF" w:rsidRDefault="00A46BF1" w:rsidP="004E4CAF">
            <w:pPr>
              <w:spacing w:line="360" w:lineRule="auto"/>
              <w:jc w:val="right"/>
              <w:rPr>
                <w:rFonts w:ascii="Times New Roman" w:eastAsia="宋体" w:hAnsi="Times New Roman" w:cs="Times New Roman"/>
                <w:sz w:val="18"/>
                <w:szCs w:val="18"/>
              </w:rPr>
            </w:pPr>
          </w:p>
        </w:tc>
        <w:tc>
          <w:tcPr>
            <w:tcW w:w="2552" w:type="dxa"/>
            <w:tcBorders>
              <w:top w:val="single" w:sz="2" w:space="0" w:color="auto"/>
              <w:left w:val="single" w:sz="2" w:space="0" w:color="auto"/>
              <w:bottom w:val="single" w:sz="2" w:space="0" w:color="auto"/>
              <w:right w:val="single" w:sz="2" w:space="0" w:color="auto"/>
            </w:tcBorders>
            <w:vAlign w:val="center"/>
          </w:tcPr>
          <w:p w14:paraId="1E8EDF5F" w14:textId="77777777" w:rsidR="00A46BF1" w:rsidRPr="004E4CAF" w:rsidRDefault="00A46BF1" w:rsidP="004E4CAF">
            <w:pPr>
              <w:spacing w:line="360" w:lineRule="auto"/>
              <w:jc w:val="right"/>
              <w:rPr>
                <w:rFonts w:ascii="Times New Roman" w:eastAsia="宋体" w:hAnsi="Times New Roman" w:cs="Times New Roman"/>
                <w:sz w:val="18"/>
                <w:szCs w:val="18"/>
              </w:rPr>
            </w:pPr>
          </w:p>
        </w:tc>
      </w:tr>
      <w:tr w:rsidR="00095F6F" w14:paraId="5FED8A1A"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4F706C9F" w14:textId="25182AFC" w:rsidR="00A46BF1" w:rsidRPr="004E4CAF" w:rsidRDefault="00A46BF1" w:rsidP="004E4CAF">
            <w:pPr>
              <w:spacing w:line="360" w:lineRule="auto"/>
              <w:ind w:firstLineChars="300" w:firstLine="540"/>
              <w:rPr>
                <w:rFonts w:ascii="Times New Roman" w:eastAsia="宋体" w:hAnsi="Times New Roman" w:cs="Times New Roman"/>
                <w:sz w:val="18"/>
                <w:szCs w:val="18"/>
              </w:rPr>
            </w:pPr>
            <w:r w:rsidRPr="004E4CAF">
              <w:rPr>
                <w:rFonts w:ascii="Times New Roman" w:eastAsia="宋体" w:hAnsi="Times New Roman" w:cs="Times New Roman"/>
                <w:sz w:val="18"/>
                <w:szCs w:val="18"/>
              </w:rPr>
              <w:t>未划分为持有待售的非流动资产处置收益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2703F36B"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-1,143,532.66</w:t>
            </w:r>
          </w:p>
        </w:tc>
        <w:tc>
          <w:tcPr>
            <w:tcW w:w="2552" w:type="dxa"/>
            <w:tcBorders>
              <w:top w:val="single" w:sz="2" w:space="0" w:color="auto"/>
              <w:left w:val="single" w:sz="2" w:space="0" w:color="auto"/>
              <w:bottom w:val="single" w:sz="2" w:space="0" w:color="auto"/>
              <w:right w:val="single" w:sz="2" w:space="0" w:color="auto"/>
            </w:tcBorders>
            <w:vAlign w:val="center"/>
          </w:tcPr>
          <w:p w14:paraId="5D9E19AD"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957,336.24</w:t>
            </w:r>
          </w:p>
        </w:tc>
      </w:tr>
      <w:tr w:rsidR="00095F6F" w14:paraId="162659F3"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19BC262C" w14:textId="10C8E1E7" w:rsidR="00A46BF1" w:rsidRPr="004E4CAF" w:rsidRDefault="00A46BF1" w:rsidP="004E4CAF">
            <w:pPr>
              <w:spacing w:line="360" w:lineRule="auto"/>
              <w:ind w:firstLineChars="300" w:firstLine="540"/>
              <w:rPr>
                <w:rFonts w:ascii="Times New Roman" w:eastAsia="宋体" w:hAnsi="Times New Roman" w:cs="Times New Roman"/>
                <w:sz w:val="18"/>
                <w:szCs w:val="18"/>
              </w:rPr>
            </w:pPr>
            <w:r w:rsidRPr="004E4CAF">
              <w:rPr>
                <w:rFonts w:ascii="Times New Roman" w:eastAsia="宋体" w:hAnsi="Times New Roman" w:cs="Times New Roman"/>
                <w:sz w:val="18"/>
                <w:szCs w:val="18"/>
              </w:rPr>
              <w:t>其中：固定资产处置收益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621130C3"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-1,147,103.51</w:t>
            </w:r>
          </w:p>
        </w:tc>
        <w:tc>
          <w:tcPr>
            <w:tcW w:w="2552" w:type="dxa"/>
            <w:tcBorders>
              <w:top w:val="single" w:sz="2" w:space="0" w:color="auto"/>
              <w:left w:val="single" w:sz="2" w:space="0" w:color="auto"/>
              <w:bottom w:val="single" w:sz="2" w:space="0" w:color="auto"/>
              <w:right w:val="single" w:sz="2" w:space="0" w:color="auto"/>
            </w:tcBorders>
            <w:vAlign w:val="center"/>
          </w:tcPr>
          <w:p w14:paraId="48888D52"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-3,569,053.48</w:t>
            </w:r>
          </w:p>
        </w:tc>
      </w:tr>
      <w:tr w:rsidR="00095F6F" w14:paraId="616AE46C"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225E59F8" w14:textId="686CEC07" w:rsidR="00A46BF1" w:rsidRPr="004E4CAF" w:rsidRDefault="00A46BF1" w:rsidP="004E4CAF">
            <w:pPr>
              <w:spacing w:line="360" w:lineRule="auto"/>
              <w:ind w:firstLineChars="600" w:firstLine="1080"/>
              <w:rPr>
                <w:rFonts w:ascii="Times New Roman" w:eastAsia="宋体" w:hAnsi="Times New Roman" w:cs="Times New Roman"/>
                <w:sz w:val="18"/>
                <w:szCs w:val="18"/>
              </w:rPr>
            </w:pPr>
            <w:r w:rsidRPr="004E4CAF">
              <w:rPr>
                <w:rFonts w:ascii="Times New Roman" w:eastAsia="宋体" w:hAnsi="Times New Roman" w:cs="Times New Roman"/>
                <w:sz w:val="18"/>
                <w:szCs w:val="18"/>
              </w:rPr>
              <w:t>使用权资产处置收益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18AE35CB" w14:textId="77777777" w:rsidR="00A46BF1" w:rsidRPr="004E4CAF" w:rsidRDefault="00A46BF1" w:rsidP="004E4CAF">
            <w:pPr>
              <w:spacing w:line="360" w:lineRule="auto"/>
              <w:jc w:val="right"/>
              <w:rPr>
                <w:rFonts w:ascii="Times New Roman" w:eastAsia="宋体" w:hAnsi="Times New Roman" w:cs="Times New Roman"/>
                <w:sz w:val="18"/>
                <w:szCs w:val="18"/>
              </w:rPr>
            </w:pPr>
          </w:p>
        </w:tc>
        <w:tc>
          <w:tcPr>
            <w:tcW w:w="2552" w:type="dxa"/>
            <w:tcBorders>
              <w:top w:val="single" w:sz="2" w:space="0" w:color="auto"/>
              <w:left w:val="single" w:sz="2" w:space="0" w:color="auto"/>
              <w:bottom w:val="single" w:sz="2" w:space="0" w:color="auto"/>
              <w:right w:val="single" w:sz="2" w:space="0" w:color="auto"/>
            </w:tcBorders>
            <w:vAlign w:val="center"/>
          </w:tcPr>
          <w:p w14:paraId="6E527726"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4,578,221.79</w:t>
            </w:r>
          </w:p>
        </w:tc>
      </w:tr>
      <w:tr w:rsidR="00095F6F" w14:paraId="485266A4"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7D3DC12B" w14:textId="7C2596FB" w:rsidR="00A46BF1" w:rsidRPr="004E4CAF" w:rsidRDefault="00A46BF1" w:rsidP="004E4CAF">
            <w:pPr>
              <w:spacing w:line="360" w:lineRule="auto"/>
              <w:ind w:firstLineChars="600" w:firstLine="1080"/>
              <w:rPr>
                <w:rFonts w:ascii="Times New Roman" w:eastAsia="宋体" w:hAnsi="Times New Roman" w:cs="Times New Roman"/>
                <w:sz w:val="18"/>
                <w:szCs w:val="18"/>
              </w:rPr>
            </w:pPr>
            <w:r w:rsidRPr="004E4CAF">
              <w:rPr>
                <w:rFonts w:ascii="Times New Roman" w:eastAsia="宋体" w:hAnsi="Times New Roman" w:cs="Times New Roman"/>
                <w:sz w:val="18"/>
                <w:szCs w:val="18"/>
              </w:rPr>
              <w:t>在建工程资产处置收益</w:t>
            </w:r>
          </w:p>
        </w:tc>
        <w:tc>
          <w:tcPr>
            <w:tcW w:w="2551" w:type="dxa"/>
            <w:tcBorders>
              <w:top w:val="single" w:sz="2" w:space="0" w:color="auto"/>
              <w:left w:val="single" w:sz="2" w:space="0" w:color="auto"/>
              <w:bottom w:val="single" w:sz="2" w:space="0" w:color="auto"/>
              <w:right w:val="single" w:sz="2" w:space="0" w:color="auto"/>
            </w:tcBorders>
            <w:vAlign w:val="center"/>
          </w:tcPr>
          <w:p w14:paraId="452882D6"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3,570.85</w:t>
            </w:r>
          </w:p>
        </w:tc>
        <w:tc>
          <w:tcPr>
            <w:tcW w:w="2552" w:type="dxa"/>
            <w:tcBorders>
              <w:top w:val="single" w:sz="2" w:space="0" w:color="auto"/>
              <w:left w:val="single" w:sz="2" w:space="0" w:color="auto"/>
              <w:bottom w:val="single" w:sz="2" w:space="0" w:color="auto"/>
              <w:right w:val="single" w:sz="2" w:space="0" w:color="auto"/>
            </w:tcBorders>
            <w:vAlign w:val="center"/>
          </w:tcPr>
          <w:p w14:paraId="3E301B17"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-51,832.07</w:t>
            </w:r>
          </w:p>
        </w:tc>
      </w:tr>
      <w:tr w:rsidR="00095F6F" w14:paraId="3F4DB940" w14:textId="77777777" w:rsidTr="004E4CAF">
        <w:trPr>
          <w:trHeight w:val="240"/>
        </w:trPr>
        <w:tc>
          <w:tcPr>
            <w:tcW w:w="4536" w:type="dxa"/>
            <w:tcBorders>
              <w:top w:val="single" w:sz="2" w:space="0" w:color="auto"/>
              <w:left w:val="single" w:sz="2" w:space="0" w:color="auto"/>
              <w:bottom w:val="single" w:sz="2" w:space="0" w:color="auto"/>
              <w:right w:val="single" w:sz="2" w:space="0" w:color="auto"/>
            </w:tcBorders>
            <w:vAlign w:val="center"/>
          </w:tcPr>
          <w:p w14:paraId="5A0A272B" w14:textId="77777777" w:rsidR="00A46BF1" w:rsidRPr="004E4CAF" w:rsidRDefault="00A46BF1" w:rsidP="00225CFB">
            <w:pPr>
              <w:spacing w:line="360" w:lineRule="auto"/>
              <w:rPr>
                <w:rFonts w:ascii="Times New Roman" w:eastAsia="宋体" w:hAnsi="Times New Roman" w:cs="Times New Roman"/>
                <w:sz w:val="18"/>
                <w:szCs w:val="18"/>
              </w:rPr>
            </w:pPr>
            <w:r w:rsidRPr="004E4CAF">
              <w:rPr>
                <w:rFonts w:ascii="Times New Roman" w:eastAsia="宋体" w:hAnsi="Times New Roman" w:cs="Times New Roman"/>
                <w:sz w:val="18"/>
                <w:szCs w:val="18"/>
              </w:rPr>
              <w:t>合计</w:t>
            </w:r>
          </w:p>
        </w:tc>
        <w:tc>
          <w:tcPr>
            <w:tcW w:w="2551" w:type="dxa"/>
            <w:tcBorders>
              <w:top w:val="single" w:sz="2" w:space="0" w:color="auto"/>
              <w:left w:val="single" w:sz="2" w:space="0" w:color="auto"/>
              <w:bottom w:val="single" w:sz="2" w:space="0" w:color="auto"/>
              <w:right w:val="single" w:sz="2" w:space="0" w:color="auto"/>
            </w:tcBorders>
            <w:vAlign w:val="center"/>
          </w:tcPr>
          <w:p w14:paraId="528D831F"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-1,143,532.66</w:t>
            </w:r>
          </w:p>
        </w:tc>
        <w:tc>
          <w:tcPr>
            <w:tcW w:w="2552" w:type="dxa"/>
            <w:tcBorders>
              <w:top w:val="single" w:sz="2" w:space="0" w:color="auto"/>
              <w:left w:val="single" w:sz="2" w:space="0" w:color="auto"/>
              <w:bottom w:val="single" w:sz="2" w:space="0" w:color="auto"/>
              <w:right w:val="single" w:sz="2" w:space="0" w:color="auto"/>
            </w:tcBorders>
            <w:vAlign w:val="center"/>
          </w:tcPr>
          <w:p w14:paraId="19EC28B0" w14:textId="77777777" w:rsidR="00A46BF1" w:rsidRPr="004E4CAF" w:rsidRDefault="00A46BF1" w:rsidP="004E4CAF">
            <w:pPr>
              <w:spacing w:line="360" w:lineRule="auto"/>
              <w:jc w:val="right"/>
              <w:rPr>
                <w:rFonts w:ascii="Times New Roman" w:eastAsia="宋体" w:hAnsi="Times New Roman" w:cs="Times New Roman"/>
                <w:sz w:val="18"/>
                <w:szCs w:val="18"/>
              </w:rPr>
            </w:pPr>
            <w:r w:rsidRPr="004E4CAF">
              <w:rPr>
                <w:rFonts w:ascii="Times New Roman" w:eastAsia="宋体" w:hAnsi="Times New Roman" w:cs="Times New Roman"/>
                <w:sz w:val="18"/>
                <w:szCs w:val="18"/>
              </w:rPr>
              <w:t>957,336.24</w:t>
            </w:r>
          </w:p>
        </w:tc>
      </w:tr>
    </w:tbl>
    <w:p w14:paraId="501FAE2C" w14:textId="430FC679" w:rsidR="00A46BF1" w:rsidRDefault="00A46BF1" w:rsidP="00A46BF1">
      <w:pPr>
        <w:pStyle w:val="3"/>
        <w:spacing w:line="280" w:lineRule="exact"/>
        <w:jc w:val="left"/>
        <w:rPr>
          <w:rFonts w:ascii="宋体" w:hAnsi="宋体" w:cs="宋体"/>
          <w:b/>
          <w:bCs/>
        </w:rPr>
      </w:pPr>
      <w:r>
        <w:rPr>
          <w:rFonts w:ascii="宋体" w:hAnsi="宋体" w:cs="宋体"/>
          <w:b/>
          <w:bCs/>
        </w:rPr>
        <w:t>5</w:t>
      </w:r>
      <w:r w:rsidR="00225CFB">
        <w:rPr>
          <w:rFonts w:ascii="宋体" w:hAnsi="宋体" w:cs="宋体"/>
          <w:b/>
          <w:bCs/>
        </w:rPr>
        <w:t>7</w:t>
      </w:r>
      <w:r>
        <w:rPr>
          <w:rFonts w:ascii="宋体" w:hAnsi="宋体" w:cs="宋体"/>
          <w:b/>
          <w:bCs/>
        </w:rPr>
        <w:t>、营业外收入</w:t>
      </w:r>
    </w:p>
    <w:p w14:paraId="6A69AC6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268"/>
        <w:gridCol w:w="2269"/>
        <w:gridCol w:w="2693"/>
      </w:tblGrid>
      <w:tr w:rsidR="00095F6F" w14:paraId="6073B63D"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307736F"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项目</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7FE453DE"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本期发生额</w:t>
            </w:r>
          </w:p>
        </w:tc>
        <w:tc>
          <w:tcPr>
            <w:tcW w:w="2269" w:type="dxa"/>
            <w:tcBorders>
              <w:top w:val="single" w:sz="2" w:space="0" w:color="auto"/>
              <w:left w:val="single" w:sz="2" w:space="0" w:color="auto"/>
              <w:bottom w:val="single" w:sz="2" w:space="0" w:color="auto"/>
              <w:right w:val="single" w:sz="2" w:space="0" w:color="auto"/>
            </w:tcBorders>
            <w:shd w:val="clear" w:color="auto" w:fill="D3D3D3"/>
            <w:vAlign w:val="center"/>
          </w:tcPr>
          <w:p w14:paraId="7572773D"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上期发生额</w:t>
            </w: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43554849"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计入当期非经常性损益的金额</w:t>
            </w:r>
          </w:p>
        </w:tc>
      </w:tr>
      <w:tr w:rsidR="00095F6F" w14:paraId="2857B947"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05F28F72"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诉讼赔偿</w:t>
            </w:r>
          </w:p>
        </w:tc>
        <w:tc>
          <w:tcPr>
            <w:tcW w:w="2268" w:type="dxa"/>
            <w:tcBorders>
              <w:top w:val="single" w:sz="2" w:space="0" w:color="auto"/>
              <w:left w:val="single" w:sz="2" w:space="0" w:color="auto"/>
              <w:bottom w:val="single" w:sz="2" w:space="0" w:color="auto"/>
              <w:right w:val="single" w:sz="2" w:space="0" w:color="auto"/>
            </w:tcBorders>
            <w:vAlign w:val="center"/>
          </w:tcPr>
          <w:p w14:paraId="4575ABDB"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14,284,682.53</w:t>
            </w:r>
          </w:p>
        </w:tc>
        <w:tc>
          <w:tcPr>
            <w:tcW w:w="2269" w:type="dxa"/>
            <w:tcBorders>
              <w:top w:val="single" w:sz="2" w:space="0" w:color="auto"/>
              <w:left w:val="single" w:sz="2" w:space="0" w:color="auto"/>
              <w:bottom w:val="single" w:sz="2" w:space="0" w:color="auto"/>
              <w:right w:val="single" w:sz="2" w:space="0" w:color="auto"/>
            </w:tcBorders>
            <w:vAlign w:val="center"/>
          </w:tcPr>
          <w:p w14:paraId="4E4EC72D" w14:textId="77777777" w:rsidR="00A46BF1" w:rsidRPr="00225CFB" w:rsidRDefault="00A46BF1" w:rsidP="00225CFB">
            <w:pPr>
              <w:spacing w:line="360" w:lineRule="auto"/>
              <w:jc w:val="right"/>
              <w:rPr>
                <w:rFonts w:ascii="Times New Roman" w:eastAsia="宋体" w:hAnsi="Times New Roman" w:cs="Times New Roman"/>
                <w:sz w:val="18"/>
                <w:szCs w:val="18"/>
              </w:rPr>
            </w:pPr>
          </w:p>
        </w:tc>
        <w:tc>
          <w:tcPr>
            <w:tcW w:w="2693" w:type="dxa"/>
            <w:tcBorders>
              <w:top w:val="single" w:sz="2" w:space="0" w:color="auto"/>
              <w:left w:val="single" w:sz="2" w:space="0" w:color="auto"/>
              <w:bottom w:val="single" w:sz="2" w:space="0" w:color="auto"/>
              <w:right w:val="single" w:sz="2" w:space="0" w:color="auto"/>
            </w:tcBorders>
            <w:vAlign w:val="center"/>
          </w:tcPr>
          <w:p w14:paraId="3F3BE24A"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14,284,682.53</w:t>
            </w:r>
          </w:p>
        </w:tc>
      </w:tr>
      <w:tr w:rsidR="00095F6F" w14:paraId="62DF6E7E"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81766DF"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无需支付的款项</w:t>
            </w:r>
          </w:p>
        </w:tc>
        <w:tc>
          <w:tcPr>
            <w:tcW w:w="2268" w:type="dxa"/>
            <w:tcBorders>
              <w:top w:val="single" w:sz="2" w:space="0" w:color="auto"/>
              <w:left w:val="single" w:sz="2" w:space="0" w:color="auto"/>
              <w:bottom w:val="single" w:sz="2" w:space="0" w:color="auto"/>
              <w:right w:val="single" w:sz="2" w:space="0" w:color="auto"/>
            </w:tcBorders>
            <w:vAlign w:val="center"/>
          </w:tcPr>
          <w:p w14:paraId="34D2692E"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878,030.46</w:t>
            </w:r>
          </w:p>
        </w:tc>
        <w:tc>
          <w:tcPr>
            <w:tcW w:w="2269" w:type="dxa"/>
            <w:tcBorders>
              <w:top w:val="single" w:sz="2" w:space="0" w:color="auto"/>
              <w:left w:val="single" w:sz="2" w:space="0" w:color="auto"/>
              <w:bottom w:val="single" w:sz="2" w:space="0" w:color="auto"/>
              <w:right w:val="single" w:sz="2" w:space="0" w:color="auto"/>
            </w:tcBorders>
            <w:vAlign w:val="center"/>
          </w:tcPr>
          <w:p w14:paraId="0719E068"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140,595.29</w:t>
            </w:r>
          </w:p>
        </w:tc>
        <w:tc>
          <w:tcPr>
            <w:tcW w:w="2693" w:type="dxa"/>
            <w:tcBorders>
              <w:top w:val="single" w:sz="2" w:space="0" w:color="auto"/>
              <w:left w:val="single" w:sz="2" w:space="0" w:color="auto"/>
              <w:bottom w:val="single" w:sz="2" w:space="0" w:color="auto"/>
              <w:right w:val="single" w:sz="2" w:space="0" w:color="auto"/>
            </w:tcBorders>
            <w:vAlign w:val="center"/>
          </w:tcPr>
          <w:p w14:paraId="06C2AF54"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878,030.46</w:t>
            </w:r>
          </w:p>
        </w:tc>
      </w:tr>
      <w:tr w:rsidR="00095F6F" w14:paraId="5601C3D3"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5226ACD6" w14:textId="1ED07CB0" w:rsidR="00A46BF1" w:rsidRPr="00225CFB" w:rsidRDefault="0086498D" w:rsidP="00225CFB">
            <w:pPr>
              <w:spacing w:line="360" w:lineRule="auto"/>
              <w:rPr>
                <w:rFonts w:ascii="Times New Roman" w:eastAsia="宋体" w:hAnsi="Times New Roman" w:cs="Times New Roman"/>
                <w:sz w:val="18"/>
                <w:szCs w:val="18"/>
              </w:rPr>
            </w:pPr>
            <w:r>
              <w:rPr>
                <w:rFonts w:ascii="Times New Roman" w:eastAsia="宋体" w:hAnsi="Times New Roman" w:cs="Times New Roman" w:hint="eastAsia"/>
                <w:sz w:val="18"/>
                <w:szCs w:val="18"/>
              </w:rPr>
              <w:t>获赔</w:t>
            </w:r>
            <w:r w:rsidR="00A46BF1" w:rsidRPr="00225CFB">
              <w:rPr>
                <w:rFonts w:ascii="Times New Roman" w:eastAsia="宋体" w:hAnsi="Times New Roman" w:cs="Times New Roman"/>
                <w:sz w:val="18"/>
                <w:szCs w:val="18"/>
              </w:rPr>
              <w:t>收入</w:t>
            </w:r>
          </w:p>
        </w:tc>
        <w:tc>
          <w:tcPr>
            <w:tcW w:w="2268" w:type="dxa"/>
            <w:tcBorders>
              <w:top w:val="single" w:sz="2" w:space="0" w:color="auto"/>
              <w:left w:val="single" w:sz="2" w:space="0" w:color="auto"/>
              <w:bottom w:val="single" w:sz="2" w:space="0" w:color="auto"/>
              <w:right w:val="single" w:sz="2" w:space="0" w:color="auto"/>
            </w:tcBorders>
            <w:vAlign w:val="center"/>
          </w:tcPr>
          <w:p w14:paraId="30C17A77"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23,296.00</w:t>
            </w:r>
          </w:p>
        </w:tc>
        <w:tc>
          <w:tcPr>
            <w:tcW w:w="2269" w:type="dxa"/>
            <w:tcBorders>
              <w:top w:val="single" w:sz="2" w:space="0" w:color="auto"/>
              <w:left w:val="single" w:sz="2" w:space="0" w:color="auto"/>
              <w:bottom w:val="single" w:sz="2" w:space="0" w:color="auto"/>
              <w:right w:val="single" w:sz="2" w:space="0" w:color="auto"/>
            </w:tcBorders>
            <w:vAlign w:val="center"/>
          </w:tcPr>
          <w:p w14:paraId="0983F037"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146,918.13</w:t>
            </w:r>
          </w:p>
        </w:tc>
        <w:tc>
          <w:tcPr>
            <w:tcW w:w="2693" w:type="dxa"/>
            <w:tcBorders>
              <w:top w:val="single" w:sz="2" w:space="0" w:color="auto"/>
              <w:left w:val="single" w:sz="2" w:space="0" w:color="auto"/>
              <w:bottom w:val="single" w:sz="2" w:space="0" w:color="auto"/>
              <w:right w:val="single" w:sz="2" w:space="0" w:color="auto"/>
            </w:tcBorders>
            <w:vAlign w:val="center"/>
          </w:tcPr>
          <w:p w14:paraId="25A31E50"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23,296.00</w:t>
            </w:r>
          </w:p>
        </w:tc>
      </w:tr>
      <w:tr w:rsidR="00095F6F" w14:paraId="648A70CA"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A5AD353"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其他</w:t>
            </w:r>
          </w:p>
        </w:tc>
        <w:tc>
          <w:tcPr>
            <w:tcW w:w="2268" w:type="dxa"/>
            <w:tcBorders>
              <w:top w:val="single" w:sz="2" w:space="0" w:color="auto"/>
              <w:left w:val="single" w:sz="2" w:space="0" w:color="auto"/>
              <w:bottom w:val="single" w:sz="2" w:space="0" w:color="auto"/>
              <w:right w:val="single" w:sz="2" w:space="0" w:color="auto"/>
            </w:tcBorders>
            <w:vAlign w:val="center"/>
          </w:tcPr>
          <w:p w14:paraId="096A2273"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299,522.50</w:t>
            </w:r>
          </w:p>
        </w:tc>
        <w:tc>
          <w:tcPr>
            <w:tcW w:w="2269" w:type="dxa"/>
            <w:tcBorders>
              <w:top w:val="single" w:sz="2" w:space="0" w:color="auto"/>
              <w:left w:val="single" w:sz="2" w:space="0" w:color="auto"/>
              <w:bottom w:val="single" w:sz="2" w:space="0" w:color="auto"/>
              <w:right w:val="single" w:sz="2" w:space="0" w:color="auto"/>
            </w:tcBorders>
            <w:vAlign w:val="center"/>
          </w:tcPr>
          <w:p w14:paraId="47B83CAA"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357,467.57</w:t>
            </w:r>
          </w:p>
        </w:tc>
        <w:tc>
          <w:tcPr>
            <w:tcW w:w="2693" w:type="dxa"/>
            <w:tcBorders>
              <w:top w:val="single" w:sz="2" w:space="0" w:color="auto"/>
              <w:left w:val="single" w:sz="2" w:space="0" w:color="auto"/>
              <w:bottom w:val="single" w:sz="2" w:space="0" w:color="auto"/>
              <w:right w:val="single" w:sz="2" w:space="0" w:color="auto"/>
            </w:tcBorders>
            <w:vAlign w:val="center"/>
          </w:tcPr>
          <w:p w14:paraId="01FC2A04"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299,522.50</w:t>
            </w:r>
          </w:p>
        </w:tc>
      </w:tr>
      <w:tr w:rsidR="00095F6F" w14:paraId="191428D8"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87FCFCE" w14:textId="77777777" w:rsidR="00A46BF1" w:rsidRPr="00225CFB" w:rsidRDefault="00A46BF1" w:rsidP="00225CFB">
            <w:pPr>
              <w:spacing w:before="40" w:after="40"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合计</w:t>
            </w:r>
          </w:p>
        </w:tc>
        <w:tc>
          <w:tcPr>
            <w:tcW w:w="2268" w:type="dxa"/>
            <w:tcBorders>
              <w:top w:val="single" w:sz="2" w:space="0" w:color="auto"/>
              <w:left w:val="single" w:sz="2" w:space="0" w:color="auto"/>
              <w:bottom w:val="single" w:sz="2" w:space="0" w:color="auto"/>
              <w:right w:val="single" w:sz="2" w:space="0" w:color="auto"/>
            </w:tcBorders>
            <w:vAlign w:val="center"/>
          </w:tcPr>
          <w:p w14:paraId="5A5404C6"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15,485,531.49</w:t>
            </w:r>
          </w:p>
        </w:tc>
        <w:tc>
          <w:tcPr>
            <w:tcW w:w="2269" w:type="dxa"/>
            <w:tcBorders>
              <w:top w:val="single" w:sz="2" w:space="0" w:color="auto"/>
              <w:left w:val="single" w:sz="2" w:space="0" w:color="auto"/>
              <w:bottom w:val="single" w:sz="2" w:space="0" w:color="auto"/>
              <w:right w:val="single" w:sz="2" w:space="0" w:color="auto"/>
            </w:tcBorders>
            <w:vAlign w:val="center"/>
          </w:tcPr>
          <w:p w14:paraId="64481258"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644,980.99</w:t>
            </w:r>
          </w:p>
        </w:tc>
        <w:tc>
          <w:tcPr>
            <w:tcW w:w="2693" w:type="dxa"/>
            <w:tcBorders>
              <w:top w:val="single" w:sz="2" w:space="0" w:color="auto"/>
              <w:left w:val="single" w:sz="2" w:space="0" w:color="auto"/>
              <w:bottom w:val="single" w:sz="2" w:space="0" w:color="auto"/>
              <w:right w:val="single" w:sz="2" w:space="0" w:color="auto"/>
            </w:tcBorders>
            <w:vAlign w:val="center"/>
          </w:tcPr>
          <w:p w14:paraId="3BF4A1D2"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15,485,531.49</w:t>
            </w:r>
          </w:p>
        </w:tc>
      </w:tr>
    </w:tbl>
    <w:p w14:paraId="59DCC6F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5C96C90" w14:textId="77777777" w:rsidR="00A46BF1" w:rsidRPr="00225CFB" w:rsidRDefault="00A46BF1" w:rsidP="00225CFB">
      <w:pPr>
        <w:spacing w:before="100" w:after="100" w:line="240" w:lineRule="exact"/>
        <w:rPr>
          <w:rFonts w:ascii="宋体" w:eastAsia="宋体" w:hAnsi="宋体" w:cs="宋体"/>
          <w:sz w:val="18"/>
          <w:szCs w:val="18"/>
        </w:rPr>
      </w:pPr>
      <w:r w:rsidRPr="00225CFB">
        <w:rPr>
          <w:rFonts w:ascii="宋体" w:eastAsia="宋体" w:hAnsi="宋体" w:cs="宋体" w:hint="eastAsia"/>
          <w:sz w:val="18"/>
          <w:szCs w:val="18"/>
        </w:rPr>
        <w:t>无</w:t>
      </w:r>
    </w:p>
    <w:p w14:paraId="1B5695B3" w14:textId="5EE27BCF" w:rsidR="00A46BF1" w:rsidRDefault="00225CFB" w:rsidP="00A46BF1">
      <w:pPr>
        <w:pStyle w:val="3"/>
        <w:spacing w:line="280" w:lineRule="exact"/>
        <w:jc w:val="left"/>
        <w:rPr>
          <w:rFonts w:ascii="宋体" w:hAnsi="宋体" w:cs="宋体"/>
          <w:b/>
          <w:bCs/>
        </w:rPr>
      </w:pPr>
      <w:r>
        <w:rPr>
          <w:rFonts w:ascii="宋体" w:hAnsi="宋体" w:cs="宋体"/>
          <w:b/>
          <w:bCs/>
        </w:rPr>
        <w:t>5</w:t>
      </w:r>
      <w:r w:rsidR="009F773A">
        <w:rPr>
          <w:rFonts w:ascii="宋体" w:hAnsi="宋体" w:cs="宋体"/>
          <w:b/>
          <w:bCs/>
        </w:rPr>
        <w:t>8</w:t>
      </w:r>
      <w:r w:rsidR="00A46BF1">
        <w:rPr>
          <w:rFonts w:ascii="宋体" w:hAnsi="宋体" w:cs="宋体"/>
          <w:b/>
          <w:bCs/>
        </w:rPr>
        <w:t>、营业外支出</w:t>
      </w:r>
    </w:p>
    <w:p w14:paraId="63B9AF2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268"/>
        <w:gridCol w:w="2269"/>
        <w:gridCol w:w="2693"/>
      </w:tblGrid>
      <w:tr w:rsidR="00095F6F" w14:paraId="154F2C24"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5810458"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项目</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21907F02"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本期发生额</w:t>
            </w:r>
          </w:p>
        </w:tc>
        <w:tc>
          <w:tcPr>
            <w:tcW w:w="2269" w:type="dxa"/>
            <w:tcBorders>
              <w:top w:val="single" w:sz="2" w:space="0" w:color="auto"/>
              <w:left w:val="single" w:sz="2" w:space="0" w:color="auto"/>
              <w:bottom w:val="single" w:sz="2" w:space="0" w:color="auto"/>
              <w:right w:val="single" w:sz="2" w:space="0" w:color="auto"/>
            </w:tcBorders>
            <w:shd w:val="clear" w:color="auto" w:fill="D3D3D3"/>
            <w:vAlign w:val="center"/>
          </w:tcPr>
          <w:p w14:paraId="3F653DCD"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上期发生额</w:t>
            </w:r>
          </w:p>
        </w:tc>
        <w:tc>
          <w:tcPr>
            <w:tcW w:w="2693" w:type="dxa"/>
            <w:tcBorders>
              <w:top w:val="single" w:sz="2" w:space="0" w:color="auto"/>
              <w:left w:val="single" w:sz="2" w:space="0" w:color="auto"/>
              <w:bottom w:val="single" w:sz="2" w:space="0" w:color="auto"/>
              <w:right w:val="single" w:sz="2" w:space="0" w:color="auto"/>
            </w:tcBorders>
            <w:shd w:val="clear" w:color="auto" w:fill="D3D3D3"/>
            <w:vAlign w:val="center"/>
          </w:tcPr>
          <w:p w14:paraId="2A00C5A7" w14:textId="77777777" w:rsidR="00A46BF1" w:rsidRPr="00225CFB" w:rsidRDefault="00A46BF1" w:rsidP="00225CFB">
            <w:pPr>
              <w:spacing w:before="40" w:after="40" w:line="360" w:lineRule="auto"/>
              <w:jc w:val="center"/>
              <w:rPr>
                <w:rFonts w:ascii="Times New Roman" w:eastAsia="宋体" w:hAnsi="Times New Roman" w:cs="Times New Roman"/>
                <w:sz w:val="18"/>
                <w:szCs w:val="18"/>
              </w:rPr>
            </w:pPr>
            <w:r w:rsidRPr="00225CFB">
              <w:rPr>
                <w:rFonts w:ascii="Times New Roman" w:eastAsia="宋体" w:hAnsi="Times New Roman" w:cs="Times New Roman"/>
                <w:sz w:val="18"/>
                <w:szCs w:val="18"/>
              </w:rPr>
              <w:t>计入当期非经常性损益的金额</w:t>
            </w:r>
          </w:p>
        </w:tc>
      </w:tr>
      <w:tr w:rsidR="00095F6F" w14:paraId="24828AE5"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D56C39A" w14:textId="77777777" w:rsidR="00A46BF1" w:rsidRPr="00225CFB" w:rsidRDefault="00A46BF1" w:rsidP="00225CFB">
            <w:pPr>
              <w:spacing w:before="40" w:after="40"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对外捐赠</w:t>
            </w:r>
          </w:p>
        </w:tc>
        <w:tc>
          <w:tcPr>
            <w:tcW w:w="2268" w:type="dxa"/>
            <w:tcBorders>
              <w:top w:val="single" w:sz="2" w:space="0" w:color="auto"/>
              <w:left w:val="single" w:sz="2" w:space="0" w:color="auto"/>
              <w:bottom w:val="single" w:sz="2" w:space="0" w:color="auto"/>
              <w:right w:val="single" w:sz="2" w:space="0" w:color="auto"/>
            </w:tcBorders>
            <w:vAlign w:val="center"/>
          </w:tcPr>
          <w:p w14:paraId="249AA039"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1,824,487.91</w:t>
            </w:r>
          </w:p>
        </w:tc>
        <w:tc>
          <w:tcPr>
            <w:tcW w:w="2269" w:type="dxa"/>
            <w:tcBorders>
              <w:top w:val="single" w:sz="2" w:space="0" w:color="auto"/>
              <w:left w:val="single" w:sz="2" w:space="0" w:color="auto"/>
              <w:bottom w:val="single" w:sz="2" w:space="0" w:color="auto"/>
              <w:right w:val="single" w:sz="2" w:space="0" w:color="auto"/>
            </w:tcBorders>
            <w:vAlign w:val="center"/>
          </w:tcPr>
          <w:p w14:paraId="5B0163CD"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2,595,662.15</w:t>
            </w:r>
          </w:p>
        </w:tc>
        <w:tc>
          <w:tcPr>
            <w:tcW w:w="2693" w:type="dxa"/>
            <w:tcBorders>
              <w:top w:val="single" w:sz="2" w:space="0" w:color="auto"/>
              <w:left w:val="single" w:sz="2" w:space="0" w:color="auto"/>
              <w:bottom w:val="single" w:sz="2" w:space="0" w:color="auto"/>
              <w:right w:val="single" w:sz="2" w:space="0" w:color="auto"/>
            </w:tcBorders>
            <w:vAlign w:val="center"/>
          </w:tcPr>
          <w:p w14:paraId="5F5E990C"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1,824,487.91</w:t>
            </w:r>
          </w:p>
        </w:tc>
      </w:tr>
      <w:tr w:rsidR="00095F6F" w14:paraId="7A6C0F2A"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AE149B9"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诉讼赔偿款</w:t>
            </w:r>
          </w:p>
        </w:tc>
        <w:tc>
          <w:tcPr>
            <w:tcW w:w="2268" w:type="dxa"/>
            <w:tcBorders>
              <w:top w:val="single" w:sz="2" w:space="0" w:color="auto"/>
              <w:left w:val="single" w:sz="2" w:space="0" w:color="auto"/>
              <w:bottom w:val="single" w:sz="2" w:space="0" w:color="auto"/>
              <w:right w:val="single" w:sz="2" w:space="0" w:color="auto"/>
            </w:tcBorders>
            <w:vAlign w:val="center"/>
          </w:tcPr>
          <w:p w14:paraId="2FD634BF"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1,737,690.50</w:t>
            </w:r>
          </w:p>
        </w:tc>
        <w:tc>
          <w:tcPr>
            <w:tcW w:w="2269" w:type="dxa"/>
            <w:tcBorders>
              <w:top w:val="single" w:sz="2" w:space="0" w:color="auto"/>
              <w:left w:val="single" w:sz="2" w:space="0" w:color="auto"/>
              <w:bottom w:val="single" w:sz="2" w:space="0" w:color="auto"/>
              <w:right w:val="single" w:sz="2" w:space="0" w:color="auto"/>
            </w:tcBorders>
            <w:vAlign w:val="center"/>
          </w:tcPr>
          <w:p w14:paraId="47B244A6" w14:textId="77777777" w:rsidR="00A46BF1" w:rsidRPr="00225CFB" w:rsidRDefault="00A46BF1" w:rsidP="00225CFB">
            <w:pPr>
              <w:spacing w:line="360" w:lineRule="auto"/>
              <w:jc w:val="right"/>
              <w:rPr>
                <w:rFonts w:ascii="Times New Roman" w:eastAsia="宋体" w:hAnsi="Times New Roman" w:cs="Times New Roman"/>
                <w:sz w:val="18"/>
                <w:szCs w:val="18"/>
              </w:rPr>
            </w:pPr>
          </w:p>
        </w:tc>
        <w:tc>
          <w:tcPr>
            <w:tcW w:w="2693" w:type="dxa"/>
            <w:tcBorders>
              <w:top w:val="single" w:sz="2" w:space="0" w:color="auto"/>
              <w:left w:val="single" w:sz="2" w:space="0" w:color="auto"/>
              <w:bottom w:val="single" w:sz="2" w:space="0" w:color="auto"/>
              <w:right w:val="single" w:sz="2" w:space="0" w:color="auto"/>
            </w:tcBorders>
            <w:vAlign w:val="center"/>
          </w:tcPr>
          <w:p w14:paraId="1D00762A"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1,737,690.50</w:t>
            </w:r>
          </w:p>
        </w:tc>
      </w:tr>
      <w:tr w:rsidR="00095F6F" w14:paraId="62DD6141"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6A859B39"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滞纳金</w:t>
            </w:r>
          </w:p>
        </w:tc>
        <w:tc>
          <w:tcPr>
            <w:tcW w:w="2268" w:type="dxa"/>
            <w:tcBorders>
              <w:top w:val="single" w:sz="2" w:space="0" w:color="auto"/>
              <w:left w:val="single" w:sz="2" w:space="0" w:color="auto"/>
              <w:bottom w:val="single" w:sz="2" w:space="0" w:color="auto"/>
              <w:right w:val="single" w:sz="2" w:space="0" w:color="auto"/>
            </w:tcBorders>
            <w:vAlign w:val="center"/>
          </w:tcPr>
          <w:p w14:paraId="22A0D005"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1,548,476.47</w:t>
            </w:r>
          </w:p>
        </w:tc>
        <w:tc>
          <w:tcPr>
            <w:tcW w:w="2269" w:type="dxa"/>
            <w:tcBorders>
              <w:top w:val="single" w:sz="2" w:space="0" w:color="auto"/>
              <w:left w:val="single" w:sz="2" w:space="0" w:color="auto"/>
              <w:bottom w:val="single" w:sz="2" w:space="0" w:color="auto"/>
              <w:right w:val="single" w:sz="2" w:space="0" w:color="auto"/>
            </w:tcBorders>
            <w:vAlign w:val="center"/>
          </w:tcPr>
          <w:p w14:paraId="0E592264" w14:textId="77777777" w:rsidR="00A46BF1" w:rsidRPr="00225CFB" w:rsidRDefault="00A46BF1" w:rsidP="00225CFB">
            <w:pPr>
              <w:spacing w:line="360" w:lineRule="auto"/>
              <w:jc w:val="right"/>
              <w:rPr>
                <w:rFonts w:ascii="Times New Roman" w:eastAsia="宋体" w:hAnsi="Times New Roman" w:cs="Times New Roman"/>
                <w:sz w:val="18"/>
                <w:szCs w:val="18"/>
              </w:rPr>
            </w:pPr>
          </w:p>
        </w:tc>
        <w:tc>
          <w:tcPr>
            <w:tcW w:w="2693" w:type="dxa"/>
            <w:tcBorders>
              <w:top w:val="single" w:sz="2" w:space="0" w:color="auto"/>
              <w:left w:val="single" w:sz="2" w:space="0" w:color="auto"/>
              <w:bottom w:val="single" w:sz="2" w:space="0" w:color="auto"/>
              <w:right w:val="single" w:sz="2" w:space="0" w:color="auto"/>
            </w:tcBorders>
            <w:vAlign w:val="center"/>
          </w:tcPr>
          <w:p w14:paraId="0C891040"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1,548,476.47</w:t>
            </w:r>
          </w:p>
        </w:tc>
      </w:tr>
      <w:tr w:rsidR="00095F6F" w14:paraId="3DE30407"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3C03E837"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非流动资产毁损报废损失</w:t>
            </w:r>
          </w:p>
        </w:tc>
        <w:tc>
          <w:tcPr>
            <w:tcW w:w="2268" w:type="dxa"/>
            <w:tcBorders>
              <w:top w:val="single" w:sz="2" w:space="0" w:color="auto"/>
              <w:left w:val="single" w:sz="2" w:space="0" w:color="auto"/>
              <w:bottom w:val="single" w:sz="2" w:space="0" w:color="auto"/>
              <w:right w:val="single" w:sz="2" w:space="0" w:color="auto"/>
            </w:tcBorders>
            <w:vAlign w:val="center"/>
          </w:tcPr>
          <w:p w14:paraId="7CF04E0F"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20.00</w:t>
            </w:r>
          </w:p>
        </w:tc>
        <w:tc>
          <w:tcPr>
            <w:tcW w:w="2269" w:type="dxa"/>
            <w:tcBorders>
              <w:top w:val="single" w:sz="2" w:space="0" w:color="auto"/>
              <w:left w:val="single" w:sz="2" w:space="0" w:color="auto"/>
              <w:bottom w:val="single" w:sz="2" w:space="0" w:color="auto"/>
              <w:right w:val="single" w:sz="2" w:space="0" w:color="auto"/>
            </w:tcBorders>
            <w:vAlign w:val="center"/>
          </w:tcPr>
          <w:p w14:paraId="29EF9714"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411,821.14</w:t>
            </w:r>
          </w:p>
        </w:tc>
        <w:tc>
          <w:tcPr>
            <w:tcW w:w="2693" w:type="dxa"/>
            <w:tcBorders>
              <w:top w:val="single" w:sz="2" w:space="0" w:color="auto"/>
              <w:left w:val="single" w:sz="2" w:space="0" w:color="auto"/>
              <w:bottom w:val="single" w:sz="2" w:space="0" w:color="auto"/>
              <w:right w:val="single" w:sz="2" w:space="0" w:color="auto"/>
            </w:tcBorders>
            <w:vAlign w:val="center"/>
          </w:tcPr>
          <w:p w14:paraId="67839708"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20.00</w:t>
            </w:r>
          </w:p>
        </w:tc>
      </w:tr>
      <w:tr w:rsidR="00095F6F" w14:paraId="29EBF0E4"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1CA16780"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已决诉讼预计连带责任赔偿</w:t>
            </w:r>
          </w:p>
        </w:tc>
        <w:tc>
          <w:tcPr>
            <w:tcW w:w="2268" w:type="dxa"/>
            <w:tcBorders>
              <w:top w:val="single" w:sz="2" w:space="0" w:color="auto"/>
              <w:left w:val="single" w:sz="2" w:space="0" w:color="auto"/>
              <w:bottom w:val="single" w:sz="2" w:space="0" w:color="auto"/>
              <w:right w:val="single" w:sz="2" w:space="0" w:color="auto"/>
            </w:tcBorders>
            <w:vAlign w:val="center"/>
          </w:tcPr>
          <w:p w14:paraId="770C4973" w14:textId="77777777" w:rsidR="00A46BF1" w:rsidRPr="00225CFB" w:rsidRDefault="00A46BF1" w:rsidP="00225CFB">
            <w:pPr>
              <w:spacing w:line="360" w:lineRule="auto"/>
              <w:jc w:val="right"/>
              <w:rPr>
                <w:rFonts w:ascii="Times New Roman" w:eastAsia="宋体" w:hAnsi="Times New Roman" w:cs="Times New Roman"/>
                <w:sz w:val="18"/>
                <w:szCs w:val="18"/>
              </w:rPr>
            </w:pPr>
          </w:p>
        </w:tc>
        <w:tc>
          <w:tcPr>
            <w:tcW w:w="2269" w:type="dxa"/>
            <w:tcBorders>
              <w:top w:val="single" w:sz="2" w:space="0" w:color="auto"/>
              <w:left w:val="single" w:sz="2" w:space="0" w:color="auto"/>
              <w:bottom w:val="single" w:sz="2" w:space="0" w:color="auto"/>
              <w:right w:val="single" w:sz="2" w:space="0" w:color="auto"/>
            </w:tcBorders>
            <w:vAlign w:val="center"/>
          </w:tcPr>
          <w:p w14:paraId="2D6ACA92"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500,000.00</w:t>
            </w:r>
          </w:p>
        </w:tc>
        <w:tc>
          <w:tcPr>
            <w:tcW w:w="2693" w:type="dxa"/>
            <w:tcBorders>
              <w:top w:val="single" w:sz="2" w:space="0" w:color="auto"/>
              <w:left w:val="single" w:sz="2" w:space="0" w:color="auto"/>
              <w:bottom w:val="single" w:sz="2" w:space="0" w:color="auto"/>
              <w:right w:val="single" w:sz="2" w:space="0" w:color="auto"/>
            </w:tcBorders>
            <w:vAlign w:val="center"/>
          </w:tcPr>
          <w:p w14:paraId="74EA1E60" w14:textId="77777777" w:rsidR="00A46BF1" w:rsidRPr="00225CFB" w:rsidRDefault="00A46BF1" w:rsidP="00225CFB">
            <w:pPr>
              <w:spacing w:line="360" w:lineRule="auto"/>
              <w:jc w:val="right"/>
              <w:rPr>
                <w:rFonts w:ascii="Times New Roman" w:eastAsia="宋体" w:hAnsi="Times New Roman" w:cs="Times New Roman"/>
                <w:sz w:val="18"/>
                <w:szCs w:val="18"/>
              </w:rPr>
            </w:pPr>
          </w:p>
        </w:tc>
      </w:tr>
      <w:tr w:rsidR="00095F6F" w14:paraId="1DE3D115"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07569C80" w14:textId="77777777" w:rsidR="00A46BF1" w:rsidRPr="00225CFB" w:rsidRDefault="00A46BF1" w:rsidP="00225CFB">
            <w:pPr>
              <w:spacing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其他</w:t>
            </w:r>
          </w:p>
        </w:tc>
        <w:tc>
          <w:tcPr>
            <w:tcW w:w="2268" w:type="dxa"/>
            <w:tcBorders>
              <w:top w:val="single" w:sz="2" w:space="0" w:color="auto"/>
              <w:left w:val="single" w:sz="2" w:space="0" w:color="auto"/>
              <w:bottom w:val="single" w:sz="2" w:space="0" w:color="auto"/>
              <w:right w:val="single" w:sz="2" w:space="0" w:color="auto"/>
            </w:tcBorders>
            <w:vAlign w:val="center"/>
          </w:tcPr>
          <w:p w14:paraId="20BE97CB"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327,844.87</w:t>
            </w:r>
          </w:p>
        </w:tc>
        <w:tc>
          <w:tcPr>
            <w:tcW w:w="2269" w:type="dxa"/>
            <w:tcBorders>
              <w:top w:val="single" w:sz="2" w:space="0" w:color="auto"/>
              <w:left w:val="single" w:sz="2" w:space="0" w:color="auto"/>
              <w:bottom w:val="single" w:sz="2" w:space="0" w:color="auto"/>
              <w:right w:val="single" w:sz="2" w:space="0" w:color="auto"/>
            </w:tcBorders>
            <w:vAlign w:val="center"/>
          </w:tcPr>
          <w:p w14:paraId="4AD2108D"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854,044.99</w:t>
            </w:r>
          </w:p>
        </w:tc>
        <w:tc>
          <w:tcPr>
            <w:tcW w:w="2693" w:type="dxa"/>
            <w:tcBorders>
              <w:top w:val="single" w:sz="2" w:space="0" w:color="auto"/>
              <w:left w:val="single" w:sz="2" w:space="0" w:color="auto"/>
              <w:bottom w:val="single" w:sz="2" w:space="0" w:color="auto"/>
              <w:right w:val="single" w:sz="2" w:space="0" w:color="auto"/>
            </w:tcBorders>
            <w:vAlign w:val="center"/>
          </w:tcPr>
          <w:p w14:paraId="77D1C7D6"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327,844.87</w:t>
            </w:r>
          </w:p>
        </w:tc>
      </w:tr>
      <w:tr w:rsidR="00095F6F" w14:paraId="65F7C027" w14:textId="77777777" w:rsidTr="00225CFB">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7940337" w14:textId="77777777" w:rsidR="00A46BF1" w:rsidRPr="00225CFB" w:rsidRDefault="00A46BF1" w:rsidP="00225CFB">
            <w:pPr>
              <w:spacing w:before="40" w:after="40" w:line="360" w:lineRule="auto"/>
              <w:rPr>
                <w:rFonts w:ascii="Times New Roman" w:eastAsia="宋体" w:hAnsi="Times New Roman" w:cs="Times New Roman"/>
                <w:sz w:val="18"/>
                <w:szCs w:val="18"/>
              </w:rPr>
            </w:pPr>
            <w:r w:rsidRPr="00225CFB">
              <w:rPr>
                <w:rFonts w:ascii="Times New Roman" w:eastAsia="宋体" w:hAnsi="Times New Roman" w:cs="Times New Roman"/>
                <w:sz w:val="18"/>
                <w:szCs w:val="18"/>
              </w:rPr>
              <w:t>合计</w:t>
            </w:r>
          </w:p>
        </w:tc>
        <w:tc>
          <w:tcPr>
            <w:tcW w:w="2268" w:type="dxa"/>
            <w:tcBorders>
              <w:top w:val="single" w:sz="2" w:space="0" w:color="auto"/>
              <w:left w:val="single" w:sz="2" w:space="0" w:color="auto"/>
              <w:bottom w:val="single" w:sz="2" w:space="0" w:color="auto"/>
              <w:right w:val="single" w:sz="2" w:space="0" w:color="auto"/>
            </w:tcBorders>
            <w:vAlign w:val="center"/>
          </w:tcPr>
          <w:p w14:paraId="244C1A11"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5,438,519.75</w:t>
            </w:r>
          </w:p>
        </w:tc>
        <w:tc>
          <w:tcPr>
            <w:tcW w:w="2269" w:type="dxa"/>
            <w:tcBorders>
              <w:top w:val="single" w:sz="2" w:space="0" w:color="auto"/>
              <w:left w:val="single" w:sz="2" w:space="0" w:color="auto"/>
              <w:bottom w:val="single" w:sz="2" w:space="0" w:color="auto"/>
              <w:right w:val="single" w:sz="2" w:space="0" w:color="auto"/>
            </w:tcBorders>
            <w:vAlign w:val="center"/>
          </w:tcPr>
          <w:p w14:paraId="1690C3C9"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4,361,528.28</w:t>
            </w:r>
          </w:p>
        </w:tc>
        <w:tc>
          <w:tcPr>
            <w:tcW w:w="2693" w:type="dxa"/>
            <w:tcBorders>
              <w:top w:val="single" w:sz="2" w:space="0" w:color="auto"/>
              <w:left w:val="single" w:sz="2" w:space="0" w:color="auto"/>
              <w:bottom w:val="single" w:sz="2" w:space="0" w:color="auto"/>
              <w:right w:val="single" w:sz="2" w:space="0" w:color="auto"/>
            </w:tcBorders>
            <w:vAlign w:val="center"/>
          </w:tcPr>
          <w:p w14:paraId="4AB3C60B" w14:textId="77777777" w:rsidR="00A46BF1" w:rsidRPr="00225CFB" w:rsidRDefault="00A46BF1" w:rsidP="00225CFB">
            <w:pPr>
              <w:spacing w:line="360" w:lineRule="auto"/>
              <w:jc w:val="right"/>
              <w:rPr>
                <w:rFonts w:ascii="Times New Roman" w:eastAsia="宋体" w:hAnsi="Times New Roman" w:cs="Times New Roman"/>
                <w:sz w:val="18"/>
                <w:szCs w:val="18"/>
              </w:rPr>
            </w:pPr>
            <w:r w:rsidRPr="00225CFB">
              <w:rPr>
                <w:rFonts w:ascii="Times New Roman" w:eastAsia="宋体" w:hAnsi="Times New Roman" w:cs="Times New Roman"/>
                <w:sz w:val="18"/>
                <w:szCs w:val="18"/>
              </w:rPr>
              <w:t>5,438,519.75</w:t>
            </w:r>
          </w:p>
        </w:tc>
      </w:tr>
    </w:tbl>
    <w:p w14:paraId="3093FCE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bookmarkStart w:id="139" w:name="_GoBack"/>
      <w:bookmarkEnd w:id="139"/>
    </w:p>
    <w:p w14:paraId="385B207C" w14:textId="77777777" w:rsidR="00A46BF1" w:rsidRPr="00225CFB" w:rsidRDefault="00A46BF1" w:rsidP="00225CFB">
      <w:pPr>
        <w:spacing w:before="100" w:after="100" w:line="240" w:lineRule="exact"/>
        <w:rPr>
          <w:rFonts w:ascii="宋体" w:eastAsia="宋体" w:hAnsi="宋体" w:cs="宋体"/>
          <w:sz w:val="18"/>
          <w:szCs w:val="18"/>
        </w:rPr>
      </w:pPr>
      <w:r w:rsidRPr="00225CFB">
        <w:rPr>
          <w:rFonts w:ascii="宋体" w:eastAsia="宋体" w:hAnsi="宋体" w:cs="宋体" w:hint="eastAsia"/>
          <w:sz w:val="18"/>
          <w:szCs w:val="18"/>
        </w:rPr>
        <w:t>无</w:t>
      </w:r>
    </w:p>
    <w:p w14:paraId="1AFA0FB6" w14:textId="23457FF3" w:rsidR="00A46BF1" w:rsidRDefault="009F773A" w:rsidP="00A46BF1">
      <w:pPr>
        <w:pStyle w:val="3"/>
        <w:spacing w:line="280" w:lineRule="exact"/>
        <w:jc w:val="left"/>
        <w:rPr>
          <w:rFonts w:ascii="宋体" w:hAnsi="宋体" w:cs="宋体"/>
          <w:b/>
          <w:bCs/>
        </w:rPr>
      </w:pPr>
      <w:r>
        <w:rPr>
          <w:rFonts w:ascii="宋体" w:hAnsi="宋体" w:cs="宋体"/>
          <w:b/>
          <w:bCs/>
        </w:rPr>
        <w:t>59</w:t>
      </w:r>
      <w:r w:rsidR="00A46BF1">
        <w:rPr>
          <w:rFonts w:ascii="宋体" w:hAnsi="宋体" w:cs="宋体"/>
          <w:b/>
          <w:bCs/>
        </w:rPr>
        <w:t>、所得税费用</w:t>
      </w:r>
    </w:p>
    <w:p w14:paraId="06398AB8"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所得税费用表</w:t>
      </w:r>
    </w:p>
    <w:p w14:paraId="688B60E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54C260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115044"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1410C15"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795120"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51B59D9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37E12E"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当期所得税费用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17C688F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67,728,560.63</w:t>
            </w:r>
          </w:p>
        </w:tc>
        <w:tc>
          <w:tcPr>
            <w:tcW w:w="3213" w:type="dxa"/>
            <w:tcBorders>
              <w:top w:val="single" w:sz="2" w:space="0" w:color="auto"/>
              <w:left w:val="single" w:sz="2" w:space="0" w:color="auto"/>
              <w:bottom w:val="single" w:sz="2" w:space="0" w:color="auto"/>
              <w:right w:val="single" w:sz="2" w:space="0" w:color="auto"/>
            </w:tcBorders>
            <w:vAlign w:val="center"/>
          </w:tcPr>
          <w:p w14:paraId="36812AB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53,904,294.85</w:t>
            </w:r>
          </w:p>
        </w:tc>
      </w:tr>
      <w:tr w:rsidR="00095F6F" w14:paraId="2F70C5F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D26E1A7"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递延所得税费用</w:t>
            </w:r>
          </w:p>
        </w:tc>
        <w:tc>
          <w:tcPr>
            <w:tcW w:w="3213" w:type="dxa"/>
            <w:tcBorders>
              <w:top w:val="single" w:sz="2" w:space="0" w:color="auto"/>
              <w:left w:val="single" w:sz="2" w:space="0" w:color="auto"/>
              <w:bottom w:val="single" w:sz="2" w:space="0" w:color="auto"/>
              <w:right w:val="single" w:sz="2" w:space="0" w:color="auto"/>
            </w:tcBorders>
            <w:vAlign w:val="center"/>
          </w:tcPr>
          <w:p w14:paraId="77AB7EDC"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-15,751,197.61</w:t>
            </w:r>
          </w:p>
        </w:tc>
        <w:tc>
          <w:tcPr>
            <w:tcW w:w="3213" w:type="dxa"/>
            <w:tcBorders>
              <w:top w:val="single" w:sz="2" w:space="0" w:color="auto"/>
              <w:left w:val="single" w:sz="2" w:space="0" w:color="auto"/>
              <w:bottom w:val="single" w:sz="2" w:space="0" w:color="auto"/>
              <w:right w:val="single" w:sz="2" w:space="0" w:color="auto"/>
            </w:tcBorders>
            <w:vAlign w:val="center"/>
          </w:tcPr>
          <w:p w14:paraId="092EAACC"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-4,497,711.41</w:t>
            </w:r>
          </w:p>
        </w:tc>
      </w:tr>
      <w:tr w:rsidR="00095F6F" w14:paraId="4EA7C56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4D19C14"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585D87C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51,977,363.02</w:t>
            </w:r>
          </w:p>
        </w:tc>
        <w:tc>
          <w:tcPr>
            <w:tcW w:w="3213" w:type="dxa"/>
            <w:tcBorders>
              <w:top w:val="single" w:sz="2" w:space="0" w:color="auto"/>
              <w:left w:val="single" w:sz="2" w:space="0" w:color="auto"/>
              <w:bottom w:val="single" w:sz="2" w:space="0" w:color="auto"/>
              <w:right w:val="single" w:sz="2" w:space="0" w:color="auto"/>
            </w:tcBorders>
            <w:vAlign w:val="center"/>
          </w:tcPr>
          <w:p w14:paraId="172FA9D4"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49,406,583.44</w:t>
            </w:r>
          </w:p>
        </w:tc>
      </w:tr>
    </w:tbl>
    <w:p w14:paraId="0FFA346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会计利润与所得税费用调整过程</w:t>
      </w:r>
    </w:p>
    <w:p w14:paraId="0CBA2007"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6237"/>
        <w:gridCol w:w="3402"/>
      </w:tblGrid>
      <w:tr w:rsidR="00095F6F" w14:paraId="38FD5C9E"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5B6B6BA2"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402" w:type="dxa"/>
            <w:tcBorders>
              <w:top w:val="single" w:sz="2" w:space="0" w:color="auto"/>
              <w:left w:val="single" w:sz="2" w:space="0" w:color="auto"/>
              <w:bottom w:val="single" w:sz="2" w:space="0" w:color="auto"/>
              <w:right w:val="single" w:sz="2" w:space="0" w:color="auto"/>
            </w:tcBorders>
            <w:shd w:val="clear" w:color="auto" w:fill="D3D3D3"/>
            <w:vAlign w:val="center"/>
          </w:tcPr>
          <w:p w14:paraId="430CFD71"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r>
      <w:tr w:rsidR="00095F6F" w14:paraId="50BD39AC"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619D9320"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利润总额</w:t>
            </w:r>
          </w:p>
        </w:tc>
        <w:tc>
          <w:tcPr>
            <w:tcW w:w="3402" w:type="dxa"/>
            <w:tcBorders>
              <w:top w:val="single" w:sz="2" w:space="0" w:color="auto"/>
              <w:left w:val="single" w:sz="2" w:space="0" w:color="auto"/>
              <w:bottom w:val="single" w:sz="2" w:space="0" w:color="auto"/>
              <w:right w:val="single" w:sz="2" w:space="0" w:color="auto"/>
            </w:tcBorders>
            <w:vAlign w:val="center"/>
          </w:tcPr>
          <w:p w14:paraId="75221BF9"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74,054,037.07</w:t>
            </w:r>
          </w:p>
        </w:tc>
      </w:tr>
      <w:tr w:rsidR="00095F6F" w14:paraId="5237A672"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3B7CD0C0"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按法定</w:t>
            </w:r>
            <w:r w:rsidRPr="009F773A">
              <w:rPr>
                <w:rFonts w:ascii="Times New Roman" w:eastAsia="宋体" w:hAnsi="Times New Roman" w:cs="Times New Roman"/>
                <w:sz w:val="18"/>
                <w:szCs w:val="18"/>
              </w:rPr>
              <w:t>/</w:t>
            </w:r>
            <w:r w:rsidRPr="009F773A">
              <w:rPr>
                <w:rFonts w:ascii="Times New Roman" w:eastAsia="宋体" w:hAnsi="Times New Roman" w:cs="Times New Roman"/>
                <w:sz w:val="18"/>
                <w:szCs w:val="18"/>
              </w:rPr>
              <w:t>适用税率计算的所得税费用</w:t>
            </w:r>
          </w:p>
        </w:tc>
        <w:tc>
          <w:tcPr>
            <w:tcW w:w="3402" w:type="dxa"/>
            <w:tcBorders>
              <w:top w:val="single" w:sz="2" w:space="0" w:color="auto"/>
              <w:left w:val="single" w:sz="2" w:space="0" w:color="auto"/>
              <w:bottom w:val="single" w:sz="2" w:space="0" w:color="auto"/>
              <w:right w:val="single" w:sz="2" w:space="0" w:color="auto"/>
            </w:tcBorders>
            <w:vAlign w:val="center"/>
          </w:tcPr>
          <w:p w14:paraId="3E612BC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11,313,396.46</w:t>
            </w:r>
          </w:p>
        </w:tc>
      </w:tr>
      <w:tr w:rsidR="00095F6F" w14:paraId="63A9F88B"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0CE74D03"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子公司适用不同税率的影响</w:t>
            </w:r>
          </w:p>
        </w:tc>
        <w:tc>
          <w:tcPr>
            <w:tcW w:w="3402" w:type="dxa"/>
            <w:tcBorders>
              <w:top w:val="single" w:sz="2" w:space="0" w:color="auto"/>
              <w:left w:val="single" w:sz="2" w:space="0" w:color="auto"/>
              <w:bottom w:val="single" w:sz="2" w:space="0" w:color="auto"/>
              <w:right w:val="single" w:sz="2" w:space="0" w:color="auto"/>
            </w:tcBorders>
            <w:vAlign w:val="center"/>
          </w:tcPr>
          <w:p w14:paraId="2082273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5,535,313.76</w:t>
            </w:r>
          </w:p>
        </w:tc>
      </w:tr>
      <w:tr w:rsidR="00095F6F" w14:paraId="3BE09577"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3F8A9392"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调整以前期间所得税的影响</w:t>
            </w:r>
          </w:p>
        </w:tc>
        <w:tc>
          <w:tcPr>
            <w:tcW w:w="3402" w:type="dxa"/>
            <w:tcBorders>
              <w:top w:val="single" w:sz="2" w:space="0" w:color="auto"/>
              <w:left w:val="single" w:sz="2" w:space="0" w:color="auto"/>
              <w:bottom w:val="single" w:sz="2" w:space="0" w:color="auto"/>
              <w:right w:val="single" w:sz="2" w:space="0" w:color="auto"/>
            </w:tcBorders>
            <w:vAlign w:val="center"/>
          </w:tcPr>
          <w:p w14:paraId="424C161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5,433,714.13</w:t>
            </w:r>
          </w:p>
        </w:tc>
      </w:tr>
      <w:tr w:rsidR="00095F6F" w14:paraId="7E76E05D"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234E52B4"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非应税收入的影响</w:t>
            </w:r>
          </w:p>
        </w:tc>
        <w:tc>
          <w:tcPr>
            <w:tcW w:w="3402" w:type="dxa"/>
            <w:tcBorders>
              <w:top w:val="single" w:sz="2" w:space="0" w:color="auto"/>
              <w:left w:val="single" w:sz="2" w:space="0" w:color="auto"/>
              <w:bottom w:val="single" w:sz="2" w:space="0" w:color="auto"/>
              <w:right w:val="single" w:sz="2" w:space="0" w:color="auto"/>
            </w:tcBorders>
            <w:vAlign w:val="center"/>
          </w:tcPr>
          <w:p w14:paraId="0EC77D2A"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46,288.30</w:t>
            </w:r>
          </w:p>
        </w:tc>
      </w:tr>
      <w:tr w:rsidR="00095F6F" w14:paraId="22A9E8F8"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67EF85FE"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不可抵扣的成本、费用和损失的影响</w:t>
            </w:r>
          </w:p>
        </w:tc>
        <w:tc>
          <w:tcPr>
            <w:tcW w:w="3402" w:type="dxa"/>
            <w:tcBorders>
              <w:top w:val="single" w:sz="2" w:space="0" w:color="auto"/>
              <w:left w:val="single" w:sz="2" w:space="0" w:color="auto"/>
              <w:bottom w:val="single" w:sz="2" w:space="0" w:color="auto"/>
              <w:right w:val="single" w:sz="2" w:space="0" w:color="auto"/>
            </w:tcBorders>
            <w:vAlign w:val="center"/>
          </w:tcPr>
          <w:p w14:paraId="6AF44EF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10,318,252.10</w:t>
            </w:r>
          </w:p>
        </w:tc>
      </w:tr>
      <w:tr w:rsidR="00095F6F" w14:paraId="2549A65B"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71C1FCBE"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使用前期未确认递延所得税资产的可抵扣亏损的影响</w:t>
            </w:r>
          </w:p>
        </w:tc>
        <w:tc>
          <w:tcPr>
            <w:tcW w:w="3402" w:type="dxa"/>
            <w:tcBorders>
              <w:top w:val="single" w:sz="2" w:space="0" w:color="auto"/>
              <w:left w:val="single" w:sz="2" w:space="0" w:color="auto"/>
              <w:bottom w:val="single" w:sz="2" w:space="0" w:color="auto"/>
              <w:right w:val="single" w:sz="2" w:space="0" w:color="auto"/>
            </w:tcBorders>
            <w:vAlign w:val="center"/>
          </w:tcPr>
          <w:p w14:paraId="3A09F0C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-906,416.85</w:t>
            </w:r>
          </w:p>
        </w:tc>
      </w:tr>
      <w:tr w:rsidR="00095F6F" w14:paraId="60530559"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3CC34D01"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本期未确认递延所得税资产的可抵扣暂时性差异或可抵扣亏损的影响</w:t>
            </w:r>
          </w:p>
        </w:tc>
        <w:tc>
          <w:tcPr>
            <w:tcW w:w="3402" w:type="dxa"/>
            <w:tcBorders>
              <w:top w:val="single" w:sz="2" w:space="0" w:color="auto"/>
              <w:left w:val="single" w:sz="2" w:space="0" w:color="auto"/>
              <w:bottom w:val="single" w:sz="2" w:space="0" w:color="auto"/>
              <w:right w:val="single" w:sz="2" w:space="0" w:color="auto"/>
            </w:tcBorders>
            <w:vAlign w:val="center"/>
          </w:tcPr>
          <w:p w14:paraId="2B6DF229"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56,052,279.26</w:t>
            </w:r>
          </w:p>
        </w:tc>
      </w:tr>
      <w:tr w:rsidR="00095F6F" w14:paraId="018A9923"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vAlign w:val="center"/>
          </w:tcPr>
          <w:p w14:paraId="1419B8FC"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研发支出加计扣除的影响</w:t>
            </w:r>
          </w:p>
        </w:tc>
        <w:tc>
          <w:tcPr>
            <w:tcW w:w="3402" w:type="dxa"/>
            <w:tcBorders>
              <w:top w:val="single" w:sz="2" w:space="0" w:color="auto"/>
              <w:left w:val="single" w:sz="2" w:space="0" w:color="auto"/>
              <w:bottom w:val="single" w:sz="2" w:space="0" w:color="auto"/>
              <w:right w:val="single" w:sz="2" w:space="0" w:color="auto"/>
            </w:tcBorders>
            <w:vAlign w:val="center"/>
          </w:tcPr>
          <w:p w14:paraId="39DA468E"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-35,703,515.32</w:t>
            </w:r>
          </w:p>
        </w:tc>
      </w:tr>
      <w:tr w:rsidR="00095F6F" w14:paraId="4B54A893"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vAlign w:val="center"/>
          </w:tcPr>
          <w:p w14:paraId="54F948F0"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冲回前期确认递延所得税资产的可抵扣亏损的影响</w:t>
            </w:r>
          </w:p>
        </w:tc>
        <w:tc>
          <w:tcPr>
            <w:tcW w:w="3402" w:type="dxa"/>
            <w:tcBorders>
              <w:top w:val="single" w:sz="2" w:space="0" w:color="auto"/>
              <w:left w:val="single" w:sz="2" w:space="0" w:color="auto"/>
              <w:bottom w:val="single" w:sz="2" w:space="0" w:color="auto"/>
              <w:right w:val="single" w:sz="2" w:space="0" w:color="auto"/>
            </w:tcBorders>
            <w:vAlign w:val="center"/>
          </w:tcPr>
          <w:p w14:paraId="7A700FCD" w14:textId="77777777" w:rsidR="00A46BF1" w:rsidRPr="009F773A" w:rsidRDefault="00A46BF1" w:rsidP="009F773A">
            <w:pPr>
              <w:spacing w:line="360" w:lineRule="auto"/>
              <w:jc w:val="right"/>
              <w:rPr>
                <w:rFonts w:ascii="Times New Roman" w:eastAsia="宋体" w:hAnsi="Times New Roman" w:cs="Times New Roman"/>
                <w:sz w:val="18"/>
                <w:szCs w:val="18"/>
              </w:rPr>
            </w:pPr>
          </w:p>
        </w:tc>
      </w:tr>
      <w:tr w:rsidR="00095F6F" w14:paraId="23FAC66D"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vAlign w:val="center"/>
          </w:tcPr>
          <w:p w14:paraId="056FFD49"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残疾人工资加计扣除的影响</w:t>
            </w:r>
          </w:p>
        </w:tc>
        <w:tc>
          <w:tcPr>
            <w:tcW w:w="3402" w:type="dxa"/>
            <w:tcBorders>
              <w:top w:val="single" w:sz="2" w:space="0" w:color="auto"/>
              <w:left w:val="single" w:sz="2" w:space="0" w:color="auto"/>
              <w:bottom w:val="single" w:sz="2" w:space="0" w:color="auto"/>
              <w:right w:val="single" w:sz="2" w:space="0" w:color="auto"/>
            </w:tcBorders>
            <w:vAlign w:val="center"/>
          </w:tcPr>
          <w:p w14:paraId="34548E1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-111,948.82</w:t>
            </w:r>
          </w:p>
        </w:tc>
      </w:tr>
      <w:tr w:rsidR="00095F6F" w14:paraId="665813C8" w14:textId="77777777" w:rsidTr="009F773A">
        <w:trPr>
          <w:trHeight w:val="240"/>
        </w:trPr>
        <w:tc>
          <w:tcPr>
            <w:tcW w:w="6237" w:type="dxa"/>
            <w:tcBorders>
              <w:top w:val="single" w:sz="2" w:space="0" w:color="auto"/>
              <w:left w:val="single" w:sz="2" w:space="0" w:color="auto"/>
              <w:bottom w:val="single" w:sz="2" w:space="0" w:color="auto"/>
              <w:right w:val="single" w:sz="2" w:space="0" w:color="auto"/>
            </w:tcBorders>
            <w:shd w:val="clear" w:color="auto" w:fill="D3D3D3"/>
            <w:vAlign w:val="center"/>
          </w:tcPr>
          <w:p w14:paraId="7BB0B872"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所得税费用</w:t>
            </w:r>
          </w:p>
        </w:tc>
        <w:tc>
          <w:tcPr>
            <w:tcW w:w="3402" w:type="dxa"/>
            <w:tcBorders>
              <w:top w:val="single" w:sz="2" w:space="0" w:color="auto"/>
              <w:left w:val="single" w:sz="2" w:space="0" w:color="auto"/>
              <w:bottom w:val="single" w:sz="2" w:space="0" w:color="auto"/>
              <w:right w:val="single" w:sz="2" w:space="0" w:color="auto"/>
            </w:tcBorders>
            <w:vAlign w:val="center"/>
          </w:tcPr>
          <w:p w14:paraId="45A0E79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51,977,363.02</w:t>
            </w:r>
          </w:p>
        </w:tc>
      </w:tr>
    </w:tbl>
    <w:p w14:paraId="39808C8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139CA95C"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7C19E15F" w14:textId="3039F7C8" w:rsidR="00A46BF1" w:rsidRDefault="00A46BF1" w:rsidP="00A46BF1">
      <w:pPr>
        <w:pStyle w:val="3"/>
        <w:spacing w:line="280" w:lineRule="exact"/>
        <w:jc w:val="left"/>
        <w:rPr>
          <w:rFonts w:ascii="宋体" w:hAnsi="宋体" w:cs="宋体"/>
          <w:b/>
          <w:bCs/>
        </w:rPr>
      </w:pPr>
      <w:r>
        <w:rPr>
          <w:rFonts w:ascii="宋体" w:hAnsi="宋体" w:cs="宋体"/>
          <w:b/>
          <w:bCs/>
        </w:rPr>
        <w:t>6</w:t>
      </w:r>
      <w:r w:rsidR="009F773A">
        <w:rPr>
          <w:rFonts w:ascii="宋体" w:hAnsi="宋体" w:cs="宋体"/>
          <w:b/>
          <w:bCs/>
        </w:rPr>
        <w:t>0</w:t>
      </w:r>
      <w:r>
        <w:rPr>
          <w:rFonts w:ascii="宋体" w:hAnsi="宋体" w:cs="宋体"/>
          <w:b/>
          <w:bCs/>
        </w:rPr>
        <w:t>、其他综合收益</w:t>
      </w:r>
    </w:p>
    <w:p w14:paraId="07E7E723" w14:textId="7D6C60DE"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详见附注</w:t>
      </w:r>
      <w:r w:rsidRPr="00447B2A">
        <w:rPr>
          <w:rFonts w:ascii="宋体" w:eastAsia="宋体" w:hAnsi="宋体" w:cs="宋体"/>
          <w:sz w:val="18"/>
          <w:szCs w:val="18"/>
        </w:rPr>
        <w:t>“</w:t>
      </w:r>
      <w:r w:rsidRPr="00C707CF">
        <w:rPr>
          <w:rFonts w:ascii="宋体" w:eastAsia="宋体" w:hAnsi="宋体" w:cs="宋体"/>
          <w:sz w:val="18"/>
          <w:szCs w:val="18"/>
        </w:rPr>
        <w:t>七、</w:t>
      </w:r>
      <w:r w:rsidR="00622238" w:rsidRPr="00C707CF">
        <w:rPr>
          <w:rFonts w:ascii="宋体" w:eastAsia="宋体" w:hAnsi="宋体" w:cs="宋体"/>
          <w:sz w:val="18"/>
          <w:szCs w:val="18"/>
        </w:rPr>
        <w:t>42</w:t>
      </w:r>
      <w:r w:rsidRPr="00C707CF">
        <w:rPr>
          <w:rFonts w:ascii="宋体" w:eastAsia="宋体" w:hAnsi="宋体" w:cs="宋体"/>
          <w:sz w:val="18"/>
          <w:szCs w:val="18"/>
        </w:rPr>
        <w:t>其他综合收益</w:t>
      </w:r>
      <w:r w:rsidRPr="00447B2A">
        <w:rPr>
          <w:rFonts w:ascii="宋体" w:eastAsia="宋体" w:hAnsi="宋体" w:cs="宋体"/>
          <w:sz w:val="18"/>
          <w:szCs w:val="18"/>
        </w:rPr>
        <w:t>”</w:t>
      </w:r>
      <w:r>
        <w:rPr>
          <w:rFonts w:ascii="宋体" w:eastAsia="宋体" w:hAnsi="宋体" w:cs="宋体"/>
          <w:sz w:val="18"/>
          <w:szCs w:val="18"/>
        </w:rPr>
        <w:t>相关内容。</w:t>
      </w:r>
    </w:p>
    <w:p w14:paraId="669AD34C" w14:textId="7F0FD49E" w:rsidR="00A46BF1" w:rsidRDefault="00A46BF1" w:rsidP="00A46BF1">
      <w:pPr>
        <w:pStyle w:val="3"/>
        <w:spacing w:line="280" w:lineRule="exact"/>
        <w:jc w:val="left"/>
        <w:rPr>
          <w:rFonts w:ascii="宋体" w:hAnsi="宋体" w:cs="宋体"/>
          <w:b/>
          <w:bCs/>
        </w:rPr>
      </w:pPr>
      <w:r>
        <w:rPr>
          <w:rFonts w:ascii="宋体" w:hAnsi="宋体" w:cs="宋体"/>
          <w:b/>
          <w:bCs/>
        </w:rPr>
        <w:t>6</w:t>
      </w:r>
      <w:r w:rsidR="009F773A">
        <w:rPr>
          <w:rFonts w:ascii="宋体" w:hAnsi="宋体" w:cs="宋体"/>
          <w:b/>
          <w:bCs/>
        </w:rPr>
        <w:t>1</w:t>
      </w:r>
      <w:r>
        <w:rPr>
          <w:rFonts w:ascii="宋体" w:hAnsi="宋体" w:cs="宋体"/>
          <w:b/>
          <w:bCs/>
        </w:rPr>
        <w:t>、现金流量表项目</w:t>
      </w:r>
    </w:p>
    <w:p w14:paraId="5CA9038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与经营活动有关的现金</w:t>
      </w:r>
    </w:p>
    <w:p w14:paraId="5AF9CBC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收到的其他与经营活动有关的现金</w:t>
      </w:r>
    </w:p>
    <w:p w14:paraId="3C0B7AC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6A8850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728DFF"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8BE37B9"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6C5DA5"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4BF9449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33BAED"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财务费用</w:t>
            </w:r>
            <w:r w:rsidRPr="009F773A">
              <w:rPr>
                <w:rFonts w:ascii="Times New Roman" w:eastAsia="宋体" w:hAnsi="Times New Roman" w:cs="Times New Roman"/>
                <w:sz w:val="18"/>
                <w:szCs w:val="18"/>
              </w:rPr>
              <w:t>—</w:t>
            </w:r>
            <w:r w:rsidRPr="009F773A">
              <w:rPr>
                <w:rFonts w:ascii="Times New Roman" w:eastAsia="宋体" w:hAnsi="Times New Roman" w:cs="Times New Roman"/>
                <w:sz w:val="18"/>
                <w:szCs w:val="18"/>
              </w:rPr>
              <w:t>利息收入</w:t>
            </w:r>
          </w:p>
        </w:tc>
        <w:tc>
          <w:tcPr>
            <w:tcW w:w="3213" w:type="dxa"/>
            <w:tcBorders>
              <w:top w:val="single" w:sz="2" w:space="0" w:color="auto"/>
              <w:left w:val="single" w:sz="2" w:space="0" w:color="auto"/>
              <w:bottom w:val="single" w:sz="2" w:space="0" w:color="auto"/>
              <w:right w:val="single" w:sz="2" w:space="0" w:color="auto"/>
            </w:tcBorders>
            <w:vAlign w:val="center"/>
          </w:tcPr>
          <w:p w14:paraId="0C96FEDA"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21,835,693.41</w:t>
            </w:r>
          </w:p>
        </w:tc>
        <w:tc>
          <w:tcPr>
            <w:tcW w:w="3213" w:type="dxa"/>
            <w:tcBorders>
              <w:top w:val="single" w:sz="2" w:space="0" w:color="auto"/>
              <w:left w:val="single" w:sz="2" w:space="0" w:color="auto"/>
              <w:bottom w:val="single" w:sz="2" w:space="0" w:color="auto"/>
              <w:right w:val="single" w:sz="2" w:space="0" w:color="auto"/>
            </w:tcBorders>
            <w:vAlign w:val="center"/>
          </w:tcPr>
          <w:p w14:paraId="17BBA220"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22,833,054.68</w:t>
            </w:r>
          </w:p>
        </w:tc>
      </w:tr>
      <w:tr w:rsidR="00095F6F" w14:paraId="0DF85E5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3B5C3A4"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政府补助收入</w:t>
            </w:r>
          </w:p>
        </w:tc>
        <w:tc>
          <w:tcPr>
            <w:tcW w:w="3213" w:type="dxa"/>
            <w:tcBorders>
              <w:top w:val="single" w:sz="2" w:space="0" w:color="auto"/>
              <w:left w:val="single" w:sz="2" w:space="0" w:color="auto"/>
              <w:bottom w:val="single" w:sz="2" w:space="0" w:color="auto"/>
              <w:right w:val="single" w:sz="2" w:space="0" w:color="auto"/>
            </w:tcBorders>
            <w:vAlign w:val="center"/>
          </w:tcPr>
          <w:p w14:paraId="3F1F2C1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20,766,492.52</w:t>
            </w:r>
          </w:p>
        </w:tc>
        <w:tc>
          <w:tcPr>
            <w:tcW w:w="3213" w:type="dxa"/>
            <w:tcBorders>
              <w:top w:val="single" w:sz="2" w:space="0" w:color="auto"/>
              <w:left w:val="single" w:sz="2" w:space="0" w:color="auto"/>
              <w:bottom w:val="single" w:sz="2" w:space="0" w:color="auto"/>
              <w:right w:val="single" w:sz="2" w:space="0" w:color="auto"/>
            </w:tcBorders>
            <w:vAlign w:val="center"/>
          </w:tcPr>
          <w:p w14:paraId="29EA5893"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29,494,115.88</w:t>
            </w:r>
          </w:p>
        </w:tc>
      </w:tr>
      <w:tr w:rsidR="00095F6F" w14:paraId="5F1BC3F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78C57CB"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诉讼赔偿款</w:t>
            </w:r>
          </w:p>
        </w:tc>
        <w:tc>
          <w:tcPr>
            <w:tcW w:w="3213" w:type="dxa"/>
            <w:tcBorders>
              <w:top w:val="single" w:sz="2" w:space="0" w:color="auto"/>
              <w:left w:val="single" w:sz="2" w:space="0" w:color="auto"/>
              <w:bottom w:val="single" w:sz="2" w:space="0" w:color="auto"/>
              <w:right w:val="single" w:sz="2" w:space="0" w:color="auto"/>
            </w:tcBorders>
            <w:vAlign w:val="center"/>
          </w:tcPr>
          <w:p w14:paraId="1E10CC2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14,295,762.53</w:t>
            </w:r>
          </w:p>
        </w:tc>
        <w:tc>
          <w:tcPr>
            <w:tcW w:w="3213" w:type="dxa"/>
            <w:tcBorders>
              <w:top w:val="single" w:sz="2" w:space="0" w:color="auto"/>
              <w:left w:val="single" w:sz="2" w:space="0" w:color="auto"/>
              <w:bottom w:val="single" w:sz="2" w:space="0" w:color="auto"/>
              <w:right w:val="single" w:sz="2" w:space="0" w:color="auto"/>
            </w:tcBorders>
            <w:vAlign w:val="center"/>
          </w:tcPr>
          <w:p w14:paraId="0573EF79" w14:textId="77777777" w:rsidR="00A46BF1" w:rsidRPr="009F773A" w:rsidRDefault="00A46BF1" w:rsidP="009F773A">
            <w:pPr>
              <w:spacing w:line="360" w:lineRule="auto"/>
              <w:jc w:val="right"/>
              <w:rPr>
                <w:rFonts w:ascii="Times New Roman" w:eastAsia="宋体" w:hAnsi="Times New Roman" w:cs="Times New Roman"/>
                <w:sz w:val="18"/>
                <w:szCs w:val="18"/>
              </w:rPr>
            </w:pPr>
          </w:p>
        </w:tc>
      </w:tr>
      <w:tr w:rsidR="00095F6F" w14:paraId="2B334D3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B37472D"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收回保证金</w:t>
            </w:r>
          </w:p>
        </w:tc>
        <w:tc>
          <w:tcPr>
            <w:tcW w:w="3213" w:type="dxa"/>
            <w:tcBorders>
              <w:top w:val="single" w:sz="2" w:space="0" w:color="auto"/>
              <w:left w:val="single" w:sz="2" w:space="0" w:color="auto"/>
              <w:bottom w:val="single" w:sz="2" w:space="0" w:color="auto"/>
              <w:right w:val="single" w:sz="2" w:space="0" w:color="auto"/>
            </w:tcBorders>
            <w:vAlign w:val="center"/>
          </w:tcPr>
          <w:p w14:paraId="52B2576C"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802,572.53</w:t>
            </w:r>
          </w:p>
        </w:tc>
        <w:tc>
          <w:tcPr>
            <w:tcW w:w="3213" w:type="dxa"/>
            <w:tcBorders>
              <w:top w:val="single" w:sz="2" w:space="0" w:color="auto"/>
              <w:left w:val="single" w:sz="2" w:space="0" w:color="auto"/>
              <w:bottom w:val="single" w:sz="2" w:space="0" w:color="auto"/>
              <w:right w:val="single" w:sz="2" w:space="0" w:color="auto"/>
            </w:tcBorders>
            <w:vAlign w:val="center"/>
          </w:tcPr>
          <w:p w14:paraId="1ED0AE6A"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2,524,099.79</w:t>
            </w:r>
          </w:p>
        </w:tc>
      </w:tr>
      <w:tr w:rsidR="00095F6F" w14:paraId="7DE5792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BE97BB4"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573B83F4"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6,649,347.05</w:t>
            </w:r>
          </w:p>
        </w:tc>
        <w:tc>
          <w:tcPr>
            <w:tcW w:w="3213" w:type="dxa"/>
            <w:tcBorders>
              <w:top w:val="single" w:sz="2" w:space="0" w:color="auto"/>
              <w:left w:val="single" w:sz="2" w:space="0" w:color="auto"/>
              <w:bottom w:val="single" w:sz="2" w:space="0" w:color="auto"/>
              <w:right w:val="single" w:sz="2" w:space="0" w:color="auto"/>
            </w:tcBorders>
            <w:vAlign w:val="center"/>
          </w:tcPr>
          <w:p w14:paraId="2142002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1,785,937.69</w:t>
            </w:r>
          </w:p>
        </w:tc>
      </w:tr>
      <w:tr w:rsidR="00095F6F" w14:paraId="701BD3D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91136A"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EA2B76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64,349,868.04</w:t>
            </w:r>
          </w:p>
        </w:tc>
        <w:tc>
          <w:tcPr>
            <w:tcW w:w="3213" w:type="dxa"/>
            <w:tcBorders>
              <w:top w:val="single" w:sz="2" w:space="0" w:color="auto"/>
              <w:left w:val="single" w:sz="2" w:space="0" w:color="auto"/>
              <w:bottom w:val="single" w:sz="2" w:space="0" w:color="auto"/>
              <w:right w:val="single" w:sz="2" w:space="0" w:color="auto"/>
            </w:tcBorders>
            <w:vAlign w:val="center"/>
          </w:tcPr>
          <w:p w14:paraId="5363BC6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56,637,208.04</w:t>
            </w:r>
          </w:p>
        </w:tc>
      </w:tr>
    </w:tbl>
    <w:p w14:paraId="1F7D549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收到的其他与经营活动有关的现金说明：</w:t>
      </w:r>
    </w:p>
    <w:p w14:paraId="26224074"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0B0F6CB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支付的其他与经营活动有关的现金</w:t>
      </w:r>
    </w:p>
    <w:p w14:paraId="69C9B83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C16D76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ADD240"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67D623"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F8EE458"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54DB072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DF2D41F"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付现的销售费用</w:t>
            </w:r>
          </w:p>
        </w:tc>
        <w:tc>
          <w:tcPr>
            <w:tcW w:w="3213" w:type="dxa"/>
            <w:tcBorders>
              <w:top w:val="single" w:sz="2" w:space="0" w:color="auto"/>
              <w:left w:val="single" w:sz="2" w:space="0" w:color="auto"/>
              <w:bottom w:val="single" w:sz="2" w:space="0" w:color="auto"/>
              <w:right w:val="single" w:sz="2" w:space="0" w:color="auto"/>
            </w:tcBorders>
            <w:vAlign w:val="center"/>
          </w:tcPr>
          <w:p w14:paraId="57C06B9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763,466,040.21</w:t>
            </w:r>
          </w:p>
        </w:tc>
        <w:tc>
          <w:tcPr>
            <w:tcW w:w="3213" w:type="dxa"/>
            <w:tcBorders>
              <w:top w:val="single" w:sz="2" w:space="0" w:color="auto"/>
              <w:left w:val="single" w:sz="2" w:space="0" w:color="auto"/>
              <w:bottom w:val="single" w:sz="2" w:space="0" w:color="auto"/>
              <w:right w:val="single" w:sz="2" w:space="0" w:color="auto"/>
            </w:tcBorders>
            <w:vAlign w:val="center"/>
          </w:tcPr>
          <w:p w14:paraId="0BEBB6B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596,155,555.61</w:t>
            </w:r>
          </w:p>
        </w:tc>
      </w:tr>
      <w:tr w:rsidR="00095F6F" w14:paraId="1F3CB37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E2FBB71"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付现的管理费用</w:t>
            </w:r>
          </w:p>
        </w:tc>
        <w:tc>
          <w:tcPr>
            <w:tcW w:w="3213" w:type="dxa"/>
            <w:tcBorders>
              <w:top w:val="single" w:sz="2" w:space="0" w:color="auto"/>
              <w:left w:val="single" w:sz="2" w:space="0" w:color="auto"/>
              <w:bottom w:val="single" w:sz="2" w:space="0" w:color="auto"/>
              <w:right w:val="single" w:sz="2" w:space="0" w:color="auto"/>
            </w:tcBorders>
            <w:vAlign w:val="center"/>
          </w:tcPr>
          <w:p w14:paraId="7836A33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189,437,750.42</w:t>
            </w:r>
          </w:p>
        </w:tc>
        <w:tc>
          <w:tcPr>
            <w:tcW w:w="3213" w:type="dxa"/>
            <w:tcBorders>
              <w:top w:val="single" w:sz="2" w:space="0" w:color="auto"/>
              <w:left w:val="single" w:sz="2" w:space="0" w:color="auto"/>
              <w:bottom w:val="single" w:sz="2" w:space="0" w:color="auto"/>
              <w:right w:val="single" w:sz="2" w:space="0" w:color="auto"/>
            </w:tcBorders>
            <w:vAlign w:val="center"/>
          </w:tcPr>
          <w:p w14:paraId="63201B3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183,978,757.69</w:t>
            </w:r>
          </w:p>
        </w:tc>
      </w:tr>
      <w:tr w:rsidR="00095F6F" w14:paraId="6A2EFD7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1943AD5"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付现的研发费用</w:t>
            </w:r>
          </w:p>
        </w:tc>
        <w:tc>
          <w:tcPr>
            <w:tcW w:w="3213" w:type="dxa"/>
            <w:tcBorders>
              <w:top w:val="single" w:sz="2" w:space="0" w:color="auto"/>
              <w:left w:val="single" w:sz="2" w:space="0" w:color="auto"/>
              <w:bottom w:val="single" w:sz="2" w:space="0" w:color="auto"/>
              <w:right w:val="single" w:sz="2" w:space="0" w:color="auto"/>
            </w:tcBorders>
            <w:vAlign w:val="center"/>
          </w:tcPr>
          <w:p w14:paraId="4EA1CDC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90,279,514.41</w:t>
            </w:r>
          </w:p>
        </w:tc>
        <w:tc>
          <w:tcPr>
            <w:tcW w:w="3213" w:type="dxa"/>
            <w:tcBorders>
              <w:top w:val="single" w:sz="2" w:space="0" w:color="auto"/>
              <w:left w:val="single" w:sz="2" w:space="0" w:color="auto"/>
              <w:bottom w:val="single" w:sz="2" w:space="0" w:color="auto"/>
              <w:right w:val="single" w:sz="2" w:space="0" w:color="auto"/>
            </w:tcBorders>
            <w:vAlign w:val="center"/>
          </w:tcPr>
          <w:p w14:paraId="30602150"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113,037,991.68</w:t>
            </w:r>
          </w:p>
        </w:tc>
      </w:tr>
      <w:tr w:rsidR="00095F6F" w14:paraId="6FA4934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12B625"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员工备用金</w:t>
            </w:r>
          </w:p>
        </w:tc>
        <w:tc>
          <w:tcPr>
            <w:tcW w:w="3213" w:type="dxa"/>
            <w:tcBorders>
              <w:top w:val="single" w:sz="2" w:space="0" w:color="auto"/>
              <w:left w:val="single" w:sz="2" w:space="0" w:color="auto"/>
              <w:bottom w:val="single" w:sz="2" w:space="0" w:color="auto"/>
              <w:right w:val="single" w:sz="2" w:space="0" w:color="auto"/>
            </w:tcBorders>
            <w:vAlign w:val="center"/>
          </w:tcPr>
          <w:p w14:paraId="6FE28B1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8,582,282.96</w:t>
            </w:r>
          </w:p>
        </w:tc>
        <w:tc>
          <w:tcPr>
            <w:tcW w:w="3213" w:type="dxa"/>
            <w:tcBorders>
              <w:top w:val="single" w:sz="2" w:space="0" w:color="auto"/>
              <w:left w:val="single" w:sz="2" w:space="0" w:color="auto"/>
              <w:bottom w:val="single" w:sz="2" w:space="0" w:color="auto"/>
              <w:right w:val="single" w:sz="2" w:space="0" w:color="auto"/>
            </w:tcBorders>
            <w:vAlign w:val="center"/>
          </w:tcPr>
          <w:p w14:paraId="60FE2560"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17,746,079.35</w:t>
            </w:r>
          </w:p>
        </w:tc>
      </w:tr>
      <w:tr w:rsidR="00095F6F" w14:paraId="46F9959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8860D5"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付现的财务费用</w:t>
            </w:r>
          </w:p>
        </w:tc>
        <w:tc>
          <w:tcPr>
            <w:tcW w:w="3213" w:type="dxa"/>
            <w:tcBorders>
              <w:top w:val="single" w:sz="2" w:space="0" w:color="auto"/>
              <w:left w:val="single" w:sz="2" w:space="0" w:color="auto"/>
              <w:bottom w:val="single" w:sz="2" w:space="0" w:color="auto"/>
              <w:right w:val="single" w:sz="2" w:space="0" w:color="auto"/>
            </w:tcBorders>
            <w:vAlign w:val="center"/>
          </w:tcPr>
          <w:p w14:paraId="75F7C6A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2,996,211.59</w:t>
            </w:r>
          </w:p>
        </w:tc>
        <w:tc>
          <w:tcPr>
            <w:tcW w:w="3213" w:type="dxa"/>
            <w:tcBorders>
              <w:top w:val="single" w:sz="2" w:space="0" w:color="auto"/>
              <w:left w:val="single" w:sz="2" w:space="0" w:color="auto"/>
              <w:bottom w:val="single" w:sz="2" w:space="0" w:color="auto"/>
              <w:right w:val="single" w:sz="2" w:space="0" w:color="auto"/>
            </w:tcBorders>
            <w:vAlign w:val="center"/>
          </w:tcPr>
          <w:p w14:paraId="3D8C2D5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3,800,307.34</w:t>
            </w:r>
          </w:p>
        </w:tc>
      </w:tr>
      <w:tr w:rsidR="00095F6F" w14:paraId="522670B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932F021"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押金、定金保证金等</w:t>
            </w:r>
          </w:p>
        </w:tc>
        <w:tc>
          <w:tcPr>
            <w:tcW w:w="3213" w:type="dxa"/>
            <w:tcBorders>
              <w:top w:val="single" w:sz="2" w:space="0" w:color="auto"/>
              <w:left w:val="single" w:sz="2" w:space="0" w:color="auto"/>
              <w:bottom w:val="single" w:sz="2" w:space="0" w:color="auto"/>
              <w:right w:val="single" w:sz="2" w:space="0" w:color="auto"/>
            </w:tcBorders>
            <w:vAlign w:val="center"/>
          </w:tcPr>
          <w:p w14:paraId="2232EFFE"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724,281.66</w:t>
            </w:r>
          </w:p>
        </w:tc>
        <w:tc>
          <w:tcPr>
            <w:tcW w:w="3213" w:type="dxa"/>
            <w:tcBorders>
              <w:top w:val="single" w:sz="2" w:space="0" w:color="auto"/>
              <w:left w:val="single" w:sz="2" w:space="0" w:color="auto"/>
              <w:bottom w:val="single" w:sz="2" w:space="0" w:color="auto"/>
              <w:right w:val="single" w:sz="2" w:space="0" w:color="auto"/>
            </w:tcBorders>
            <w:vAlign w:val="center"/>
          </w:tcPr>
          <w:p w14:paraId="172D9A20"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2,648,953.13</w:t>
            </w:r>
          </w:p>
        </w:tc>
      </w:tr>
      <w:tr w:rsidR="00095F6F" w14:paraId="13BAD39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8C46B4"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3C81467A"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5,042,694.24</w:t>
            </w:r>
          </w:p>
        </w:tc>
        <w:tc>
          <w:tcPr>
            <w:tcW w:w="3213" w:type="dxa"/>
            <w:tcBorders>
              <w:top w:val="single" w:sz="2" w:space="0" w:color="auto"/>
              <w:left w:val="single" w:sz="2" w:space="0" w:color="auto"/>
              <w:bottom w:val="single" w:sz="2" w:space="0" w:color="auto"/>
              <w:right w:val="single" w:sz="2" w:space="0" w:color="auto"/>
            </w:tcBorders>
            <w:vAlign w:val="center"/>
          </w:tcPr>
          <w:p w14:paraId="46797D0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4,892,121.65</w:t>
            </w:r>
          </w:p>
        </w:tc>
      </w:tr>
      <w:tr w:rsidR="00095F6F" w14:paraId="7272395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E2887F2"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3F430B3"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1,060,528,775.49</w:t>
            </w:r>
          </w:p>
        </w:tc>
        <w:tc>
          <w:tcPr>
            <w:tcW w:w="3213" w:type="dxa"/>
            <w:tcBorders>
              <w:top w:val="single" w:sz="2" w:space="0" w:color="auto"/>
              <w:left w:val="single" w:sz="2" w:space="0" w:color="auto"/>
              <w:bottom w:val="single" w:sz="2" w:space="0" w:color="auto"/>
              <w:right w:val="single" w:sz="2" w:space="0" w:color="auto"/>
            </w:tcBorders>
            <w:vAlign w:val="center"/>
          </w:tcPr>
          <w:p w14:paraId="69FCF82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922,259,766.45</w:t>
            </w:r>
          </w:p>
        </w:tc>
      </w:tr>
    </w:tbl>
    <w:p w14:paraId="38BB6EC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支付的其他与经营活动有关的现金说明：</w:t>
      </w:r>
    </w:p>
    <w:p w14:paraId="0994B896"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2979F72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与投资活动有关的现金</w:t>
      </w:r>
    </w:p>
    <w:p w14:paraId="470AA65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收到的其他与投资活动有关的现金</w:t>
      </w:r>
    </w:p>
    <w:p w14:paraId="7E9D6E3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264588B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9B114B"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F36341"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339BF0"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529BF23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38C5E25"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理财产品投资款</w:t>
            </w:r>
          </w:p>
        </w:tc>
        <w:tc>
          <w:tcPr>
            <w:tcW w:w="3213" w:type="dxa"/>
            <w:tcBorders>
              <w:top w:val="single" w:sz="2" w:space="0" w:color="auto"/>
              <w:left w:val="single" w:sz="2" w:space="0" w:color="auto"/>
              <w:bottom w:val="single" w:sz="2" w:space="0" w:color="auto"/>
              <w:right w:val="single" w:sz="2" w:space="0" w:color="auto"/>
            </w:tcBorders>
            <w:vAlign w:val="center"/>
          </w:tcPr>
          <w:p w14:paraId="3B04724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1,240,867,808.76</w:t>
            </w:r>
          </w:p>
        </w:tc>
        <w:tc>
          <w:tcPr>
            <w:tcW w:w="3213" w:type="dxa"/>
            <w:tcBorders>
              <w:top w:val="single" w:sz="2" w:space="0" w:color="auto"/>
              <w:left w:val="single" w:sz="2" w:space="0" w:color="auto"/>
              <w:bottom w:val="single" w:sz="2" w:space="0" w:color="auto"/>
              <w:right w:val="single" w:sz="2" w:space="0" w:color="auto"/>
            </w:tcBorders>
            <w:vAlign w:val="center"/>
          </w:tcPr>
          <w:p w14:paraId="34A0060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400,000,000.00</w:t>
            </w:r>
          </w:p>
        </w:tc>
      </w:tr>
      <w:tr w:rsidR="00095F6F" w14:paraId="27BDE65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8DB9048"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4A3AFF6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424,164.36</w:t>
            </w:r>
          </w:p>
        </w:tc>
        <w:tc>
          <w:tcPr>
            <w:tcW w:w="3213" w:type="dxa"/>
            <w:tcBorders>
              <w:top w:val="single" w:sz="2" w:space="0" w:color="auto"/>
              <w:left w:val="single" w:sz="2" w:space="0" w:color="auto"/>
              <w:bottom w:val="single" w:sz="2" w:space="0" w:color="auto"/>
              <w:right w:val="single" w:sz="2" w:space="0" w:color="auto"/>
            </w:tcBorders>
            <w:vAlign w:val="center"/>
          </w:tcPr>
          <w:p w14:paraId="54643BA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424,164.36</w:t>
            </w:r>
          </w:p>
        </w:tc>
      </w:tr>
      <w:tr w:rsidR="00095F6F" w14:paraId="61A55C2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C6FD666"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股权投资业绩补偿款</w:t>
            </w:r>
          </w:p>
        </w:tc>
        <w:tc>
          <w:tcPr>
            <w:tcW w:w="3213" w:type="dxa"/>
            <w:tcBorders>
              <w:top w:val="single" w:sz="2" w:space="0" w:color="auto"/>
              <w:left w:val="single" w:sz="2" w:space="0" w:color="auto"/>
              <w:bottom w:val="single" w:sz="2" w:space="0" w:color="auto"/>
              <w:right w:val="single" w:sz="2" w:space="0" w:color="auto"/>
            </w:tcBorders>
            <w:vAlign w:val="center"/>
          </w:tcPr>
          <w:p w14:paraId="4980FAF8" w14:textId="77777777" w:rsidR="00A46BF1" w:rsidRPr="009F773A" w:rsidRDefault="00A46BF1" w:rsidP="009F773A">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428D5D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3,774,069.00</w:t>
            </w:r>
          </w:p>
        </w:tc>
      </w:tr>
      <w:tr w:rsidR="00095F6F" w14:paraId="325D178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E08EB7"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6CFB0F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1,241,291,973.12</w:t>
            </w:r>
          </w:p>
        </w:tc>
        <w:tc>
          <w:tcPr>
            <w:tcW w:w="3213" w:type="dxa"/>
            <w:tcBorders>
              <w:top w:val="single" w:sz="2" w:space="0" w:color="auto"/>
              <w:left w:val="single" w:sz="2" w:space="0" w:color="auto"/>
              <w:bottom w:val="single" w:sz="2" w:space="0" w:color="auto"/>
              <w:right w:val="single" w:sz="2" w:space="0" w:color="auto"/>
            </w:tcBorders>
            <w:vAlign w:val="center"/>
          </w:tcPr>
          <w:p w14:paraId="68C3B25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404,198,233.36</w:t>
            </w:r>
          </w:p>
        </w:tc>
      </w:tr>
    </w:tbl>
    <w:p w14:paraId="565933C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收到的重要的与投资活动有关的现金</w:t>
      </w:r>
    </w:p>
    <w:p w14:paraId="372510F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105B73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09D217"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CD92D3"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8673A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14:paraId="4954217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收到的其他与投资活动有关的现金说明：</w:t>
      </w:r>
    </w:p>
    <w:p w14:paraId="3B942FEA"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3EFEF68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支付的其他与投资活动有关的现金</w:t>
      </w:r>
    </w:p>
    <w:p w14:paraId="56438C2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4E1F8F5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6587F7"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A1E04F7"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B169D9"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295394B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D526716"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理财产品投资款</w:t>
            </w:r>
          </w:p>
        </w:tc>
        <w:tc>
          <w:tcPr>
            <w:tcW w:w="3213" w:type="dxa"/>
            <w:tcBorders>
              <w:top w:val="single" w:sz="2" w:space="0" w:color="auto"/>
              <w:left w:val="single" w:sz="2" w:space="0" w:color="auto"/>
              <w:bottom w:val="single" w:sz="2" w:space="0" w:color="auto"/>
              <w:right w:val="single" w:sz="2" w:space="0" w:color="auto"/>
            </w:tcBorders>
            <w:vAlign w:val="center"/>
          </w:tcPr>
          <w:p w14:paraId="2D49652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1,372,554,877.35</w:t>
            </w:r>
          </w:p>
        </w:tc>
        <w:tc>
          <w:tcPr>
            <w:tcW w:w="3213" w:type="dxa"/>
            <w:tcBorders>
              <w:top w:val="single" w:sz="2" w:space="0" w:color="auto"/>
              <w:left w:val="single" w:sz="2" w:space="0" w:color="auto"/>
              <w:bottom w:val="single" w:sz="2" w:space="0" w:color="auto"/>
              <w:right w:val="single" w:sz="2" w:space="0" w:color="auto"/>
            </w:tcBorders>
            <w:vAlign w:val="center"/>
          </w:tcPr>
          <w:p w14:paraId="73BA3872"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480,000,000.00</w:t>
            </w:r>
          </w:p>
        </w:tc>
      </w:tr>
      <w:tr w:rsidR="00095F6F" w14:paraId="72AEBC0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87D1B3"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784873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1,372,554,877.35</w:t>
            </w:r>
          </w:p>
        </w:tc>
        <w:tc>
          <w:tcPr>
            <w:tcW w:w="3213" w:type="dxa"/>
            <w:tcBorders>
              <w:top w:val="single" w:sz="2" w:space="0" w:color="auto"/>
              <w:left w:val="single" w:sz="2" w:space="0" w:color="auto"/>
              <w:bottom w:val="single" w:sz="2" w:space="0" w:color="auto"/>
              <w:right w:val="single" w:sz="2" w:space="0" w:color="auto"/>
            </w:tcBorders>
            <w:vAlign w:val="center"/>
          </w:tcPr>
          <w:p w14:paraId="5243EB8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480,000,000.00</w:t>
            </w:r>
          </w:p>
        </w:tc>
      </w:tr>
    </w:tbl>
    <w:p w14:paraId="68B9AA7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支付的重要的与投资活动有关的现金</w:t>
      </w:r>
    </w:p>
    <w:p w14:paraId="35CCC41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43D523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8A5BD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F18877"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0D1CC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上期发生额</w:t>
            </w:r>
          </w:p>
        </w:tc>
      </w:tr>
    </w:tbl>
    <w:p w14:paraId="757963B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支付的其他与投资活动有关的现金说明：</w:t>
      </w:r>
    </w:p>
    <w:p w14:paraId="4CF28E5D"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104C5271"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与筹资活动有关的现金</w:t>
      </w:r>
    </w:p>
    <w:p w14:paraId="5B03658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收到的其他与筹资活动有关的现金</w:t>
      </w:r>
    </w:p>
    <w:p w14:paraId="2C5BF4B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0F6F0E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C8F609"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E93AF61"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BBFC98"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26FFD37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6EF8311"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收到库存股回购款</w:t>
            </w:r>
          </w:p>
        </w:tc>
        <w:tc>
          <w:tcPr>
            <w:tcW w:w="3213" w:type="dxa"/>
            <w:tcBorders>
              <w:top w:val="single" w:sz="2" w:space="0" w:color="auto"/>
              <w:left w:val="single" w:sz="2" w:space="0" w:color="auto"/>
              <w:bottom w:val="single" w:sz="2" w:space="0" w:color="auto"/>
              <w:right w:val="single" w:sz="2" w:space="0" w:color="auto"/>
            </w:tcBorders>
            <w:vAlign w:val="center"/>
          </w:tcPr>
          <w:p w14:paraId="7D83EBA1" w14:textId="77777777" w:rsidR="00A46BF1" w:rsidRPr="009F773A" w:rsidRDefault="00A46BF1" w:rsidP="009F773A">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8F3722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77,070,000.00</w:t>
            </w:r>
          </w:p>
        </w:tc>
      </w:tr>
      <w:tr w:rsidR="00095F6F" w14:paraId="77B1708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4955D61"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112C2124"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1,089,811.72</w:t>
            </w:r>
          </w:p>
        </w:tc>
        <w:tc>
          <w:tcPr>
            <w:tcW w:w="3213" w:type="dxa"/>
            <w:tcBorders>
              <w:top w:val="single" w:sz="2" w:space="0" w:color="auto"/>
              <w:left w:val="single" w:sz="2" w:space="0" w:color="auto"/>
              <w:bottom w:val="single" w:sz="2" w:space="0" w:color="auto"/>
              <w:right w:val="single" w:sz="2" w:space="0" w:color="auto"/>
            </w:tcBorders>
            <w:vAlign w:val="center"/>
          </w:tcPr>
          <w:p w14:paraId="65001FD1" w14:textId="77777777" w:rsidR="00A46BF1" w:rsidRPr="009F773A" w:rsidRDefault="00A46BF1" w:rsidP="009F773A">
            <w:pPr>
              <w:spacing w:line="360" w:lineRule="auto"/>
              <w:jc w:val="right"/>
              <w:rPr>
                <w:rFonts w:ascii="Times New Roman" w:eastAsia="宋体" w:hAnsi="Times New Roman" w:cs="Times New Roman"/>
                <w:sz w:val="18"/>
                <w:szCs w:val="18"/>
              </w:rPr>
            </w:pPr>
          </w:p>
        </w:tc>
      </w:tr>
      <w:tr w:rsidR="00095F6F" w14:paraId="722A5C2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6FFA64"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FE58328"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1,089,811.72</w:t>
            </w:r>
          </w:p>
        </w:tc>
        <w:tc>
          <w:tcPr>
            <w:tcW w:w="3213" w:type="dxa"/>
            <w:tcBorders>
              <w:top w:val="single" w:sz="2" w:space="0" w:color="auto"/>
              <w:left w:val="single" w:sz="2" w:space="0" w:color="auto"/>
              <w:bottom w:val="single" w:sz="2" w:space="0" w:color="auto"/>
              <w:right w:val="single" w:sz="2" w:space="0" w:color="auto"/>
            </w:tcBorders>
            <w:vAlign w:val="center"/>
          </w:tcPr>
          <w:p w14:paraId="72E54B2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77,070,000.00</w:t>
            </w:r>
          </w:p>
        </w:tc>
      </w:tr>
    </w:tbl>
    <w:p w14:paraId="5339585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收到的其他与筹资活动有关的现金说明：</w:t>
      </w:r>
    </w:p>
    <w:p w14:paraId="59FF2E64"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2DA386E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支付的其他与筹资活动有关的现金</w:t>
      </w:r>
    </w:p>
    <w:p w14:paraId="757BE85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21F765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8D654A"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473A253"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2706D9"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上期发生额</w:t>
            </w:r>
          </w:p>
        </w:tc>
      </w:tr>
      <w:tr w:rsidR="00095F6F" w14:paraId="5ECC448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4A56DD6"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支付回购库存股</w:t>
            </w:r>
          </w:p>
        </w:tc>
        <w:tc>
          <w:tcPr>
            <w:tcW w:w="3213" w:type="dxa"/>
            <w:tcBorders>
              <w:top w:val="single" w:sz="2" w:space="0" w:color="auto"/>
              <w:left w:val="single" w:sz="2" w:space="0" w:color="auto"/>
              <w:bottom w:val="single" w:sz="2" w:space="0" w:color="auto"/>
              <w:right w:val="single" w:sz="2" w:space="0" w:color="auto"/>
            </w:tcBorders>
            <w:vAlign w:val="center"/>
          </w:tcPr>
          <w:p w14:paraId="097397A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201,641,260.36</w:t>
            </w:r>
          </w:p>
        </w:tc>
        <w:tc>
          <w:tcPr>
            <w:tcW w:w="3213" w:type="dxa"/>
            <w:tcBorders>
              <w:top w:val="single" w:sz="2" w:space="0" w:color="auto"/>
              <w:left w:val="single" w:sz="2" w:space="0" w:color="auto"/>
              <w:bottom w:val="single" w:sz="2" w:space="0" w:color="auto"/>
              <w:right w:val="single" w:sz="2" w:space="0" w:color="auto"/>
            </w:tcBorders>
            <w:vAlign w:val="center"/>
          </w:tcPr>
          <w:p w14:paraId="328EBCF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50,805,313.53</w:t>
            </w:r>
          </w:p>
        </w:tc>
      </w:tr>
      <w:tr w:rsidR="00095F6F" w14:paraId="60D00F6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9F0044"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租赁支出</w:t>
            </w:r>
          </w:p>
        </w:tc>
        <w:tc>
          <w:tcPr>
            <w:tcW w:w="3213" w:type="dxa"/>
            <w:tcBorders>
              <w:top w:val="single" w:sz="2" w:space="0" w:color="auto"/>
              <w:left w:val="single" w:sz="2" w:space="0" w:color="auto"/>
              <w:bottom w:val="single" w:sz="2" w:space="0" w:color="auto"/>
              <w:right w:val="single" w:sz="2" w:space="0" w:color="auto"/>
            </w:tcBorders>
            <w:vAlign w:val="center"/>
          </w:tcPr>
          <w:p w14:paraId="75D9EDD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16,996,518.04</w:t>
            </w:r>
          </w:p>
        </w:tc>
        <w:tc>
          <w:tcPr>
            <w:tcW w:w="3213" w:type="dxa"/>
            <w:tcBorders>
              <w:top w:val="single" w:sz="2" w:space="0" w:color="auto"/>
              <w:left w:val="single" w:sz="2" w:space="0" w:color="auto"/>
              <w:bottom w:val="single" w:sz="2" w:space="0" w:color="auto"/>
              <w:right w:val="single" w:sz="2" w:space="0" w:color="auto"/>
            </w:tcBorders>
            <w:vAlign w:val="center"/>
          </w:tcPr>
          <w:p w14:paraId="448659B3"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18,136,182.88</w:t>
            </w:r>
          </w:p>
        </w:tc>
      </w:tr>
      <w:tr w:rsidR="00095F6F" w14:paraId="7E198BA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113EA87"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34190AE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547,897.42</w:t>
            </w:r>
          </w:p>
        </w:tc>
        <w:tc>
          <w:tcPr>
            <w:tcW w:w="3213" w:type="dxa"/>
            <w:tcBorders>
              <w:top w:val="single" w:sz="2" w:space="0" w:color="auto"/>
              <w:left w:val="single" w:sz="2" w:space="0" w:color="auto"/>
              <w:bottom w:val="single" w:sz="2" w:space="0" w:color="auto"/>
              <w:right w:val="single" w:sz="2" w:space="0" w:color="auto"/>
            </w:tcBorders>
            <w:vAlign w:val="center"/>
          </w:tcPr>
          <w:p w14:paraId="3FC3C27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691,249.98</w:t>
            </w:r>
          </w:p>
        </w:tc>
      </w:tr>
      <w:tr w:rsidR="00095F6F" w14:paraId="217DCFE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1F1D92"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19BE502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219,185,675.82</w:t>
            </w:r>
          </w:p>
        </w:tc>
        <w:tc>
          <w:tcPr>
            <w:tcW w:w="3213" w:type="dxa"/>
            <w:tcBorders>
              <w:top w:val="single" w:sz="2" w:space="0" w:color="auto"/>
              <w:left w:val="single" w:sz="2" w:space="0" w:color="auto"/>
              <w:bottom w:val="single" w:sz="2" w:space="0" w:color="auto"/>
              <w:right w:val="single" w:sz="2" w:space="0" w:color="auto"/>
            </w:tcBorders>
            <w:vAlign w:val="center"/>
          </w:tcPr>
          <w:p w14:paraId="35164B34"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69,632,746.39</w:t>
            </w:r>
          </w:p>
        </w:tc>
      </w:tr>
    </w:tbl>
    <w:p w14:paraId="1742B840"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支付的其他与筹资活动有关的现金说明：</w:t>
      </w:r>
    </w:p>
    <w:p w14:paraId="75A338E7" w14:textId="77777777" w:rsidR="00A46BF1" w:rsidRPr="009F773A" w:rsidRDefault="00A46BF1" w:rsidP="009F773A">
      <w:pPr>
        <w:spacing w:before="100" w:after="100" w:line="240" w:lineRule="exact"/>
        <w:rPr>
          <w:rFonts w:ascii="宋体" w:eastAsia="宋体" w:hAnsi="宋体" w:cs="宋体"/>
          <w:sz w:val="18"/>
          <w:szCs w:val="18"/>
        </w:rPr>
      </w:pPr>
      <w:r w:rsidRPr="009F773A">
        <w:rPr>
          <w:rFonts w:ascii="宋体" w:eastAsia="宋体" w:hAnsi="宋体" w:cs="宋体" w:hint="eastAsia"/>
          <w:sz w:val="18"/>
          <w:szCs w:val="18"/>
        </w:rPr>
        <w:t>无</w:t>
      </w:r>
    </w:p>
    <w:p w14:paraId="11CAE4F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筹资活动产生的各项负债变动情况</w:t>
      </w:r>
    </w:p>
    <w:p w14:paraId="2FBE92B3"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D0EB4FE"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2330"/>
        <w:gridCol w:w="1276"/>
        <w:gridCol w:w="1276"/>
        <w:gridCol w:w="1134"/>
        <w:gridCol w:w="1275"/>
        <w:gridCol w:w="1134"/>
        <w:gridCol w:w="1214"/>
      </w:tblGrid>
      <w:tr w:rsidR="00095F6F" w:rsidRPr="009F773A" w14:paraId="02E656AD" w14:textId="77777777" w:rsidTr="00541DDA">
        <w:trPr>
          <w:cantSplit/>
          <w:trHeight w:val="240"/>
          <w:tblHeader/>
        </w:trPr>
        <w:tc>
          <w:tcPr>
            <w:tcW w:w="233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842578D"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项目</w:t>
            </w:r>
          </w:p>
        </w:tc>
        <w:tc>
          <w:tcPr>
            <w:tcW w:w="12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425AFEA"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期初余额</w:t>
            </w:r>
          </w:p>
        </w:tc>
        <w:tc>
          <w:tcPr>
            <w:tcW w:w="2410"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4DA68DE"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本期增加</w:t>
            </w:r>
          </w:p>
        </w:tc>
        <w:tc>
          <w:tcPr>
            <w:tcW w:w="2409"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9F5E3B7"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本期减少</w:t>
            </w:r>
          </w:p>
        </w:tc>
        <w:tc>
          <w:tcPr>
            <w:tcW w:w="1214"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92DBFDE"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期末余额</w:t>
            </w:r>
          </w:p>
        </w:tc>
      </w:tr>
      <w:tr w:rsidR="00095F6F" w:rsidRPr="009F773A" w14:paraId="305BBD4C" w14:textId="77777777" w:rsidTr="00541DDA">
        <w:trPr>
          <w:cantSplit/>
          <w:trHeight w:val="240"/>
          <w:tblHeader/>
        </w:trPr>
        <w:tc>
          <w:tcPr>
            <w:tcW w:w="2330" w:type="dxa"/>
            <w:vMerge/>
            <w:tcBorders>
              <w:top w:val="single" w:sz="2" w:space="0" w:color="auto"/>
              <w:left w:val="single" w:sz="2" w:space="0" w:color="auto"/>
              <w:bottom w:val="single" w:sz="2" w:space="0" w:color="auto"/>
              <w:right w:val="single" w:sz="2" w:space="0" w:color="auto"/>
            </w:tcBorders>
            <w:vAlign w:val="center"/>
          </w:tcPr>
          <w:p w14:paraId="0F0BCC8B" w14:textId="77777777" w:rsidR="00A46BF1" w:rsidRPr="009F773A" w:rsidRDefault="00A46BF1" w:rsidP="009F773A">
            <w:pPr>
              <w:spacing w:line="360" w:lineRule="auto"/>
              <w:rPr>
                <w:rFonts w:ascii="Times New Roman" w:hAnsi="Times New Roman" w:cs="Times New Roman"/>
              </w:rPr>
            </w:pPr>
          </w:p>
        </w:tc>
        <w:tc>
          <w:tcPr>
            <w:tcW w:w="1276" w:type="dxa"/>
            <w:vMerge/>
            <w:tcBorders>
              <w:top w:val="single" w:sz="2" w:space="0" w:color="auto"/>
              <w:left w:val="single" w:sz="2" w:space="0" w:color="auto"/>
              <w:bottom w:val="single" w:sz="2" w:space="0" w:color="auto"/>
              <w:right w:val="single" w:sz="2" w:space="0" w:color="auto"/>
            </w:tcBorders>
            <w:vAlign w:val="center"/>
          </w:tcPr>
          <w:p w14:paraId="52B2A52B" w14:textId="77777777" w:rsidR="00A46BF1" w:rsidRPr="009F773A" w:rsidRDefault="00A46BF1" w:rsidP="009F773A">
            <w:pPr>
              <w:spacing w:line="360" w:lineRule="auto"/>
              <w:rPr>
                <w:rFonts w:ascii="Times New Roman" w:hAnsi="Times New Roman" w:cs="Times New Roman"/>
              </w:rPr>
            </w:pP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2A775710"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现金变动</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3F53BEA1"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非现金变动</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0AC4FAB6"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现金变动</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41D2D1E3" w14:textId="77777777" w:rsidR="00A46BF1" w:rsidRPr="009F773A" w:rsidRDefault="00A46BF1" w:rsidP="009F773A">
            <w:pPr>
              <w:spacing w:before="40" w:after="40" w:line="360" w:lineRule="auto"/>
              <w:jc w:val="center"/>
              <w:rPr>
                <w:rFonts w:ascii="Times New Roman" w:eastAsia="宋体" w:hAnsi="Times New Roman" w:cs="Times New Roman"/>
                <w:sz w:val="18"/>
                <w:szCs w:val="18"/>
              </w:rPr>
            </w:pPr>
            <w:r w:rsidRPr="009F773A">
              <w:rPr>
                <w:rFonts w:ascii="Times New Roman" w:eastAsia="宋体" w:hAnsi="Times New Roman" w:cs="Times New Roman"/>
                <w:sz w:val="18"/>
                <w:szCs w:val="18"/>
              </w:rPr>
              <w:t>非现金变动</w:t>
            </w:r>
          </w:p>
        </w:tc>
        <w:tc>
          <w:tcPr>
            <w:tcW w:w="1214"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FCACD07" w14:textId="77777777" w:rsidR="00A46BF1" w:rsidRPr="009F773A" w:rsidRDefault="00A46BF1" w:rsidP="009F773A">
            <w:pPr>
              <w:spacing w:line="360" w:lineRule="auto"/>
              <w:rPr>
                <w:rFonts w:ascii="Times New Roman" w:hAnsi="Times New Roman" w:cs="Times New Roman"/>
              </w:rPr>
            </w:pPr>
          </w:p>
        </w:tc>
      </w:tr>
      <w:tr w:rsidR="00095F6F" w:rsidRPr="009F773A" w14:paraId="3E34E1DC" w14:textId="77777777" w:rsidTr="00541DDA">
        <w:trPr>
          <w:cantSplit/>
          <w:trHeight w:val="240"/>
          <w:tblHeader/>
        </w:trPr>
        <w:tc>
          <w:tcPr>
            <w:tcW w:w="2330" w:type="dxa"/>
            <w:tcBorders>
              <w:top w:val="single" w:sz="2" w:space="0" w:color="auto"/>
              <w:left w:val="single" w:sz="2" w:space="0" w:color="auto"/>
              <w:bottom w:val="single" w:sz="2" w:space="0" w:color="auto"/>
              <w:right w:val="single" w:sz="2" w:space="0" w:color="auto"/>
            </w:tcBorders>
            <w:vAlign w:val="center"/>
          </w:tcPr>
          <w:p w14:paraId="51AC469A"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短期借款</w:t>
            </w:r>
          </w:p>
        </w:tc>
        <w:tc>
          <w:tcPr>
            <w:tcW w:w="1276" w:type="dxa"/>
            <w:tcBorders>
              <w:top w:val="single" w:sz="2" w:space="0" w:color="auto"/>
              <w:left w:val="single" w:sz="2" w:space="0" w:color="auto"/>
              <w:bottom w:val="single" w:sz="2" w:space="0" w:color="auto"/>
              <w:right w:val="single" w:sz="2" w:space="0" w:color="auto"/>
            </w:tcBorders>
            <w:vAlign w:val="center"/>
          </w:tcPr>
          <w:p w14:paraId="591D58C9"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130,076,388.25</w:t>
            </w:r>
          </w:p>
        </w:tc>
        <w:tc>
          <w:tcPr>
            <w:tcW w:w="1276" w:type="dxa"/>
            <w:tcBorders>
              <w:top w:val="single" w:sz="2" w:space="0" w:color="auto"/>
              <w:left w:val="single" w:sz="2" w:space="0" w:color="auto"/>
              <w:bottom w:val="single" w:sz="2" w:space="0" w:color="auto"/>
              <w:right w:val="single" w:sz="2" w:space="0" w:color="auto"/>
            </w:tcBorders>
            <w:vAlign w:val="center"/>
          </w:tcPr>
          <w:p w14:paraId="55E404D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192,740,381.86</w:t>
            </w:r>
          </w:p>
        </w:tc>
        <w:tc>
          <w:tcPr>
            <w:tcW w:w="1134" w:type="dxa"/>
            <w:tcBorders>
              <w:top w:val="single" w:sz="2" w:space="0" w:color="auto"/>
              <w:left w:val="single" w:sz="2" w:space="0" w:color="auto"/>
              <w:bottom w:val="single" w:sz="2" w:space="0" w:color="auto"/>
              <w:right w:val="single" w:sz="2" w:space="0" w:color="auto"/>
            </w:tcBorders>
            <w:vAlign w:val="center"/>
          </w:tcPr>
          <w:p w14:paraId="279B771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5,805,852.37</w:t>
            </w:r>
          </w:p>
        </w:tc>
        <w:tc>
          <w:tcPr>
            <w:tcW w:w="1275" w:type="dxa"/>
            <w:tcBorders>
              <w:top w:val="single" w:sz="2" w:space="0" w:color="auto"/>
              <w:left w:val="single" w:sz="2" w:space="0" w:color="auto"/>
              <w:bottom w:val="single" w:sz="2" w:space="0" w:color="auto"/>
              <w:right w:val="single" w:sz="2" w:space="0" w:color="auto"/>
            </w:tcBorders>
            <w:vAlign w:val="center"/>
          </w:tcPr>
          <w:p w14:paraId="1233866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216,295,536.62</w:t>
            </w:r>
          </w:p>
        </w:tc>
        <w:tc>
          <w:tcPr>
            <w:tcW w:w="1134" w:type="dxa"/>
            <w:tcBorders>
              <w:top w:val="single" w:sz="2" w:space="0" w:color="auto"/>
              <w:left w:val="single" w:sz="2" w:space="0" w:color="auto"/>
              <w:bottom w:val="single" w:sz="2" w:space="0" w:color="auto"/>
              <w:right w:val="single" w:sz="2" w:space="0" w:color="auto"/>
            </w:tcBorders>
            <w:vAlign w:val="center"/>
          </w:tcPr>
          <w:p w14:paraId="5DB87609" w14:textId="77777777" w:rsidR="00A46BF1" w:rsidRPr="009F773A" w:rsidRDefault="00A46BF1" w:rsidP="009F773A">
            <w:pPr>
              <w:spacing w:line="360" w:lineRule="auto"/>
              <w:jc w:val="right"/>
              <w:rPr>
                <w:rFonts w:ascii="Times New Roman" w:eastAsia="宋体" w:hAnsi="Times New Roman" w:cs="Times New Roman"/>
                <w:sz w:val="18"/>
                <w:szCs w:val="18"/>
              </w:rPr>
            </w:pPr>
          </w:p>
        </w:tc>
        <w:tc>
          <w:tcPr>
            <w:tcW w:w="1214" w:type="dxa"/>
            <w:tcBorders>
              <w:top w:val="single" w:sz="2" w:space="0" w:color="auto"/>
              <w:left w:val="single" w:sz="2" w:space="0" w:color="auto"/>
              <w:bottom w:val="single" w:sz="2" w:space="0" w:color="auto"/>
              <w:right w:val="single" w:sz="2" w:space="0" w:color="auto"/>
            </w:tcBorders>
            <w:vAlign w:val="center"/>
          </w:tcPr>
          <w:p w14:paraId="089515D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112,327,085.86</w:t>
            </w:r>
          </w:p>
        </w:tc>
      </w:tr>
      <w:tr w:rsidR="00095F6F" w:rsidRPr="009F773A" w14:paraId="07D887A1" w14:textId="77777777" w:rsidTr="00541DDA">
        <w:trPr>
          <w:cantSplit/>
          <w:trHeight w:val="240"/>
          <w:tblHeader/>
        </w:trPr>
        <w:tc>
          <w:tcPr>
            <w:tcW w:w="2330" w:type="dxa"/>
            <w:tcBorders>
              <w:top w:val="single" w:sz="2" w:space="0" w:color="auto"/>
              <w:left w:val="single" w:sz="2" w:space="0" w:color="auto"/>
              <w:bottom w:val="single" w:sz="2" w:space="0" w:color="auto"/>
              <w:right w:val="single" w:sz="2" w:space="0" w:color="auto"/>
            </w:tcBorders>
            <w:vAlign w:val="center"/>
          </w:tcPr>
          <w:p w14:paraId="13B8B6F9"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长期借款（含一年内到期的长期借款）</w:t>
            </w:r>
          </w:p>
        </w:tc>
        <w:tc>
          <w:tcPr>
            <w:tcW w:w="1276" w:type="dxa"/>
            <w:tcBorders>
              <w:top w:val="single" w:sz="2" w:space="0" w:color="auto"/>
              <w:left w:val="single" w:sz="2" w:space="0" w:color="auto"/>
              <w:bottom w:val="single" w:sz="2" w:space="0" w:color="auto"/>
              <w:right w:val="single" w:sz="2" w:space="0" w:color="auto"/>
            </w:tcBorders>
            <w:vAlign w:val="center"/>
          </w:tcPr>
          <w:p w14:paraId="30502DEC"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221,708,251.34</w:t>
            </w:r>
          </w:p>
        </w:tc>
        <w:tc>
          <w:tcPr>
            <w:tcW w:w="1276" w:type="dxa"/>
            <w:tcBorders>
              <w:top w:val="single" w:sz="2" w:space="0" w:color="auto"/>
              <w:left w:val="single" w:sz="2" w:space="0" w:color="auto"/>
              <w:bottom w:val="single" w:sz="2" w:space="0" w:color="auto"/>
              <w:right w:val="single" w:sz="2" w:space="0" w:color="auto"/>
            </w:tcBorders>
            <w:vAlign w:val="center"/>
          </w:tcPr>
          <w:p w14:paraId="0EFE8AC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229,000,000.00</w:t>
            </w:r>
          </w:p>
        </w:tc>
        <w:tc>
          <w:tcPr>
            <w:tcW w:w="1134" w:type="dxa"/>
            <w:tcBorders>
              <w:top w:val="single" w:sz="2" w:space="0" w:color="auto"/>
              <w:left w:val="single" w:sz="2" w:space="0" w:color="auto"/>
              <w:bottom w:val="single" w:sz="2" w:space="0" w:color="auto"/>
              <w:right w:val="single" w:sz="2" w:space="0" w:color="auto"/>
            </w:tcBorders>
            <w:vAlign w:val="center"/>
          </w:tcPr>
          <w:p w14:paraId="561FD308"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7,150,412.51</w:t>
            </w:r>
          </w:p>
        </w:tc>
        <w:tc>
          <w:tcPr>
            <w:tcW w:w="1275" w:type="dxa"/>
            <w:tcBorders>
              <w:top w:val="single" w:sz="2" w:space="0" w:color="auto"/>
              <w:left w:val="single" w:sz="2" w:space="0" w:color="auto"/>
              <w:bottom w:val="single" w:sz="2" w:space="0" w:color="auto"/>
              <w:right w:val="single" w:sz="2" w:space="0" w:color="auto"/>
            </w:tcBorders>
            <w:vAlign w:val="center"/>
          </w:tcPr>
          <w:p w14:paraId="1DEFBDB7"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231,876,458.02</w:t>
            </w:r>
          </w:p>
        </w:tc>
        <w:tc>
          <w:tcPr>
            <w:tcW w:w="1134" w:type="dxa"/>
            <w:tcBorders>
              <w:top w:val="single" w:sz="2" w:space="0" w:color="auto"/>
              <w:left w:val="single" w:sz="2" w:space="0" w:color="auto"/>
              <w:bottom w:val="single" w:sz="2" w:space="0" w:color="auto"/>
              <w:right w:val="single" w:sz="2" w:space="0" w:color="auto"/>
            </w:tcBorders>
            <w:vAlign w:val="center"/>
          </w:tcPr>
          <w:p w14:paraId="114DC6DD" w14:textId="77777777" w:rsidR="00A46BF1" w:rsidRPr="009F773A" w:rsidRDefault="00A46BF1" w:rsidP="009F773A">
            <w:pPr>
              <w:spacing w:line="360" w:lineRule="auto"/>
              <w:jc w:val="right"/>
              <w:rPr>
                <w:rFonts w:ascii="Times New Roman" w:eastAsia="宋体" w:hAnsi="Times New Roman" w:cs="Times New Roman"/>
                <w:sz w:val="18"/>
                <w:szCs w:val="18"/>
              </w:rPr>
            </w:pPr>
          </w:p>
        </w:tc>
        <w:tc>
          <w:tcPr>
            <w:tcW w:w="1214" w:type="dxa"/>
            <w:tcBorders>
              <w:top w:val="single" w:sz="2" w:space="0" w:color="auto"/>
              <w:left w:val="single" w:sz="2" w:space="0" w:color="auto"/>
              <w:bottom w:val="single" w:sz="2" w:space="0" w:color="auto"/>
              <w:right w:val="single" w:sz="2" w:space="0" w:color="auto"/>
            </w:tcBorders>
            <w:vAlign w:val="center"/>
          </w:tcPr>
          <w:p w14:paraId="6FD2B44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225,982,205.83</w:t>
            </w:r>
          </w:p>
        </w:tc>
      </w:tr>
      <w:tr w:rsidR="00095F6F" w:rsidRPr="009F773A" w14:paraId="2BF92242" w14:textId="77777777" w:rsidTr="00541DDA">
        <w:trPr>
          <w:cantSplit/>
          <w:trHeight w:val="240"/>
          <w:tblHeader/>
        </w:trPr>
        <w:tc>
          <w:tcPr>
            <w:tcW w:w="2330" w:type="dxa"/>
            <w:tcBorders>
              <w:top w:val="single" w:sz="2" w:space="0" w:color="auto"/>
              <w:left w:val="single" w:sz="2" w:space="0" w:color="auto"/>
              <w:bottom w:val="single" w:sz="2" w:space="0" w:color="auto"/>
              <w:right w:val="single" w:sz="2" w:space="0" w:color="auto"/>
            </w:tcBorders>
            <w:vAlign w:val="center"/>
          </w:tcPr>
          <w:p w14:paraId="3347CAC9"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应付债券（含一年内到期的应付债券）</w:t>
            </w:r>
          </w:p>
        </w:tc>
        <w:tc>
          <w:tcPr>
            <w:tcW w:w="1276" w:type="dxa"/>
            <w:tcBorders>
              <w:top w:val="single" w:sz="2" w:space="0" w:color="auto"/>
              <w:left w:val="single" w:sz="2" w:space="0" w:color="auto"/>
              <w:bottom w:val="single" w:sz="2" w:space="0" w:color="auto"/>
              <w:right w:val="single" w:sz="2" w:space="0" w:color="auto"/>
            </w:tcBorders>
            <w:vAlign w:val="center"/>
          </w:tcPr>
          <w:p w14:paraId="643B434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456,036,319.65</w:t>
            </w:r>
          </w:p>
        </w:tc>
        <w:tc>
          <w:tcPr>
            <w:tcW w:w="1276" w:type="dxa"/>
            <w:tcBorders>
              <w:top w:val="single" w:sz="2" w:space="0" w:color="auto"/>
              <w:left w:val="single" w:sz="2" w:space="0" w:color="auto"/>
              <w:bottom w:val="single" w:sz="2" w:space="0" w:color="auto"/>
              <w:right w:val="single" w:sz="2" w:space="0" w:color="auto"/>
            </w:tcBorders>
            <w:vAlign w:val="center"/>
          </w:tcPr>
          <w:p w14:paraId="50900FD5" w14:textId="77777777" w:rsidR="00A46BF1" w:rsidRPr="009F773A" w:rsidRDefault="00A46BF1" w:rsidP="009F773A">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41BC403C"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30,569,260.68</w:t>
            </w:r>
          </w:p>
        </w:tc>
        <w:tc>
          <w:tcPr>
            <w:tcW w:w="1275" w:type="dxa"/>
            <w:tcBorders>
              <w:top w:val="single" w:sz="2" w:space="0" w:color="auto"/>
              <w:left w:val="single" w:sz="2" w:space="0" w:color="auto"/>
              <w:bottom w:val="single" w:sz="2" w:space="0" w:color="auto"/>
              <w:right w:val="single" w:sz="2" w:space="0" w:color="auto"/>
            </w:tcBorders>
            <w:vAlign w:val="center"/>
          </w:tcPr>
          <w:p w14:paraId="6DF9202D"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8,970,847.20</w:t>
            </w:r>
          </w:p>
        </w:tc>
        <w:tc>
          <w:tcPr>
            <w:tcW w:w="1134" w:type="dxa"/>
            <w:tcBorders>
              <w:top w:val="single" w:sz="2" w:space="0" w:color="auto"/>
              <w:left w:val="single" w:sz="2" w:space="0" w:color="auto"/>
              <w:bottom w:val="single" w:sz="2" w:space="0" w:color="auto"/>
              <w:right w:val="single" w:sz="2" w:space="0" w:color="auto"/>
            </w:tcBorders>
            <w:vAlign w:val="center"/>
          </w:tcPr>
          <w:p w14:paraId="09544B26"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42,000.00</w:t>
            </w:r>
          </w:p>
        </w:tc>
        <w:tc>
          <w:tcPr>
            <w:tcW w:w="1214" w:type="dxa"/>
            <w:tcBorders>
              <w:top w:val="single" w:sz="2" w:space="0" w:color="auto"/>
              <w:left w:val="single" w:sz="2" w:space="0" w:color="auto"/>
              <w:bottom w:val="single" w:sz="2" w:space="0" w:color="auto"/>
              <w:right w:val="single" w:sz="2" w:space="0" w:color="auto"/>
            </w:tcBorders>
            <w:vAlign w:val="center"/>
          </w:tcPr>
          <w:p w14:paraId="01D39A6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477,592,733.13</w:t>
            </w:r>
          </w:p>
        </w:tc>
      </w:tr>
      <w:tr w:rsidR="00095F6F" w:rsidRPr="009F773A" w14:paraId="235DF3AE" w14:textId="77777777" w:rsidTr="00541DDA">
        <w:trPr>
          <w:cantSplit/>
          <w:trHeight w:val="240"/>
          <w:tblHeader/>
        </w:trPr>
        <w:tc>
          <w:tcPr>
            <w:tcW w:w="2330" w:type="dxa"/>
            <w:tcBorders>
              <w:top w:val="single" w:sz="2" w:space="0" w:color="auto"/>
              <w:left w:val="single" w:sz="2" w:space="0" w:color="auto"/>
              <w:bottom w:val="single" w:sz="2" w:space="0" w:color="auto"/>
              <w:right w:val="single" w:sz="2" w:space="0" w:color="auto"/>
            </w:tcBorders>
            <w:vAlign w:val="center"/>
          </w:tcPr>
          <w:p w14:paraId="22B317D8" w14:textId="77777777" w:rsidR="00A46BF1" w:rsidRPr="009F773A" w:rsidRDefault="00A46BF1" w:rsidP="009F773A">
            <w:pPr>
              <w:spacing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租赁负债（含一年内到期的租赁负债）</w:t>
            </w:r>
          </w:p>
        </w:tc>
        <w:tc>
          <w:tcPr>
            <w:tcW w:w="1276" w:type="dxa"/>
            <w:tcBorders>
              <w:top w:val="single" w:sz="2" w:space="0" w:color="auto"/>
              <w:left w:val="single" w:sz="2" w:space="0" w:color="auto"/>
              <w:bottom w:val="single" w:sz="2" w:space="0" w:color="auto"/>
              <w:right w:val="single" w:sz="2" w:space="0" w:color="auto"/>
            </w:tcBorders>
            <w:vAlign w:val="center"/>
          </w:tcPr>
          <w:p w14:paraId="4BA66D3E"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23,388,481.91</w:t>
            </w:r>
          </w:p>
        </w:tc>
        <w:tc>
          <w:tcPr>
            <w:tcW w:w="1276" w:type="dxa"/>
            <w:tcBorders>
              <w:top w:val="single" w:sz="2" w:space="0" w:color="auto"/>
              <w:left w:val="single" w:sz="2" w:space="0" w:color="auto"/>
              <w:bottom w:val="single" w:sz="2" w:space="0" w:color="auto"/>
              <w:right w:val="single" w:sz="2" w:space="0" w:color="auto"/>
            </w:tcBorders>
            <w:vAlign w:val="center"/>
          </w:tcPr>
          <w:p w14:paraId="4AB9D111" w14:textId="77777777" w:rsidR="00A46BF1" w:rsidRPr="009F773A" w:rsidRDefault="00A46BF1" w:rsidP="009F773A">
            <w:pPr>
              <w:spacing w:line="360" w:lineRule="auto"/>
              <w:jc w:val="right"/>
              <w:rPr>
                <w:rFonts w:ascii="Times New Roman" w:eastAsia="宋体" w:hAnsi="Times New Roman" w:cs="Times New Roman"/>
                <w:sz w:val="18"/>
                <w:szCs w:val="18"/>
              </w:rPr>
            </w:pPr>
          </w:p>
        </w:tc>
        <w:tc>
          <w:tcPr>
            <w:tcW w:w="1134" w:type="dxa"/>
            <w:tcBorders>
              <w:top w:val="single" w:sz="2" w:space="0" w:color="auto"/>
              <w:left w:val="single" w:sz="2" w:space="0" w:color="auto"/>
              <w:bottom w:val="single" w:sz="2" w:space="0" w:color="auto"/>
              <w:right w:val="single" w:sz="2" w:space="0" w:color="auto"/>
            </w:tcBorders>
            <w:vAlign w:val="center"/>
          </w:tcPr>
          <w:p w14:paraId="55966871"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6,862,349.89</w:t>
            </w:r>
          </w:p>
        </w:tc>
        <w:tc>
          <w:tcPr>
            <w:tcW w:w="1275" w:type="dxa"/>
            <w:tcBorders>
              <w:top w:val="single" w:sz="2" w:space="0" w:color="auto"/>
              <w:left w:val="single" w:sz="2" w:space="0" w:color="auto"/>
              <w:bottom w:val="single" w:sz="2" w:space="0" w:color="auto"/>
              <w:right w:val="single" w:sz="2" w:space="0" w:color="auto"/>
            </w:tcBorders>
            <w:vAlign w:val="center"/>
          </w:tcPr>
          <w:p w14:paraId="0631AD24"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16,996,518.04</w:t>
            </w:r>
          </w:p>
        </w:tc>
        <w:tc>
          <w:tcPr>
            <w:tcW w:w="1134" w:type="dxa"/>
            <w:tcBorders>
              <w:top w:val="single" w:sz="2" w:space="0" w:color="auto"/>
              <w:left w:val="single" w:sz="2" w:space="0" w:color="auto"/>
              <w:bottom w:val="single" w:sz="2" w:space="0" w:color="auto"/>
              <w:right w:val="single" w:sz="2" w:space="0" w:color="auto"/>
            </w:tcBorders>
            <w:vAlign w:val="center"/>
          </w:tcPr>
          <w:p w14:paraId="3ACBFBB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323,646.86</w:t>
            </w:r>
          </w:p>
        </w:tc>
        <w:tc>
          <w:tcPr>
            <w:tcW w:w="1214" w:type="dxa"/>
            <w:tcBorders>
              <w:top w:val="single" w:sz="2" w:space="0" w:color="auto"/>
              <w:left w:val="single" w:sz="2" w:space="0" w:color="auto"/>
              <w:bottom w:val="single" w:sz="2" w:space="0" w:color="auto"/>
              <w:right w:val="single" w:sz="2" w:space="0" w:color="auto"/>
            </w:tcBorders>
            <w:vAlign w:val="center"/>
          </w:tcPr>
          <w:p w14:paraId="3E8594AB"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12,930,666.90</w:t>
            </w:r>
          </w:p>
        </w:tc>
      </w:tr>
      <w:tr w:rsidR="00095F6F" w:rsidRPr="009F773A" w14:paraId="2AA8E9A2" w14:textId="77777777" w:rsidTr="00541DDA">
        <w:trPr>
          <w:cantSplit/>
          <w:trHeight w:val="240"/>
          <w:tblHeader/>
        </w:trPr>
        <w:tc>
          <w:tcPr>
            <w:tcW w:w="2330" w:type="dxa"/>
            <w:tcBorders>
              <w:top w:val="single" w:sz="2" w:space="0" w:color="auto"/>
              <w:left w:val="single" w:sz="2" w:space="0" w:color="auto"/>
              <w:bottom w:val="single" w:sz="2" w:space="0" w:color="auto"/>
              <w:right w:val="single" w:sz="2" w:space="0" w:color="auto"/>
            </w:tcBorders>
            <w:shd w:val="clear" w:color="auto" w:fill="D3D3D3"/>
            <w:vAlign w:val="center"/>
          </w:tcPr>
          <w:p w14:paraId="51747EF3" w14:textId="77777777" w:rsidR="00A46BF1" w:rsidRPr="009F773A" w:rsidRDefault="00A46BF1" w:rsidP="009F773A">
            <w:pPr>
              <w:spacing w:before="40" w:after="40" w:line="360" w:lineRule="auto"/>
              <w:rPr>
                <w:rFonts w:ascii="Times New Roman" w:eastAsia="宋体" w:hAnsi="Times New Roman" w:cs="Times New Roman"/>
                <w:sz w:val="18"/>
                <w:szCs w:val="18"/>
              </w:rPr>
            </w:pPr>
            <w:r w:rsidRPr="009F773A">
              <w:rPr>
                <w:rFonts w:ascii="Times New Roman" w:eastAsia="宋体" w:hAnsi="Times New Roman" w:cs="Times New Roman"/>
                <w:sz w:val="18"/>
                <w:szCs w:val="18"/>
              </w:rPr>
              <w:t>合计</w:t>
            </w:r>
          </w:p>
        </w:tc>
        <w:tc>
          <w:tcPr>
            <w:tcW w:w="1276" w:type="dxa"/>
            <w:tcBorders>
              <w:top w:val="single" w:sz="2" w:space="0" w:color="auto"/>
              <w:left w:val="single" w:sz="2" w:space="0" w:color="auto"/>
              <w:bottom w:val="single" w:sz="2" w:space="0" w:color="auto"/>
              <w:right w:val="single" w:sz="2" w:space="0" w:color="auto"/>
            </w:tcBorders>
            <w:vAlign w:val="center"/>
          </w:tcPr>
          <w:p w14:paraId="7D370FCF"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831,209,441.15</w:t>
            </w:r>
          </w:p>
        </w:tc>
        <w:tc>
          <w:tcPr>
            <w:tcW w:w="1276" w:type="dxa"/>
            <w:tcBorders>
              <w:top w:val="single" w:sz="2" w:space="0" w:color="auto"/>
              <w:left w:val="single" w:sz="2" w:space="0" w:color="auto"/>
              <w:bottom w:val="single" w:sz="2" w:space="0" w:color="auto"/>
              <w:right w:val="single" w:sz="2" w:space="0" w:color="auto"/>
            </w:tcBorders>
            <w:vAlign w:val="center"/>
          </w:tcPr>
          <w:p w14:paraId="446668BE"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421,740,381.86</w:t>
            </w:r>
          </w:p>
        </w:tc>
        <w:tc>
          <w:tcPr>
            <w:tcW w:w="1134" w:type="dxa"/>
            <w:tcBorders>
              <w:top w:val="single" w:sz="2" w:space="0" w:color="auto"/>
              <w:left w:val="single" w:sz="2" w:space="0" w:color="auto"/>
              <w:bottom w:val="single" w:sz="2" w:space="0" w:color="auto"/>
              <w:right w:val="single" w:sz="2" w:space="0" w:color="auto"/>
            </w:tcBorders>
            <w:vAlign w:val="center"/>
          </w:tcPr>
          <w:p w14:paraId="27CD1445"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50,387,875.45</w:t>
            </w:r>
          </w:p>
        </w:tc>
        <w:tc>
          <w:tcPr>
            <w:tcW w:w="1275" w:type="dxa"/>
            <w:tcBorders>
              <w:top w:val="single" w:sz="2" w:space="0" w:color="auto"/>
              <w:left w:val="single" w:sz="2" w:space="0" w:color="auto"/>
              <w:bottom w:val="single" w:sz="2" w:space="0" w:color="auto"/>
              <w:right w:val="single" w:sz="2" w:space="0" w:color="auto"/>
            </w:tcBorders>
            <w:vAlign w:val="center"/>
          </w:tcPr>
          <w:p w14:paraId="018F6D58"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474,139,359.88</w:t>
            </w:r>
          </w:p>
        </w:tc>
        <w:tc>
          <w:tcPr>
            <w:tcW w:w="1134" w:type="dxa"/>
            <w:tcBorders>
              <w:top w:val="single" w:sz="2" w:space="0" w:color="auto"/>
              <w:left w:val="single" w:sz="2" w:space="0" w:color="auto"/>
              <w:bottom w:val="single" w:sz="2" w:space="0" w:color="auto"/>
              <w:right w:val="single" w:sz="2" w:space="0" w:color="auto"/>
            </w:tcBorders>
            <w:vAlign w:val="center"/>
          </w:tcPr>
          <w:p w14:paraId="76626703"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365,646.86</w:t>
            </w:r>
          </w:p>
        </w:tc>
        <w:tc>
          <w:tcPr>
            <w:tcW w:w="1214" w:type="dxa"/>
            <w:tcBorders>
              <w:top w:val="single" w:sz="2" w:space="0" w:color="auto"/>
              <w:left w:val="single" w:sz="2" w:space="0" w:color="auto"/>
              <w:bottom w:val="single" w:sz="2" w:space="0" w:color="auto"/>
              <w:right w:val="single" w:sz="2" w:space="0" w:color="auto"/>
            </w:tcBorders>
            <w:vAlign w:val="center"/>
          </w:tcPr>
          <w:p w14:paraId="3816D813" w14:textId="77777777" w:rsidR="00A46BF1" w:rsidRPr="009F773A" w:rsidRDefault="00A46BF1" w:rsidP="009F773A">
            <w:pPr>
              <w:spacing w:line="360" w:lineRule="auto"/>
              <w:jc w:val="right"/>
              <w:rPr>
                <w:rFonts w:ascii="Times New Roman" w:eastAsia="宋体" w:hAnsi="Times New Roman" w:cs="Times New Roman"/>
                <w:sz w:val="18"/>
                <w:szCs w:val="18"/>
              </w:rPr>
            </w:pPr>
            <w:r w:rsidRPr="009F773A">
              <w:rPr>
                <w:rFonts w:ascii="Times New Roman" w:eastAsia="宋体" w:hAnsi="Times New Roman" w:cs="Times New Roman"/>
                <w:sz w:val="18"/>
                <w:szCs w:val="18"/>
              </w:rPr>
              <w:t>828,832,691.72</w:t>
            </w:r>
          </w:p>
        </w:tc>
      </w:tr>
    </w:tbl>
    <w:p w14:paraId="53C1CBE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不涉及当期现金收支、但影响企业财务状况或在未来可能影响企业现金流量的重大活动及财务影响</w:t>
      </w:r>
    </w:p>
    <w:tbl>
      <w:tblPr>
        <w:tblW w:w="5000" w:type="pct"/>
        <w:jc w:val="center"/>
        <w:tblCellMar>
          <w:left w:w="0" w:type="dxa"/>
          <w:right w:w="0" w:type="dxa"/>
        </w:tblCellMar>
        <w:tblLook w:val="04A0" w:firstRow="1" w:lastRow="0" w:firstColumn="1" w:lastColumn="0" w:noHBand="0" w:noVBand="1"/>
      </w:tblPr>
      <w:tblGrid>
        <w:gridCol w:w="6341"/>
        <w:gridCol w:w="3512"/>
      </w:tblGrid>
      <w:tr w:rsidR="00A46BF1" w14:paraId="3B5AB208" w14:textId="77777777" w:rsidTr="00541DDA">
        <w:trPr>
          <w:trHeight w:val="397"/>
          <w:tblHeader/>
          <w:jc w:val="center"/>
        </w:trPr>
        <w:tc>
          <w:tcPr>
            <w:tcW w:w="321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8DD66" w14:textId="77777777" w:rsidR="00A46BF1" w:rsidRPr="00541DDA" w:rsidRDefault="00A46BF1" w:rsidP="00541DDA">
            <w:pPr>
              <w:pStyle w:val="a9"/>
              <w:spacing w:before="0" w:beforeAutospacing="0" w:after="0" w:afterAutospacing="0" w:line="360" w:lineRule="auto"/>
              <w:jc w:val="both"/>
              <w:rPr>
                <w:rFonts w:ascii="Times New Roman" w:hAnsi="Times New Roman" w:cs="Times New Roman"/>
                <w:sz w:val="18"/>
                <w:szCs w:val="18"/>
              </w:rPr>
            </w:pPr>
            <w:r w:rsidRPr="00541DDA">
              <w:rPr>
                <w:rStyle w:val="aa"/>
                <w:rFonts w:ascii="Times New Roman" w:hAnsi="Times New Roman" w:cs="Times New Roman"/>
                <w:sz w:val="18"/>
                <w:szCs w:val="18"/>
              </w:rPr>
              <w:t>项目</w:t>
            </w:r>
          </w:p>
        </w:tc>
        <w:tc>
          <w:tcPr>
            <w:tcW w:w="178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126286" w14:textId="77777777" w:rsidR="00A46BF1" w:rsidRPr="00541DDA" w:rsidRDefault="00A46BF1" w:rsidP="00541DDA">
            <w:pPr>
              <w:pStyle w:val="a9"/>
              <w:spacing w:before="0" w:beforeAutospacing="0" w:after="0" w:afterAutospacing="0" w:line="360" w:lineRule="auto"/>
              <w:jc w:val="center"/>
              <w:rPr>
                <w:rFonts w:ascii="Times New Roman" w:hAnsi="Times New Roman" w:cs="Times New Roman"/>
                <w:sz w:val="18"/>
                <w:szCs w:val="18"/>
              </w:rPr>
            </w:pPr>
            <w:r w:rsidRPr="00541DDA">
              <w:rPr>
                <w:rStyle w:val="aa"/>
                <w:rFonts w:ascii="Times New Roman" w:hAnsi="Times New Roman" w:cs="Times New Roman"/>
                <w:sz w:val="18"/>
                <w:szCs w:val="18"/>
              </w:rPr>
              <w:t>本年发生额</w:t>
            </w:r>
          </w:p>
        </w:tc>
      </w:tr>
      <w:tr w:rsidR="00A46BF1" w14:paraId="0CA4C86D" w14:textId="77777777" w:rsidTr="00541DDA">
        <w:trPr>
          <w:trHeight w:val="397"/>
          <w:jc w:val="center"/>
        </w:trPr>
        <w:tc>
          <w:tcPr>
            <w:tcW w:w="32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6CA06B" w14:textId="77777777" w:rsidR="00A46BF1" w:rsidRPr="00541DDA" w:rsidRDefault="00A46BF1" w:rsidP="00541DDA">
            <w:pPr>
              <w:pStyle w:val="a9"/>
              <w:spacing w:before="0" w:beforeAutospacing="0" w:after="0" w:afterAutospacing="0" w:line="360" w:lineRule="auto"/>
              <w:jc w:val="both"/>
              <w:rPr>
                <w:rFonts w:ascii="Times New Roman" w:hAnsi="Times New Roman" w:cs="Times New Roman"/>
                <w:sz w:val="18"/>
                <w:szCs w:val="18"/>
              </w:rPr>
            </w:pPr>
            <w:r w:rsidRPr="00541DDA">
              <w:rPr>
                <w:rFonts w:ascii="Times New Roman" w:hAnsi="Times New Roman" w:cs="Times New Roman"/>
                <w:color w:val="000000"/>
                <w:sz w:val="18"/>
                <w:szCs w:val="18"/>
              </w:rPr>
              <w:t>应收票据背书转让</w:t>
            </w:r>
          </w:p>
        </w:tc>
        <w:tc>
          <w:tcPr>
            <w:tcW w:w="17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52F599" w14:textId="77777777" w:rsidR="00A46BF1" w:rsidRPr="00541DDA" w:rsidRDefault="00A46BF1" w:rsidP="00541DDA">
            <w:pPr>
              <w:pStyle w:val="a9"/>
              <w:spacing w:before="0" w:beforeAutospacing="0" w:after="0" w:afterAutospacing="0" w:line="360" w:lineRule="auto"/>
              <w:jc w:val="right"/>
              <w:rPr>
                <w:rFonts w:ascii="Times New Roman" w:hAnsi="Times New Roman" w:cs="Times New Roman"/>
                <w:sz w:val="18"/>
                <w:szCs w:val="18"/>
              </w:rPr>
            </w:pPr>
            <w:r w:rsidRPr="00541DDA">
              <w:rPr>
                <w:rFonts w:ascii="Times New Roman" w:hAnsi="Times New Roman" w:cs="Times New Roman"/>
                <w:color w:val="000000"/>
                <w:sz w:val="18"/>
                <w:szCs w:val="18"/>
              </w:rPr>
              <w:t xml:space="preserve"> 213,781,462.89 </w:t>
            </w:r>
          </w:p>
        </w:tc>
      </w:tr>
      <w:tr w:rsidR="00A46BF1" w14:paraId="12FD85B6" w14:textId="77777777" w:rsidTr="00541DDA">
        <w:trPr>
          <w:trHeight w:val="397"/>
          <w:jc w:val="center"/>
        </w:trPr>
        <w:tc>
          <w:tcPr>
            <w:tcW w:w="32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A9A8E8" w14:textId="07B7F0DC" w:rsidR="00A46BF1" w:rsidRPr="00541DDA" w:rsidRDefault="00A46BF1" w:rsidP="00541DDA">
            <w:pPr>
              <w:pStyle w:val="a9"/>
              <w:spacing w:before="0" w:beforeAutospacing="0" w:after="0" w:afterAutospacing="0" w:line="360" w:lineRule="auto"/>
              <w:jc w:val="both"/>
              <w:rPr>
                <w:rFonts w:ascii="Times New Roman" w:hAnsi="Times New Roman" w:cs="Times New Roman"/>
                <w:sz w:val="18"/>
                <w:szCs w:val="18"/>
              </w:rPr>
            </w:pPr>
            <w:r w:rsidRPr="00541DDA">
              <w:rPr>
                <w:rFonts w:ascii="Times New Roman" w:hAnsi="Times New Roman" w:cs="Times New Roman"/>
                <w:color w:val="000000"/>
                <w:sz w:val="18"/>
                <w:szCs w:val="18"/>
              </w:rPr>
              <w:t>其中</w:t>
            </w:r>
            <w:r w:rsidR="00541DDA">
              <w:rPr>
                <w:rFonts w:ascii="Times New Roman" w:hAnsi="Times New Roman" w:cs="Times New Roman" w:hint="eastAsia"/>
                <w:color w:val="000000"/>
                <w:sz w:val="18"/>
                <w:szCs w:val="18"/>
              </w:rPr>
              <w:t>：</w:t>
            </w:r>
            <w:r w:rsidRPr="00541DDA">
              <w:rPr>
                <w:rFonts w:ascii="Times New Roman" w:hAnsi="Times New Roman" w:cs="Times New Roman"/>
                <w:color w:val="000000"/>
                <w:sz w:val="18"/>
                <w:szCs w:val="18"/>
              </w:rPr>
              <w:t>支付货款</w:t>
            </w:r>
          </w:p>
        </w:tc>
        <w:tc>
          <w:tcPr>
            <w:tcW w:w="17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C1A5AD" w14:textId="77777777" w:rsidR="00A46BF1" w:rsidRPr="00541DDA" w:rsidRDefault="00A46BF1" w:rsidP="00541DDA">
            <w:pPr>
              <w:pStyle w:val="a9"/>
              <w:spacing w:before="0" w:beforeAutospacing="0" w:after="0" w:afterAutospacing="0" w:line="360" w:lineRule="auto"/>
              <w:jc w:val="right"/>
              <w:rPr>
                <w:rFonts w:ascii="Times New Roman" w:hAnsi="Times New Roman" w:cs="Times New Roman"/>
                <w:sz w:val="18"/>
                <w:szCs w:val="18"/>
              </w:rPr>
            </w:pPr>
            <w:r w:rsidRPr="00541DDA">
              <w:rPr>
                <w:rFonts w:ascii="Times New Roman" w:hAnsi="Times New Roman" w:cs="Times New Roman"/>
                <w:color w:val="000000"/>
                <w:sz w:val="18"/>
                <w:szCs w:val="18"/>
              </w:rPr>
              <w:t xml:space="preserve"> 206,106,424.93 </w:t>
            </w:r>
          </w:p>
        </w:tc>
      </w:tr>
      <w:tr w:rsidR="00A46BF1" w14:paraId="7ADE5ACA" w14:textId="77777777" w:rsidTr="00541DDA">
        <w:trPr>
          <w:trHeight w:val="397"/>
          <w:jc w:val="center"/>
        </w:trPr>
        <w:tc>
          <w:tcPr>
            <w:tcW w:w="32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FF62DF" w14:textId="77777777" w:rsidR="00A46BF1" w:rsidRPr="00541DDA" w:rsidRDefault="00A46BF1" w:rsidP="00541DDA">
            <w:pPr>
              <w:pStyle w:val="a9"/>
              <w:spacing w:before="0" w:beforeAutospacing="0" w:after="0" w:afterAutospacing="0" w:line="360" w:lineRule="auto"/>
              <w:ind w:firstLine="567"/>
              <w:jc w:val="both"/>
              <w:rPr>
                <w:rFonts w:ascii="Times New Roman" w:hAnsi="Times New Roman" w:cs="Times New Roman"/>
                <w:sz w:val="18"/>
                <w:szCs w:val="18"/>
              </w:rPr>
            </w:pPr>
            <w:r w:rsidRPr="00541DDA">
              <w:rPr>
                <w:rFonts w:ascii="Times New Roman" w:hAnsi="Times New Roman" w:cs="Times New Roman"/>
                <w:color w:val="000000"/>
                <w:sz w:val="18"/>
                <w:szCs w:val="18"/>
              </w:rPr>
              <w:t>购置长期资产</w:t>
            </w:r>
          </w:p>
        </w:tc>
        <w:tc>
          <w:tcPr>
            <w:tcW w:w="17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80D0FD" w14:textId="77777777" w:rsidR="00A46BF1" w:rsidRPr="00541DDA" w:rsidRDefault="00A46BF1" w:rsidP="00541DDA">
            <w:pPr>
              <w:pStyle w:val="a9"/>
              <w:spacing w:before="0" w:beforeAutospacing="0" w:after="0" w:afterAutospacing="0" w:line="360" w:lineRule="auto"/>
              <w:jc w:val="right"/>
              <w:rPr>
                <w:rFonts w:ascii="Times New Roman" w:hAnsi="Times New Roman" w:cs="Times New Roman"/>
                <w:sz w:val="18"/>
                <w:szCs w:val="18"/>
              </w:rPr>
            </w:pPr>
            <w:r w:rsidRPr="00541DDA">
              <w:rPr>
                <w:rFonts w:ascii="Times New Roman" w:hAnsi="Times New Roman" w:cs="Times New Roman"/>
                <w:color w:val="000000"/>
                <w:sz w:val="18"/>
                <w:szCs w:val="18"/>
              </w:rPr>
              <w:t xml:space="preserve"> 4,846,397.00 </w:t>
            </w:r>
          </w:p>
        </w:tc>
      </w:tr>
      <w:tr w:rsidR="00A46BF1" w14:paraId="2B385169" w14:textId="77777777" w:rsidTr="00541DDA">
        <w:trPr>
          <w:trHeight w:val="397"/>
          <w:jc w:val="center"/>
        </w:trPr>
        <w:tc>
          <w:tcPr>
            <w:tcW w:w="32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4DF244" w14:textId="77777777" w:rsidR="00A46BF1" w:rsidRPr="00541DDA" w:rsidRDefault="00A46BF1" w:rsidP="00541DDA">
            <w:pPr>
              <w:pStyle w:val="a9"/>
              <w:spacing w:before="0" w:beforeAutospacing="0" w:after="0" w:afterAutospacing="0" w:line="360" w:lineRule="auto"/>
              <w:ind w:firstLine="567"/>
              <w:jc w:val="both"/>
              <w:rPr>
                <w:rFonts w:ascii="Times New Roman" w:hAnsi="Times New Roman" w:cs="Times New Roman"/>
                <w:sz w:val="18"/>
                <w:szCs w:val="18"/>
              </w:rPr>
            </w:pPr>
            <w:r w:rsidRPr="00541DDA">
              <w:rPr>
                <w:rFonts w:ascii="Times New Roman" w:hAnsi="Times New Roman" w:cs="Times New Roman"/>
                <w:sz w:val="18"/>
                <w:szCs w:val="18"/>
              </w:rPr>
              <w:t>支付服务</w:t>
            </w:r>
          </w:p>
        </w:tc>
        <w:tc>
          <w:tcPr>
            <w:tcW w:w="17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3F059" w14:textId="77777777" w:rsidR="00A46BF1" w:rsidRPr="00541DDA" w:rsidRDefault="00A46BF1" w:rsidP="00541DDA">
            <w:pPr>
              <w:pStyle w:val="a9"/>
              <w:spacing w:before="0" w:beforeAutospacing="0" w:after="0" w:afterAutospacing="0" w:line="360" w:lineRule="auto"/>
              <w:jc w:val="right"/>
              <w:rPr>
                <w:rFonts w:ascii="Times New Roman" w:hAnsi="Times New Roman" w:cs="Times New Roman"/>
                <w:sz w:val="18"/>
                <w:szCs w:val="18"/>
              </w:rPr>
            </w:pPr>
            <w:r w:rsidRPr="00541DDA">
              <w:rPr>
                <w:rFonts w:ascii="Times New Roman" w:hAnsi="Times New Roman" w:cs="Times New Roman"/>
                <w:color w:val="000000"/>
                <w:sz w:val="18"/>
                <w:szCs w:val="18"/>
              </w:rPr>
              <w:t xml:space="preserve"> 2,828,640.96 </w:t>
            </w:r>
          </w:p>
        </w:tc>
      </w:tr>
      <w:tr w:rsidR="00A46BF1" w14:paraId="03F3C485" w14:textId="77777777" w:rsidTr="00541DDA">
        <w:trPr>
          <w:trHeight w:val="397"/>
          <w:jc w:val="center"/>
        </w:trPr>
        <w:tc>
          <w:tcPr>
            <w:tcW w:w="321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80323" w14:textId="77777777" w:rsidR="00A46BF1" w:rsidRPr="00541DDA" w:rsidRDefault="00A46BF1" w:rsidP="00541DDA">
            <w:pPr>
              <w:pStyle w:val="a9"/>
              <w:spacing w:before="0" w:beforeAutospacing="0" w:after="0" w:afterAutospacing="0" w:line="360" w:lineRule="auto"/>
              <w:jc w:val="both"/>
              <w:rPr>
                <w:rFonts w:ascii="Times New Roman" w:hAnsi="Times New Roman" w:cs="Times New Roman"/>
                <w:sz w:val="18"/>
                <w:szCs w:val="18"/>
              </w:rPr>
            </w:pPr>
            <w:r w:rsidRPr="00541DDA">
              <w:rPr>
                <w:rStyle w:val="aa"/>
                <w:rFonts w:ascii="Times New Roman" w:hAnsi="Times New Roman" w:cs="Times New Roman"/>
                <w:sz w:val="18"/>
                <w:szCs w:val="18"/>
              </w:rPr>
              <w:t>合计</w:t>
            </w:r>
          </w:p>
        </w:tc>
        <w:tc>
          <w:tcPr>
            <w:tcW w:w="178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D0EF6" w14:textId="77777777" w:rsidR="00A46BF1" w:rsidRPr="00541DDA" w:rsidRDefault="00A46BF1" w:rsidP="00541DDA">
            <w:pPr>
              <w:pStyle w:val="a9"/>
              <w:spacing w:before="0" w:beforeAutospacing="0" w:after="0" w:afterAutospacing="0" w:line="360" w:lineRule="auto"/>
              <w:jc w:val="right"/>
              <w:rPr>
                <w:rFonts w:ascii="Times New Roman" w:hAnsi="Times New Roman" w:cs="Times New Roman"/>
                <w:sz w:val="18"/>
                <w:szCs w:val="18"/>
              </w:rPr>
            </w:pPr>
            <w:r w:rsidRPr="00541DDA">
              <w:rPr>
                <w:rStyle w:val="aa"/>
                <w:rFonts w:ascii="Times New Roman" w:hAnsi="Times New Roman" w:cs="Times New Roman"/>
                <w:color w:val="000000"/>
                <w:sz w:val="18"/>
                <w:szCs w:val="18"/>
              </w:rPr>
              <w:t xml:space="preserve"> 213,781,462.89 </w:t>
            </w:r>
          </w:p>
        </w:tc>
      </w:tr>
    </w:tbl>
    <w:p w14:paraId="1A63D12C" w14:textId="1F166FC5" w:rsidR="00A46BF1" w:rsidRDefault="00A46BF1" w:rsidP="00A46BF1">
      <w:pPr>
        <w:pStyle w:val="3"/>
        <w:spacing w:line="280" w:lineRule="exact"/>
        <w:jc w:val="left"/>
        <w:rPr>
          <w:rFonts w:ascii="宋体" w:hAnsi="宋体" w:cs="宋体"/>
          <w:b/>
          <w:bCs/>
        </w:rPr>
      </w:pPr>
      <w:r>
        <w:rPr>
          <w:rFonts w:ascii="宋体" w:hAnsi="宋体" w:cs="宋体"/>
          <w:b/>
          <w:bCs/>
        </w:rPr>
        <w:t>6</w:t>
      </w:r>
      <w:r w:rsidR="00181939">
        <w:rPr>
          <w:rFonts w:ascii="宋体" w:hAnsi="宋体" w:cs="宋体"/>
          <w:b/>
          <w:bCs/>
        </w:rPr>
        <w:t>2</w:t>
      </w:r>
      <w:r>
        <w:rPr>
          <w:rFonts w:ascii="宋体" w:hAnsi="宋体" w:cs="宋体"/>
          <w:b/>
          <w:bCs/>
        </w:rPr>
        <w:t>、现金流量表补充资料</w:t>
      </w:r>
    </w:p>
    <w:p w14:paraId="025C4E1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现金流量表补充资料</w:t>
      </w:r>
    </w:p>
    <w:p w14:paraId="2A2D932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6379"/>
        <w:gridCol w:w="1630"/>
        <w:gridCol w:w="1630"/>
      </w:tblGrid>
      <w:tr w:rsidR="00095F6F" w14:paraId="01B4E3BF"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317389ED" w14:textId="77777777" w:rsidR="00A46BF1" w:rsidRPr="00181939" w:rsidRDefault="00A46BF1" w:rsidP="00181939">
            <w:pPr>
              <w:spacing w:before="40" w:after="40" w:line="360" w:lineRule="auto"/>
              <w:jc w:val="center"/>
              <w:rPr>
                <w:rFonts w:ascii="Times New Roman" w:eastAsia="宋体" w:hAnsi="Times New Roman" w:cs="Times New Roman"/>
                <w:sz w:val="18"/>
                <w:szCs w:val="18"/>
              </w:rPr>
            </w:pPr>
            <w:r w:rsidRPr="00181939">
              <w:rPr>
                <w:rFonts w:ascii="Times New Roman" w:eastAsia="宋体" w:hAnsi="Times New Roman" w:cs="Times New Roman"/>
                <w:sz w:val="18"/>
                <w:szCs w:val="18"/>
              </w:rPr>
              <w:t>补充资料</w:t>
            </w: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387F2782" w14:textId="77777777" w:rsidR="00A46BF1" w:rsidRPr="00181939" w:rsidRDefault="00A46BF1" w:rsidP="00181939">
            <w:pPr>
              <w:spacing w:before="40" w:after="40" w:line="360" w:lineRule="auto"/>
              <w:jc w:val="center"/>
              <w:rPr>
                <w:rFonts w:ascii="Times New Roman" w:eastAsia="宋体" w:hAnsi="Times New Roman" w:cs="Times New Roman"/>
                <w:sz w:val="18"/>
                <w:szCs w:val="18"/>
              </w:rPr>
            </w:pPr>
            <w:r w:rsidRPr="00181939">
              <w:rPr>
                <w:rFonts w:ascii="Times New Roman" w:eastAsia="宋体" w:hAnsi="Times New Roman" w:cs="Times New Roman"/>
                <w:sz w:val="18"/>
                <w:szCs w:val="18"/>
              </w:rPr>
              <w:t>本期金额</w:t>
            </w: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011B7AFA" w14:textId="77777777" w:rsidR="00A46BF1" w:rsidRPr="00181939" w:rsidRDefault="00A46BF1" w:rsidP="00181939">
            <w:pPr>
              <w:spacing w:before="40" w:after="40" w:line="360" w:lineRule="auto"/>
              <w:jc w:val="center"/>
              <w:rPr>
                <w:rFonts w:ascii="Times New Roman" w:eastAsia="宋体" w:hAnsi="Times New Roman" w:cs="Times New Roman"/>
                <w:sz w:val="18"/>
                <w:szCs w:val="18"/>
              </w:rPr>
            </w:pPr>
            <w:r w:rsidRPr="00181939">
              <w:rPr>
                <w:rFonts w:ascii="Times New Roman" w:eastAsia="宋体" w:hAnsi="Times New Roman" w:cs="Times New Roman"/>
                <w:sz w:val="18"/>
                <w:szCs w:val="18"/>
              </w:rPr>
              <w:t>上期金额</w:t>
            </w:r>
          </w:p>
        </w:tc>
      </w:tr>
      <w:tr w:rsidR="00095F6F" w14:paraId="5C448616"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18F386A9" w14:textId="77777777" w:rsidR="00A46BF1" w:rsidRPr="00181939" w:rsidRDefault="00A46BF1" w:rsidP="00181939">
            <w:pPr>
              <w:spacing w:before="40" w:after="40" w:line="360" w:lineRule="auto"/>
              <w:rPr>
                <w:rFonts w:ascii="Times New Roman" w:eastAsia="宋体" w:hAnsi="Times New Roman" w:cs="Times New Roman"/>
                <w:sz w:val="18"/>
                <w:szCs w:val="18"/>
              </w:rPr>
            </w:pPr>
            <w:r w:rsidRPr="00181939">
              <w:rPr>
                <w:rFonts w:ascii="Times New Roman" w:eastAsia="宋体" w:hAnsi="Times New Roman" w:cs="Times New Roman"/>
                <w:sz w:val="18"/>
                <w:szCs w:val="18"/>
              </w:rPr>
              <w:t>1</w:t>
            </w:r>
            <w:r w:rsidRPr="00181939">
              <w:rPr>
                <w:rFonts w:ascii="Times New Roman" w:eastAsia="宋体" w:hAnsi="Times New Roman" w:cs="Times New Roman"/>
                <w:sz w:val="18"/>
                <w:szCs w:val="18"/>
              </w:rPr>
              <w:t>．将净利润调节为经营活动现金流量</w:t>
            </w: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5181C1A5" w14:textId="77777777" w:rsidR="00A46BF1" w:rsidRPr="00181939" w:rsidRDefault="00A46BF1" w:rsidP="00181939">
            <w:pPr>
              <w:spacing w:line="360" w:lineRule="auto"/>
              <w:rPr>
                <w:rFonts w:ascii="Times New Roman" w:hAnsi="Times New Roman" w:cs="Times New Roman"/>
              </w:rPr>
            </w:pP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79EEBAA1" w14:textId="77777777" w:rsidR="00A46BF1" w:rsidRPr="00181939" w:rsidRDefault="00A46BF1" w:rsidP="00181939">
            <w:pPr>
              <w:spacing w:line="360" w:lineRule="auto"/>
              <w:rPr>
                <w:rFonts w:ascii="Times New Roman" w:hAnsi="Times New Roman" w:cs="Times New Roman"/>
              </w:rPr>
            </w:pPr>
          </w:p>
        </w:tc>
      </w:tr>
      <w:tr w:rsidR="00095F6F" w14:paraId="599C5488"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3D25D677"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净利润</w:t>
            </w:r>
          </w:p>
        </w:tc>
        <w:tc>
          <w:tcPr>
            <w:tcW w:w="1630" w:type="dxa"/>
            <w:tcBorders>
              <w:top w:val="single" w:sz="2" w:space="0" w:color="auto"/>
              <w:left w:val="single" w:sz="2" w:space="0" w:color="auto"/>
              <w:bottom w:val="single" w:sz="2" w:space="0" w:color="auto"/>
              <w:right w:val="single" w:sz="2" w:space="0" w:color="auto"/>
            </w:tcBorders>
            <w:vAlign w:val="center"/>
          </w:tcPr>
          <w:p w14:paraId="6FA1571D"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22,076,674.05</w:t>
            </w:r>
          </w:p>
        </w:tc>
        <w:tc>
          <w:tcPr>
            <w:tcW w:w="1630" w:type="dxa"/>
            <w:tcBorders>
              <w:top w:val="single" w:sz="2" w:space="0" w:color="auto"/>
              <w:left w:val="single" w:sz="2" w:space="0" w:color="auto"/>
              <w:bottom w:val="single" w:sz="2" w:space="0" w:color="auto"/>
              <w:right w:val="single" w:sz="2" w:space="0" w:color="auto"/>
            </w:tcBorders>
            <w:vAlign w:val="center"/>
          </w:tcPr>
          <w:p w14:paraId="1B97E31B"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345,854,598.97</w:t>
            </w:r>
          </w:p>
        </w:tc>
      </w:tr>
      <w:tr w:rsidR="00095F6F" w14:paraId="573C5F17"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190B816A"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加：资产减值准备</w:t>
            </w:r>
          </w:p>
        </w:tc>
        <w:tc>
          <w:tcPr>
            <w:tcW w:w="1630" w:type="dxa"/>
            <w:tcBorders>
              <w:top w:val="single" w:sz="2" w:space="0" w:color="auto"/>
              <w:left w:val="single" w:sz="2" w:space="0" w:color="auto"/>
              <w:bottom w:val="single" w:sz="2" w:space="0" w:color="auto"/>
              <w:right w:val="single" w:sz="2" w:space="0" w:color="auto"/>
            </w:tcBorders>
            <w:vAlign w:val="center"/>
          </w:tcPr>
          <w:p w14:paraId="6970832A"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195,074,989.94</w:t>
            </w:r>
            <w:r w:rsidRPr="00181939">
              <w:rPr>
                <w:rFonts w:ascii="Times New Roman" w:eastAsia="宋体" w:hAnsi="Times New Roman" w:cs="Times New Roman"/>
                <w:color w:val="F00000"/>
                <w:vertAlign w:val="superscript"/>
              </w:rPr>
              <w:t>1</w:t>
            </w:r>
          </w:p>
        </w:tc>
        <w:tc>
          <w:tcPr>
            <w:tcW w:w="1630" w:type="dxa"/>
            <w:tcBorders>
              <w:top w:val="single" w:sz="2" w:space="0" w:color="auto"/>
              <w:left w:val="single" w:sz="2" w:space="0" w:color="auto"/>
              <w:bottom w:val="single" w:sz="2" w:space="0" w:color="auto"/>
              <w:right w:val="single" w:sz="2" w:space="0" w:color="auto"/>
            </w:tcBorders>
            <w:vAlign w:val="center"/>
          </w:tcPr>
          <w:p w14:paraId="1C64E349"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102,786,512.24</w:t>
            </w:r>
            <w:r w:rsidRPr="00181939">
              <w:rPr>
                <w:rFonts w:ascii="Times New Roman" w:eastAsia="宋体" w:hAnsi="Times New Roman" w:cs="Times New Roman"/>
                <w:color w:val="F00000"/>
                <w:vertAlign w:val="superscript"/>
              </w:rPr>
              <w:t>2</w:t>
            </w:r>
          </w:p>
        </w:tc>
      </w:tr>
      <w:tr w:rsidR="00095F6F" w14:paraId="505DD9F8"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1D4C0652"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固定资产折旧、油气资产折耗、生产性生物资产折旧</w:t>
            </w:r>
          </w:p>
        </w:tc>
        <w:tc>
          <w:tcPr>
            <w:tcW w:w="1630" w:type="dxa"/>
            <w:tcBorders>
              <w:top w:val="single" w:sz="2" w:space="0" w:color="auto"/>
              <w:left w:val="single" w:sz="2" w:space="0" w:color="auto"/>
              <w:bottom w:val="single" w:sz="2" w:space="0" w:color="auto"/>
              <w:right w:val="single" w:sz="2" w:space="0" w:color="auto"/>
            </w:tcBorders>
            <w:vAlign w:val="center"/>
          </w:tcPr>
          <w:p w14:paraId="089B4A24"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142,387,334.51</w:t>
            </w:r>
          </w:p>
        </w:tc>
        <w:tc>
          <w:tcPr>
            <w:tcW w:w="1630" w:type="dxa"/>
            <w:tcBorders>
              <w:top w:val="single" w:sz="2" w:space="0" w:color="auto"/>
              <w:left w:val="single" w:sz="2" w:space="0" w:color="auto"/>
              <w:bottom w:val="single" w:sz="2" w:space="0" w:color="auto"/>
              <w:right w:val="single" w:sz="2" w:space="0" w:color="auto"/>
            </w:tcBorders>
            <w:vAlign w:val="center"/>
          </w:tcPr>
          <w:p w14:paraId="4877EC18"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149,914,792.45</w:t>
            </w:r>
          </w:p>
        </w:tc>
      </w:tr>
      <w:tr w:rsidR="00095F6F" w14:paraId="32F157A7"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62DF4777"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使用权资产折旧</w:t>
            </w:r>
          </w:p>
        </w:tc>
        <w:tc>
          <w:tcPr>
            <w:tcW w:w="1630" w:type="dxa"/>
            <w:tcBorders>
              <w:top w:val="single" w:sz="2" w:space="0" w:color="auto"/>
              <w:left w:val="single" w:sz="2" w:space="0" w:color="auto"/>
              <w:bottom w:val="single" w:sz="2" w:space="0" w:color="auto"/>
              <w:right w:val="single" w:sz="2" w:space="0" w:color="auto"/>
            </w:tcBorders>
            <w:vAlign w:val="center"/>
          </w:tcPr>
          <w:p w14:paraId="2AC5993E"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15,460,768.28</w:t>
            </w:r>
          </w:p>
        </w:tc>
        <w:tc>
          <w:tcPr>
            <w:tcW w:w="1630" w:type="dxa"/>
            <w:tcBorders>
              <w:top w:val="single" w:sz="2" w:space="0" w:color="auto"/>
              <w:left w:val="single" w:sz="2" w:space="0" w:color="auto"/>
              <w:bottom w:val="single" w:sz="2" w:space="0" w:color="auto"/>
              <w:right w:val="single" w:sz="2" w:space="0" w:color="auto"/>
            </w:tcBorders>
            <w:vAlign w:val="center"/>
          </w:tcPr>
          <w:p w14:paraId="7994A068"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15,140,928.81</w:t>
            </w:r>
          </w:p>
        </w:tc>
      </w:tr>
      <w:tr w:rsidR="00095F6F" w14:paraId="2AB314BB"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443F0261"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无形资产摊销</w:t>
            </w:r>
          </w:p>
        </w:tc>
        <w:tc>
          <w:tcPr>
            <w:tcW w:w="1630" w:type="dxa"/>
            <w:tcBorders>
              <w:top w:val="single" w:sz="2" w:space="0" w:color="auto"/>
              <w:left w:val="single" w:sz="2" w:space="0" w:color="auto"/>
              <w:bottom w:val="single" w:sz="2" w:space="0" w:color="auto"/>
              <w:right w:val="single" w:sz="2" w:space="0" w:color="auto"/>
            </w:tcBorders>
            <w:vAlign w:val="center"/>
          </w:tcPr>
          <w:p w14:paraId="404B0EC4"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39,286,500.11</w:t>
            </w:r>
          </w:p>
        </w:tc>
        <w:tc>
          <w:tcPr>
            <w:tcW w:w="1630" w:type="dxa"/>
            <w:tcBorders>
              <w:top w:val="single" w:sz="2" w:space="0" w:color="auto"/>
              <w:left w:val="single" w:sz="2" w:space="0" w:color="auto"/>
              <w:bottom w:val="single" w:sz="2" w:space="0" w:color="auto"/>
              <w:right w:val="single" w:sz="2" w:space="0" w:color="auto"/>
            </w:tcBorders>
            <w:vAlign w:val="center"/>
          </w:tcPr>
          <w:p w14:paraId="1A8252A4"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50,474,766.90</w:t>
            </w:r>
          </w:p>
        </w:tc>
      </w:tr>
      <w:tr w:rsidR="00095F6F" w14:paraId="3048CDF3"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37E89643"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长期待摊费用摊销</w:t>
            </w:r>
          </w:p>
        </w:tc>
        <w:tc>
          <w:tcPr>
            <w:tcW w:w="1630" w:type="dxa"/>
            <w:tcBorders>
              <w:top w:val="single" w:sz="2" w:space="0" w:color="auto"/>
              <w:left w:val="single" w:sz="2" w:space="0" w:color="auto"/>
              <w:bottom w:val="single" w:sz="2" w:space="0" w:color="auto"/>
              <w:right w:val="single" w:sz="2" w:space="0" w:color="auto"/>
            </w:tcBorders>
            <w:vAlign w:val="center"/>
          </w:tcPr>
          <w:p w14:paraId="70D9688C"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5,524,808.79</w:t>
            </w:r>
          </w:p>
        </w:tc>
        <w:tc>
          <w:tcPr>
            <w:tcW w:w="1630" w:type="dxa"/>
            <w:tcBorders>
              <w:top w:val="single" w:sz="2" w:space="0" w:color="auto"/>
              <w:left w:val="single" w:sz="2" w:space="0" w:color="auto"/>
              <w:bottom w:val="single" w:sz="2" w:space="0" w:color="auto"/>
              <w:right w:val="single" w:sz="2" w:space="0" w:color="auto"/>
            </w:tcBorders>
            <w:vAlign w:val="center"/>
          </w:tcPr>
          <w:p w14:paraId="5F8CA563"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5,535,090.20</w:t>
            </w:r>
          </w:p>
        </w:tc>
      </w:tr>
      <w:tr w:rsidR="00095F6F" w14:paraId="67D036B9"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0B63979C"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处置固定资产、无形资产和其他长期资产的损失（收益以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06BBE483"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1,143,532.66</w:t>
            </w:r>
          </w:p>
        </w:tc>
        <w:tc>
          <w:tcPr>
            <w:tcW w:w="1630" w:type="dxa"/>
            <w:tcBorders>
              <w:top w:val="single" w:sz="2" w:space="0" w:color="auto"/>
              <w:left w:val="single" w:sz="2" w:space="0" w:color="auto"/>
              <w:bottom w:val="single" w:sz="2" w:space="0" w:color="auto"/>
              <w:right w:val="single" w:sz="2" w:space="0" w:color="auto"/>
            </w:tcBorders>
            <w:vAlign w:val="center"/>
          </w:tcPr>
          <w:p w14:paraId="713A28D7"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-957,336.24</w:t>
            </w:r>
          </w:p>
        </w:tc>
      </w:tr>
      <w:tr w:rsidR="00095F6F" w14:paraId="068E41A7"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5AAC1AA0"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固定资产报废损失（收益以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17864033"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1459905D"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39D7D1B8"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731671CF"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公允价值变动损失（收益以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3F1906F0"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-1,345,429.99</w:t>
            </w:r>
          </w:p>
        </w:tc>
        <w:tc>
          <w:tcPr>
            <w:tcW w:w="1630" w:type="dxa"/>
            <w:tcBorders>
              <w:top w:val="single" w:sz="2" w:space="0" w:color="auto"/>
              <w:left w:val="single" w:sz="2" w:space="0" w:color="auto"/>
              <w:bottom w:val="single" w:sz="2" w:space="0" w:color="auto"/>
              <w:right w:val="single" w:sz="2" w:space="0" w:color="auto"/>
            </w:tcBorders>
            <w:vAlign w:val="center"/>
          </w:tcPr>
          <w:p w14:paraId="3E2BFF07"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2919CF2D"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0AE0F460"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财务费用（收益以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730BAEBC"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41,795,122.03</w:t>
            </w:r>
          </w:p>
        </w:tc>
        <w:tc>
          <w:tcPr>
            <w:tcW w:w="1630" w:type="dxa"/>
            <w:tcBorders>
              <w:top w:val="single" w:sz="2" w:space="0" w:color="auto"/>
              <w:left w:val="single" w:sz="2" w:space="0" w:color="auto"/>
              <w:bottom w:val="single" w:sz="2" w:space="0" w:color="auto"/>
              <w:right w:val="single" w:sz="2" w:space="0" w:color="auto"/>
            </w:tcBorders>
            <w:vAlign w:val="center"/>
          </w:tcPr>
          <w:p w14:paraId="223B546A"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48,132,581.04</w:t>
            </w:r>
          </w:p>
        </w:tc>
      </w:tr>
      <w:tr w:rsidR="00095F6F" w14:paraId="1CBF0EC9"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0FFA7FCE"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投资损失（收益以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1805ABE0"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-1,401,010.78</w:t>
            </w:r>
          </w:p>
        </w:tc>
        <w:tc>
          <w:tcPr>
            <w:tcW w:w="1630" w:type="dxa"/>
            <w:tcBorders>
              <w:top w:val="single" w:sz="2" w:space="0" w:color="auto"/>
              <w:left w:val="single" w:sz="2" w:space="0" w:color="auto"/>
              <w:bottom w:val="single" w:sz="2" w:space="0" w:color="auto"/>
              <w:right w:val="single" w:sz="2" w:space="0" w:color="auto"/>
            </w:tcBorders>
            <w:vAlign w:val="center"/>
          </w:tcPr>
          <w:p w14:paraId="2C9F6008"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1,595,366.95</w:t>
            </w:r>
          </w:p>
        </w:tc>
      </w:tr>
      <w:tr w:rsidR="00095F6F" w14:paraId="6928FFAA"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5550CC9D"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递延所得税资产减少（增加以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17C684AB"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-15,170,721.67</w:t>
            </w:r>
          </w:p>
        </w:tc>
        <w:tc>
          <w:tcPr>
            <w:tcW w:w="1630" w:type="dxa"/>
            <w:tcBorders>
              <w:top w:val="single" w:sz="2" w:space="0" w:color="auto"/>
              <w:left w:val="single" w:sz="2" w:space="0" w:color="auto"/>
              <w:bottom w:val="single" w:sz="2" w:space="0" w:color="auto"/>
              <w:right w:val="single" w:sz="2" w:space="0" w:color="auto"/>
            </w:tcBorders>
            <w:vAlign w:val="center"/>
          </w:tcPr>
          <w:p w14:paraId="35DC6199"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-1,490,560.18</w:t>
            </w:r>
          </w:p>
        </w:tc>
      </w:tr>
      <w:tr w:rsidR="00095F6F" w14:paraId="4272B39C"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223D4111"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递延所得税负债增加（减少以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22F5DFF3"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-533,292.46</w:t>
            </w:r>
          </w:p>
        </w:tc>
        <w:tc>
          <w:tcPr>
            <w:tcW w:w="1630" w:type="dxa"/>
            <w:tcBorders>
              <w:top w:val="single" w:sz="2" w:space="0" w:color="auto"/>
              <w:left w:val="single" w:sz="2" w:space="0" w:color="auto"/>
              <w:bottom w:val="single" w:sz="2" w:space="0" w:color="auto"/>
              <w:right w:val="single" w:sz="2" w:space="0" w:color="auto"/>
            </w:tcBorders>
            <w:vAlign w:val="center"/>
          </w:tcPr>
          <w:p w14:paraId="4D9D3EA6"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-3,007,151.22</w:t>
            </w:r>
          </w:p>
        </w:tc>
      </w:tr>
      <w:tr w:rsidR="00095F6F" w14:paraId="416575E1"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5C1FCBC8"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存货的减少（增加以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4AD9A846"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-108,959,165.66</w:t>
            </w:r>
          </w:p>
        </w:tc>
        <w:tc>
          <w:tcPr>
            <w:tcW w:w="1630" w:type="dxa"/>
            <w:tcBorders>
              <w:top w:val="single" w:sz="2" w:space="0" w:color="auto"/>
              <w:left w:val="single" w:sz="2" w:space="0" w:color="auto"/>
              <w:bottom w:val="single" w:sz="2" w:space="0" w:color="auto"/>
              <w:right w:val="single" w:sz="2" w:space="0" w:color="auto"/>
            </w:tcBorders>
            <w:vAlign w:val="center"/>
          </w:tcPr>
          <w:p w14:paraId="1B195F7F"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-34,161,589.23</w:t>
            </w:r>
          </w:p>
        </w:tc>
      </w:tr>
      <w:tr w:rsidR="00095F6F" w14:paraId="700AC485"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106488BA"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经营性应收项目的减少（增加以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7BDDF08E"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92,671,491.60</w:t>
            </w:r>
          </w:p>
        </w:tc>
        <w:tc>
          <w:tcPr>
            <w:tcW w:w="1630" w:type="dxa"/>
            <w:tcBorders>
              <w:top w:val="single" w:sz="2" w:space="0" w:color="auto"/>
              <w:left w:val="single" w:sz="2" w:space="0" w:color="auto"/>
              <w:bottom w:val="single" w:sz="2" w:space="0" w:color="auto"/>
              <w:right w:val="single" w:sz="2" w:space="0" w:color="auto"/>
            </w:tcBorders>
            <w:vAlign w:val="center"/>
          </w:tcPr>
          <w:p w14:paraId="0C625F24"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-156,399,233.44</w:t>
            </w:r>
          </w:p>
        </w:tc>
      </w:tr>
      <w:tr w:rsidR="00095F6F" w14:paraId="00092046"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5AD26630"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经营性应付项目的增加（减少以</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w:t>
            </w:r>
            <w:r w:rsidRPr="00181939">
              <w:rPr>
                <w:rFonts w:ascii="Times New Roman" w:eastAsia="宋体" w:hAnsi="Times New Roman" w:cs="Times New Roman"/>
                <w:sz w:val="18"/>
                <w:szCs w:val="18"/>
              </w:rPr>
              <w:t>号填列）</w:t>
            </w:r>
          </w:p>
        </w:tc>
        <w:tc>
          <w:tcPr>
            <w:tcW w:w="1630" w:type="dxa"/>
            <w:tcBorders>
              <w:top w:val="single" w:sz="2" w:space="0" w:color="auto"/>
              <w:left w:val="single" w:sz="2" w:space="0" w:color="auto"/>
              <w:bottom w:val="single" w:sz="2" w:space="0" w:color="auto"/>
              <w:right w:val="single" w:sz="2" w:space="0" w:color="auto"/>
            </w:tcBorders>
            <w:vAlign w:val="center"/>
          </w:tcPr>
          <w:p w14:paraId="54A7239E"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177,132,967.17</w:t>
            </w:r>
          </w:p>
        </w:tc>
        <w:tc>
          <w:tcPr>
            <w:tcW w:w="1630" w:type="dxa"/>
            <w:tcBorders>
              <w:top w:val="single" w:sz="2" w:space="0" w:color="auto"/>
              <w:left w:val="single" w:sz="2" w:space="0" w:color="auto"/>
              <w:bottom w:val="single" w:sz="2" w:space="0" w:color="auto"/>
              <w:right w:val="single" w:sz="2" w:space="0" w:color="auto"/>
            </w:tcBorders>
            <w:vAlign w:val="center"/>
          </w:tcPr>
          <w:p w14:paraId="2B0E389F"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107,870,131.92</w:t>
            </w:r>
          </w:p>
        </w:tc>
      </w:tr>
      <w:tr w:rsidR="00095F6F" w14:paraId="0966305C"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79D86DF7"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其他</w:t>
            </w:r>
          </w:p>
        </w:tc>
        <w:tc>
          <w:tcPr>
            <w:tcW w:w="1630" w:type="dxa"/>
            <w:tcBorders>
              <w:top w:val="single" w:sz="2" w:space="0" w:color="auto"/>
              <w:left w:val="single" w:sz="2" w:space="0" w:color="auto"/>
              <w:bottom w:val="single" w:sz="2" w:space="0" w:color="auto"/>
              <w:right w:val="single" w:sz="2" w:space="0" w:color="auto"/>
            </w:tcBorders>
            <w:vAlign w:val="center"/>
          </w:tcPr>
          <w:p w14:paraId="7EFF9B95"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2F0090E6"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0737EA55"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43AEAA61" w14:textId="77777777" w:rsidR="00A46BF1" w:rsidRPr="00181939" w:rsidRDefault="00A46BF1" w:rsidP="00181939">
            <w:pPr>
              <w:spacing w:before="40" w:after="40" w:line="360" w:lineRule="auto"/>
              <w:ind w:firstLineChars="300" w:firstLine="540"/>
              <w:rPr>
                <w:rFonts w:ascii="Times New Roman" w:eastAsia="宋体" w:hAnsi="Times New Roman" w:cs="Times New Roman"/>
                <w:sz w:val="18"/>
                <w:szCs w:val="18"/>
              </w:rPr>
            </w:pPr>
            <w:r w:rsidRPr="00181939">
              <w:rPr>
                <w:rFonts w:ascii="Times New Roman" w:eastAsia="宋体" w:hAnsi="Times New Roman" w:cs="Times New Roman"/>
                <w:sz w:val="18"/>
                <w:szCs w:val="18"/>
              </w:rPr>
              <w:t>经营活动产生的现金流量净额</w:t>
            </w:r>
          </w:p>
        </w:tc>
        <w:tc>
          <w:tcPr>
            <w:tcW w:w="1630" w:type="dxa"/>
            <w:tcBorders>
              <w:top w:val="single" w:sz="2" w:space="0" w:color="auto"/>
              <w:left w:val="single" w:sz="2" w:space="0" w:color="auto"/>
              <w:bottom w:val="single" w:sz="2" w:space="0" w:color="auto"/>
              <w:right w:val="single" w:sz="2" w:space="0" w:color="auto"/>
            </w:tcBorders>
            <w:vAlign w:val="center"/>
          </w:tcPr>
          <w:p w14:paraId="1ECB2C46"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605,144,568.58</w:t>
            </w:r>
          </w:p>
        </w:tc>
        <w:tc>
          <w:tcPr>
            <w:tcW w:w="1630" w:type="dxa"/>
            <w:tcBorders>
              <w:top w:val="single" w:sz="2" w:space="0" w:color="auto"/>
              <w:left w:val="single" w:sz="2" w:space="0" w:color="auto"/>
              <w:bottom w:val="single" w:sz="2" w:space="0" w:color="auto"/>
              <w:right w:val="single" w:sz="2" w:space="0" w:color="auto"/>
            </w:tcBorders>
            <w:vAlign w:val="center"/>
          </w:tcPr>
          <w:p w14:paraId="736E3585"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631,288,899.17</w:t>
            </w:r>
          </w:p>
        </w:tc>
      </w:tr>
      <w:tr w:rsidR="00095F6F" w14:paraId="4095B645"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6136A888" w14:textId="77777777" w:rsidR="00A46BF1" w:rsidRPr="00181939" w:rsidRDefault="00A46BF1" w:rsidP="00181939">
            <w:pPr>
              <w:spacing w:before="40" w:after="40" w:line="360" w:lineRule="auto"/>
              <w:rPr>
                <w:rFonts w:ascii="Times New Roman" w:eastAsia="宋体" w:hAnsi="Times New Roman" w:cs="Times New Roman"/>
                <w:sz w:val="18"/>
                <w:szCs w:val="18"/>
              </w:rPr>
            </w:pPr>
            <w:r w:rsidRPr="00181939">
              <w:rPr>
                <w:rFonts w:ascii="Times New Roman" w:eastAsia="宋体" w:hAnsi="Times New Roman" w:cs="Times New Roman"/>
                <w:sz w:val="18"/>
                <w:szCs w:val="18"/>
              </w:rPr>
              <w:t>2</w:t>
            </w:r>
            <w:r w:rsidRPr="00181939">
              <w:rPr>
                <w:rFonts w:ascii="Times New Roman" w:eastAsia="宋体" w:hAnsi="Times New Roman" w:cs="Times New Roman"/>
                <w:sz w:val="18"/>
                <w:szCs w:val="18"/>
              </w:rPr>
              <w:t>．不涉及现金收支的重大投资和筹资活动</w:t>
            </w: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08EC4353" w14:textId="77777777" w:rsidR="00A46BF1" w:rsidRPr="00181939" w:rsidRDefault="00A46BF1" w:rsidP="00181939">
            <w:pPr>
              <w:spacing w:line="360" w:lineRule="auto"/>
              <w:rPr>
                <w:rFonts w:ascii="Times New Roman" w:hAnsi="Times New Roman" w:cs="Times New Roman"/>
              </w:rPr>
            </w:pP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6ADF796D" w14:textId="77777777" w:rsidR="00A46BF1" w:rsidRPr="00181939" w:rsidRDefault="00A46BF1" w:rsidP="00181939">
            <w:pPr>
              <w:spacing w:line="360" w:lineRule="auto"/>
              <w:rPr>
                <w:rFonts w:ascii="Times New Roman" w:hAnsi="Times New Roman" w:cs="Times New Roman"/>
              </w:rPr>
            </w:pPr>
          </w:p>
        </w:tc>
      </w:tr>
      <w:tr w:rsidR="00095F6F" w14:paraId="67FF8A79"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7B8D142E"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债务转为资本</w:t>
            </w:r>
          </w:p>
        </w:tc>
        <w:tc>
          <w:tcPr>
            <w:tcW w:w="1630" w:type="dxa"/>
            <w:tcBorders>
              <w:top w:val="single" w:sz="2" w:space="0" w:color="auto"/>
              <w:left w:val="single" w:sz="2" w:space="0" w:color="auto"/>
              <w:bottom w:val="single" w:sz="2" w:space="0" w:color="auto"/>
              <w:right w:val="single" w:sz="2" w:space="0" w:color="auto"/>
            </w:tcBorders>
            <w:vAlign w:val="center"/>
          </w:tcPr>
          <w:p w14:paraId="6E4C253D"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7A3D912A"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57281647"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697331F6"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一年内到期的可转换公司债券</w:t>
            </w:r>
          </w:p>
        </w:tc>
        <w:tc>
          <w:tcPr>
            <w:tcW w:w="1630" w:type="dxa"/>
            <w:tcBorders>
              <w:top w:val="single" w:sz="2" w:space="0" w:color="auto"/>
              <w:left w:val="single" w:sz="2" w:space="0" w:color="auto"/>
              <w:bottom w:val="single" w:sz="2" w:space="0" w:color="auto"/>
              <w:right w:val="single" w:sz="2" w:space="0" w:color="auto"/>
            </w:tcBorders>
            <w:vAlign w:val="center"/>
          </w:tcPr>
          <w:p w14:paraId="03508CD4"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4437480E"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61A7B3DD"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3D0056F5"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融资租入固定资产</w:t>
            </w:r>
          </w:p>
        </w:tc>
        <w:tc>
          <w:tcPr>
            <w:tcW w:w="1630" w:type="dxa"/>
            <w:tcBorders>
              <w:top w:val="single" w:sz="2" w:space="0" w:color="auto"/>
              <w:left w:val="single" w:sz="2" w:space="0" w:color="auto"/>
              <w:bottom w:val="single" w:sz="2" w:space="0" w:color="auto"/>
              <w:right w:val="single" w:sz="2" w:space="0" w:color="auto"/>
            </w:tcBorders>
            <w:vAlign w:val="center"/>
          </w:tcPr>
          <w:p w14:paraId="5114C8B3"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256450BF"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5A32D495"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3AC45531" w14:textId="77777777" w:rsidR="00A46BF1" w:rsidRPr="00181939" w:rsidRDefault="00A46BF1" w:rsidP="00181939">
            <w:pPr>
              <w:spacing w:before="40" w:after="40" w:line="360" w:lineRule="auto"/>
              <w:rPr>
                <w:rFonts w:ascii="Times New Roman" w:eastAsia="宋体" w:hAnsi="Times New Roman" w:cs="Times New Roman"/>
                <w:sz w:val="18"/>
                <w:szCs w:val="18"/>
              </w:rPr>
            </w:pPr>
            <w:r w:rsidRPr="00181939">
              <w:rPr>
                <w:rFonts w:ascii="Times New Roman" w:eastAsia="宋体" w:hAnsi="Times New Roman" w:cs="Times New Roman"/>
                <w:sz w:val="18"/>
                <w:szCs w:val="18"/>
              </w:rPr>
              <w:t>3</w:t>
            </w:r>
            <w:r w:rsidRPr="00181939">
              <w:rPr>
                <w:rFonts w:ascii="Times New Roman" w:eastAsia="宋体" w:hAnsi="Times New Roman" w:cs="Times New Roman"/>
                <w:sz w:val="18"/>
                <w:szCs w:val="18"/>
              </w:rPr>
              <w:t>．现金及现金等价物净变动情况：</w:t>
            </w: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190518C9" w14:textId="77777777" w:rsidR="00A46BF1" w:rsidRPr="00181939" w:rsidRDefault="00A46BF1" w:rsidP="00181939">
            <w:pPr>
              <w:spacing w:line="360" w:lineRule="auto"/>
              <w:rPr>
                <w:rFonts w:ascii="Times New Roman" w:hAnsi="Times New Roman" w:cs="Times New Roman"/>
              </w:rPr>
            </w:pPr>
          </w:p>
        </w:tc>
        <w:tc>
          <w:tcPr>
            <w:tcW w:w="1630" w:type="dxa"/>
            <w:tcBorders>
              <w:top w:val="single" w:sz="2" w:space="0" w:color="auto"/>
              <w:left w:val="single" w:sz="2" w:space="0" w:color="auto"/>
              <w:bottom w:val="single" w:sz="2" w:space="0" w:color="auto"/>
              <w:right w:val="single" w:sz="2" w:space="0" w:color="auto"/>
            </w:tcBorders>
            <w:shd w:val="clear" w:color="auto" w:fill="D3D3D3"/>
            <w:vAlign w:val="center"/>
          </w:tcPr>
          <w:p w14:paraId="7394A4A4" w14:textId="77777777" w:rsidR="00A46BF1" w:rsidRPr="00181939" w:rsidRDefault="00A46BF1" w:rsidP="00181939">
            <w:pPr>
              <w:spacing w:line="360" w:lineRule="auto"/>
              <w:rPr>
                <w:rFonts w:ascii="Times New Roman" w:hAnsi="Times New Roman" w:cs="Times New Roman"/>
              </w:rPr>
            </w:pPr>
          </w:p>
        </w:tc>
      </w:tr>
      <w:tr w:rsidR="00095F6F" w14:paraId="37FC1BC3"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65746981"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现金的期末余额</w:t>
            </w:r>
          </w:p>
        </w:tc>
        <w:tc>
          <w:tcPr>
            <w:tcW w:w="1630" w:type="dxa"/>
            <w:tcBorders>
              <w:top w:val="single" w:sz="2" w:space="0" w:color="auto"/>
              <w:left w:val="single" w:sz="2" w:space="0" w:color="auto"/>
              <w:bottom w:val="single" w:sz="2" w:space="0" w:color="auto"/>
              <w:right w:val="single" w:sz="2" w:space="0" w:color="auto"/>
            </w:tcBorders>
            <w:vAlign w:val="center"/>
          </w:tcPr>
          <w:p w14:paraId="3E005EB8"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770,870,272.55</w:t>
            </w:r>
          </w:p>
        </w:tc>
        <w:tc>
          <w:tcPr>
            <w:tcW w:w="1630" w:type="dxa"/>
            <w:tcBorders>
              <w:top w:val="single" w:sz="2" w:space="0" w:color="auto"/>
              <w:left w:val="single" w:sz="2" w:space="0" w:color="auto"/>
              <w:bottom w:val="single" w:sz="2" w:space="0" w:color="auto"/>
              <w:right w:val="single" w:sz="2" w:space="0" w:color="auto"/>
            </w:tcBorders>
            <w:vAlign w:val="center"/>
          </w:tcPr>
          <w:p w14:paraId="2F3E7F0E"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842,454,892.22</w:t>
            </w:r>
          </w:p>
        </w:tc>
      </w:tr>
      <w:tr w:rsidR="00095F6F" w14:paraId="6FBCBBBF"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1FC18BED"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减：现金的期初余额</w:t>
            </w:r>
          </w:p>
        </w:tc>
        <w:tc>
          <w:tcPr>
            <w:tcW w:w="1630" w:type="dxa"/>
            <w:tcBorders>
              <w:top w:val="single" w:sz="2" w:space="0" w:color="auto"/>
              <w:left w:val="single" w:sz="2" w:space="0" w:color="auto"/>
              <w:bottom w:val="single" w:sz="2" w:space="0" w:color="auto"/>
              <w:right w:val="single" w:sz="2" w:space="0" w:color="auto"/>
            </w:tcBorders>
            <w:vAlign w:val="center"/>
          </w:tcPr>
          <w:p w14:paraId="5F21BBE4"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842,454,892.22</w:t>
            </w:r>
          </w:p>
        </w:tc>
        <w:tc>
          <w:tcPr>
            <w:tcW w:w="1630" w:type="dxa"/>
            <w:tcBorders>
              <w:top w:val="single" w:sz="2" w:space="0" w:color="auto"/>
              <w:left w:val="single" w:sz="2" w:space="0" w:color="auto"/>
              <w:bottom w:val="single" w:sz="2" w:space="0" w:color="auto"/>
              <w:right w:val="single" w:sz="2" w:space="0" w:color="auto"/>
            </w:tcBorders>
            <w:vAlign w:val="center"/>
          </w:tcPr>
          <w:p w14:paraId="2C320DE5"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779,666,415.77</w:t>
            </w:r>
          </w:p>
        </w:tc>
      </w:tr>
      <w:tr w:rsidR="00095F6F" w14:paraId="3A11EB85"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51CBE2DE"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加：现金等价物的期末余额</w:t>
            </w:r>
          </w:p>
        </w:tc>
        <w:tc>
          <w:tcPr>
            <w:tcW w:w="1630" w:type="dxa"/>
            <w:tcBorders>
              <w:top w:val="single" w:sz="2" w:space="0" w:color="auto"/>
              <w:left w:val="single" w:sz="2" w:space="0" w:color="auto"/>
              <w:bottom w:val="single" w:sz="2" w:space="0" w:color="auto"/>
              <w:right w:val="single" w:sz="2" w:space="0" w:color="auto"/>
            </w:tcBorders>
            <w:vAlign w:val="center"/>
          </w:tcPr>
          <w:p w14:paraId="15CB3CE9"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30EC7D74"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7C3BCFB1"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34E47A01"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减：现金等价物的期初余额</w:t>
            </w:r>
          </w:p>
        </w:tc>
        <w:tc>
          <w:tcPr>
            <w:tcW w:w="1630" w:type="dxa"/>
            <w:tcBorders>
              <w:top w:val="single" w:sz="2" w:space="0" w:color="auto"/>
              <w:left w:val="single" w:sz="2" w:space="0" w:color="auto"/>
              <w:bottom w:val="single" w:sz="2" w:space="0" w:color="auto"/>
              <w:right w:val="single" w:sz="2" w:space="0" w:color="auto"/>
            </w:tcBorders>
            <w:vAlign w:val="center"/>
          </w:tcPr>
          <w:p w14:paraId="3C295A98" w14:textId="77777777" w:rsidR="00A46BF1" w:rsidRPr="00181939" w:rsidRDefault="00A46BF1" w:rsidP="00181939">
            <w:pPr>
              <w:spacing w:line="360" w:lineRule="auto"/>
              <w:jc w:val="right"/>
              <w:rPr>
                <w:rFonts w:ascii="Times New Roman" w:eastAsia="宋体" w:hAnsi="Times New Roman" w:cs="Times New Roman"/>
                <w:sz w:val="18"/>
                <w:szCs w:val="18"/>
              </w:rPr>
            </w:pPr>
          </w:p>
        </w:tc>
        <w:tc>
          <w:tcPr>
            <w:tcW w:w="1630" w:type="dxa"/>
            <w:tcBorders>
              <w:top w:val="single" w:sz="2" w:space="0" w:color="auto"/>
              <w:left w:val="single" w:sz="2" w:space="0" w:color="auto"/>
              <w:bottom w:val="single" w:sz="2" w:space="0" w:color="auto"/>
              <w:right w:val="single" w:sz="2" w:space="0" w:color="auto"/>
            </w:tcBorders>
            <w:vAlign w:val="center"/>
          </w:tcPr>
          <w:p w14:paraId="19855815" w14:textId="77777777" w:rsidR="00A46BF1" w:rsidRPr="00181939" w:rsidRDefault="00A46BF1" w:rsidP="00181939">
            <w:pPr>
              <w:spacing w:line="360" w:lineRule="auto"/>
              <w:jc w:val="right"/>
              <w:rPr>
                <w:rFonts w:ascii="Times New Roman" w:eastAsia="宋体" w:hAnsi="Times New Roman" w:cs="Times New Roman"/>
                <w:sz w:val="18"/>
                <w:szCs w:val="18"/>
              </w:rPr>
            </w:pPr>
          </w:p>
        </w:tc>
      </w:tr>
      <w:tr w:rsidR="00095F6F" w14:paraId="76DE2193" w14:textId="77777777" w:rsidTr="00181939">
        <w:trPr>
          <w:trHeight w:val="240"/>
        </w:trPr>
        <w:tc>
          <w:tcPr>
            <w:tcW w:w="6379" w:type="dxa"/>
            <w:tcBorders>
              <w:top w:val="single" w:sz="2" w:space="0" w:color="auto"/>
              <w:left w:val="single" w:sz="2" w:space="0" w:color="auto"/>
              <w:bottom w:val="single" w:sz="2" w:space="0" w:color="auto"/>
              <w:right w:val="single" w:sz="2" w:space="0" w:color="auto"/>
            </w:tcBorders>
            <w:shd w:val="clear" w:color="auto" w:fill="D3D3D3"/>
            <w:vAlign w:val="center"/>
          </w:tcPr>
          <w:p w14:paraId="6D738D53" w14:textId="77777777" w:rsidR="00A46BF1" w:rsidRPr="00181939" w:rsidRDefault="00A46BF1" w:rsidP="00181939">
            <w:pPr>
              <w:spacing w:before="40" w:after="40" w:line="360" w:lineRule="auto"/>
              <w:ind w:firstLineChars="100" w:firstLine="180"/>
              <w:rPr>
                <w:rFonts w:ascii="Times New Roman" w:eastAsia="宋体" w:hAnsi="Times New Roman" w:cs="Times New Roman"/>
                <w:sz w:val="18"/>
                <w:szCs w:val="18"/>
              </w:rPr>
            </w:pPr>
            <w:r w:rsidRPr="00181939">
              <w:rPr>
                <w:rFonts w:ascii="Times New Roman" w:eastAsia="宋体" w:hAnsi="Times New Roman" w:cs="Times New Roman"/>
                <w:sz w:val="18"/>
                <w:szCs w:val="18"/>
              </w:rPr>
              <w:t>现金及现金等价物净增加额</w:t>
            </w:r>
          </w:p>
        </w:tc>
        <w:tc>
          <w:tcPr>
            <w:tcW w:w="1630" w:type="dxa"/>
            <w:tcBorders>
              <w:top w:val="single" w:sz="2" w:space="0" w:color="auto"/>
              <w:left w:val="single" w:sz="2" w:space="0" w:color="auto"/>
              <w:bottom w:val="single" w:sz="2" w:space="0" w:color="auto"/>
              <w:right w:val="single" w:sz="2" w:space="0" w:color="auto"/>
            </w:tcBorders>
            <w:vAlign w:val="center"/>
          </w:tcPr>
          <w:p w14:paraId="0501907B"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-71,584,619.67</w:t>
            </w:r>
          </w:p>
        </w:tc>
        <w:tc>
          <w:tcPr>
            <w:tcW w:w="1630" w:type="dxa"/>
            <w:tcBorders>
              <w:top w:val="single" w:sz="2" w:space="0" w:color="auto"/>
              <w:left w:val="single" w:sz="2" w:space="0" w:color="auto"/>
              <w:bottom w:val="single" w:sz="2" w:space="0" w:color="auto"/>
              <w:right w:val="single" w:sz="2" w:space="0" w:color="auto"/>
            </w:tcBorders>
            <w:vAlign w:val="center"/>
          </w:tcPr>
          <w:p w14:paraId="281084BE" w14:textId="77777777" w:rsidR="00A46BF1" w:rsidRPr="00181939" w:rsidRDefault="00A46BF1" w:rsidP="00181939">
            <w:pPr>
              <w:spacing w:line="360" w:lineRule="auto"/>
              <w:jc w:val="right"/>
              <w:rPr>
                <w:rFonts w:ascii="Times New Roman" w:eastAsia="宋体" w:hAnsi="Times New Roman" w:cs="Times New Roman"/>
                <w:sz w:val="18"/>
                <w:szCs w:val="18"/>
              </w:rPr>
            </w:pPr>
            <w:r w:rsidRPr="00181939">
              <w:rPr>
                <w:rFonts w:ascii="Times New Roman" w:eastAsia="宋体" w:hAnsi="Times New Roman" w:cs="Times New Roman"/>
                <w:sz w:val="18"/>
                <w:szCs w:val="18"/>
              </w:rPr>
              <w:t>62,788,476.45</w:t>
            </w:r>
          </w:p>
        </w:tc>
      </w:tr>
    </w:tbl>
    <w:p w14:paraId="3CD408F3" w14:textId="58B4B4D0" w:rsidR="00A46BF1" w:rsidRPr="00181939" w:rsidRDefault="00A46BF1" w:rsidP="00181939">
      <w:pPr>
        <w:spacing w:before="100" w:after="100" w:line="240" w:lineRule="exact"/>
        <w:rPr>
          <w:rFonts w:ascii="Times New Roman" w:eastAsia="宋体" w:hAnsi="Times New Roman" w:cs="Times New Roman"/>
          <w:sz w:val="18"/>
          <w:szCs w:val="18"/>
        </w:rPr>
      </w:pPr>
      <w:r w:rsidRPr="00181939">
        <w:rPr>
          <w:rFonts w:ascii="Times New Roman" w:eastAsia="宋体" w:hAnsi="Times New Roman" w:cs="Times New Roman"/>
          <w:sz w:val="18"/>
          <w:szCs w:val="18"/>
        </w:rPr>
        <w:t>注：</w:t>
      </w:r>
      <w:r w:rsidRPr="00181939">
        <w:rPr>
          <w:rFonts w:ascii="Times New Roman" w:eastAsia="宋体" w:hAnsi="Times New Roman" w:cs="Times New Roman"/>
          <w:sz w:val="18"/>
          <w:szCs w:val="18"/>
        </w:rPr>
        <w:t xml:space="preserve">1 </w:t>
      </w:r>
      <w:r w:rsidRPr="00181939">
        <w:rPr>
          <w:rFonts w:ascii="Times New Roman" w:eastAsia="宋体" w:hAnsi="Times New Roman" w:cs="Times New Roman"/>
          <w:sz w:val="18"/>
          <w:szCs w:val="18"/>
        </w:rPr>
        <w:t>包含资产减值准备</w:t>
      </w:r>
      <w:r w:rsidRPr="00181939">
        <w:rPr>
          <w:rFonts w:ascii="Times New Roman" w:eastAsia="宋体" w:hAnsi="Times New Roman" w:cs="Times New Roman"/>
          <w:sz w:val="18"/>
          <w:szCs w:val="18"/>
        </w:rPr>
        <w:t> 184,317,259.70</w:t>
      </w:r>
      <w:r w:rsidRPr="00181939">
        <w:rPr>
          <w:rFonts w:ascii="Times New Roman" w:eastAsia="宋体" w:hAnsi="Times New Roman" w:cs="Times New Roman"/>
          <w:sz w:val="18"/>
          <w:szCs w:val="18"/>
        </w:rPr>
        <w:t>元和信用减值损失</w:t>
      </w:r>
      <w:r w:rsidRPr="00181939">
        <w:rPr>
          <w:rFonts w:ascii="Times New Roman" w:eastAsia="宋体" w:hAnsi="Times New Roman" w:cs="Times New Roman"/>
          <w:sz w:val="18"/>
          <w:szCs w:val="18"/>
        </w:rPr>
        <w:t> 10,757,730.24</w:t>
      </w:r>
      <w:r w:rsidRPr="00181939">
        <w:rPr>
          <w:rFonts w:ascii="Times New Roman" w:eastAsia="宋体" w:hAnsi="Times New Roman" w:cs="Times New Roman"/>
          <w:sz w:val="18"/>
          <w:szCs w:val="18"/>
        </w:rPr>
        <w:t>元</w:t>
      </w:r>
      <w:r w:rsidR="00181939">
        <w:rPr>
          <w:rFonts w:ascii="Times New Roman" w:eastAsia="宋体" w:hAnsi="Times New Roman" w:cs="Times New Roman" w:hint="eastAsia"/>
          <w:sz w:val="18"/>
          <w:szCs w:val="18"/>
        </w:rPr>
        <w:t>。</w:t>
      </w:r>
    </w:p>
    <w:p w14:paraId="2D6830B0" w14:textId="40EC90A4" w:rsidR="00A46BF1" w:rsidRPr="00181939" w:rsidRDefault="00A46BF1" w:rsidP="00181939">
      <w:pPr>
        <w:spacing w:before="100" w:after="100" w:line="240" w:lineRule="exact"/>
        <w:ind w:firstLineChars="200" w:firstLine="360"/>
        <w:rPr>
          <w:rFonts w:ascii="Times New Roman" w:eastAsia="宋体" w:hAnsi="Times New Roman" w:cs="Times New Roman"/>
          <w:sz w:val="18"/>
          <w:szCs w:val="18"/>
        </w:rPr>
      </w:pPr>
      <w:r w:rsidRPr="00181939">
        <w:rPr>
          <w:rFonts w:ascii="Times New Roman" w:eastAsia="宋体" w:hAnsi="Times New Roman" w:cs="Times New Roman"/>
          <w:sz w:val="18"/>
          <w:szCs w:val="18"/>
        </w:rPr>
        <w:t xml:space="preserve">2 </w:t>
      </w:r>
      <w:r w:rsidRPr="00181939">
        <w:rPr>
          <w:rFonts w:ascii="Times New Roman" w:eastAsia="宋体" w:hAnsi="Times New Roman" w:cs="Times New Roman"/>
          <w:sz w:val="18"/>
          <w:szCs w:val="18"/>
        </w:rPr>
        <w:t>包含资产减值准备</w:t>
      </w:r>
      <w:r w:rsidRPr="00181939">
        <w:rPr>
          <w:rFonts w:ascii="Times New Roman" w:eastAsia="宋体" w:hAnsi="Times New Roman" w:cs="Times New Roman"/>
          <w:sz w:val="18"/>
          <w:szCs w:val="18"/>
        </w:rPr>
        <w:t> 74,396,452.82</w:t>
      </w:r>
      <w:r w:rsidRPr="00181939">
        <w:rPr>
          <w:rFonts w:ascii="Times New Roman" w:eastAsia="宋体" w:hAnsi="Times New Roman" w:cs="Times New Roman"/>
          <w:sz w:val="18"/>
          <w:szCs w:val="18"/>
        </w:rPr>
        <w:t>元和信用减值损失</w:t>
      </w:r>
      <w:r w:rsidRPr="00181939">
        <w:rPr>
          <w:rFonts w:ascii="Times New Roman" w:eastAsia="宋体" w:hAnsi="Times New Roman" w:cs="Times New Roman"/>
          <w:sz w:val="18"/>
          <w:szCs w:val="18"/>
        </w:rPr>
        <w:t> 28,390,059.42</w:t>
      </w:r>
      <w:r w:rsidRPr="00181939">
        <w:rPr>
          <w:rFonts w:ascii="Times New Roman" w:eastAsia="宋体" w:hAnsi="Times New Roman" w:cs="Times New Roman"/>
          <w:sz w:val="18"/>
          <w:szCs w:val="18"/>
        </w:rPr>
        <w:t>元</w:t>
      </w:r>
      <w:r w:rsidR="00181939">
        <w:rPr>
          <w:rFonts w:ascii="Times New Roman" w:eastAsia="宋体" w:hAnsi="Times New Roman" w:cs="Times New Roman" w:hint="eastAsia"/>
          <w:sz w:val="18"/>
          <w:szCs w:val="18"/>
        </w:rPr>
        <w:t>。</w:t>
      </w:r>
    </w:p>
    <w:p w14:paraId="1120A4AF"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现金和现金等价物的构成</w:t>
      </w:r>
    </w:p>
    <w:p w14:paraId="2C5A91C3"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1AACABA5" w14:textId="77777777" w:rsidTr="00FD2B0C">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996A48E"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1333B6B4"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期末余额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41F4C612"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期初余额</w:t>
            </w:r>
          </w:p>
        </w:tc>
      </w:tr>
      <w:tr w:rsidR="00095F6F" w14:paraId="06335C5E" w14:textId="77777777" w:rsidTr="00FD2B0C">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8D5422C" w14:textId="77777777" w:rsidR="00A46BF1" w:rsidRPr="00FD2B0C" w:rsidRDefault="00A46BF1" w:rsidP="00FD2B0C">
            <w:pPr>
              <w:spacing w:before="40" w:after="40"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一、现金</w:t>
            </w:r>
          </w:p>
        </w:tc>
        <w:tc>
          <w:tcPr>
            <w:tcW w:w="3047" w:type="dxa"/>
            <w:tcBorders>
              <w:top w:val="single" w:sz="2" w:space="0" w:color="auto"/>
              <w:left w:val="single" w:sz="2" w:space="0" w:color="auto"/>
              <w:bottom w:val="single" w:sz="2" w:space="0" w:color="auto"/>
              <w:right w:val="single" w:sz="2" w:space="0" w:color="auto"/>
            </w:tcBorders>
            <w:vAlign w:val="center"/>
          </w:tcPr>
          <w:p w14:paraId="285894F6"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770,870,272.55</w:t>
            </w:r>
          </w:p>
        </w:tc>
        <w:tc>
          <w:tcPr>
            <w:tcW w:w="3048" w:type="dxa"/>
            <w:tcBorders>
              <w:top w:val="single" w:sz="2" w:space="0" w:color="auto"/>
              <w:left w:val="single" w:sz="2" w:space="0" w:color="auto"/>
              <w:bottom w:val="single" w:sz="2" w:space="0" w:color="auto"/>
              <w:right w:val="single" w:sz="2" w:space="0" w:color="auto"/>
            </w:tcBorders>
            <w:vAlign w:val="center"/>
          </w:tcPr>
          <w:p w14:paraId="69576852"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842,454,892.22</w:t>
            </w:r>
          </w:p>
        </w:tc>
      </w:tr>
      <w:tr w:rsidR="00095F6F" w14:paraId="59F2586F" w14:textId="77777777" w:rsidTr="00FD2B0C">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9B52E0B" w14:textId="77777777" w:rsidR="00A46BF1" w:rsidRPr="00FD2B0C" w:rsidRDefault="00A46BF1" w:rsidP="00FD2B0C">
            <w:pPr>
              <w:spacing w:before="40" w:after="40"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其中：库存现金</w:t>
            </w:r>
          </w:p>
        </w:tc>
        <w:tc>
          <w:tcPr>
            <w:tcW w:w="3047" w:type="dxa"/>
            <w:tcBorders>
              <w:top w:val="single" w:sz="2" w:space="0" w:color="auto"/>
              <w:left w:val="single" w:sz="2" w:space="0" w:color="auto"/>
              <w:bottom w:val="single" w:sz="2" w:space="0" w:color="auto"/>
              <w:right w:val="single" w:sz="2" w:space="0" w:color="auto"/>
            </w:tcBorders>
            <w:vAlign w:val="center"/>
          </w:tcPr>
          <w:p w14:paraId="06B4188B"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78,730.91</w:t>
            </w:r>
          </w:p>
        </w:tc>
        <w:tc>
          <w:tcPr>
            <w:tcW w:w="3048" w:type="dxa"/>
            <w:tcBorders>
              <w:top w:val="single" w:sz="2" w:space="0" w:color="auto"/>
              <w:left w:val="single" w:sz="2" w:space="0" w:color="auto"/>
              <w:bottom w:val="single" w:sz="2" w:space="0" w:color="auto"/>
              <w:right w:val="single" w:sz="2" w:space="0" w:color="auto"/>
            </w:tcBorders>
            <w:vAlign w:val="center"/>
          </w:tcPr>
          <w:p w14:paraId="461E36FB"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66,061.08</w:t>
            </w:r>
          </w:p>
        </w:tc>
      </w:tr>
      <w:tr w:rsidR="00095F6F" w14:paraId="0B36157B" w14:textId="77777777" w:rsidTr="00FD2B0C">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1F94F980" w14:textId="77777777" w:rsidR="00A46BF1" w:rsidRPr="00FD2B0C" w:rsidRDefault="00A46BF1" w:rsidP="00FD2B0C">
            <w:pPr>
              <w:spacing w:before="40" w:after="40" w:line="360" w:lineRule="auto"/>
              <w:ind w:firstLineChars="300" w:firstLine="540"/>
              <w:rPr>
                <w:rFonts w:ascii="Times New Roman" w:eastAsia="宋体" w:hAnsi="Times New Roman" w:cs="Times New Roman"/>
                <w:sz w:val="18"/>
                <w:szCs w:val="18"/>
              </w:rPr>
            </w:pPr>
            <w:r w:rsidRPr="00FD2B0C">
              <w:rPr>
                <w:rFonts w:ascii="Times New Roman" w:eastAsia="宋体" w:hAnsi="Times New Roman" w:cs="Times New Roman"/>
                <w:sz w:val="18"/>
                <w:szCs w:val="18"/>
              </w:rPr>
              <w:t>可随时用于支付的银行存款</w:t>
            </w:r>
          </w:p>
        </w:tc>
        <w:tc>
          <w:tcPr>
            <w:tcW w:w="3047" w:type="dxa"/>
            <w:tcBorders>
              <w:top w:val="single" w:sz="2" w:space="0" w:color="auto"/>
              <w:left w:val="single" w:sz="2" w:space="0" w:color="auto"/>
              <w:bottom w:val="single" w:sz="2" w:space="0" w:color="auto"/>
              <w:right w:val="single" w:sz="2" w:space="0" w:color="auto"/>
            </w:tcBorders>
            <w:vAlign w:val="center"/>
          </w:tcPr>
          <w:p w14:paraId="31346B22"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748,359,863.86</w:t>
            </w:r>
          </w:p>
        </w:tc>
        <w:tc>
          <w:tcPr>
            <w:tcW w:w="3048" w:type="dxa"/>
            <w:tcBorders>
              <w:top w:val="single" w:sz="2" w:space="0" w:color="auto"/>
              <w:left w:val="single" w:sz="2" w:space="0" w:color="auto"/>
              <w:bottom w:val="single" w:sz="2" w:space="0" w:color="auto"/>
              <w:right w:val="single" w:sz="2" w:space="0" w:color="auto"/>
            </w:tcBorders>
            <w:vAlign w:val="center"/>
          </w:tcPr>
          <w:p w14:paraId="42FEC3B4"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836,393,225.30</w:t>
            </w:r>
          </w:p>
        </w:tc>
      </w:tr>
      <w:tr w:rsidR="00095F6F" w14:paraId="79CA948C" w14:textId="77777777" w:rsidTr="00FD2B0C">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0F648508" w14:textId="77777777" w:rsidR="00A46BF1" w:rsidRPr="00FD2B0C" w:rsidRDefault="00A46BF1" w:rsidP="00FD2B0C">
            <w:pPr>
              <w:spacing w:before="40" w:after="40" w:line="360" w:lineRule="auto"/>
              <w:ind w:firstLineChars="300" w:firstLine="540"/>
              <w:rPr>
                <w:rFonts w:ascii="Times New Roman" w:eastAsia="宋体" w:hAnsi="Times New Roman" w:cs="Times New Roman"/>
                <w:sz w:val="18"/>
                <w:szCs w:val="18"/>
              </w:rPr>
            </w:pPr>
            <w:r w:rsidRPr="00FD2B0C">
              <w:rPr>
                <w:rFonts w:ascii="Times New Roman" w:eastAsia="宋体" w:hAnsi="Times New Roman" w:cs="Times New Roman"/>
                <w:sz w:val="18"/>
                <w:szCs w:val="18"/>
              </w:rPr>
              <w:t>可随时用于支付的其他货币资金</w:t>
            </w:r>
          </w:p>
        </w:tc>
        <w:tc>
          <w:tcPr>
            <w:tcW w:w="3047" w:type="dxa"/>
            <w:tcBorders>
              <w:top w:val="single" w:sz="2" w:space="0" w:color="auto"/>
              <w:left w:val="single" w:sz="2" w:space="0" w:color="auto"/>
              <w:bottom w:val="single" w:sz="2" w:space="0" w:color="auto"/>
              <w:right w:val="single" w:sz="2" w:space="0" w:color="auto"/>
            </w:tcBorders>
            <w:vAlign w:val="center"/>
          </w:tcPr>
          <w:p w14:paraId="1E503510"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22,431,677.78</w:t>
            </w:r>
          </w:p>
        </w:tc>
        <w:tc>
          <w:tcPr>
            <w:tcW w:w="3048" w:type="dxa"/>
            <w:tcBorders>
              <w:top w:val="single" w:sz="2" w:space="0" w:color="auto"/>
              <w:left w:val="single" w:sz="2" w:space="0" w:color="auto"/>
              <w:bottom w:val="single" w:sz="2" w:space="0" w:color="auto"/>
              <w:right w:val="single" w:sz="2" w:space="0" w:color="auto"/>
            </w:tcBorders>
            <w:vAlign w:val="center"/>
          </w:tcPr>
          <w:p w14:paraId="06106049"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5,995,605.84</w:t>
            </w:r>
          </w:p>
        </w:tc>
      </w:tr>
      <w:tr w:rsidR="00095F6F" w14:paraId="1BC52887" w14:textId="77777777" w:rsidTr="00FD2B0C">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708B2A3A" w14:textId="77777777" w:rsidR="00A46BF1" w:rsidRPr="00FD2B0C" w:rsidRDefault="00A46BF1" w:rsidP="00FD2B0C">
            <w:pPr>
              <w:spacing w:before="40" w:after="40"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三、期末现金及现金等价物余额</w:t>
            </w:r>
          </w:p>
        </w:tc>
        <w:tc>
          <w:tcPr>
            <w:tcW w:w="3047" w:type="dxa"/>
            <w:tcBorders>
              <w:top w:val="single" w:sz="2" w:space="0" w:color="auto"/>
              <w:left w:val="single" w:sz="2" w:space="0" w:color="auto"/>
              <w:bottom w:val="single" w:sz="2" w:space="0" w:color="auto"/>
              <w:right w:val="single" w:sz="2" w:space="0" w:color="auto"/>
            </w:tcBorders>
            <w:vAlign w:val="center"/>
          </w:tcPr>
          <w:p w14:paraId="25DFDF45"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770,870,272.55</w:t>
            </w:r>
          </w:p>
        </w:tc>
        <w:tc>
          <w:tcPr>
            <w:tcW w:w="3048" w:type="dxa"/>
            <w:tcBorders>
              <w:top w:val="single" w:sz="2" w:space="0" w:color="auto"/>
              <w:left w:val="single" w:sz="2" w:space="0" w:color="auto"/>
              <w:bottom w:val="single" w:sz="2" w:space="0" w:color="auto"/>
              <w:right w:val="single" w:sz="2" w:space="0" w:color="auto"/>
            </w:tcBorders>
            <w:vAlign w:val="center"/>
          </w:tcPr>
          <w:p w14:paraId="188518A2"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842,454,892.22</w:t>
            </w:r>
          </w:p>
        </w:tc>
      </w:tr>
    </w:tbl>
    <w:p w14:paraId="63B605D4"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不属于现金及现金等价物的货币资金</w:t>
      </w:r>
    </w:p>
    <w:p w14:paraId="590A7553"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418"/>
        <w:gridCol w:w="2551"/>
        <w:gridCol w:w="2552"/>
        <w:gridCol w:w="3118"/>
      </w:tblGrid>
      <w:tr w:rsidR="00095F6F" w14:paraId="1231EAC7" w14:textId="77777777" w:rsidTr="00FD2B0C">
        <w:trPr>
          <w:trHeight w:val="240"/>
        </w:trPr>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0143CCCB"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项目</w:t>
            </w:r>
          </w:p>
        </w:tc>
        <w:tc>
          <w:tcPr>
            <w:tcW w:w="2551" w:type="dxa"/>
            <w:tcBorders>
              <w:top w:val="single" w:sz="2" w:space="0" w:color="auto"/>
              <w:left w:val="single" w:sz="2" w:space="0" w:color="auto"/>
              <w:bottom w:val="single" w:sz="2" w:space="0" w:color="auto"/>
              <w:right w:val="single" w:sz="2" w:space="0" w:color="auto"/>
            </w:tcBorders>
            <w:shd w:val="clear" w:color="auto" w:fill="D3D3D3"/>
            <w:vAlign w:val="center"/>
          </w:tcPr>
          <w:p w14:paraId="211440D8"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本期金额</w:t>
            </w:r>
          </w:p>
        </w:tc>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210861AF"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上期金额</w:t>
            </w:r>
          </w:p>
        </w:tc>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599832ED" w14:textId="77777777" w:rsidR="00A46BF1" w:rsidRPr="00FD2B0C" w:rsidRDefault="00A46BF1" w:rsidP="00FD2B0C">
            <w:pPr>
              <w:spacing w:before="40" w:after="40" w:line="360" w:lineRule="auto"/>
              <w:jc w:val="center"/>
              <w:rPr>
                <w:rFonts w:ascii="Times New Roman" w:eastAsia="宋体" w:hAnsi="Times New Roman" w:cs="Times New Roman"/>
                <w:sz w:val="18"/>
                <w:szCs w:val="18"/>
              </w:rPr>
            </w:pPr>
            <w:r w:rsidRPr="00FD2B0C">
              <w:rPr>
                <w:rFonts w:ascii="Times New Roman" w:eastAsia="宋体" w:hAnsi="Times New Roman" w:cs="Times New Roman"/>
                <w:sz w:val="18"/>
                <w:szCs w:val="18"/>
              </w:rPr>
              <w:t>不属于现金及现金等价物的理由</w:t>
            </w:r>
          </w:p>
        </w:tc>
      </w:tr>
      <w:tr w:rsidR="00095F6F" w14:paraId="04E8443D" w14:textId="77777777" w:rsidTr="00FD2B0C">
        <w:trPr>
          <w:trHeight w:val="240"/>
        </w:trPr>
        <w:tc>
          <w:tcPr>
            <w:tcW w:w="1418" w:type="dxa"/>
            <w:tcBorders>
              <w:top w:val="single" w:sz="2" w:space="0" w:color="auto"/>
              <w:left w:val="single" w:sz="2" w:space="0" w:color="auto"/>
              <w:bottom w:val="single" w:sz="2" w:space="0" w:color="auto"/>
              <w:right w:val="single" w:sz="2" w:space="0" w:color="auto"/>
            </w:tcBorders>
            <w:vAlign w:val="center"/>
          </w:tcPr>
          <w:p w14:paraId="31A42E2A"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票据保证金</w:t>
            </w:r>
          </w:p>
        </w:tc>
        <w:tc>
          <w:tcPr>
            <w:tcW w:w="2551" w:type="dxa"/>
            <w:tcBorders>
              <w:top w:val="single" w:sz="2" w:space="0" w:color="auto"/>
              <w:left w:val="single" w:sz="2" w:space="0" w:color="auto"/>
              <w:bottom w:val="single" w:sz="2" w:space="0" w:color="auto"/>
              <w:right w:val="single" w:sz="2" w:space="0" w:color="auto"/>
            </w:tcBorders>
            <w:vAlign w:val="center"/>
          </w:tcPr>
          <w:p w14:paraId="028BC5D2"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5,300,768.00</w:t>
            </w:r>
          </w:p>
        </w:tc>
        <w:tc>
          <w:tcPr>
            <w:tcW w:w="2552" w:type="dxa"/>
            <w:tcBorders>
              <w:top w:val="single" w:sz="2" w:space="0" w:color="auto"/>
              <w:left w:val="single" w:sz="2" w:space="0" w:color="auto"/>
              <w:bottom w:val="single" w:sz="2" w:space="0" w:color="auto"/>
              <w:right w:val="single" w:sz="2" w:space="0" w:color="auto"/>
            </w:tcBorders>
            <w:vAlign w:val="center"/>
          </w:tcPr>
          <w:p w14:paraId="4730C47B"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784,000.00</w:t>
            </w:r>
          </w:p>
        </w:tc>
        <w:tc>
          <w:tcPr>
            <w:tcW w:w="3118" w:type="dxa"/>
            <w:tcBorders>
              <w:top w:val="single" w:sz="2" w:space="0" w:color="auto"/>
              <w:left w:val="single" w:sz="2" w:space="0" w:color="auto"/>
              <w:bottom w:val="single" w:sz="2" w:space="0" w:color="auto"/>
              <w:right w:val="single" w:sz="2" w:space="0" w:color="auto"/>
            </w:tcBorders>
            <w:vAlign w:val="center"/>
          </w:tcPr>
          <w:p w14:paraId="34EE8F8F"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使用范围、时间受限</w:t>
            </w:r>
          </w:p>
        </w:tc>
      </w:tr>
      <w:tr w:rsidR="00095F6F" w14:paraId="40F1797D" w14:textId="77777777" w:rsidTr="00FD2B0C">
        <w:trPr>
          <w:trHeight w:val="240"/>
        </w:trPr>
        <w:tc>
          <w:tcPr>
            <w:tcW w:w="1418" w:type="dxa"/>
            <w:tcBorders>
              <w:top w:val="single" w:sz="2" w:space="0" w:color="auto"/>
              <w:left w:val="single" w:sz="2" w:space="0" w:color="auto"/>
              <w:bottom w:val="single" w:sz="2" w:space="0" w:color="auto"/>
              <w:right w:val="single" w:sz="2" w:space="0" w:color="auto"/>
            </w:tcBorders>
            <w:vAlign w:val="center"/>
          </w:tcPr>
          <w:p w14:paraId="6A4CC89C"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保函保证金</w:t>
            </w:r>
          </w:p>
        </w:tc>
        <w:tc>
          <w:tcPr>
            <w:tcW w:w="2551" w:type="dxa"/>
            <w:tcBorders>
              <w:top w:val="single" w:sz="2" w:space="0" w:color="auto"/>
              <w:left w:val="single" w:sz="2" w:space="0" w:color="auto"/>
              <w:bottom w:val="single" w:sz="2" w:space="0" w:color="auto"/>
              <w:right w:val="single" w:sz="2" w:space="0" w:color="auto"/>
            </w:tcBorders>
            <w:vAlign w:val="center"/>
          </w:tcPr>
          <w:p w14:paraId="1EB8EA28"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1,670,000.00</w:t>
            </w:r>
          </w:p>
        </w:tc>
        <w:tc>
          <w:tcPr>
            <w:tcW w:w="2552" w:type="dxa"/>
            <w:tcBorders>
              <w:top w:val="single" w:sz="2" w:space="0" w:color="auto"/>
              <w:left w:val="single" w:sz="2" w:space="0" w:color="auto"/>
              <w:bottom w:val="single" w:sz="2" w:space="0" w:color="auto"/>
              <w:right w:val="single" w:sz="2" w:space="0" w:color="auto"/>
            </w:tcBorders>
            <w:vAlign w:val="center"/>
          </w:tcPr>
          <w:p w14:paraId="36FBC012" w14:textId="77777777" w:rsidR="00A46BF1" w:rsidRPr="00FD2B0C" w:rsidRDefault="00A46BF1" w:rsidP="00FD2B0C">
            <w:pPr>
              <w:spacing w:line="360" w:lineRule="auto"/>
              <w:jc w:val="right"/>
              <w:rPr>
                <w:rFonts w:ascii="Times New Roman" w:eastAsia="宋体" w:hAnsi="Times New Roman" w:cs="Times New Roman"/>
                <w:sz w:val="18"/>
                <w:szCs w:val="18"/>
              </w:rPr>
            </w:pPr>
          </w:p>
        </w:tc>
        <w:tc>
          <w:tcPr>
            <w:tcW w:w="3118" w:type="dxa"/>
            <w:tcBorders>
              <w:top w:val="single" w:sz="2" w:space="0" w:color="auto"/>
              <w:left w:val="single" w:sz="2" w:space="0" w:color="auto"/>
              <w:bottom w:val="single" w:sz="2" w:space="0" w:color="auto"/>
              <w:right w:val="single" w:sz="2" w:space="0" w:color="auto"/>
            </w:tcBorders>
            <w:vAlign w:val="center"/>
          </w:tcPr>
          <w:p w14:paraId="73044D93"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使用范围、时间受限</w:t>
            </w:r>
          </w:p>
        </w:tc>
      </w:tr>
      <w:tr w:rsidR="00095F6F" w14:paraId="3288F4AE" w14:textId="77777777" w:rsidTr="00FD2B0C">
        <w:trPr>
          <w:trHeight w:val="240"/>
        </w:trPr>
        <w:tc>
          <w:tcPr>
            <w:tcW w:w="1418" w:type="dxa"/>
            <w:tcBorders>
              <w:top w:val="single" w:sz="2" w:space="0" w:color="auto"/>
              <w:left w:val="single" w:sz="2" w:space="0" w:color="auto"/>
              <w:bottom w:val="single" w:sz="2" w:space="0" w:color="auto"/>
              <w:right w:val="single" w:sz="2" w:space="0" w:color="auto"/>
            </w:tcBorders>
            <w:vAlign w:val="center"/>
          </w:tcPr>
          <w:p w14:paraId="165DC070"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质押定期存单</w:t>
            </w:r>
          </w:p>
        </w:tc>
        <w:tc>
          <w:tcPr>
            <w:tcW w:w="2551" w:type="dxa"/>
            <w:tcBorders>
              <w:top w:val="single" w:sz="2" w:space="0" w:color="auto"/>
              <w:left w:val="single" w:sz="2" w:space="0" w:color="auto"/>
              <w:bottom w:val="single" w:sz="2" w:space="0" w:color="auto"/>
              <w:right w:val="single" w:sz="2" w:space="0" w:color="auto"/>
            </w:tcBorders>
            <w:vAlign w:val="center"/>
          </w:tcPr>
          <w:p w14:paraId="25AC447B"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1,146,340.14</w:t>
            </w:r>
          </w:p>
        </w:tc>
        <w:tc>
          <w:tcPr>
            <w:tcW w:w="2552" w:type="dxa"/>
            <w:tcBorders>
              <w:top w:val="single" w:sz="2" w:space="0" w:color="auto"/>
              <w:left w:val="single" w:sz="2" w:space="0" w:color="auto"/>
              <w:bottom w:val="single" w:sz="2" w:space="0" w:color="auto"/>
              <w:right w:val="single" w:sz="2" w:space="0" w:color="auto"/>
            </w:tcBorders>
            <w:vAlign w:val="center"/>
          </w:tcPr>
          <w:p w14:paraId="5CCBFA93"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1,122,527.96</w:t>
            </w:r>
          </w:p>
        </w:tc>
        <w:tc>
          <w:tcPr>
            <w:tcW w:w="3118" w:type="dxa"/>
            <w:tcBorders>
              <w:top w:val="single" w:sz="2" w:space="0" w:color="auto"/>
              <w:left w:val="single" w:sz="2" w:space="0" w:color="auto"/>
              <w:bottom w:val="single" w:sz="2" w:space="0" w:color="auto"/>
              <w:right w:val="single" w:sz="2" w:space="0" w:color="auto"/>
            </w:tcBorders>
            <w:vAlign w:val="center"/>
          </w:tcPr>
          <w:p w14:paraId="1858B5B7"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使用范围、时间受限</w:t>
            </w:r>
          </w:p>
        </w:tc>
      </w:tr>
      <w:tr w:rsidR="00095F6F" w14:paraId="123DD1BB" w14:textId="77777777" w:rsidTr="00FD2B0C">
        <w:trPr>
          <w:trHeight w:val="240"/>
        </w:trPr>
        <w:tc>
          <w:tcPr>
            <w:tcW w:w="1418" w:type="dxa"/>
            <w:tcBorders>
              <w:top w:val="single" w:sz="2" w:space="0" w:color="auto"/>
              <w:left w:val="single" w:sz="2" w:space="0" w:color="auto"/>
              <w:bottom w:val="single" w:sz="2" w:space="0" w:color="auto"/>
              <w:right w:val="single" w:sz="2" w:space="0" w:color="auto"/>
            </w:tcBorders>
            <w:vAlign w:val="center"/>
          </w:tcPr>
          <w:p w14:paraId="1823B4F3"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其他</w:t>
            </w:r>
          </w:p>
        </w:tc>
        <w:tc>
          <w:tcPr>
            <w:tcW w:w="2551" w:type="dxa"/>
            <w:tcBorders>
              <w:top w:val="single" w:sz="2" w:space="0" w:color="auto"/>
              <w:left w:val="single" w:sz="2" w:space="0" w:color="auto"/>
              <w:bottom w:val="single" w:sz="2" w:space="0" w:color="auto"/>
              <w:right w:val="single" w:sz="2" w:space="0" w:color="auto"/>
            </w:tcBorders>
            <w:vAlign w:val="center"/>
          </w:tcPr>
          <w:p w14:paraId="2CE18281"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75,183.38</w:t>
            </w:r>
          </w:p>
        </w:tc>
        <w:tc>
          <w:tcPr>
            <w:tcW w:w="2552" w:type="dxa"/>
            <w:tcBorders>
              <w:top w:val="single" w:sz="2" w:space="0" w:color="auto"/>
              <w:left w:val="single" w:sz="2" w:space="0" w:color="auto"/>
              <w:bottom w:val="single" w:sz="2" w:space="0" w:color="auto"/>
              <w:right w:val="single" w:sz="2" w:space="0" w:color="auto"/>
            </w:tcBorders>
            <w:vAlign w:val="center"/>
          </w:tcPr>
          <w:p w14:paraId="6258597D"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335,023.58</w:t>
            </w:r>
          </w:p>
        </w:tc>
        <w:tc>
          <w:tcPr>
            <w:tcW w:w="3118" w:type="dxa"/>
            <w:tcBorders>
              <w:top w:val="single" w:sz="2" w:space="0" w:color="auto"/>
              <w:left w:val="single" w:sz="2" w:space="0" w:color="auto"/>
              <w:bottom w:val="single" w:sz="2" w:space="0" w:color="auto"/>
              <w:right w:val="single" w:sz="2" w:space="0" w:color="auto"/>
            </w:tcBorders>
            <w:vAlign w:val="center"/>
          </w:tcPr>
          <w:p w14:paraId="726E0D50" w14:textId="77777777" w:rsidR="00A46BF1" w:rsidRPr="00FD2B0C" w:rsidRDefault="00A46BF1" w:rsidP="00FD2B0C">
            <w:pPr>
              <w:spacing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使用范围、时间受限</w:t>
            </w:r>
          </w:p>
        </w:tc>
      </w:tr>
      <w:tr w:rsidR="00095F6F" w14:paraId="684DE629" w14:textId="77777777" w:rsidTr="00FD2B0C">
        <w:trPr>
          <w:trHeight w:val="240"/>
        </w:trPr>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728C4E1A" w14:textId="77777777" w:rsidR="00A46BF1" w:rsidRPr="00FD2B0C" w:rsidRDefault="00A46BF1" w:rsidP="00FD2B0C">
            <w:pPr>
              <w:spacing w:before="40" w:after="40" w:line="360" w:lineRule="auto"/>
              <w:rPr>
                <w:rFonts w:ascii="Times New Roman" w:eastAsia="宋体" w:hAnsi="Times New Roman" w:cs="Times New Roman"/>
                <w:sz w:val="18"/>
                <w:szCs w:val="18"/>
              </w:rPr>
            </w:pPr>
            <w:r w:rsidRPr="00FD2B0C">
              <w:rPr>
                <w:rFonts w:ascii="Times New Roman" w:eastAsia="宋体" w:hAnsi="Times New Roman" w:cs="Times New Roman"/>
                <w:sz w:val="18"/>
                <w:szCs w:val="18"/>
              </w:rPr>
              <w:t>合计</w:t>
            </w:r>
          </w:p>
        </w:tc>
        <w:tc>
          <w:tcPr>
            <w:tcW w:w="2551" w:type="dxa"/>
            <w:tcBorders>
              <w:top w:val="single" w:sz="2" w:space="0" w:color="auto"/>
              <w:left w:val="single" w:sz="2" w:space="0" w:color="auto"/>
              <w:bottom w:val="single" w:sz="2" w:space="0" w:color="auto"/>
              <w:right w:val="single" w:sz="2" w:space="0" w:color="auto"/>
            </w:tcBorders>
            <w:vAlign w:val="center"/>
          </w:tcPr>
          <w:p w14:paraId="0B9D2D7E"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8,192,291.52</w:t>
            </w:r>
          </w:p>
        </w:tc>
        <w:tc>
          <w:tcPr>
            <w:tcW w:w="2552" w:type="dxa"/>
            <w:tcBorders>
              <w:top w:val="single" w:sz="2" w:space="0" w:color="auto"/>
              <w:left w:val="single" w:sz="2" w:space="0" w:color="auto"/>
              <w:bottom w:val="single" w:sz="2" w:space="0" w:color="auto"/>
              <w:right w:val="single" w:sz="2" w:space="0" w:color="auto"/>
            </w:tcBorders>
            <w:vAlign w:val="center"/>
          </w:tcPr>
          <w:p w14:paraId="27E6F080" w14:textId="77777777" w:rsidR="00A46BF1" w:rsidRPr="00FD2B0C" w:rsidRDefault="00A46BF1" w:rsidP="00FD2B0C">
            <w:pPr>
              <w:spacing w:line="360" w:lineRule="auto"/>
              <w:jc w:val="right"/>
              <w:rPr>
                <w:rFonts w:ascii="Times New Roman" w:eastAsia="宋体" w:hAnsi="Times New Roman" w:cs="Times New Roman"/>
                <w:sz w:val="18"/>
                <w:szCs w:val="18"/>
              </w:rPr>
            </w:pPr>
            <w:r w:rsidRPr="00FD2B0C">
              <w:rPr>
                <w:rFonts w:ascii="Times New Roman" w:eastAsia="宋体" w:hAnsi="Times New Roman" w:cs="Times New Roman"/>
                <w:sz w:val="18"/>
                <w:szCs w:val="18"/>
              </w:rPr>
              <w:t>2,241,551.54</w:t>
            </w:r>
          </w:p>
        </w:tc>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61A51B0A" w14:textId="77777777" w:rsidR="00A46BF1" w:rsidRPr="00FD2B0C" w:rsidRDefault="00A46BF1" w:rsidP="00FD2B0C">
            <w:pPr>
              <w:spacing w:line="360" w:lineRule="auto"/>
              <w:rPr>
                <w:rFonts w:ascii="Times New Roman" w:hAnsi="Times New Roman" w:cs="Times New Roman"/>
              </w:rPr>
            </w:pPr>
          </w:p>
        </w:tc>
      </w:tr>
    </w:tbl>
    <w:p w14:paraId="498348E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C91CE04"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本集团无使用范围受限但仍属于现金及现金等价物列示的情况。</w:t>
      </w:r>
    </w:p>
    <w:p w14:paraId="10995D73" w14:textId="44B7A59C" w:rsidR="00A46BF1" w:rsidRDefault="00A46BF1" w:rsidP="00A46BF1">
      <w:pPr>
        <w:pStyle w:val="3"/>
        <w:spacing w:line="280" w:lineRule="exact"/>
        <w:jc w:val="left"/>
        <w:rPr>
          <w:rFonts w:ascii="宋体" w:hAnsi="宋体" w:cs="宋体"/>
          <w:b/>
          <w:bCs/>
        </w:rPr>
      </w:pPr>
      <w:r>
        <w:rPr>
          <w:rFonts w:ascii="宋体" w:hAnsi="宋体" w:cs="宋体"/>
          <w:b/>
          <w:bCs/>
        </w:rPr>
        <w:t>6</w:t>
      </w:r>
      <w:r w:rsidR="00FD2B0C">
        <w:rPr>
          <w:rFonts w:ascii="宋体" w:hAnsi="宋体" w:cs="宋体"/>
          <w:b/>
          <w:bCs/>
        </w:rPr>
        <w:t>3</w:t>
      </w:r>
      <w:r>
        <w:rPr>
          <w:rFonts w:ascii="宋体" w:hAnsi="宋体" w:cs="宋体"/>
          <w:b/>
          <w:bCs/>
        </w:rPr>
        <w:t>、所有者权益变动表项目注释</w:t>
      </w:r>
    </w:p>
    <w:p w14:paraId="66A2D12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说明对上年年末余额进行调整的“其他”项目名称及调整金额等事项：</w:t>
      </w:r>
    </w:p>
    <w:p w14:paraId="0F3DBC5A" w14:textId="7392703E"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股东权益变动表变动内容及金额详见本附注“七、</w:t>
      </w:r>
      <w:r w:rsidR="00424B75" w:rsidRPr="00952ED6">
        <w:rPr>
          <w:rFonts w:ascii="Times New Roman" w:hAnsi="Times New Roman" w:cs="Times New Roman"/>
          <w:sz w:val="21"/>
          <w:szCs w:val="21"/>
        </w:rPr>
        <w:t>3</w:t>
      </w:r>
      <w:r w:rsidR="00424B75">
        <w:rPr>
          <w:rFonts w:ascii="Times New Roman" w:hAnsi="Times New Roman" w:cs="Times New Roman"/>
          <w:sz w:val="21"/>
          <w:szCs w:val="21"/>
        </w:rPr>
        <w:t>8</w:t>
      </w:r>
      <w:r w:rsidRPr="00952ED6">
        <w:rPr>
          <w:rFonts w:ascii="Times New Roman" w:hAnsi="Times New Roman" w:cs="Times New Roman" w:hint="eastAsia"/>
          <w:sz w:val="21"/>
          <w:szCs w:val="21"/>
        </w:rPr>
        <w:t>至附注七、</w:t>
      </w:r>
      <w:r w:rsidR="00424B75" w:rsidRPr="00952ED6">
        <w:rPr>
          <w:rFonts w:ascii="Times New Roman" w:hAnsi="Times New Roman" w:cs="Times New Roman"/>
          <w:sz w:val="21"/>
          <w:szCs w:val="21"/>
        </w:rPr>
        <w:t>4</w:t>
      </w:r>
      <w:r w:rsidR="00424B75">
        <w:rPr>
          <w:rFonts w:ascii="Times New Roman" w:hAnsi="Times New Roman" w:cs="Times New Roman"/>
          <w:sz w:val="21"/>
          <w:szCs w:val="21"/>
        </w:rPr>
        <w:t>4</w:t>
      </w:r>
      <w:r w:rsidR="00952ED6">
        <w:rPr>
          <w:rFonts w:ascii="Times New Roman" w:hAnsi="Times New Roman" w:cs="Times New Roman" w:hint="eastAsia"/>
          <w:sz w:val="21"/>
          <w:szCs w:val="21"/>
        </w:rPr>
        <w:t>”</w:t>
      </w:r>
      <w:r w:rsidRPr="00952ED6">
        <w:rPr>
          <w:rFonts w:ascii="Times New Roman" w:hAnsi="Times New Roman" w:cs="Times New Roman"/>
          <w:sz w:val="21"/>
          <w:szCs w:val="21"/>
        </w:rPr>
        <w:t>相关内容</w:t>
      </w:r>
      <w:r w:rsidRPr="00952ED6">
        <w:rPr>
          <w:rFonts w:ascii="Times New Roman" w:hAnsi="Times New Roman" w:cs="Times New Roman" w:hint="eastAsia"/>
          <w:sz w:val="21"/>
          <w:szCs w:val="21"/>
        </w:rPr>
        <w:t>。</w:t>
      </w:r>
    </w:p>
    <w:p w14:paraId="4E6F889C" w14:textId="3D0A8041" w:rsidR="00A46BF1" w:rsidRDefault="00A46BF1" w:rsidP="00A46BF1">
      <w:pPr>
        <w:pStyle w:val="3"/>
        <w:spacing w:line="280" w:lineRule="exact"/>
        <w:jc w:val="left"/>
        <w:rPr>
          <w:rFonts w:ascii="宋体" w:hAnsi="宋体" w:cs="宋体"/>
          <w:b/>
          <w:bCs/>
        </w:rPr>
      </w:pPr>
      <w:r>
        <w:rPr>
          <w:rFonts w:ascii="宋体" w:hAnsi="宋体" w:cs="宋体"/>
          <w:b/>
          <w:bCs/>
        </w:rPr>
        <w:t>6</w:t>
      </w:r>
      <w:r w:rsidR="00FD2B0C">
        <w:rPr>
          <w:rFonts w:ascii="宋体" w:hAnsi="宋体" w:cs="宋体"/>
          <w:b/>
          <w:bCs/>
        </w:rPr>
        <w:t>4</w:t>
      </w:r>
      <w:r>
        <w:rPr>
          <w:rFonts w:ascii="宋体" w:hAnsi="宋体" w:cs="宋体"/>
          <w:b/>
          <w:bCs/>
        </w:rPr>
        <w:t>、外币货币性项目</w:t>
      </w:r>
    </w:p>
    <w:p w14:paraId="27D8A031"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外币货币性项目</w:t>
      </w:r>
    </w:p>
    <w:p w14:paraId="3C86314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4813736E"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31D0A1F" w14:textId="77777777" w:rsidR="00A46BF1" w:rsidRPr="008A14F8" w:rsidRDefault="00A46BF1" w:rsidP="008A14F8">
            <w:pPr>
              <w:spacing w:before="40" w:after="40"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项目</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C1A09E0" w14:textId="77777777" w:rsidR="00A46BF1" w:rsidRPr="008A14F8" w:rsidRDefault="00A46BF1" w:rsidP="008A14F8">
            <w:pPr>
              <w:spacing w:before="40" w:after="40"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期末外币余额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DF99C36" w14:textId="77777777" w:rsidR="00A46BF1" w:rsidRPr="008A14F8" w:rsidRDefault="00A46BF1" w:rsidP="008A14F8">
            <w:pPr>
              <w:spacing w:before="40" w:after="40"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折算汇率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BEA992D" w14:textId="77777777" w:rsidR="00A46BF1" w:rsidRPr="008A14F8" w:rsidRDefault="00A46BF1" w:rsidP="008A14F8">
            <w:pPr>
              <w:spacing w:before="40" w:after="40"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期末折算人民币余额</w:t>
            </w:r>
          </w:p>
        </w:tc>
      </w:tr>
      <w:tr w:rsidR="00095F6F" w14:paraId="0F7B37B3"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F1D19C8" w14:textId="77777777" w:rsidR="00A46BF1" w:rsidRPr="008A14F8" w:rsidRDefault="00A46BF1" w:rsidP="008A14F8">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货币资金</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A72E999" w14:textId="77777777" w:rsidR="00A46BF1" w:rsidRPr="008A14F8" w:rsidRDefault="00A46BF1" w:rsidP="008A14F8">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785831" w14:textId="77777777" w:rsidR="00A46BF1" w:rsidRPr="008A14F8" w:rsidRDefault="00A46BF1" w:rsidP="008A14F8">
            <w:pPr>
              <w:spacing w:line="360" w:lineRule="auto"/>
              <w:jc w:val="center"/>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vAlign w:val="center"/>
          </w:tcPr>
          <w:p w14:paraId="44DC1FD3"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500,056,435.25</w:t>
            </w:r>
          </w:p>
        </w:tc>
      </w:tr>
      <w:tr w:rsidR="00095F6F" w14:paraId="0051312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8C322F6" w14:textId="77777777" w:rsidR="00A46BF1" w:rsidRPr="008A14F8" w:rsidRDefault="00A46BF1" w:rsidP="008A14F8">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0121213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65,885,672.18</w:t>
            </w:r>
          </w:p>
        </w:tc>
        <w:tc>
          <w:tcPr>
            <w:tcW w:w="2410" w:type="dxa"/>
            <w:tcBorders>
              <w:top w:val="single" w:sz="2" w:space="0" w:color="auto"/>
              <w:left w:val="single" w:sz="2" w:space="0" w:color="auto"/>
              <w:bottom w:val="single" w:sz="2" w:space="0" w:color="auto"/>
              <w:right w:val="single" w:sz="2" w:space="0" w:color="auto"/>
            </w:tcBorders>
            <w:vAlign w:val="center"/>
          </w:tcPr>
          <w:p w14:paraId="6F05143F" w14:textId="7CB3021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30E6B51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463,097,212.62</w:t>
            </w:r>
          </w:p>
        </w:tc>
      </w:tr>
      <w:tr w:rsidR="00095F6F" w14:paraId="126807E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F9142E4"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22BFDA1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1,270,844.82</w:t>
            </w:r>
          </w:p>
        </w:tc>
        <w:tc>
          <w:tcPr>
            <w:tcW w:w="2410" w:type="dxa"/>
            <w:tcBorders>
              <w:top w:val="single" w:sz="2" w:space="0" w:color="auto"/>
              <w:left w:val="single" w:sz="2" w:space="0" w:color="auto"/>
              <w:bottom w:val="single" w:sz="2" w:space="0" w:color="auto"/>
              <w:right w:val="single" w:sz="2" w:space="0" w:color="auto"/>
            </w:tcBorders>
            <w:vAlign w:val="center"/>
          </w:tcPr>
          <w:p w14:paraId="351EF6E8" w14:textId="689326E5"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7FF2E57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10,466,042.52</w:t>
            </w:r>
          </w:p>
        </w:tc>
      </w:tr>
      <w:tr w:rsidR="00095F6F" w14:paraId="1201995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ECF793C"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086AC2F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394,934.49</w:t>
            </w:r>
          </w:p>
        </w:tc>
        <w:tc>
          <w:tcPr>
            <w:tcW w:w="2410" w:type="dxa"/>
            <w:tcBorders>
              <w:top w:val="single" w:sz="2" w:space="0" w:color="auto"/>
              <w:left w:val="single" w:sz="2" w:space="0" w:color="auto"/>
              <w:bottom w:val="single" w:sz="2" w:space="0" w:color="auto"/>
              <w:right w:val="single" w:sz="2" w:space="0" w:color="auto"/>
            </w:tcBorders>
            <w:vAlign w:val="center"/>
          </w:tcPr>
          <w:p w14:paraId="02C68B93" w14:textId="704800AC"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0.9032</w:t>
            </w:r>
          </w:p>
        </w:tc>
        <w:tc>
          <w:tcPr>
            <w:tcW w:w="2410" w:type="dxa"/>
            <w:tcBorders>
              <w:top w:val="single" w:sz="2" w:space="0" w:color="auto"/>
              <w:left w:val="single" w:sz="2" w:space="0" w:color="auto"/>
              <w:bottom w:val="single" w:sz="2" w:space="0" w:color="auto"/>
              <w:right w:val="single" w:sz="2" w:space="0" w:color="auto"/>
            </w:tcBorders>
            <w:vAlign w:val="center"/>
          </w:tcPr>
          <w:p w14:paraId="15E533F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356,712.73</w:t>
            </w:r>
          </w:p>
        </w:tc>
      </w:tr>
      <w:tr w:rsidR="00095F6F" w14:paraId="1E03AE0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EAE852D"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1837DD4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27,729,432.56</w:t>
            </w:r>
          </w:p>
        </w:tc>
        <w:tc>
          <w:tcPr>
            <w:tcW w:w="2410" w:type="dxa"/>
            <w:tcBorders>
              <w:top w:val="single" w:sz="2" w:space="0" w:color="auto"/>
              <w:left w:val="single" w:sz="2" w:space="0" w:color="auto"/>
              <w:bottom w:val="single" w:sz="2" w:space="0" w:color="auto"/>
              <w:right w:val="single" w:sz="2" w:space="0" w:color="auto"/>
            </w:tcBorders>
            <w:vAlign w:val="center"/>
          </w:tcPr>
          <w:p w14:paraId="32309CAC" w14:textId="154EAC64"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0DF74EF3"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2,171,155.57</w:t>
            </w:r>
          </w:p>
        </w:tc>
      </w:tr>
      <w:tr w:rsidR="00095F6F" w14:paraId="70EEC235"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4E63B3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印尼盾</w:t>
            </w:r>
          </w:p>
        </w:tc>
        <w:tc>
          <w:tcPr>
            <w:tcW w:w="2410" w:type="dxa"/>
            <w:tcBorders>
              <w:top w:val="single" w:sz="2" w:space="0" w:color="auto"/>
              <w:left w:val="single" w:sz="2" w:space="0" w:color="auto"/>
              <w:bottom w:val="single" w:sz="2" w:space="0" w:color="auto"/>
              <w:right w:val="single" w:sz="2" w:space="0" w:color="auto"/>
            </w:tcBorders>
            <w:vAlign w:val="center"/>
          </w:tcPr>
          <w:p w14:paraId="0F7A885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11,144,416,166.81</w:t>
            </w:r>
          </w:p>
        </w:tc>
        <w:tc>
          <w:tcPr>
            <w:tcW w:w="2410" w:type="dxa"/>
            <w:tcBorders>
              <w:top w:val="single" w:sz="2" w:space="0" w:color="auto"/>
              <w:left w:val="single" w:sz="2" w:space="0" w:color="auto"/>
              <w:bottom w:val="single" w:sz="2" w:space="0" w:color="auto"/>
              <w:right w:val="single" w:sz="2" w:space="0" w:color="auto"/>
            </w:tcBorders>
            <w:vAlign w:val="center"/>
          </w:tcPr>
          <w:p w14:paraId="6ACC755F" w14:textId="06382D02"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0.0004</w:t>
            </w:r>
          </w:p>
        </w:tc>
        <w:tc>
          <w:tcPr>
            <w:tcW w:w="2410" w:type="dxa"/>
            <w:tcBorders>
              <w:top w:val="single" w:sz="2" w:space="0" w:color="auto"/>
              <w:left w:val="single" w:sz="2" w:space="0" w:color="auto"/>
              <w:bottom w:val="single" w:sz="2" w:space="0" w:color="auto"/>
              <w:right w:val="single" w:sz="2" w:space="0" w:color="auto"/>
            </w:tcBorders>
            <w:vAlign w:val="center"/>
          </w:tcPr>
          <w:p w14:paraId="40BFB79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4,651,724.79</w:t>
            </w:r>
          </w:p>
        </w:tc>
      </w:tr>
      <w:tr w:rsidR="00095F6F" w14:paraId="39505A5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76E9166"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37CCA17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617,679.59</w:t>
            </w:r>
          </w:p>
        </w:tc>
        <w:tc>
          <w:tcPr>
            <w:tcW w:w="2410" w:type="dxa"/>
            <w:tcBorders>
              <w:top w:val="single" w:sz="2" w:space="0" w:color="auto"/>
              <w:left w:val="single" w:sz="2" w:space="0" w:color="auto"/>
              <w:bottom w:val="single" w:sz="2" w:space="0" w:color="auto"/>
              <w:right w:val="single" w:sz="2" w:space="0" w:color="auto"/>
            </w:tcBorders>
            <w:vAlign w:val="center"/>
          </w:tcPr>
          <w:p w14:paraId="405A260C" w14:textId="34234D71"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5D72647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5,827,559.86</w:t>
            </w:r>
          </w:p>
        </w:tc>
      </w:tr>
      <w:tr w:rsidR="00095F6F" w14:paraId="5E98F2DE"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FC592E0"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澳大利亚元</w:t>
            </w:r>
          </w:p>
        </w:tc>
        <w:tc>
          <w:tcPr>
            <w:tcW w:w="2410" w:type="dxa"/>
            <w:tcBorders>
              <w:top w:val="single" w:sz="2" w:space="0" w:color="auto"/>
              <w:left w:val="single" w:sz="2" w:space="0" w:color="auto"/>
              <w:bottom w:val="single" w:sz="2" w:space="0" w:color="auto"/>
              <w:right w:val="single" w:sz="2" w:space="0" w:color="auto"/>
            </w:tcBorders>
            <w:vAlign w:val="center"/>
          </w:tcPr>
          <w:p w14:paraId="09A08E0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1,640.52</w:t>
            </w:r>
          </w:p>
        </w:tc>
        <w:tc>
          <w:tcPr>
            <w:tcW w:w="2410" w:type="dxa"/>
            <w:tcBorders>
              <w:top w:val="single" w:sz="2" w:space="0" w:color="auto"/>
              <w:left w:val="single" w:sz="2" w:space="0" w:color="auto"/>
              <w:bottom w:val="single" w:sz="2" w:space="0" w:color="auto"/>
              <w:right w:val="single" w:sz="2" w:space="0" w:color="auto"/>
            </w:tcBorders>
            <w:vAlign w:val="center"/>
          </w:tcPr>
          <w:p w14:paraId="6F7505FE" w14:textId="495EA5D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4.6892</w:t>
            </w:r>
          </w:p>
        </w:tc>
        <w:tc>
          <w:tcPr>
            <w:tcW w:w="2410" w:type="dxa"/>
            <w:tcBorders>
              <w:top w:val="single" w:sz="2" w:space="0" w:color="auto"/>
              <w:left w:val="single" w:sz="2" w:space="0" w:color="auto"/>
              <w:bottom w:val="single" w:sz="2" w:space="0" w:color="auto"/>
              <w:right w:val="single" w:sz="2" w:space="0" w:color="auto"/>
            </w:tcBorders>
            <w:vAlign w:val="center"/>
          </w:tcPr>
          <w:p w14:paraId="7773D99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7,692.73</w:t>
            </w:r>
          </w:p>
        </w:tc>
      </w:tr>
      <w:tr w:rsidR="00095F6F" w14:paraId="12E64BA5"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E71F8F6"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4568C15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2,176,575,882.00</w:t>
            </w:r>
          </w:p>
        </w:tc>
        <w:tc>
          <w:tcPr>
            <w:tcW w:w="2410" w:type="dxa"/>
            <w:tcBorders>
              <w:top w:val="single" w:sz="2" w:space="0" w:color="auto"/>
              <w:left w:val="single" w:sz="2" w:space="0" w:color="auto"/>
              <w:bottom w:val="single" w:sz="2" w:space="0" w:color="auto"/>
              <w:right w:val="single" w:sz="2" w:space="0" w:color="auto"/>
            </w:tcBorders>
            <w:vAlign w:val="center"/>
          </w:tcPr>
          <w:p w14:paraId="5ECE2DD9" w14:textId="4F0E09D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0.0003</w:t>
            </w:r>
          </w:p>
        </w:tc>
        <w:tc>
          <w:tcPr>
            <w:tcW w:w="2410" w:type="dxa"/>
            <w:tcBorders>
              <w:top w:val="single" w:sz="2" w:space="0" w:color="auto"/>
              <w:left w:val="single" w:sz="2" w:space="0" w:color="auto"/>
              <w:bottom w:val="single" w:sz="2" w:space="0" w:color="auto"/>
              <w:right w:val="single" w:sz="2" w:space="0" w:color="auto"/>
            </w:tcBorders>
            <w:vAlign w:val="center"/>
          </w:tcPr>
          <w:p w14:paraId="26C1D8B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582,475.41</w:t>
            </w:r>
          </w:p>
        </w:tc>
      </w:tr>
      <w:tr w:rsidR="00095F6F" w14:paraId="57EAECD8"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52828B5"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10AE5B8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3,426,246.01</w:t>
            </w:r>
          </w:p>
        </w:tc>
        <w:tc>
          <w:tcPr>
            <w:tcW w:w="2410" w:type="dxa"/>
            <w:tcBorders>
              <w:top w:val="single" w:sz="2" w:space="0" w:color="auto"/>
              <w:left w:val="single" w:sz="2" w:space="0" w:color="auto"/>
              <w:bottom w:val="single" w:sz="2" w:space="0" w:color="auto"/>
              <w:right w:val="single" w:sz="2" w:space="0" w:color="auto"/>
            </w:tcBorders>
            <w:vAlign w:val="center"/>
          </w:tcPr>
          <w:p w14:paraId="0BFA3797" w14:textId="689D69C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193364C3"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1,335,820.50</w:t>
            </w:r>
          </w:p>
        </w:tc>
      </w:tr>
      <w:tr w:rsidR="00095F6F" w14:paraId="3C20B0E6"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CC4E45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7878CA4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22,728,192.00</w:t>
            </w:r>
          </w:p>
        </w:tc>
        <w:tc>
          <w:tcPr>
            <w:tcW w:w="2410" w:type="dxa"/>
            <w:tcBorders>
              <w:top w:val="single" w:sz="2" w:space="0" w:color="auto"/>
              <w:left w:val="single" w:sz="2" w:space="0" w:color="auto"/>
              <w:bottom w:val="single" w:sz="2" w:space="0" w:color="auto"/>
              <w:right w:val="single" w:sz="2" w:space="0" w:color="auto"/>
            </w:tcBorders>
            <w:vAlign w:val="center"/>
          </w:tcPr>
          <w:p w14:paraId="4CF3E1A0" w14:textId="79EFF93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43239203"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5,104,384.32</w:t>
            </w:r>
          </w:p>
        </w:tc>
      </w:tr>
      <w:tr w:rsidR="00095F6F" w14:paraId="2779C20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1EA8447"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菲律宾比索</w:t>
            </w:r>
          </w:p>
        </w:tc>
        <w:tc>
          <w:tcPr>
            <w:tcW w:w="2410" w:type="dxa"/>
            <w:tcBorders>
              <w:top w:val="single" w:sz="2" w:space="0" w:color="auto"/>
              <w:left w:val="single" w:sz="2" w:space="0" w:color="auto"/>
              <w:bottom w:val="single" w:sz="2" w:space="0" w:color="auto"/>
              <w:right w:val="single" w:sz="2" w:space="0" w:color="auto"/>
            </w:tcBorders>
            <w:vAlign w:val="center"/>
          </w:tcPr>
          <w:p w14:paraId="2CE16B4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6,039,582.20</w:t>
            </w:r>
          </w:p>
        </w:tc>
        <w:tc>
          <w:tcPr>
            <w:tcW w:w="2410" w:type="dxa"/>
            <w:tcBorders>
              <w:top w:val="single" w:sz="2" w:space="0" w:color="auto"/>
              <w:left w:val="single" w:sz="2" w:space="0" w:color="auto"/>
              <w:bottom w:val="single" w:sz="2" w:space="0" w:color="auto"/>
              <w:right w:val="single" w:sz="2" w:space="0" w:color="auto"/>
            </w:tcBorders>
            <w:vAlign w:val="center"/>
          </w:tcPr>
          <w:p w14:paraId="5EDCD084" w14:textId="0638B1D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0.1195</w:t>
            </w:r>
          </w:p>
        </w:tc>
        <w:tc>
          <w:tcPr>
            <w:tcW w:w="2410" w:type="dxa"/>
            <w:tcBorders>
              <w:top w:val="single" w:sz="2" w:space="0" w:color="auto"/>
              <w:left w:val="single" w:sz="2" w:space="0" w:color="auto"/>
              <w:bottom w:val="single" w:sz="2" w:space="0" w:color="auto"/>
              <w:right w:val="single" w:sz="2" w:space="0" w:color="auto"/>
            </w:tcBorders>
            <w:vAlign w:val="center"/>
          </w:tcPr>
          <w:p w14:paraId="5838365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721,728.97</w:t>
            </w:r>
          </w:p>
        </w:tc>
      </w:tr>
      <w:tr w:rsidR="00095F6F" w14:paraId="3BFB006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AF2BF96"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4DACE91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25,169,089.37</w:t>
            </w:r>
          </w:p>
        </w:tc>
        <w:tc>
          <w:tcPr>
            <w:tcW w:w="2410" w:type="dxa"/>
            <w:tcBorders>
              <w:top w:val="single" w:sz="2" w:space="0" w:color="auto"/>
              <w:left w:val="single" w:sz="2" w:space="0" w:color="auto"/>
              <w:bottom w:val="single" w:sz="2" w:space="0" w:color="auto"/>
              <w:right w:val="single" w:sz="2" w:space="0" w:color="auto"/>
            </w:tcBorders>
            <w:vAlign w:val="center"/>
          </w:tcPr>
          <w:p w14:paraId="7D76B3C0" w14:textId="480B2626"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4DDAC6E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5,600,598.44</w:t>
            </w:r>
          </w:p>
        </w:tc>
      </w:tr>
      <w:tr w:rsidR="00095F6F" w14:paraId="223FF494"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9B9DB0D"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孟加拉塔卡</w:t>
            </w:r>
          </w:p>
        </w:tc>
        <w:tc>
          <w:tcPr>
            <w:tcW w:w="2410" w:type="dxa"/>
            <w:tcBorders>
              <w:top w:val="single" w:sz="2" w:space="0" w:color="auto"/>
              <w:left w:val="single" w:sz="2" w:space="0" w:color="auto"/>
              <w:bottom w:val="single" w:sz="2" w:space="0" w:color="auto"/>
              <w:right w:val="single" w:sz="2" w:space="0" w:color="auto"/>
            </w:tcBorders>
            <w:vAlign w:val="center"/>
          </w:tcPr>
          <w:p w14:paraId="7A154FB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802,793.01</w:t>
            </w:r>
          </w:p>
        </w:tc>
        <w:tc>
          <w:tcPr>
            <w:tcW w:w="2410" w:type="dxa"/>
            <w:tcBorders>
              <w:top w:val="single" w:sz="2" w:space="0" w:color="auto"/>
              <w:left w:val="single" w:sz="2" w:space="0" w:color="auto"/>
              <w:bottom w:val="single" w:sz="2" w:space="0" w:color="auto"/>
              <w:right w:val="single" w:sz="2" w:space="0" w:color="auto"/>
            </w:tcBorders>
            <w:vAlign w:val="center"/>
          </w:tcPr>
          <w:p w14:paraId="1EA0496C" w14:textId="6EC35D9D"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0.0572</w:t>
            </w:r>
          </w:p>
        </w:tc>
        <w:tc>
          <w:tcPr>
            <w:tcW w:w="2410" w:type="dxa"/>
            <w:tcBorders>
              <w:top w:val="single" w:sz="2" w:space="0" w:color="auto"/>
              <w:left w:val="single" w:sz="2" w:space="0" w:color="auto"/>
              <w:bottom w:val="single" w:sz="2" w:space="0" w:color="auto"/>
              <w:right w:val="single" w:sz="2" w:space="0" w:color="auto"/>
            </w:tcBorders>
            <w:vAlign w:val="center"/>
          </w:tcPr>
          <w:p w14:paraId="062D663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45,879.62</w:t>
            </w:r>
          </w:p>
        </w:tc>
      </w:tr>
      <w:tr w:rsidR="00095F6F" w14:paraId="5098929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65612F6"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加拿大元</w:t>
            </w:r>
          </w:p>
        </w:tc>
        <w:tc>
          <w:tcPr>
            <w:tcW w:w="2410" w:type="dxa"/>
            <w:tcBorders>
              <w:top w:val="single" w:sz="2" w:space="0" w:color="auto"/>
              <w:left w:val="single" w:sz="2" w:space="0" w:color="auto"/>
              <w:bottom w:val="single" w:sz="2" w:space="0" w:color="auto"/>
              <w:right w:val="single" w:sz="2" w:space="0" w:color="auto"/>
            </w:tcBorders>
            <w:vAlign w:val="center"/>
          </w:tcPr>
          <w:p w14:paraId="2F222E1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6,378.93</w:t>
            </w:r>
          </w:p>
        </w:tc>
        <w:tc>
          <w:tcPr>
            <w:tcW w:w="2410" w:type="dxa"/>
            <w:tcBorders>
              <w:top w:val="single" w:sz="2" w:space="0" w:color="auto"/>
              <w:left w:val="single" w:sz="2" w:space="0" w:color="auto"/>
              <w:bottom w:val="single" w:sz="2" w:space="0" w:color="auto"/>
              <w:right w:val="single" w:sz="2" w:space="0" w:color="auto"/>
            </w:tcBorders>
            <w:vAlign w:val="center"/>
          </w:tcPr>
          <w:p w14:paraId="4D4F60E7" w14:textId="57EB39C2"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5.1142</w:t>
            </w:r>
          </w:p>
        </w:tc>
        <w:tc>
          <w:tcPr>
            <w:tcW w:w="2410" w:type="dxa"/>
            <w:tcBorders>
              <w:top w:val="single" w:sz="2" w:space="0" w:color="auto"/>
              <w:left w:val="single" w:sz="2" w:space="0" w:color="auto"/>
              <w:bottom w:val="single" w:sz="2" w:space="0" w:color="auto"/>
              <w:right w:val="single" w:sz="2" w:space="0" w:color="auto"/>
            </w:tcBorders>
            <w:vAlign w:val="center"/>
          </w:tcPr>
          <w:p w14:paraId="7945665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32,623.12</w:t>
            </w:r>
          </w:p>
        </w:tc>
      </w:tr>
      <w:tr w:rsidR="00095F6F" w14:paraId="335A31A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27156F4"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波兰兹罗提</w:t>
            </w:r>
          </w:p>
        </w:tc>
        <w:tc>
          <w:tcPr>
            <w:tcW w:w="2410" w:type="dxa"/>
            <w:tcBorders>
              <w:top w:val="single" w:sz="2" w:space="0" w:color="auto"/>
              <w:left w:val="single" w:sz="2" w:space="0" w:color="auto"/>
              <w:bottom w:val="single" w:sz="2" w:space="0" w:color="auto"/>
              <w:right w:val="single" w:sz="2" w:space="0" w:color="auto"/>
            </w:tcBorders>
            <w:vAlign w:val="center"/>
          </w:tcPr>
          <w:p w14:paraId="512179E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16,794.09</w:t>
            </w:r>
          </w:p>
        </w:tc>
        <w:tc>
          <w:tcPr>
            <w:tcW w:w="2410" w:type="dxa"/>
            <w:tcBorders>
              <w:top w:val="single" w:sz="2" w:space="0" w:color="auto"/>
              <w:left w:val="single" w:sz="2" w:space="0" w:color="auto"/>
              <w:bottom w:val="single" w:sz="2" w:space="0" w:color="auto"/>
              <w:right w:val="single" w:sz="2" w:space="0" w:color="auto"/>
            </w:tcBorders>
            <w:vAlign w:val="center"/>
          </w:tcPr>
          <w:p w14:paraId="0C4D58CD" w14:textId="7613ACB4"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1.9497</w:t>
            </w:r>
          </w:p>
        </w:tc>
        <w:tc>
          <w:tcPr>
            <w:tcW w:w="2410" w:type="dxa"/>
            <w:tcBorders>
              <w:top w:val="single" w:sz="2" w:space="0" w:color="auto"/>
              <w:left w:val="single" w:sz="2" w:space="0" w:color="auto"/>
              <w:bottom w:val="single" w:sz="2" w:space="0" w:color="auto"/>
              <w:right w:val="single" w:sz="2" w:space="0" w:color="auto"/>
            </w:tcBorders>
            <w:vAlign w:val="center"/>
          </w:tcPr>
          <w:p w14:paraId="0E54737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32,744.04</w:t>
            </w:r>
          </w:p>
        </w:tc>
      </w:tr>
      <w:tr w:rsidR="00095F6F" w14:paraId="1FA73C06"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01E0D0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瑞士法郎</w:t>
            </w:r>
          </w:p>
        </w:tc>
        <w:tc>
          <w:tcPr>
            <w:tcW w:w="2410" w:type="dxa"/>
            <w:tcBorders>
              <w:top w:val="single" w:sz="2" w:space="0" w:color="auto"/>
              <w:left w:val="single" w:sz="2" w:space="0" w:color="auto"/>
              <w:bottom w:val="single" w:sz="2" w:space="0" w:color="auto"/>
              <w:right w:val="single" w:sz="2" w:space="0" w:color="auto"/>
            </w:tcBorders>
            <w:vAlign w:val="center"/>
          </w:tcPr>
          <w:p w14:paraId="7BE6E15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2,399.77</w:t>
            </w:r>
          </w:p>
        </w:tc>
        <w:tc>
          <w:tcPr>
            <w:tcW w:w="2410" w:type="dxa"/>
            <w:tcBorders>
              <w:top w:val="single" w:sz="2" w:space="0" w:color="auto"/>
              <w:left w:val="single" w:sz="2" w:space="0" w:color="auto"/>
              <w:bottom w:val="single" w:sz="2" w:space="0" w:color="auto"/>
              <w:right w:val="single" w:sz="2" w:space="0" w:color="auto"/>
            </w:tcBorders>
            <w:vAlign w:val="center"/>
          </w:tcPr>
          <w:p w14:paraId="635ED277" w14:textId="6BD55E7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8.8510</w:t>
            </w:r>
          </w:p>
        </w:tc>
        <w:tc>
          <w:tcPr>
            <w:tcW w:w="2410" w:type="dxa"/>
            <w:tcBorders>
              <w:top w:val="single" w:sz="2" w:space="0" w:color="auto"/>
              <w:left w:val="single" w:sz="2" w:space="0" w:color="auto"/>
              <w:bottom w:val="single" w:sz="2" w:space="0" w:color="auto"/>
              <w:right w:val="single" w:sz="2" w:space="0" w:color="auto"/>
            </w:tcBorders>
            <w:vAlign w:val="center"/>
          </w:tcPr>
          <w:p w14:paraId="47BD0AC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21,240.36</w:t>
            </w:r>
          </w:p>
        </w:tc>
      </w:tr>
      <w:tr w:rsidR="00095F6F" w14:paraId="0B243BA9"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46E0435"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以色列新谢克尔</w:t>
            </w:r>
          </w:p>
        </w:tc>
        <w:tc>
          <w:tcPr>
            <w:tcW w:w="2410" w:type="dxa"/>
            <w:tcBorders>
              <w:top w:val="single" w:sz="2" w:space="0" w:color="auto"/>
              <w:left w:val="single" w:sz="2" w:space="0" w:color="auto"/>
              <w:bottom w:val="single" w:sz="2" w:space="0" w:color="auto"/>
              <w:right w:val="single" w:sz="2" w:space="0" w:color="auto"/>
            </w:tcBorders>
            <w:vAlign w:val="center"/>
          </w:tcPr>
          <w:p w14:paraId="0BA418C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206.56</w:t>
            </w:r>
          </w:p>
        </w:tc>
        <w:tc>
          <w:tcPr>
            <w:tcW w:w="2410" w:type="dxa"/>
            <w:tcBorders>
              <w:top w:val="single" w:sz="2" w:space="0" w:color="auto"/>
              <w:left w:val="single" w:sz="2" w:space="0" w:color="auto"/>
              <w:bottom w:val="single" w:sz="2" w:space="0" w:color="auto"/>
              <w:right w:val="single" w:sz="2" w:space="0" w:color="auto"/>
            </w:tcBorders>
            <w:vAlign w:val="center"/>
          </w:tcPr>
          <w:p w14:paraId="31586F7A" w14:textId="7394E20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2.2106</w:t>
            </w:r>
          </w:p>
        </w:tc>
        <w:tc>
          <w:tcPr>
            <w:tcW w:w="2410" w:type="dxa"/>
            <w:tcBorders>
              <w:top w:val="single" w:sz="2" w:space="0" w:color="auto"/>
              <w:left w:val="single" w:sz="2" w:space="0" w:color="auto"/>
              <w:bottom w:val="single" w:sz="2" w:space="0" w:color="auto"/>
              <w:right w:val="single" w:sz="2" w:space="0" w:color="auto"/>
            </w:tcBorders>
            <w:vAlign w:val="center"/>
          </w:tcPr>
          <w:p w14:paraId="28B9709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456.62</w:t>
            </w:r>
          </w:p>
        </w:tc>
      </w:tr>
      <w:tr w:rsidR="00095F6F" w14:paraId="22D7E72F"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AC093BD"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日元</w:t>
            </w:r>
          </w:p>
        </w:tc>
        <w:tc>
          <w:tcPr>
            <w:tcW w:w="2410" w:type="dxa"/>
            <w:tcBorders>
              <w:top w:val="single" w:sz="2" w:space="0" w:color="auto"/>
              <w:left w:val="single" w:sz="2" w:space="0" w:color="auto"/>
              <w:bottom w:val="single" w:sz="2" w:space="0" w:color="auto"/>
              <w:right w:val="single" w:sz="2" w:space="0" w:color="auto"/>
            </w:tcBorders>
            <w:vAlign w:val="center"/>
          </w:tcPr>
          <w:p w14:paraId="38F0710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113.83</w:t>
            </w:r>
          </w:p>
        </w:tc>
        <w:tc>
          <w:tcPr>
            <w:tcW w:w="2410" w:type="dxa"/>
            <w:tcBorders>
              <w:top w:val="single" w:sz="2" w:space="0" w:color="auto"/>
              <w:left w:val="single" w:sz="2" w:space="0" w:color="auto"/>
              <w:bottom w:val="single" w:sz="2" w:space="0" w:color="auto"/>
              <w:right w:val="single" w:sz="2" w:space="0" w:color="auto"/>
            </w:tcBorders>
            <w:vAlign w:val="center"/>
          </w:tcPr>
          <w:p w14:paraId="7B2D22A9" w14:textId="31AF08D2"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0.0448</w:t>
            </w:r>
          </w:p>
        </w:tc>
        <w:tc>
          <w:tcPr>
            <w:tcW w:w="2410" w:type="dxa"/>
            <w:tcBorders>
              <w:top w:val="single" w:sz="2" w:space="0" w:color="auto"/>
              <w:left w:val="single" w:sz="2" w:space="0" w:color="auto"/>
              <w:bottom w:val="single" w:sz="2" w:space="0" w:color="auto"/>
              <w:right w:val="single" w:sz="2" w:space="0" w:color="auto"/>
            </w:tcBorders>
            <w:vAlign w:val="center"/>
          </w:tcPr>
          <w:p w14:paraId="0D9796A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5.10</w:t>
            </w:r>
          </w:p>
        </w:tc>
      </w:tr>
      <w:tr w:rsidR="00095F6F" w14:paraId="7B46443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F151C55"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捷克克朗</w:t>
            </w:r>
          </w:p>
        </w:tc>
        <w:tc>
          <w:tcPr>
            <w:tcW w:w="2410" w:type="dxa"/>
            <w:tcBorders>
              <w:top w:val="single" w:sz="2" w:space="0" w:color="auto"/>
              <w:left w:val="single" w:sz="2" w:space="0" w:color="auto"/>
              <w:bottom w:val="single" w:sz="2" w:space="0" w:color="auto"/>
              <w:right w:val="single" w:sz="2" w:space="0" w:color="auto"/>
            </w:tcBorders>
            <w:vAlign w:val="center"/>
          </w:tcPr>
          <w:p w14:paraId="57ECB36E"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143.47</w:t>
            </w:r>
          </w:p>
        </w:tc>
        <w:tc>
          <w:tcPr>
            <w:tcW w:w="2410" w:type="dxa"/>
            <w:tcBorders>
              <w:top w:val="single" w:sz="2" w:space="0" w:color="auto"/>
              <w:left w:val="single" w:sz="2" w:space="0" w:color="auto"/>
              <w:bottom w:val="single" w:sz="2" w:space="0" w:color="auto"/>
              <w:right w:val="single" w:sz="2" w:space="0" w:color="auto"/>
            </w:tcBorders>
            <w:vAlign w:val="center"/>
          </w:tcPr>
          <w:p w14:paraId="2EAC78E6" w14:textId="22F22CA5"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0.3407</w:t>
            </w:r>
          </w:p>
        </w:tc>
        <w:tc>
          <w:tcPr>
            <w:tcW w:w="2410" w:type="dxa"/>
            <w:tcBorders>
              <w:top w:val="single" w:sz="2" w:space="0" w:color="auto"/>
              <w:left w:val="single" w:sz="2" w:space="0" w:color="auto"/>
              <w:bottom w:val="single" w:sz="2" w:space="0" w:color="auto"/>
              <w:right w:val="single" w:sz="2" w:space="0" w:color="auto"/>
            </w:tcBorders>
            <w:vAlign w:val="center"/>
          </w:tcPr>
          <w:p w14:paraId="29A6E5A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48.87</w:t>
            </w:r>
          </w:p>
        </w:tc>
      </w:tr>
      <w:tr w:rsidR="00095F6F" w14:paraId="1A29524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5CBAFA4"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丹麦克朗</w:t>
            </w:r>
          </w:p>
        </w:tc>
        <w:tc>
          <w:tcPr>
            <w:tcW w:w="2410" w:type="dxa"/>
            <w:tcBorders>
              <w:top w:val="single" w:sz="2" w:space="0" w:color="auto"/>
              <w:left w:val="single" w:sz="2" w:space="0" w:color="auto"/>
              <w:bottom w:val="single" w:sz="2" w:space="0" w:color="auto"/>
              <w:right w:val="single" w:sz="2" w:space="0" w:color="auto"/>
            </w:tcBorders>
            <w:vAlign w:val="center"/>
          </w:tcPr>
          <w:p w14:paraId="021E087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277.37</w:t>
            </w:r>
          </w:p>
        </w:tc>
        <w:tc>
          <w:tcPr>
            <w:tcW w:w="2410" w:type="dxa"/>
            <w:tcBorders>
              <w:top w:val="single" w:sz="2" w:space="0" w:color="auto"/>
              <w:left w:val="single" w:sz="2" w:space="0" w:color="auto"/>
              <w:bottom w:val="single" w:sz="2" w:space="0" w:color="auto"/>
              <w:right w:val="single" w:sz="2" w:space="0" w:color="auto"/>
            </w:tcBorders>
            <w:vAlign w:val="center"/>
          </w:tcPr>
          <w:p w14:paraId="553683B5" w14:textId="3FA76CF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0.9076</w:t>
            </w:r>
          </w:p>
        </w:tc>
        <w:tc>
          <w:tcPr>
            <w:tcW w:w="2410" w:type="dxa"/>
            <w:tcBorders>
              <w:top w:val="single" w:sz="2" w:space="0" w:color="auto"/>
              <w:left w:val="single" w:sz="2" w:space="0" w:color="auto"/>
              <w:bottom w:val="single" w:sz="2" w:space="0" w:color="auto"/>
              <w:right w:val="single" w:sz="2" w:space="0" w:color="auto"/>
            </w:tcBorders>
            <w:vAlign w:val="center"/>
          </w:tcPr>
          <w:p w14:paraId="27679A7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251.74</w:t>
            </w:r>
          </w:p>
        </w:tc>
      </w:tr>
      <w:tr w:rsidR="00095F6F" w14:paraId="002C9C3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50E5E14"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瑞典克朗</w:t>
            </w:r>
          </w:p>
        </w:tc>
        <w:tc>
          <w:tcPr>
            <w:tcW w:w="2410" w:type="dxa"/>
            <w:tcBorders>
              <w:top w:val="single" w:sz="2" w:space="0" w:color="auto"/>
              <w:left w:val="single" w:sz="2" w:space="0" w:color="auto"/>
              <w:bottom w:val="single" w:sz="2" w:space="0" w:color="auto"/>
              <w:right w:val="single" w:sz="2" w:space="0" w:color="auto"/>
            </w:tcBorders>
            <w:vAlign w:val="center"/>
          </w:tcPr>
          <w:p w14:paraId="433C25C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101.51</w:t>
            </w:r>
          </w:p>
        </w:tc>
        <w:tc>
          <w:tcPr>
            <w:tcW w:w="2410" w:type="dxa"/>
            <w:tcBorders>
              <w:top w:val="single" w:sz="2" w:space="0" w:color="auto"/>
              <w:left w:val="single" w:sz="2" w:space="0" w:color="auto"/>
              <w:bottom w:val="single" w:sz="2" w:space="0" w:color="auto"/>
              <w:right w:val="single" w:sz="2" w:space="0" w:color="auto"/>
            </w:tcBorders>
            <w:vAlign w:val="center"/>
          </w:tcPr>
          <w:p w14:paraId="7581BDD2" w14:textId="150B197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0.7617</w:t>
            </w:r>
          </w:p>
        </w:tc>
        <w:tc>
          <w:tcPr>
            <w:tcW w:w="2410" w:type="dxa"/>
            <w:tcBorders>
              <w:top w:val="single" w:sz="2" w:space="0" w:color="auto"/>
              <w:left w:val="single" w:sz="2" w:space="0" w:color="auto"/>
              <w:bottom w:val="single" w:sz="2" w:space="0" w:color="auto"/>
              <w:right w:val="single" w:sz="2" w:space="0" w:color="auto"/>
            </w:tcBorders>
            <w:vAlign w:val="center"/>
          </w:tcPr>
          <w:p w14:paraId="0D5C178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77.32</w:t>
            </w:r>
          </w:p>
        </w:tc>
      </w:tr>
      <w:tr w:rsidR="00095F6F" w14:paraId="017C1CA9"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0579B17" w14:textId="77777777" w:rsidR="00A46BF1" w:rsidRPr="008A14F8" w:rsidRDefault="00A46BF1" w:rsidP="008A14F8">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应收账款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BE57BE0" w14:textId="77777777" w:rsidR="00A46BF1" w:rsidRPr="008A14F8" w:rsidRDefault="00A46BF1" w:rsidP="008A14F8">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DCE14E5" w14:textId="77777777" w:rsidR="00A46BF1" w:rsidRPr="008A14F8" w:rsidRDefault="00A46BF1" w:rsidP="008A14F8">
            <w:pPr>
              <w:spacing w:line="360" w:lineRule="auto"/>
              <w:jc w:val="center"/>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vAlign w:val="center"/>
          </w:tcPr>
          <w:p w14:paraId="1604793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438,342,122.86</w:t>
            </w:r>
          </w:p>
        </w:tc>
      </w:tr>
      <w:tr w:rsidR="00095F6F" w14:paraId="4945E61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9ABC327" w14:textId="77777777" w:rsidR="00A46BF1" w:rsidRPr="008A14F8" w:rsidRDefault="00A46BF1" w:rsidP="008A14F8">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4D6AAC3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51,080,154.59</w:t>
            </w:r>
          </w:p>
        </w:tc>
        <w:tc>
          <w:tcPr>
            <w:tcW w:w="2410" w:type="dxa"/>
            <w:tcBorders>
              <w:top w:val="single" w:sz="2" w:space="0" w:color="auto"/>
              <w:left w:val="single" w:sz="2" w:space="0" w:color="auto"/>
              <w:bottom w:val="single" w:sz="2" w:space="0" w:color="auto"/>
              <w:right w:val="single" w:sz="2" w:space="0" w:color="auto"/>
            </w:tcBorders>
            <w:vAlign w:val="center"/>
          </w:tcPr>
          <w:p w14:paraId="105DE6B2" w14:textId="65DCC1BF"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7D67E1E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359,032,190.58</w:t>
            </w:r>
          </w:p>
        </w:tc>
      </w:tr>
      <w:tr w:rsidR="00095F6F" w14:paraId="36F68CC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145AF0A"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5958D11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6,789,206.32</w:t>
            </w:r>
          </w:p>
        </w:tc>
        <w:tc>
          <w:tcPr>
            <w:tcW w:w="2410" w:type="dxa"/>
            <w:tcBorders>
              <w:top w:val="single" w:sz="2" w:space="0" w:color="auto"/>
              <w:left w:val="single" w:sz="2" w:space="0" w:color="auto"/>
              <w:bottom w:val="single" w:sz="2" w:space="0" w:color="auto"/>
              <w:right w:val="single" w:sz="2" w:space="0" w:color="auto"/>
            </w:tcBorders>
            <w:vAlign w:val="center"/>
          </w:tcPr>
          <w:p w14:paraId="3F5B7ED5" w14:textId="61019C3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341D92C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55,912,508.65</w:t>
            </w:r>
          </w:p>
        </w:tc>
      </w:tr>
      <w:tr w:rsidR="00095F6F" w14:paraId="091A315F"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95EFACE"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港币</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BC85853"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FF1376D"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3E8312F" w14:textId="77777777" w:rsidR="00A46BF1" w:rsidRPr="008A14F8" w:rsidRDefault="00A46BF1" w:rsidP="008A14F8">
            <w:pPr>
              <w:spacing w:line="360" w:lineRule="auto"/>
              <w:jc w:val="right"/>
              <w:rPr>
                <w:rFonts w:ascii="Times New Roman" w:eastAsia="宋体" w:hAnsi="Times New Roman" w:cs="Times New Roman"/>
                <w:sz w:val="18"/>
                <w:szCs w:val="18"/>
              </w:rPr>
            </w:pPr>
          </w:p>
        </w:tc>
      </w:tr>
      <w:tr w:rsidR="00095F6F" w14:paraId="7F7AB8D6"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CC6A8D7"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6C482BE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5,970,079.07</w:t>
            </w:r>
          </w:p>
        </w:tc>
        <w:tc>
          <w:tcPr>
            <w:tcW w:w="2410" w:type="dxa"/>
            <w:tcBorders>
              <w:top w:val="single" w:sz="2" w:space="0" w:color="auto"/>
              <w:left w:val="single" w:sz="2" w:space="0" w:color="auto"/>
              <w:bottom w:val="single" w:sz="2" w:space="0" w:color="auto"/>
              <w:right w:val="single" w:sz="2" w:space="0" w:color="auto"/>
            </w:tcBorders>
            <w:vAlign w:val="center"/>
          </w:tcPr>
          <w:p w14:paraId="27CA0BA0" w14:textId="15D2F666"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0D2CBB9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467,444.49</w:t>
            </w:r>
          </w:p>
        </w:tc>
      </w:tr>
      <w:tr w:rsidR="00095F6F" w14:paraId="22CD4BB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93E7DEC"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印尼盾</w:t>
            </w:r>
          </w:p>
        </w:tc>
        <w:tc>
          <w:tcPr>
            <w:tcW w:w="2410" w:type="dxa"/>
            <w:tcBorders>
              <w:top w:val="single" w:sz="2" w:space="0" w:color="auto"/>
              <w:left w:val="single" w:sz="2" w:space="0" w:color="auto"/>
              <w:bottom w:val="single" w:sz="2" w:space="0" w:color="auto"/>
              <w:right w:val="single" w:sz="2" w:space="0" w:color="auto"/>
            </w:tcBorders>
            <w:vAlign w:val="center"/>
          </w:tcPr>
          <w:p w14:paraId="0D71932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14,959,537,956.24</w:t>
            </w:r>
          </w:p>
        </w:tc>
        <w:tc>
          <w:tcPr>
            <w:tcW w:w="2410" w:type="dxa"/>
            <w:tcBorders>
              <w:top w:val="single" w:sz="2" w:space="0" w:color="auto"/>
              <w:left w:val="single" w:sz="2" w:space="0" w:color="auto"/>
              <w:bottom w:val="single" w:sz="2" w:space="0" w:color="auto"/>
              <w:right w:val="single" w:sz="2" w:space="0" w:color="auto"/>
            </w:tcBorders>
            <w:vAlign w:val="center"/>
          </w:tcPr>
          <w:p w14:paraId="59277039" w14:textId="594369AA"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0.0004</w:t>
            </w:r>
          </w:p>
        </w:tc>
        <w:tc>
          <w:tcPr>
            <w:tcW w:w="2410" w:type="dxa"/>
            <w:tcBorders>
              <w:top w:val="single" w:sz="2" w:space="0" w:color="auto"/>
              <w:left w:val="single" w:sz="2" w:space="0" w:color="auto"/>
              <w:bottom w:val="single" w:sz="2" w:space="0" w:color="auto"/>
              <w:right w:val="single" w:sz="2" w:space="0" w:color="auto"/>
            </w:tcBorders>
            <w:vAlign w:val="center"/>
          </w:tcPr>
          <w:p w14:paraId="59091CD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6,244,172.19</w:t>
            </w:r>
          </w:p>
        </w:tc>
      </w:tr>
      <w:tr w:rsidR="00095F6F" w14:paraId="64AEEC73"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31CF4A9"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18E2C8D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3,479,013,659.65</w:t>
            </w:r>
          </w:p>
        </w:tc>
        <w:tc>
          <w:tcPr>
            <w:tcW w:w="2410" w:type="dxa"/>
            <w:tcBorders>
              <w:top w:val="single" w:sz="2" w:space="0" w:color="auto"/>
              <w:left w:val="single" w:sz="2" w:space="0" w:color="auto"/>
              <w:bottom w:val="single" w:sz="2" w:space="0" w:color="auto"/>
              <w:right w:val="single" w:sz="2" w:space="0" w:color="auto"/>
            </w:tcBorders>
            <w:vAlign w:val="center"/>
          </w:tcPr>
          <w:p w14:paraId="4F3FCAF4" w14:textId="0A398AF5"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0.0003</w:t>
            </w:r>
          </w:p>
        </w:tc>
        <w:tc>
          <w:tcPr>
            <w:tcW w:w="2410" w:type="dxa"/>
            <w:tcBorders>
              <w:top w:val="single" w:sz="2" w:space="0" w:color="auto"/>
              <w:left w:val="single" w:sz="2" w:space="0" w:color="auto"/>
              <w:bottom w:val="single" w:sz="2" w:space="0" w:color="auto"/>
              <w:right w:val="single" w:sz="2" w:space="0" w:color="auto"/>
            </w:tcBorders>
            <w:vAlign w:val="center"/>
          </w:tcPr>
          <w:p w14:paraId="5D59CD3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931,021.94</w:t>
            </w:r>
          </w:p>
        </w:tc>
      </w:tr>
      <w:tr w:rsidR="00095F6F" w14:paraId="362199C3"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2D20B5B"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3F0A740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160,246.24</w:t>
            </w:r>
          </w:p>
        </w:tc>
        <w:tc>
          <w:tcPr>
            <w:tcW w:w="2410" w:type="dxa"/>
            <w:tcBorders>
              <w:top w:val="single" w:sz="2" w:space="0" w:color="auto"/>
              <w:left w:val="single" w:sz="2" w:space="0" w:color="auto"/>
              <w:bottom w:val="single" w:sz="2" w:space="0" w:color="auto"/>
              <w:right w:val="single" w:sz="2" w:space="0" w:color="auto"/>
            </w:tcBorders>
            <w:vAlign w:val="center"/>
          </w:tcPr>
          <w:p w14:paraId="0F1225CF" w14:textId="5C949791"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464133F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1,511,859.18</w:t>
            </w:r>
          </w:p>
        </w:tc>
      </w:tr>
      <w:tr w:rsidR="00095F6F" w14:paraId="2E99A29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784A9BB"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57701FC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27,649,567.86</w:t>
            </w:r>
          </w:p>
        </w:tc>
        <w:tc>
          <w:tcPr>
            <w:tcW w:w="2410" w:type="dxa"/>
            <w:tcBorders>
              <w:top w:val="single" w:sz="2" w:space="0" w:color="auto"/>
              <w:left w:val="single" w:sz="2" w:space="0" w:color="auto"/>
              <w:bottom w:val="single" w:sz="2" w:space="0" w:color="auto"/>
              <w:right w:val="single" w:sz="2" w:space="0" w:color="auto"/>
            </w:tcBorders>
            <w:vAlign w:val="center"/>
          </w:tcPr>
          <w:p w14:paraId="037F317E" w14:textId="4B87893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419A645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10,779,978.89</w:t>
            </w:r>
          </w:p>
        </w:tc>
      </w:tr>
      <w:tr w:rsidR="00095F6F" w14:paraId="73B2B6E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008860F"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120BEC8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2,579,540.00</w:t>
            </w:r>
          </w:p>
        </w:tc>
        <w:tc>
          <w:tcPr>
            <w:tcW w:w="2410" w:type="dxa"/>
            <w:tcBorders>
              <w:top w:val="single" w:sz="2" w:space="0" w:color="auto"/>
              <w:left w:val="single" w:sz="2" w:space="0" w:color="auto"/>
              <w:bottom w:val="single" w:sz="2" w:space="0" w:color="auto"/>
              <w:right w:val="single" w:sz="2" w:space="0" w:color="auto"/>
            </w:tcBorders>
            <w:vAlign w:val="center"/>
          </w:tcPr>
          <w:p w14:paraId="6E7DD347" w14:textId="29A7E045"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6C1F3BA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573,996.44</w:t>
            </w:r>
          </w:p>
        </w:tc>
      </w:tr>
      <w:tr w:rsidR="00095F6F" w14:paraId="7D07E49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5A8A651"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新加坡元</w:t>
            </w:r>
          </w:p>
        </w:tc>
        <w:tc>
          <w:tcPr>
            <w:tcW w:w="2410" w:type="dxa"/>
            <w:tcBorders>
              <w:top w:val="single" w:sz="2" w:space="0" w:color="auto"/>
              <w:left w:val="single" w:sz="2" w:space="0" w:color="auto"/>
              <w:bottom w:val="single" w:sz="2" w:space="0" w:color="auto"/>
              <w:right w:val="single" w:sz="2" w:space="0" w:color="auto"/>
            </w:tcBorders>
            <w:vAlign w:val="center"/>
          </w:tcPr>
          <w:p w14:paraId="620164A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33,273.60</w:t>
            </w:r>
          </w:p>
        </w:tc>
        <w:tc>
          <w:tcPr>
            <w:tcW w:w="2410" w:type="dxa"/>
            <w:tcBorders>
              <w:top w:val="single" w:sz="2" w:space="0" w:color="auto"/>
              <w:left w:val="single" w:sz="2" w:space="0" w:color="auto"/>
              <w:bottom w:val="single" w:sz="2" w:space="0" w:color="auto"/>
              <w:right w:val="single" w:sz="2" w:space="0" w:color="auto"/>
            </w:tcBorders>
            <w:vAlign w:val="center"/>
          </w:tcPr>
          <w:p w14:paraId="6A7FB5AE" w14:textId="28537004"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5.4586</w:t>
            </w:r>
          </w:p>
        </w:tc>
        <w:tc>
          <w:tcPr>
            <w:tcW w:w="2410" w:type="dxa"/>
            <w:tcBorders>
              <w:top w:val="single" w:sz="2" w:space="0" w:color="auto"/>
              <w:left w:val="single" w:sz="2" w:space="0" w:color="auto"/>
              <w:bottom w:val="single" w:sz="2" w:space="0" w:color="auto"/>
              <w:right w:val="single" w:sz="2" w:space="0" w:color="auto"/>
            </w:tcBorders>
            <w:vAlign w:val="center"/>
          </w:tcPr>
          <w:p w14:paraId="4069D1F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181,627.27</w:t>
            </w:r>
          </w:p>
        </w:tc>
      </w:tr>
      <w:tr w:rsidR="00095F6F" w14:paraId="6A3C07B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0C0EFB5"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菲律宾比索</w:t>
            </w:r>
          </w:p>
        </w:tc>
        <w:tc>
          <w:tcPr>
            <w:tcW w:w="2410" w:type="dxa"/>
            <w:tcBorders>
              <w:top w:val="single" w:sz="2" w:space="0" w:color="auto"/>
              <w:left w:val="single" w:sz="2" w:space="0" w:color="auto"/>
              <w:bottom w:val="single" w:sz="2" w:space="0" w:color="auto"/>
              <w:right w:val="single" w:sz="2" w:space="0" w:color="auto"/>
            </w:tcBorders>
            <w:vAlign w:val="center"/>
          </w:tcPr>
          <w:p w14:paraId="64B8DAF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22,655,459.14</w:t>
            </w:r>
          </w:p>
        </w:tc>
        <w:tc>
          <w:tcPr>
            <w:tcW w:w="2410" w:type="dxa"/>
            <w:tcBorders>
              <w:top w:val="single" w:sz="2" w:space="0" w:color="auto"/>
              <w:left w:val="single" w:sz="2" w:space="0" w:color="auto"/>
              <w:bottom w:val="single" w:sz="2" w:space="0" w:color="auto"/>
              <w:right w:val="single" w:sz="2" w:space="0" w:color="auto"/>
            </w:tcBorders>
            <w:vAlign w:val="center"/>
          </w:tcPr>
          <w:p w14:paraId="22B59C10" w14:textId="23FCFEBB"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0.1195</w:t>
            </w:r>
          </w:p>
        </w:tc>
        <w:tc>
          <w:tcPr>
            <w:tcW w:w="2410" w:type="dxa"/>
            <w:tcBorders>
              <w:top w:val="single" w:sz="2" w:space="0" w:color="auto"/>
              <w:left w:val="single" w:sz="2" w:space="0" w:color="auto"/>
              <w:bottom w:val="single" w:sz="2" w:space="0" w:color="auto"/>
              <w:right w:val="single" w:sz="2" w:space="0" w:color="auto"/>
            </w:tcBorders>
            <w:vAlign w:val="center"/>
          </w:tcPr>
          <w:p w14:paraId="2C30D33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2,707,323.23</w:t>
            </w:r>
          </w:p>
        </w:tc>
      </w:tr>
      <w:tr w:rsidR="00095F6F" w14:paraId="0BB45703"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75A5B26" w14:textId="77777777" w:rsidR="00A46BF1" w:rsidRPr="008A14F8" w:rsidRDefault="00A46BF1" w:rsidP="008A14F8">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其他应收款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067B0AC"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4F197AC"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354452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29,881,102.11</w:t>
            </w:r>
          </w:p>
        </w:tc>
      </w:tr>
      <w:tr w:rsidR="00095F6F" w14:paraId="208607A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3459918" w14:textId="77777777" w:rsidR="00A46BF1" w:rsidRPr="008A14F8" w:rsidRDefault="00A46BF1" w:rsidP="008A14F8">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00EF99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614,929.60</w:t>
            </w:r>
          </w:p>
        </w:tc>
        <w:tc>
          <w:tcPr>
            <w:tcW w:w="2410" w:type="dxa"/>
            <w:tcBorders>
              <w:top w:val="single" w:sz="2" w:space="0" w:color="auto"/>
              <w:left w:val="single" w:sz="2" w:space="0" w:color="auto"/>
              <w:bottom w:val="single" w:sz="2" w:space="0" w:color="auto"/>
              <w:right w:val="single" w:sz="2" w:space="0" w:color="auto"/>
            </w:tcBorders>
            <w:vAlign w:val="center"/>
          </w:tcPr>
          <w:p w14:paraId="398B22AD" w14:textId="3BC5050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29BE1F7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4,322,217.19</w:t>
            </w:r>
          </w:p>
        </w:tc>
      </w:tr>
      <w:tr w:rsidR="00095F6F" w14:paraId="612F5E1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92788CF"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2CB85BD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1,200.00</w:t>
            </w:r>
          </w:p>
        </w:tc>
        <w:tc>
          <w:tcPr>
            <w:tcW w:w="2410" w:type="dxa"/>
            <w:tcBorders>
              <w:top w:val="single" w:sz="2" w:space="0" w:color="auto"/>
              <w:left w:val="single" w:sz="2" w:space="0" w:color="auto"/>
              <w:bottom w:val="single" w:sz="2" w:space="0" w:color="auto"/>
              <w:right w:val="single" w:sz="2" w:space="0" w:color="auto"/>
            </w:tcBorders>
            <w:vAlign w:val="center"/>
          </w:tcPr>
          <w:p w14:paraId="37A9385A" w14:textId="105EC71F"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71E3B35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9,882.60</w:t>
            </w:r>
          </w:p>
        </w:tc>
      </w:tr>
      <w:tr w:rsidR="00095F6F" w14:paraId="23E70A0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045349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09FF78F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15,686.64</w:t>
            </w:r>
          </w:p>
        </w:tc>
        <w:tc>
          <w:tcPr>
            <w:tcW w:w="2410" w:type="dxa"/>
            <w:tcBorders>
              <w:top w:val="single" w:sz="2" w:space="0" w:color="auto"/>
              <w:left w:val="single" w:sz="2" w:space="0" w:color="auto"/>
              <w:bottom w:val="single" w:sz="2" w:space="0" w:color="auto"/>
              <w:right w:val="single" w:sz="2" w:space="0" w:color="auto"/>
            </w:tcBorders>
            <w:vAlign w:val="center"/>
          </w:tcPr>
          <w:p w14:paraId="28D196F2" w14:textId="1F09A11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0B98804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147,997.17</w:t>
            </w:r>
          </w:p>
        </w:tc>
      </w:tr>
      <w:tr w:rsidR="00095F6F" w14:paraId="370C752C"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EB1868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7B83141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3,861,925.32</w:t>
            </w:r>
          </w:p>
        </w:tc>
        <w:tc>
          <w:tcPr>
            <w:tcW w:w="2410" w:type="dxa"/>
            <w:tcBorders>
              <w:top w:val="single" w:sz="2" w:space="0" w:color="auto"/>
              <w:left w:val="single" w:sz="2" w:space="0" w:color="auto"/>
              <w:bottom w:val="single" w:sz="2" w:space="0" w:color="auto"/>
              <w:right w:val="single" w:sz="2" w:space="0" w:color="auto"/>
            </w:tcBorders>
            <w:vAlign w:val="center"/>
          </w:tcPr>
          <w:p w14:paraId="6EA71DA8" w14:textId="4F76BFDC"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1C29ABB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302,380.54</w:t>
            </w:r>
          </w:p>
        </w:tc>
      </w:tr>
      <w:tr w:rsidR="00095F6F" w14:paraId="0973629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263E52A"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印尼盾</w:t>
            </w:r>
          </w:p>
        </w:tc>
        <w:tc>
          <w:tcPr>
            <w:tcW w:w="2410" w:type="dxa"/>
            <w:tcBorders>
              <w:top w:val="single" w:sz="2" w:space="0" w:color="auto"/>
              <w:left w:val="single" w:sz="2" w:space="0" w:color="auto"/>
              <w:bottom w:val="single" w:sz="2" w:space="0" w:color="auto"/>
              <w:right w:val="single" w:sz="2" w:space="0" w:color="auto"/>
            </w:tcBorders>
            <w:vAlign w:val="center"/>
          </w:tcPr>
          <w:p w14:paraId="1D5B384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195,203,207.66</w:t>
            </w:r>
          </w:p>
        </w:tc>
        <w:tc>
          <w:tcPr>
            <w:tcW w:w="2410" w:type="dxa"/>
            <w:tcBorders>
              <w:top w:val="single" w:sz="2" w:space="0" w:color="auto"/>
              <w:left w:val="single" w:sz="2" w:space="0" w:color="auto"/>
              <w:bottom w:val="single" w:sz="2" w:space="0" w:color="auto"/>
              <w:right w:val="single" w:sz="2" w:space="0" w:color="auto"/>
            </w:tcBorders>
            <w:vAlign w:val="center"/>
          </w:tcPr>
          <w:p w14:paraId="4F8AC23A" w14:textId="19AB2B19"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0.0004</w:t>
            </w:r>
          </w:p>
        </w:tc>
        <w:tc>
          <w:tcPr>
            <w:tcW w:w="2410" w:type="dxa"/>
            <w:tcBorders>
              <w:top w:val="single" w:sz="2" w:space="0" w:color="auto"/>
              <w:left w:val="single" w:sz="2" w:space="0" w:color="auto"/>
              <w:bottom w:val="single" w:sz="2" w:space="0" w:color="auto"/>
              <w:right w:val="single" w:sz="2" w:space="0" w:color="auto"/>
            </w:tcBorders>
            <w:vAlign w:val="center"/>
          </w:tcPr>
          <w:p w14:paraId="1949FB0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81,478.62</w:t>
            </w:r>
          </w:p>
        </w:tc>
      </w:tr>
      <w:tr w:rsidR="00095F6F" w14:paraId="0494847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11AD340"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6D27016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63,678,342.25</w:t>
            </w:r>
          </w:p>
        </w:tc>
        <w:tc>
          <w:tcPr>
            <w:tcW w:w="2410" w:type="dxa"/>
            <w:tcBorders>
              <w:top w:val="single" w:sz="2" w:space="0" w:color="auto"/>
              <w:left w:val="single" w:sz="2" w:space="0" w:color="auto"/>
              <w:bottom w:val="single" w:sz="2" w:space="0" w:color="auto"/>
              <w:right w:val="single" w:sz="2" w:space="0" w:color="auto"/>
            </w:tcBorders>
            <w:vAlign w:val="center"/>
          </w:tcPr>
          <w:p w14:paraId="0C6D0337" w14:textId="56A11F32"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4D211D23"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24,826,832.33</w:t>
            </w:r>
          </w:p>
        </w:tc>
      </w:tr>
      <w:tr w:rsidR="00095F6F" w14:paraId="5BAC9CB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437BB8F"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292345D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60,430,308.00</w:t>
            </w:r>
          </w:p>
        </w:tc>
        <w:tc>
          <w:tcPr>
            <w:tcW w:w="2410" w:type="dxa"/>
            <w:tcBorders>
              <w:top w:val="single" w:sz="2" w:space="0" w:color="auto"/>
              <w:left w:val="single" w:sz="2" w:space="0" w:color="auto"/>
              <w:bottom w:val="single" w:sz="2" w:space="0" w:color="auto"/>
              <w:right w:val="single" w:sz="2" w:space="0" w:color="auto"/>
            </w:tcBorders>
            <w:vAlign w:val="center"/>
          </w:tcPr>
          <w:p w14:paraId="493B7B0F" w14:textId="7E369515"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0.0003</w:t>
            </w:r>
          </w:p>
        </w:tc>
        <w:tc>
          <w:tcPr>
            <w:tcW w:w="2410" w:type="dxa"/>
            <w:tcBorders>
              <w:top w:val="single" w:sz="2" w:space="0" w:color="auto"/>
              <w:left w:val="single" w:sz="2" w:space="0" w:color="auto"/>
              <w:bottom w:val="single" w:sz="2" w:space="0" w:color="auto"/>
              <w:right w:val="single" w:sz="2" w:space="0" w:color="auto"/>
            </w:tcBorders>
            <w:vAlign w:val="center"/>
          </w:tcPr>
          <w:p w14:paraId="09ECD78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16,171.81</w:t>
            </w:r>
          </w:p>
        </w:tc>
      </w:tr>
      <w:tr w:rsidR="00095F6F" w14:paraId="6297807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3A868C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2EC88E3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28,696.87</w:t>
            </w:r>
          </w:p>
        </w:tc>
        <w:tc>
          <w:tcPr>
            <w:tcW w:w="2410" w:type="dxa"/>
            <w:tcBorders>
              <w:top w:val="single" w:sz="2" w:space="0" w:color="auto"/>
              <w:left w:val="single" w:sz="2" w:space="0" w:color="auto"/>
              <w:bottom w:val="single" w:sz="2" w:space="0" w:color="auto"/>
              <w:right w:val="single" w:sz="2" w:space="0" w:color="auto"/>
            </w:tcBorders>
            <w:vAlign w:val="center"/>
          </w:tcPr>
          <w:p w14:paraId="5F046104" w14:textId="0F023141"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460AC78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6,444.85</w:t>
            </w:r>
          </w:p>
        </w:tc>
      </w:tr>
      <w:tr w:rsidR="00095F6F" w14:paraId="2DDA692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09990DE"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菲律宾比索</w:t>
            </w:r>
          </w:p>
        </w:tc>
        <w:tc>
          <w:tcPr>
            <w:tcW w:w="2410" w:type="dxa"/>
            <w:tcBorders>
              <w:top w:val="single" w:sz="2" w:space="0" w:color="auto"/>
              <w:left w:val="single" w:sz="2" w:space="0" w:color="auto"/>
              <w:bottom w:val="single" w:sz="2" w:space="0" w:color="auto"/>
              <w:right w:val="single" w:sz="2" w:space="0" w:color="auto"/>
            </w:tcBorders>
            <w:vAlign w:val="center"/>
          </w:tcPr>
          <w:p w14:paraId="5E5763E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677,514.33</w:t>
            </w:r>
          </w:p>
        </w:tc>
        <w:tc>
          <w:tcPr>
            <w:tcW w:w="2410" w:type="dxa"/>
            <w:tcBorders>
              <w:top w:val="single" w:sz="2" w:space="0" w:color="auto"/>
              <w:left w:val="single" w:sz="2" w:space="0" w:color="auto"/>
              <w:bottom w:val="single" w:sz="2" w:space="0" w:color="auto"/>
              <w:right w:val="single" w:sz="2" w:space="0" w:color="auto"/>
            </w:tcBorders>
            <w:vAlign w:val="center"/>
          </w:tcPr>
          <w:p w14:paraId="59A13551" w14:textId="6228505F"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0.1195</w:t>
            </w:r>
          </w:p>
        </w:tc>
        <w:tc>
          <w:tcPr>
            <w:tcW w:w="2410" w:type="dxa"/>
            <w:tcBorders>
              <w:top w:val="single" w:sz="2" w:space="0" w:color="auto"/>
              <w:left w:val="single" w:sz="2" w:space="0" w:color="auto"/>
              <w:bottom w:val="single" w:sz="2" w:space="0" w:color="auto"/>
              <w:right w:val="single" w:sz="2" w:space="0" w:color="auto"/>
            </w:tcBorders>
            <w:vAlign w:val="center"/>
          </w:tcPr>
          <w:p w14:paraId="1887437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80,962.84</w:t>
            </w:r>
          </w:p>
        </w:tc>
      </w:tr>
      <w:tr w:rsidR="00095F6F" w14:paraId="2332A97F"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2B32EB8"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5F1430E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350,000.00</w:t>
            </w:r>
          </w:p>
        </w:tc>
        <w:tc>
          <w:tcPr>
            <w:tcW w:w="2410" w:type="dxa"/>
            <w:tcBorders>
              <w:top w:val="single" w:sz="2" w:space="0" w:color="auto"/>
              <w:left w:val="single" w:sz="2" w:space="0" w:color="auto"/>
              <w:bottom w:val="single" w:sz="2" w:space="0" w:color="auto"/>
              <w:right w:val="single" w:sz="2" w:space="0" w:color="auto"/>
            </w:tcBorders>
            <w:vAlign w:val="center"/>
          </w:tcPr>
          <w:p w14:paraId="24A58CC0" w14:textId="3FA02A79"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7E15725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77,881.62</w:t>
            </w:r>
          </w:p>
        </w:tc>
      </w:tr>
      <w:tr w:rsidR="00095F6F" w14:paraId="4C4F34D4"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DC530F4" w14:textId="77777777" w:rsidR="00A46BF1" w:rsidRPr="008A14F8" w:rsidRDefault="00A46BF1" w:rsidP="008A14F8">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孟加拉塔卡</w:t>
            </w:r>
          </w:p>
        </w:tc>
        <w:tc>
          <w:tcPr>
            <w:tcW w:w="2410" w:type="dxa"/>
            <w:tcBorders>
              <w:top w:val="single" w:sz="2" w:space="0" w:color="auto"/>
              <w:left w:val="single" w:sz="2" w:space="0" w:color="auto"/>
              <w:bottom w:val="single" w:sz="2" w:space="0" w:color="auto"/>
              <w:right w:val="single" w:sz="2" w:space="0" w:color="auto"/>
            </w:tcBorders>
            <w:vAlign w:val="center"/>
          </w:tcPr>
          <w:p w14:paraId="70F3F47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154,900.00</w:t>
            </w:r>
          </w:p>
        </w:tc>
        <w:tc>
          <w:tcPr>
            <w:tcW w:w="2410" w:type="dxa"/>
            <w:tcBorders>
              <w:top w:val="single" w:sz="2" w:space="0" w:color="auto"/>
              <w:left w:val="single" w:sz="2" w:space="0" w:color="auto"/>
              <w:bottom w:val="single" w:sz="2" w:space="0" w:color="auto"/>
              <w:right w:val="single" w:sz="2" w:space="0" w:color="auto"/>
            </w:tcBorders>
            <w:vAlign w:val="center"/>
          </w:tcPr>
          <w:p w14:paraId="59F6E57A" w14:textId="7E8A354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0.0572</w:t>
            </w:r>
          </w:p>
        </w:tc>
        <w:tc>
          <w:tcPr>
            <w:tcW w:w="2410" w:type="dxa"/>
            <w:tcBorders>
              <w:top w:val="single" w:sz="2" w:space="0" w:color="auto"/>
              <w:left w:val="single" w:sz="2" w:space="0" w:color="auto"/>
              <w:bottom w:val="single" w:sz="2" w:space="0" w:color="auto"/>
              <w:right w:val="single" w:sz="2" w:space="0" w:color="auto"/>
            </w:tcBorders>
            <w:vAlign w:val="center"/>
          </w:tcPr>
          <w:p w14:paraId="6FCE6E9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8,852.54</w:t>
            </w:r>
          </w:p>
        </w:tc>
      </w:tr>
      <w:tr w:rsidR="00095F6F" w14:paraId="4811ECC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37B810C" w14:textId="77777777" w:rsidR="00A46BF1" w:rsidRPr="008A14F8" w:rsidRDefault="00A46BF1" w:rsidP="000E4C8F">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短期借款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4128D9D"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6CF9B60"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588757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74,757.54</w:t>
            </w:r>
          </w:p>
        </w:tc>
      </w:tr>
      <w:tr w:rsidR="00095F6F" w14:paraId="0B78498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E088108" w14:textId="77777777" w:rsidR="00A46BF1" w:rsidRPr="008A14F8" w:rsidRDefault="00A46BF1"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174AE1F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10,635.89</w:t>
            </w:r>
          </w:p>
        </w:tc>
        <w:tc>
          <w:tcPr>
            <w:tcW w:w="2410" w:type="dxa"/>
            <w:tcBorders>
              <w:top w:val="single" w:sz="2" w:space="0" w:color="auto"/>
              <w:left w:val="single" w:sz="2" w:space="0" w:color="auto"/>
              <w:bottom w:val="single" w:sz="2" w:space="0" w:color="auto"/>
              <w:right w:val="single" w:sz="2" w:space="0" w:color="auto"/>
            </w:tcBorders>
            <w:vAlign w:val="center"/>
          </w:tcPr>
          <w:p w14:paraId="2ECB2383" w14:textId="1729DB8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421E123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74,757.54</w:t>
            </w:r>
          </w:p>
        </w:tc>
      </w:tr>
      <w:tr w:rsidR="00095F6F" w14:paraId="403A90F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6917E42" w14:textId="77777777" w:rsidR="00A46BF1" w:rsidRPr="008A14F8" w:rsidRDefault="00A46BF1" w:rsidP="0038113E">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应付账款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6A5708F"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DBFBD5"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9590B1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115,910,097.18</w:t>
            </w:r>
          </w:p>
        </w:tc>
      </w:tr>
      <w:tr w:rsidR="00095F6F" w14:paraId="10756F9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8A5CD7E" w14:textId="77777777" w:rsidR="00A46BF1" w:rsidRPr="008A14F8" w:rsidRDefault="00A46BF1"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BC94E8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10,864,846.70</w:t>
            </w:r>
          </w:p>
        </w:tc>
        <w:tc>
          <w:tcPr>
            <w:tcW w:w="2410" w:type="dxa"/>
            <w:tcBorders>
              <w:top w:val="single" w:sz="2" w:space="0" w:color="auto"/>
              <w:left w:val="single" w:sz="2" w:space="0" w:color="auto"/>
              <w:bottom w:val="single" w:sz="2" w:space="0" w:color="auto"/>
              <w:right w:val="single" w:sz="2" w:space="0" w:color="auto"/>
            </w:tcBorders>
            <w:vAlign w:val="center"/>
          </w:tcPr>
          <w:p w14:paraId="24D6CFF6" w14:textId="3BD78683"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5FF4E35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76,366,834.48</w:t>
            </w:r>
          </w:p>
        </w:tc>
      </w:tr>
      <w:tr w:rsidR="00095F6F" w14:paraId="37B3689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346838C"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633163F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100,486.60</w:t>
            </w:r>
          </w:p>
        </w:tc>
        <w:tc>
          <w:tcPr>
            <w:tcW w:w="2410" w:type="dxa"/>
            <w:tcBorders>
              <w:top w:val="single" w:sz="2" w:space="0" w:color="auto"/>
              <w:left w:val="single" w:sz="2" w:space="0" w:color="auto"/>
              <w:bottom w:val="single" w:sz="2" w:space="0" w:color="auto"/>
              <w:right w:val="single" w:sz="2" w:space="0" w:color="auto"/>
            </w:tcBorders>
            <w:vAlign w:val="center"/>
          </w:tcPr>
          <w:p w14:paraId="78D57104" w14:textId="5650197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2F5DA8AE"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948,050.88</w:t>
            </w:r>
          </w:p>
        </w:tc>
      </w:tr>
      <w:tr w:rsidR="00095F6F" w14:paraId="57122FEE"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B315991"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5F460623"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4,450,865.86</w:t>
            </w:r>
          </w:p>
        </w:tc>
        <w:tc>
          <w:tcPr>
            <w:tcW w:w="2410" w:type="dxa"/>
            <w:tcBorders>
              <w:top w:val="single" w:sz="2" w:space="0" w:color="auto"/>
              <w:left w:val="single" w:sz="2" w:space="0" w:color="auto"/>
              <w:bottom w:val="single" w:sz="2" w:space="0" w:color="auto"/>
              <w:right w:val="single" w:sz="2" w:space="0" w:color="auto"/>
            </w:tcBorders>
            <w:vAlign w:val="center"/>
          </w:tcPr>
          <w:p w14:paraId="1C664D4D" w14:textId="59EDEE2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1BB03B9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1,735,298.01</w:t>
            </w:r>
          </w:p>
        </w:tc>
      </w:tr>
      <w:tr w:rsidR="00095F6F" w14:paraId="0BF3A38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329BE9F"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3382C1D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153,259,650.48</w:t>
            </w:r>
          </w:p>
        </w:tc>
        <w:tc>
          <w:tcPr>
            <w:tcW w:w="2410" w:type="dxa"/>
            <w:tcBorders>
              <w:top w:val="single" w:sz="2" w:space="0" w:color="auto"/>
              <w:left w:val="single" w:sz="2" w:space="0" w:color="auto"/>
              <w:bottom w:val="single" w:sz="2" w:space="0" w:color="auto"/>
              <w:right w:val="single" w:sz="2" w:space="0" w:color="auto"/>
            </w:tcBorders>
            <w:vAlign w:val="center"/>
          </w:tcPr>
          <w:p w14:paraId="3A53140C" w14:textId="17D72F8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2034DA0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34,419,638.66</w:t>
            </w:r>
          </w:p>
        </w:tc>
      </w:tr>
      <w:tr w:rsidR="00095F6F" w14:paraId="1BD875D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FEBBD88"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71D2FAC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11,506,160.37</w:t>
            </w:r>
          </w:p>
        </w:tc>
        <w:tc>
          <w:tcPr>
            <w:tcW w:w="2410" w:type="dxa"/>
            <w:tcBorders>
              <w:top w:val="single" w:sz="2" w:space="0" w:color="auto"/>
              <w:left w:val="single" w:sz="2" w:space="0" w:color="auto"/>
              <w:bottom w:val="single" w:sz="2" w:space="0" w:color="auto"/>
              <w:right w:val="single" w:sz="2" w:space="0" w:color="auto"/>
            </w:tcBorders>
            <w:vAlign w:val="center"/>
          </w:tcPr>
          <w:p w14:paraId="45EC4FA2" w14:textId="35473F8F"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15B7C68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900,907.88</w:t>
            </w:r>
          </w:p>
        </w:tc>
      </w:tr>
      <w:tr w:rsidR="00095F6F" w14:paraId="3772E1D9"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019A317"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6292825E"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2,363,805.20</w:t>
            </w:r>
          </w:p>
        </w:tc>
        <w:tc>
          <w:tcPr>
            <w:tcW w:w="2410" w:type="dxa"/>
            <w:tcBorders>
              <w:top w:val="single" w:sz="2" w:space="0" w:color="auto"/>
              <w:left w:val="single" w:sz="2" w:space="0" w:color="auto"/>
              <w:bottom w:val="single" w:sz="2" w:space="0" w:color="auto"/>
              <w:right w:val="single" w:sz="2" w:space="0" w:color="auto"/>
            </w:tcBorders>
            <w:vAlign w:val="center"/>
          </w:tcPr>
          <w:p w14:paraId="29A04843" w14:textId="095E31E9"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0500EC5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525,991.37</w:t>
            </w:r>
          </w:p>
        </w:tc>
      </w:tr>
      <w:tr w:rsidR="00095F6F" w14:paraId="7032D82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3114775"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78EF425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38.04</w:t>
            </w:r>
          </w:p>
        </w:tc>
        <w:tc>
          <w:tcPr>
            <w:tcW w:w="2410" w:type="dxa"/>
            <w:tcBorders>
              <w:top w:val="single" w:sz="2" w:space="0" w:color="auto"/>
              <w:left w:val="single" w:sz="2" w:space="0" w:color="auto"/>
              <w:bottom w:val="single" w:sz="2" w:space="0" w:color="auto"/>
              <w:right w:val="single" w:sz="2" w:space="0" w:color="auto"/>
            </w:tcBorders>
            <w:vAlign w:val="center"/>
          </w:tcPr>
          <w:p w14:paraId="0DD03682" w14:textId="7DAD6CC4"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07C7D04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313.28</w:t>
            </w:r>
          </w:p>
        </w:tc>
      </w:tr>
      <w:tr w:rsidR="00095F6F" w14:paraId="03AF7D8F"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F5504F4"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印尼盾</w:t>
            </w:r>
          </w:p>
        </w:tc>
        <w:tc>
          <w:tcPr>
            <w:tcW w:w="2410" w:type="dxa"/>
            <w:tcBorders>
              <w:top w:val="single" w:sz="2" w:space="0" w:color="auto"/>
              <w:left w:val="single" w:sz="2" w:space="0" w:color="auto"/>
              <w:bottom w:val="single" w:sz="2" w:space="0" w:color="auto"/>
              <w:right w:val="single" w:sz="2" w:space="0" w:color="auto"/>
            </w:tcBorders>
            <w:vAlign w:val="center"/>
          </w:tcPr>
          <w:p w14:paraId="5BABE4D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1,973,805,507.00</w:t>
            </w:r>
          </w:p>
        </w:tc>
        <w:tc>
          <w:tcPr>
            <w:tcW w:w="2410" w:type="dxa"/>
            <w:tcBorders>
              <w:top w:val="single" w:sz="2" w:space="0" w:color="auto"/>
              <w:left w:val="single" w:sz="2" w:space="0" w:color="auto"/>
              <w:bottom w:val="single" w:sz="2" w:space="0" w:color="auto"/>
              <w:right w:val="single" w:sz="2" w:space="0" w:color="auto"/>
            </w:tcBorders>
            <w:vAlign w:val="center"/>
          </w:tcPr>
          <w:p w14:paraId="6C773B5C" w14:textId="0132931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0.0004</w:t>
            </w:r>
          </w:p>
        </w:tc>
        <w:tc>
          <w:tcPr>
            <w:tcW w:w="2410" w:type="dxa"/>
            <w:tcBorders>
              <w:top w:val="single" w:sz="2" w:space="0" w:color="auto"/>
              <w:left w:val="single" w:sz="2" w:space="0" w:color="auto"/>
              <w:bottom w:val="single" w:sz="2" w:space="0" w:color="auto"/>
              <w:right w:val="single" w:sz="2" w:space="0" w:color="auto"/>
            </w:tcBorders>
            <w:vAlign w:val="center"/>
          </w:tcPr>
          <w:p w14:paraId="352D332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823,874.47</w:t>
            </w:r>
          </w:p>
        </w:tc>
      </w:tr>
      <w:tr w:rsidR="00095F6F" w14:paraId="3F6F9E4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675B038"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孟加拉塔卡</w:t>
            </w:r>
          </w:p>
        </w:tc>
        <w:tc>
          <w:tcPr>
            <w:tcW w:w="2410" w:type="dxa"/>
            <w:tcBorders>
              <w:top w:val="single" w:sz="2" w:space="0" w:color="auto"/>
              <w:left w:val="single" w:sz="2" w:space="0" w:color="auto"/>
              <w:bottom w:val="single" w:sz="2" w:space="0" w:color="auto"/>
              <w:right w:val="single" w:sz="2" w:space="0" w:color="auto"/>
            </w:tcBorders>
            <w:vAlign w:val="center"/>
          </w:tcPr>
          <w:p w14:paraId="4BF64BB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123,931.00</w:t>
            </w:r>
          </w:p>
        </w:tc>
        <w:tc>
          <w:tcPr>
            <w:tcW w:w="2410" w:type="dxa"/>
            <w:tcBorders>
              <w:top w:val="single" w:sz="2" w:space="0" w:color="auto"/>
              <w:left w:val="single" w:sz="2" w:space="0" w:color="auto"/>
              <w:bottom w:val="single" w:sz="2" w:space="0" w:color="auto"/>
              <w:right w:val="single" w:sz="2" w:space="0" w:color="auto"/>
            </w:tcBorders>
            <w:vAlign w:val="center"/>
          </w:tcPr>
          <w:p w14:paraId="42C31FCB" w14:textId="0C41A4D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0.0572</w:t>
            </w:r>
          </w:p>
        </w:tc>
        <w:tc>
          <w:tcPr>
            <w:tcW w:w="2410" w:type="dxa"/>
            <w:tcBorders>
              <w:top w:val="single" w:sz="2" w:space="0" w:color="auto"/>
              <w:left w:val="single" w:sz="2" w:space="0" w:color="auto"/>
              <w:bottom w:val="single" w:sz="2" w:space="0" w:color="auto"/>
              <w:right w:val="single" w:sz="2" w:space="0" w:color="auto"/>
            </w:tcBorders>
            <w:vAlign w:val="center"/>
          </w:tcPr>
          <w:p w14:paraId="52A77BB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7,082.66</w:t>
            </w:r>
          </w:p>
        </w:tc>
      </w:tr>
      <w:tr w:rsidR="00095F6F" w14:paraId="06B598D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9D06374" w14:textId="77777777" w:rsidR="00A46BF1" w:rsidRPr="008A14F8" w:rsidRDefault="00A46BF1" w:rsidP="0038113E">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3A8433B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680,486,098.00</w:t>
            </w:r>
          </w:p>
        </w:tc>
        <w:tc>
          <w:tcPr>
            <w:tcW w:w="2410" w:type="dxa"/>
            <w:tcBorders>
              <w:top w:val="single" w:sz="2" w:space="0" w:color="auto"/>
              <w:left w:val="single" w:sz="2" w:space="0" w:color="auto"/>
              <w:bottom w:val="single" w:sz="2" w:space="0" w:color="auto"/>
              <w:right w:val="single" w:sz="2" w:space="0" w:color="auto"/>
            </w:tcBorders>
            <w:vAlign w:val="center"/>
          </w:tcPr>
          <w:p w14:paraId="7CC1578F" w14:textId="4D5C6FAB"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0.0003</w:t>
            </w:r>
          </w:p>
        </w:tc>
        <w:tc>
          <w:tcPr>
            <w:tcW w:w="2410" w:type="dxa"/>
            <w:tcBorders>
              <w:top w:val="single" w:sz="2" w:space="0" w:color="auto"/>
              <w:left w:val="single" w:sz="2" w:space="0" w:color="auto"/>
              <w:bottom w:val="single" w:sz="2" w:space="0" w:color="auto"/>
              <w:right w:val="single" w:sz="2" w:space="0" w:color="auto"/>
            </w:tcBorders>
            <w:vAlign w:val="center"/>
          </w:tcPr>
          <w:p w14:paraId="204905D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182,105.49</w:t>
            </w:r>
          </w:p>
        </w:tc>
      </w:tr>
      <w:tr w:rsidR="00095F6F" w14:paraId="618AAF2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DF0342D" w14:textId="77777777" w:rsidR="00A46BF1" w:rsidRPr="008A14F8" w:rsidRDefault="00A46BF1" w:rsidP="0038113E">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应付职工薪酬</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30E8255"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EAAC482"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841699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103,072,374.51</w:t>
            </w:r>
          </w:p>
        </w:tc>
      </w:tr>
      <w:tr w:rsidR="00095F6F" w14:paraId="53FDD8B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0A3FE24" w14:textId="77777777" w:rsidR="00A46BF1" w:rsidRPr="008A14F8" w:rsidRDefault="00A46BF1"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5E599BC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13,539,403.61</w:t>
            </w:r>
          </w:p>
        </w:tc>
        <w:tc>
          <w:tcPr>
            <w:tcW w:w="2410" w:type="dxa"/>
            <w:tcBorders>
              <w:top w:val="single" w:sz="2" w:space="0" w:color="auto"/>
              <w:left w:val="single" w:sz="2" w:space="0" w:color="auto"/>
              <w:bottom w:val="single" w:sz="2" w:space="0" w:color="auto"/>
              <w:right w:val="single" w:sz="2" w:space="0" w:color="auto"/>
            </w:tcBorders>
            <w:vAlign w:val="center"/>
          </w:tcPr>
          <w:p w14:paraId="2EB9B59A" w14:textId="6E34C9A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2578910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95,165,760.09</w:t>
            </w:r>
          </w:p>
        </w:tc>
      </w:tr>
      <w:tr w:rsidR="00095F6F" w14:paraId="79BC353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C64F719"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38684D07"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50,000.00</w:t>
            </w:r>
          </w:p>
        </w:tc>
        <w:tc>
          <w:tcPr>
            <w:tcW w:w="2410" w:type="dxa"/>
            <w:tcBorders>
              <w:top w:val="single" w:sz="2" w:space="0" w:color="auto"/>
              <w:left w:val="single" w:sz="2" w:space="0" w:color="auto"/>
              <w:bottom w:val="single" w:sz="2" w:space="0" w:color="auto"/>
              <w:right w:val="single" w:sz="2" w:space="0" w:color="auto"/>
            </w:tcBorders>
            <w:vAlign w:val="center"/>
          </w:tcPr>
          <w:p w14:paraId="145FE24F" w14:textId="7A27E0D4"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0.9032</w:t>
            </w:r>
          </w:p>
        </w:tc>
        <w:tc>
          <w:tcPr>
            <w:tcW w:w="2410" w:type="dxa"/>
            <w:tcBorders>
              <w:top w:val="single" w:sz="2" w:space="0" w:color="auto"/>
              <w:left w:val="single" w:sz="2" w:space="0" w:color="auto"/>
              <w:bottom w:val="single" w:sz="2" w:space="0" w:color="auto"/>
              <w:right w:val="single" w:sz="2" w:space="0" w:color="auto"/>
            </w:tcBorders>
            <w:vAlign w:val="center"/>
          </w:tcPr>
          <w:p w14:paraId="3D799F3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45,161.00</w:t>
            </w:r>
          </w:p>
        </w:tc>
      </w:tr>
      <w:tr w:rsidR="00095F6F" w14:paraId="3E9528A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8F7606C"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253AEB2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196,461.33</w:t>
            </w:r>
          </w:p>
        </w:tc>
        <w:tc>
          <w:tcPr>
            <w:tcW w:w="2410" w:type="dxa"/>
            <w:tcBorders>
              <w:top w:val="single" w:sz="2" w:space="0" w:color="auto"/>
              <w:left w:val="single" w:sz="2" w:space="0" w:color="auto"/>
              <w:bottom w:val="single" w:sz="2" w:space="0" w:color="auto"/>
              <w:right w:val="single" w:sz="2" w:space="0" w:color="auto"/>
            </w:tcBorders>
            <w:vAlign w:val="center"/>
          </w:tcPr>
          <w:p w14:paraId="605CCBF4" w14:textId="66E91FD2"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630928B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1,853,534.06</w:t>
            </w:r>
          </w:p>
        </w:tc>
      </w:tr>
      <w:tr w:rsidR="00095F6F" w14:paraId="05332AD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6AACA8A"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4129010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1,421,206.34</w:t>
            </w:r>
          </w:p>
        </w:tc>
        <w:tc>
          <w:tcPr>
            <w:tcW w:w="2410" w:type="dxa"/>
            <w:tcBorders>
              <w:top w:val="single" w:sz="2" w:space="0" w:color="auto"/>
              <w:left w:val="single" w:sz="2" w:space="0" w:color="auto"/>
              <w:bottom w:val="single" w:sz="2" w:space="0" w:color="auto"/>
              <w:right w:val="single" w:sz="2" w:space="0" w:color="auto"/>
            </w:tcBorders>
            <w:vAlign w:val="center"/>
          </w:tcPr>
          <w:p w14:paraId="5D1A1F4C" w14:textId="1876B068"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4E2F7CB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554,098.15</w:t>
            </w:r>
          </w:p>
        </w:tc>
      </w:tr>
      <w:tr w:rsidR="00095F6F" w14:paraId="336AD313"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6019FA2"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1755EBB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18,758,230.12</w:t>
            </w:r>
          </w:p>
        </w:tc>
        <w:tc>
          <w:tcPr>
            <w:tcW w:w="2410" w:type="dxa"/>
            <w:tcBorders>
              <w:top w:val="single" w:sz="2" w:space="0" w:color="auto"/>
              <w:left w:val="single" w:sz="2" w:space="0" w:color="auto"/>
              <w:bottom w:val="single" w:sz="2" w:space="0" w:color="auto"/>
              <w:right w:val="single" w:sz="2" w:space="0" w:color="auto"/>
            </w:tcBorders>
            <w:vAlign w:val="center"/>
          </w:tcPr>
          <w:p w14:paraId="56406122" w14:textId="1C5A359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7EDB422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4,212,795.09</w:t>
            </w:r>
          </w:p>
        </w:tc>
      </w:tr>
      <w:tr w:rsidR="00095F6F" w14:paraId="6CB92DA9"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7E96DC2"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012492B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1,652,726.71</w:t>
            </w:r>
          </w:p>
        </w:tc>
        <w:tc>
          <w:tcPr>
            <w:tcW w:w="2410" w:type="dxa"/>
            <w:tcBorders>
              <w:top w:val="single" w:sz="2" w:space="0" w:color="auto"/>
              <w:left w:val="single" w:sz="2" w:space="0" w:color="auto"/>
              <w:bottom w:val="single" w:sz="2" w:space="0" w:color="auto"/>
              <w:right w:val="single" w:sz="2" w:space="0" w:color="auto"/>
            </w:tcBorders>
            <w:vAlign w:val="center"/>
          </w:tcPr>
          <w:p w14:paraId="731DCEF2" w14:textId="4BC690FC"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599910E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129,404.98</w:t>
            </w:r>
          </w:p>
        </w:tc>
      </w:tr>
      <w:tr w:rsidR="00095F6F" w14:paraId="4CA3967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F99FFF6"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菲律宾比索</w:t>
            </w:r>
          </w:p>
        </w:tc>
        <w:tc>
          <w:tcPr>
            <w:tcW w:w="2410" w:type="dxa"/>
            <w:tcBorders>
              <w:top w:val="single" w:sz="2" w:space="0" w:color="auto"/>
              <w:left w:val="single" w:sz="2" w:space="0" w:color="auto"/>
              <w:bottom w:val="single" w:sz="2" w:space="0" w:color="auto"/>
              <w:right w:val="single" w:sz="2" w:space="0" w:color="auto"/>
            </w:tcBorders>
            <w:vAlign w:val="center"/>
          </w:tcPr>
          <w:p w14:paraId="61FD586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76,660.70</w:t>
            </w:r>
          </w:p>
        </w:tc>
        <w:tc>
          <w:tcPr>
            <w:tcW w:w="2410" w:type="dxa"/>
            <w:tcBorders>
              <w:top w:val="single" w:sz="2" w:space="0" w:color="auto"/>
              <w:left w:val="single" w:sz="2" w:space="0" w:color="auto"/>
              <w:bottom w:val="single" w:sz="2" w:space="0" w:color="auto"/>
              <w:right w:val="single" w:sz="2" w:space="0" w:color="auto"/>
            </w:tcBorders>
            <w:vAlign w:val="center"/>
          </w:tcPr>
          <w:p w14:paraId="4F357807" w14:textId="1BB4F70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0.1195</w:t>
            </w:r>
          </w:p>
        </w:tc>
        <w:tc>
          <w:tcPr>
            <w:tcW w:w="2410" w:type="dxa"/>
            <w:tcBorders>
              <w:top w:val="single" w:sz="2" w:space="0" w:color="auto"/>
              <w:left w:val="single" w:sz="2" w:space="0" w:color="auto"/>
              <w:bottom w:val="single" w:sz="2" w:space="0" w:color="auto"/>
              <w:right w:val="single" w:sz="2" w:space="0" w:color="auto"/>
            </w:tcBorders>
            <w:vAlign w:val="center"/>
          </w:tcPr>
          <w:p w14:paraId="514A941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9,160.94</w:t>
            </w:r>
          </w:p>
        </w:tc>
      </w:tr>
      <w:tr w:rsidR="00095F6F" w14:paraId="004CC1E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982161C"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1E971E5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85,000.00</w:t>
            </w:r>
          </w:p>
        </w:tc>
        <w:tc>
          <w:tcPr>
            <w:tcW w:w="2410" w:type="dxa"/>
            <w:tcBorders>
              <w:top w:val="single" w:sz="2" w:space="0" w:color="auto"/>
              <w:left w:val="single" w:sz="2" w:space="0" w:color="auto"/>
              <w:bottom w:val="single" w:sz="2" w:space="0" w:color="auto"/>
              <w:right w:val="single" w:sz="2" w:space="0" w:color="auto"/>
            </w:tcBorders>
            <w:vAlign w:val="center"/>
          </w:tcPr>
          <w:p w14:paraId="2672E3B7" w14:textId="08768FF5"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2096B89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18,914.11</w:t>
            </w:r>
          </w:p>
        </w:tc>
      </w:tr>
      <w:tr w:rsidR="00095F6F" w14:paraId="669D0FAA"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CCEAD24"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印尼盾</w:t>
            </w:r>
          </w:p>
        </w:tc>
        <w:tc>
          <w:tcPr>
            <w:tcW w:w="2410" w:type="dxa"/>
            <w:tcBorders>
              <w:top w:val="single" w:sz="2" w:space="0" w:color="auto"/>
              <w:left w:val="single" w:sz="2" w:space="0" w:color="auto"/>
              <w:bottom w:val="single" w:sz="2" w:space="0" w:color="auto"/>
              <w:right w:val="single" w:sz="2" w:space="0" w:color="auto"/>
            </w:tcBorders>
            <w:vAlign w:val="center"/>
          </w:tcPr>
          <w:p w14:paraId="4FD5416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881,167,388.00</w:t>
            </w:r>
          </w:p>
        </w:tc>
        <w:tc>
          <w:tcPr>
            <w:tcW w:w="2410" w:type="dxa"/>
            <w:tcBorders>
              <w:top w:val="single" w:sz="2" w:space="0" w:color="auto"/>
              <w:left w:val="single" w:sz="2" w:space="0" w:color="auto"/>
              <w:bottom w:val="single" w:sz="2" w:space="0" w:color="auto"/>
              <w:right w:val="single" w:sz="2" w:space="0" w:color="auto"/>
            </w:tcBorders>
            <w:vAlign w:val="center"/>
          </w:tcPr>
          <w:p w14:paraId="433BDC79" w14:textId="477D628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0.0004</w:t>
            </w:r>
          </w:p>
        </w:tc>
        <w:tc>
          <w:tcPr>
            <w:tcW w:w="2410" w:type="dxa"/>
            <w:tcBorders>
              <w:top w:val="single" w:sz="2" w:space="0" w:color="auto"/>
              <w:left w:val="single" w:sz="2" w:space="0" w:color="auto"/>
              <w:bottom w:val="single" w:sz="2" w:space="0" w:color="auto"/>
              <w:right w:val="single" w:sz="2" w:space="0" w:color="auto"/>
            </w:tcBorders>
            <w:vAlign w:val="center"/>
          </w:tcPr>
          <w:p w14:paraId="6A85DAAE"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367,802.86</w:t>
            </w:r>
          </w:p>
        </w:tc>
      </w:tr>
      <w:tr w:rsidR="00095F6F" w14:paraId="632F5A6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02AC52E"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加拿大元</w:t>
            </w:r>
          </w:p>
        </w:tc>
        <w:tc>
          <w:tcPr>
            <w:tcW w:w="2410" w:type="dxa"/>
            <w:tcBorders>
              <w:top w:val="single" w:sz="2" w:space="0" w:color="auto"/>
              <w:left w:val="single" w:sz="2" w:space="0" w:color="auto"/>
              <w:bottom w:val="single" w:sz="2" w:space="0" w:color="auto"/>
              <w:right w:val="single" w:sz="2" w:space="0" w:color="auto"/>
            </w:tcBorders>
            <w:vAlign w:val="center"/>
          </w:tcPr>
          <w:p w14:paraId="63DB4F1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113,665.41</w:t>
            </w:r>
          </w:p>
        </w:tc>
        <w:tc>
          <w:tcPr>
            <w:tcW w:w="2410" w:type="dxa"/>
            <w:tcBorders>
              <w:top w:val="single" w:sz="2" w:space="0" w:color="auto"/>
              <w:left w:val="single" w:sz="2" w:space="0" w:color="auto"/>
              <w:bottom w:val="single" w:sz="2" w:space="0" w:color="auto"/>
              <w:right w:val="single" w:sz="2" w:space="0" w:color="auto"/>
            </w:tcBorders>
            <w:vAlign w:val="center"/>
          </w:tcPr>
          <w:p w14:paraId="6F7666AB" w14:textId="3038A0B1"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5.1142</w:t>
            </w:r>
          </w:p>
        </w:tc>
        <w:tc>
          <w:tcPr>
            <w:tcW w:w="2410" w:type="dxa"/>
            <w:tcBorders>
              <w:top w:val="single" w:sz="2" w:space="0" w:color="auto"/>
              <w:left w:val="single" w:sz="2" w:space="0" w:color="auto"/>
              <w:bottom w:val="single" w:sz="2" w:space="0" w:color="auto"/>
              <w:right w:val="single" w:sz="2" w:space="0" w:color="auto"/>
            </w:tcBorders>
            <w:vAlign w:val="center"/>
          </w:tcPr>
          <w:p w14:paraId="2C4DA03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581,307.64</w:t>
            </w:r>
          </w:p>
        </w:tc>
      </w:tr>
      <w:tr w:rsidR="00095F6F" w14:paraId="49C0C446"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BBFCF78"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7886FEF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283,810,734.00</w:t>
            </w:r>
          </w:p>
        </w:tc>
        <w:tc>
          <w:tcPr>
            <w:tcW w:w="2410" w:type="dxa"/>
            <w:tcBorders>
              <w:top w:val="single" w:sz="2" w:space="0" w:color="auto"/>
              <w:left w:val="single" w:sz="2" w:space="0" w:color="auto"/>
              <w:bottom w:val="single" w:sz="2" w:space="0" w:color="auto"/>
              <w:right w:val="single" w:sz="2" w:space="0" w:color="auto"/>
            </w:tcBorders>
            <w:vAlign w:val="center"/>
          </w:tcPr>
          <w:p w14:paraId="6DF12C4A" w14:textId="07797820"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0.0003</w:t>
            </w:r>
          </w:p>
        </w:tc>
        <w:tc>
          <w:tcPr>
            <w:tcW w:w="2410" w:type="dxa"/>
            <w:tcBorders>
              <w:top w:val="single" w:sz="2" w:space="0" w:color="auto"/>
              <w:left w:val="single" w:sz="2" w:space="0" w:color="auto"/>
              <w:bottom w:val="single" w:sz="2" w:space="0" w:color="auto"/>
              <w:right w:val="single" w:sz="2" w:space="0" w:color="auto"/>
            </w:tcBorders>
            <w:vAlign w:val="center"/>
          </w:tcPr>
          <w:p w14:paraId="583D00C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75,950.84</w:t>
            </w:r>
          </w:p>
        </w:tc>
      </w:tr>
      <w:tr w:rsidR="00095F6F" w14:paraId="61BCE2E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52FB9B2"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巴西雷亚尔</w:t>
            </w:r>
          </w:p>
        </w:tc>
        <w:tc>
          <w:tcPr>
            <w:tcW w:w="2410" w:type="dxa"/>
            <w:tcBorders>
              <w:top w:val="single" w:sz="2" w:space="0" w:color="auto"/>
              <w:left w:val="single" w:sz="2" w:space="0" w:color="auto"/>
              <w:bottom w:val="single" w:sz="2" w:space="0" w:color="auto"/>
              <w:right w:val="single" w:sz="2" w:space="0" w:color="auto"/>
            </w:tcBorders>
            <w:vAlign w:val="center"/>
          </w:tcPr>
          <w:p w14:paraId="52F3C37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45,578.88</w:t>
            </w:r>
          </w:p>
        </w:tc>
        <w:tc>
          <w:tcPr>
            <w:tcW w:w="2410" w:type="dxa"/>
            <w:tcBorders>
              <w:top w:val="single" w:sz="2" w:space="0" w:color="auto"/>
              <w:left w:val="single" w:sz="2" w:space="0" w:color="auto"/>
              <w:bottom w:val="single" w:sz="2" w:space="0" w:color="auto"/>
              <w:right w:val="single" w:sz="2" w:space="0" w:color="auto"/>
            </w:tcBorders>
            <w:vAlign w:val="center"/>
          </w:tcPr>
          <w:p w14:paraId="6C9DC7D3" w14:textId="5A022496"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1.2832</w:t>
            </w:r>
          </w:p>
        </w:tc>
        <w:tc>
          <w:tcPr>
            <w:tcW w:w="2410" w:type="dxa"/>
            <w:tcBorders>
              <w:top w:val="single" w:sz="2" w:space="0" w:color="auto"/>
              <w:left w:val="single" w:sz="2" w:space="0" w:color="auto"/>
              <w:bottom w:val="single" w:sz="2" w:space="0" w:color="auto"/>
              <w:right w:val="single" w:sz="2" w:space="0" w:color="auto"/>
            </w:tcBorders>
            <w:vAlign w:val="center"/>
          </w:tcPr>
          <w:p w14:paraId="7C07DA9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58,484.75</w:t>
            </w:r>
          </w:p>
        </w:tc>
      </w:tr>
      <w:tr w:rsidR="00095F6F" w14:paraId="34E03CB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0FD5712" w14:textId="77777777" w:rsidR="00A46BF1" w:rsidRPr="008A14F8" w:rsidRDefault="00A46BF1" w:rsidP="0038113E">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2024546"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287275"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66BBDF2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62,540,579.40</w:t>
            </w:r>
          </w:p>
        </w:tc>
      </w:tr>
      <w:tr w:rsidR="00095F6F" w14:paraId="6B5108A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1DC8843" w14:textId="77777777" w:rsidR="00A46BF1" w:rsidRPr="008A14F8" w:rsidRDefault="00A46BF1"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34646FF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4,541,961.00</w:t>
            </w:r>
          </w:p>
        </w:tc>
        <w:tc>
          <w:tcPr>
            <w:tcW w:w="2410" w:type="dxa"/>
            <w:tcBorders>
              <w:top w:val="single" w:sz="2" w:space="0" w:color="auto"/>
              <w:left w:val="single" w:sz="2" w:space="0" w:color="auto"/>
              <w:bottom w:val="single" w:sz="2" w:space="0" w:color="auto"/>
              <w:right w:val="single" w:sz="2" w:space="0" w:color="auto"/>
            </w:tcBorders>
            <w:vAlign w:val="center"/>
          </w:tcPr>
          <w:p w14:paraId="0C2954A5" w14:textId="1F427AD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28A0EA9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31,924,535.48</w:t>
            </w:r>
          </w:p>
        </w:tc>
      </w:tr>
      <w:tr w:rsidR="00095F6F" w14:paraId="2539AE8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13B74D7"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30FE083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417,823.22</w:t>
            </w:r>
          </w:p>
        </w:tc>
        <w:tc>
          <w:tcPr>
            <w:tcW w:w="2410" w:type="dxa"/>
            <w:tcBorders>
              <w:top w:val="single" w:sz="2" w:space="0" w:color="auto"/>
              <w:left w:val="single" w:sz="2" w:space="0" w:color="auto"/>
              <w:bottom w:val="single" w:sz="2" w:space="0" w:color="auto"/>
              <w:right w:val="single" w:sz="2" w:space="0" w:color="auto"/>
            </w:tcBorders>
            <w:vAlign w:val="center"/>
          </w:tcPr>
          <w:p w14:paraId="1C8EE57A" w14:textId="546F569B"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3106409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3,941,994.98</w:t>
            </w:r>
          </w:p>
        </w:tc>
      </w:tr>
      <w:tr w:rsidR="00095F6F" w14:paraId="6303CA2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391882F"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0122311E"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68,913.85</w:t>
            </w:r>
          </w:p>
        </w:tc>
        <w:tc>
          <w:tcPr>
            <w:tcW w:w="2410" w:type="dxa"/>
            <w:tcBorders>
              <w:top w:val="single" w:sz="2" w:space="0" w:color="auto"/>
              <w:left w:val="single" w:sz="2" w:space="0" w:color="auto"/>
              <w:bottom w:val="single" w:sz="2" w:space="0" w:color="auto"/>
              <w:right w:val="single" w:sz="2" w:space="0" w:color="auto"/>
            </w:tcBorders>
            <w:vAlign w:val="center"/>
          </w:tcPr>
          <w:p w14:paraId="17C30EAA" w14:textId="4E5A639B"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31163D2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26,868.04</w:t>
            </w:r>
          </w:p>
        </w:tc>
      </w:tr>
      <w:tr w:rsidR="00095F6F" w14:paraId="0EABF60D"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3285DFD"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7EAA898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12,471,491.39</w:t>
            </w:r>
          </w:p>
        </w:tc>
        <w:tc>
          <w:tcPr>
            <w:tcW w:w="2410" w:type="dxa"/>
            <w:tcBorders>
              <w:top w:val="single" w:sz="2" w:space="0" w:color="auto"/>
              <w:left w:val="single" w:sz="2" w:space="0" w:color="auto"/>
              <w:bottom w:val="single" w:sz="2" w:space="0" w:color="auto"/>
              <w:right w:val="single" w:sz="2" w:space="0" w:color="auto"/>
            </w:tcBorders>
            <w:vAlign w:val="center"/>
          </w:tcPr>
          <w:p w14:paraId="6F6AD8FB" w14:textId="7CAC0F5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7113066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2,800,895.25</w:t>
            </w:r>
          </w:p>
        </w:tc>
      </w:tr>
      <w:tr w:rsidR="00095F6F" w14:paraId="202E446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177946A"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13859FB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1,003,801.41</w:t>
            </w:r>
          </w:p>
        </w:tc>
        <w:tc>
          <w:tcPr>
            <w:tcW w:w="2410" w:type="dxa"/>
            <w:tcBorders>
              <w:top w:val="single" w:sz="2" w:space="0" w:color="auto"/>
              <w:left w:val="single" w:sz="2" w:space="0" w:color="auto"/>
              <w:bottom w:val="single" w:sz="2" w:space="0" w:color="auto"/>
              <w:right w:val="single" w:sz="2" w:space="0" w:color="auto"/>
            </w:tcBorders>
            <w:vAlign w:val="center"/>
          </w:tcPr>
          <w:p w14:paraId="084E28E6" w14:textId="6FD57B3B"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3983B01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78,595.51</w:t>
            </w:r>
          </w:p>
        </w:tc>
      </w:tr>
      <w:tr w:rsidR="00095F6F" w14:paraId="2E222198"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7A6E46C"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印尼盾</w:t>
            </w:r>
          </w:p>
        </w:tc>
        <w:tc>
          <w:tcPr>
            <w:tcW w:w="2410" w:type="dxa"/>
            <w:tcBorders>
              <w:top w:val="single" w:sz="2" w:space="0" w:color="auto"/>
              <w:left w:val="single" w:sz="2" w:space="0" w:color="auto"/>
              <w:bottom w:val="single" w:sz="2" w:space="0" w:color="auto"/>
              <w:right w:val="single" w:sz="2" w:space="0" w:color="auto"/>
            </w:tcBorders>
            <w:vAlign w:val="center"/>
          </w:tcPr>
          <w:p w14:paraId="4895C2D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249,703.00</w:t>
            </w:r>
          </w:p>
        </w:tc>
        <w:tc>
          <w:tcPr>
            <w:tcW w:w="2410" w:type="dxa"/>
            <w:tcBorders>
              <w:top w:val="single" w:sz="2" w:space="0" w:color="auto"/>
              <w:left w:val="single" w:sz="2" w:space="0" w:color="auto"/>
              <w:bottom w:val="single" w:sz="2" w:space="0" w:color="auto"/>
              <w:right w:val="single" w:sz="2" w:space="0" w:color="auto"/>
            </w:tcBorders>
            <w:vAlign w:val="center"/>
          </w:tcPr>
          <w:p w14:paraId="3460E0D7" w14:textId="6BE585BC"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0.0004</w:t>
            </w:r>
          </w:p>
        </w:tc>
        <w:tc>
          <w:tcPr>
            <w:tcW w:w="2410" w:type="dxa"/>
            <w:tcBorders>
              <w:top w:val="single" w:sz="2" w:space="0" w:color="auto"/>
              <w:left w:val="single" w:sz="2" w:space="0" w:color="auto"/>
              <w:bottom w:val="single" w:sz="2" w:space="0" w:color="auto"/>
              <w:right w:val="single" w:sz="2" w:space="0" w:color="auto"/>
            </w:tcBorders>
            <w:vAlign w:val="center"/>
          </w:tcPr>
          <w:p w14:paraId="039E621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104.23</w:t>
            </w:r>
          </w:p>
        </w:tc>
      </w:tr>
      <w:tr w:rsidR="00095F6F" w14:paraId="47945F36"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299FD10"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388E1A6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5,042,730.38</w:t>
            </w:r>
          </w:p>
        </w:tc>
        <w:tc>
          <w:tcPr>
            <w:tcW w:w="2410" w:type="dxa"/>
            <w:tcBorders>
              <w:top w:val="single" w:sz="2" w:space="0" w:color="auto"/>
              <w:left w:val="single" w:sz="2" w:space="0" w:color="auto"/>
              <w:bottom w:val="single" w:sz="2" w:space="0" w:color="auto"/>
              <w:right w:val="single" w:sz="2" w:space="0" w:color="auto"/>
            </w:tcBorders>
            <w:vAlign w:val="center"/>
          </w:tcPr>
          <w:p w14:paraId="3E9838EA" w14:textId="5F486E83"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70CC2BC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1,122,102.89</w:t>
            </w:r>
          </w:p>
        </w:tc>
      </w:tr>
      <w:tr w:rsidR="00095F6F" w14:paraId="2DCAEB09"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3BED815"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6B74532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1,063,595.11</w:t>
            </w:r>
          </w:p>
        </w:tc>
        <w:tc>
          <w:tcPr>
            <w:tcW w:w="2410" w:type="dxa"/>
            <w:tcBorders>
              <w:top w:val="single" w:sz="2" w:space="0" w:color="auto"/>
              <w:left w:val="single" w:sz="2" w:space="0" w:color="auto"/>
              <w:bottom w:val="single" w:sz="2" w:space="0" w:color="auto"/>
              <w:right w:val="single" w:sz="2" w:space="0" w:color="auto"/>
            </w:tcBorders>
            <w:vAlign w:val="center"/>
          </w:tcPr>
          <w:p w14:paraId="68A5E6FD" w14:textId="78C4831C"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3F9B5532"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8,759,237.53</w:t>
            </w:r>
          </w:p>
        </w:tc>
      </w:tr>
      <w:tr w:rsidR="00095F6F" w14:paraId="242147E6"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1098399"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港币</w:t>
            </w:r>
          </w:p>
        </w:tc>
        <w:tc>
          <w:tcPr>
            <w:tcW w:w="2410" w:type="dxa"/>
            <w:tcBorders>
              <w:top w:val="single" w:sz="2" w:space="0" w:color="auto"/>
              <w:left w:val="single" w:sz="2" w:space="0" w:color="auto"/>
              <w:bottom w:val="single" w:sz="2" w:space="0" w:color="auto"/>
              <w:right w:val="single" w:sz="2" w:space="0" w:color="auto"/>
            </w:tcBorders>
            <w:vAlign w:val="center"/>
          </w:tcPr>
          <w:p w14:paraId="650A3DA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15,374,156.34</w:t>
            </w:r>
          </w:p>
        </w:tc>
        <w:tc>
          <w:tcPr>
            <w:tcW w:w="2410" w:type="dxa"/>
            <w:tcBorders>
              <w:top w:val="single" w:sz="2" w:space="0" w:color="auto"/>
              <w:left w:val="single" w:sz="2" w:space="0" w:color="auto"/>
              <w:bottom w:val="single" w:sz="2" w:space="0" w:color="auto"/>
              <w:right w:val="single" w:sz="2" w:space="0" w:color="auto"/>
            </w:tcBorders>
            <w:vAlign w:val="center"/>
          </w:tcPr>
          <w:p w14:paraId="54ECFF6C" w14:textId="25E6BC1D"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0.9032</w:t>
            </w:r>
          </w:p>
        </w:tc>
        <w:tc>
          <w:tcPr>
            <w:tcW w:w="2410" w:type="dxa"/>
            <w:tcBorders>
              <w:top w:val="single" w:sz="2" w:space="0" w:color="auto"/>
              <w:left w:val="single" w:sz="2" w:space="0" w:color="auto"/>
              <w:bottom w:val="single" w:sz="2" w:space="0" w:color="auto"/>
              <w:right w:val="single" w:sz="2" w:space="0" w:color="auto"/>
            </w:tcBorders>
            <w:vAlign w:val="center"/>
          </w:tcPr>
          <w:p w14:paraId="230FB4E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13,886,245.49</w:t>
            </w:r>
          </w:p>
        </w:tc>
      </w:tr>
      <w:tr w:rsidR="00095F6F" w14:paraId="64635F79"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4CE7DE5" w14:textId="77777777" w:rsidR="00A46BF1" w:rsidRPr="008A14F8" w:rsidRDefault="00A46BF1" w:rsidP="0038113E">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一年内到期的非流动负债</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0C067E7"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05EB4C0"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C490D8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9,175,384.13</w:t>
            </w:r>
          </w:p>
        </w:tc>
      </w:tr>
      <w:tr w:rsidR="00095F6F" w14:paraId="2132CEA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FC7890D" w14:textId="77777777" w:rsidR="00A46BF1" w:rsidRPr="008A14F8" w:rsidRDefault="00A46BF1"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64E1838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1,305,398.38</w:t>
            </w:r>
          </w:p>
        </w:tc>
        <w:tc>
          <w:tcPr>
            <w:tcW w:w="2410" w:type="dxa"/>
            <w:tcBorders>
              <w:top w:val="single" w:sz="2" w:space="0" w:color="auto"/>
              <w:left w:val="single" w:sz="2" w:space="0" w:color="auto"/>
              <w:bottom w:val="single" w:sz="2" w:space="0" w:color="auto"/>
              <w:right w:val="single" w:sz="2" w:space="0" w:color="auto"/>
            </w:tcBorders>
            <w:vAlign w:val="center"/>
          </w:tcPr>
          <w:p w14:paraId="3A808B2B" w14:textId="1FCB709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7067CD61"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9,175,384.13</w:t>
            </w:r>
          </w:p>
        </w:tc>
      </w:tr>
      <w:tr w:rsidR="00095F6F" w14:paraId="3096E02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608FC355" w14:textId="77777777" w:rsidR="00A46BF1" w:rsidRPr="008A14F8" w:rsidRDefault="00A46BF1" w:rsidP="0038113E">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应交税费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64577B0"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20D4C51"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3358DC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12,038,497.95</w:t>
            </w:r>
          </w:p>
        </w:tc>
      </w:tr>
      <w:tr w:rsidR="00095F6F" w14:paraId="74640A3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72B7CDFD" w14:textId="77777777" w:rsidR="00A46BF1" w:rsidRPr="008A14F8" w:rsidRDefault="00A46BF1"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10666AE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853,803.81</w:t>
            </w:r>
          </w:p>
        </w:tc>
        <w:tc>
          <w:tcPr>
            <w:tcW w:w="2410" w:type="dxa"/>
            <w:tcBorders>
              <w:top w:val="single" w:sz="2" w:space="0" w:color="auto"/>
              <w:left w:val="single" w:sz="2" w:space="0" w:color="auto"/>
              <w:bottom w:val="single" w:sz="2" w:space="0" w:color="auto"/>
              <w:right w:val="single" w:sz="2" w:space="0" w:color="auto"/>
            </w:tcBorders>
            <w:vAlign w:val="center"/>
          </w:tcPr>
          <w:p w14:paraId="442013D5" w14:textId="5AAB125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1DA5AC2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6,001,216.22</w:t>
            </w:r>
          </w:p>
        </w:tc>
      </w:tr>
      <w:tr w:rsidR="00095F6F" w14:paraId="49B1621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48FB2F4"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67D1087D"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9,261,665.62</w:t>
            </w:r>
          </w:p>
        </w:tc>
        <w:tc>
          <w:tcPr>
            <w:tcW w:w="2410" w:type="dxa"/>
            <w:tcBorders>
              <w:top w:val="single" w:sz="2" w:space="0" w:color="auto"/>
              <w:left w:val="single" w:sz="2" w:space="0" w:color="auto"/>
              <w:bottom w:val="single" w:sz="2" w:space="0" w:color="auto"/>
              <w:right w:val="single" w:sz="2" w:space="0" w:color="auto"/>
            </w:tcBorders>
            <w:vAlign w:val="center"/>
          </w:tcPr>
          <w:p w14:paraId="593F990C" w14:textId="6FEB8A5D"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77DF41F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2,080,020.30</w:t>
            </w:r>
          </w:p>
        </w:tc>
      </w:tr>
      <w:tr w:rsidR="00095F6F" w14:paraId="29078404"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19CE914"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印度卢比</w:t>
            </w:r>
          </w:p>
        </w:tc>
        <w:tc>
          <w:tcPr>
            <w:tcW w:w="2410" w:type="dxa"/>
            <w:tcBorders>
              <w:top w:val="single" w:sz="2" w:space="0" w:color="auto"/>
              <w:left w:val="single" w:sz="2" w:space="0" w:color="auto"/>
              <w:bottom w:val="single" w:sz="2" w:space="0" w:color="auto"/>
              <w:right w:val="single" w:sz="2" w:space="0" w:color="auto"/>
            </w:tcBorders>
            <w:vAlign w:val="center"/>
          </w:tcPr>
          <w:p w14:paraId="6BA66DD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1,101,481.32</w:t>
            </w:r>
          </w:p>
        </w:tc>
        <w:tc>
          <w:tcPr>
            <w:tcW w:w="2410" w:type="dxa"/>
            <w:tcBorders>
              <w:top w:val="single" w:sz="2" w:space="0" w:color="auto"/>
              <w:left w:val="single" w:sz="2" w:space="0" w:color="auto"/>
              <w:bottom w:val="single" w:sz="2" w:space="0" w:color="auto"/>
              <w:right w:val="single" w:sz="2" w:space="0" w:color="auto"/>
            </w:tcBorders>
            <w:vAlign w:val="center"/>
          </w:tcPr>
          <w:p w14:paraId="6AD0DF8B" w14:textId="3A280E2B"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0.0783</w:t>
            </w:r>
          </w:p>
        </w:tc>
        <w:tc>
          <w:tcPr>
            <w:tcW w:w="2410" w:type="dxa"/>
            <w:tcBorders>
              <w:top w:val="single" w:sz="2" w:space="0" w:color="auto"/>
              <w:left w:val="single" w:sz="2" w:space="0" w:color="auto"/>
              <w:bottom w:val="single" w:sz="2" w:space="0" w:color="auto"/>
              <w:right w:val="single" w:sz="2" w:space="0" w:color="auto"/>
            </w:tcBorders>
            <w:vAlign w:val="center"/>
          </w:tcPr>
          <w:p w14:paraId="6A1CBCD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86,243.64</w:t>
            </w:r>
          </w:p>
        </w:tc>
      </w:tr>
      <w:tr w:rsidR="00095F6F" w14:paraId="281D96D5"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8D0DA6F"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英镑</w:t>
            </w:r>
          </w:p>
        </w:tc>
        <w:tc>
          <w:tcPr>
            <w:tcW w:w="2410" w:type="dxa"/>
            <w:tcBorders>
              <w:top w:val="single" w:sz="2" w:space="0" w:color="auto"/>
              <w:left w:val="single" w:sz="2" w:space="0" w:color="auto"/>
              <w:bottom w:val="single" w:sz="2" w:space="0" w:color="auto"/>
              <w:right w:val="single" w:sz="2" w:space="0" w:color="auto"/>
            </w:tcBorders>
            <w:vAlign w:val="center"/>
          </w:tcPr>
          <w:p w14:paraId="6F588B65"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87,081.98</w:t>
            </w:r>
          </w:p>
        </w:tc>
        <w:tc>
          <w:tcPr>
            <w:tcW w:w="2410" w:type="dxa"/>
            <w:tcBorders>
              <w:top w:val="single" w:sz="2" w:space="0" w:color="auto"/>
              <w:left w:val="single" w:sz="2" w:space="0" w:color="auto"/>
              <w:bottom w:val="single" w:sz="2" w:space="0" w:color="auto"/>
              <w:right w:val="single" w:sz="2" w:space="0" w:color="auto"/>
            </w:tcBorders>
            <w:vAlign w:val="center"/>
          </w:tcPr>
          <w:p w14:paraId="32E88EF0" w14:textId="2DB44F2E"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9.4346</w:t>
            </w:r>
          </w:p>
        </w:tc>
        <w:tc>
          <w:tcPr>
            <w:tcW w:w="2410" w:type="dxa"/>
            <w:tcBorders>
              <w:top w:val="single" w:sz="2" w:space="0" w:color="auto"/>
              <w:left w:val="single" w:sz="2" w:space="0" w:color="auto"/>
              <w:bottom w:val="single" w:sz="2" w:space="0" w:color="auto"/>
              <w:right w:val="single" w:sz="2" w:space="0" w:color="auto"/>
            </w:tcBorders>
            <w:vAlign w:val="center"/>
          </w:tcPr>
          <w:p w14:paraId="1EC060BC"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821,583.68</w:t>
            </w:r>
          </w:p>
        </w:tc>
      </w:tr>
      <w:tr w:rsidR="00095F6F" w14:paraId="5E2B488F"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913DD8E"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菲律宾比索</w:t>
            </w:r>
          </w:p>
        </w:tc>
        <w:tc>
          <w:tcPr>
            <w:tcW w:w="2410" w:type="dxa"/>
            <w:tcBorders>
              <w:top w:val="single" w:sz="2" w:space="0" w:color="auto"/>
              <w:left w:val="single" w:sz="2" w:space="0" w:color="auto"/>
              <w:bottom w:val="single" w:sz="2" w:space="0" w:color="auto"/>
              <w:right w:val="single" w:sz="2" w:space="0" w:color="auto"/>
            </w:tcBorders>
            <w:vAlign w:val="center"/>
          </w:tcPr>
          <w:p w14:paraId="6A2765B4"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17,311,128.62</w:t>
            </w:r>
          </w:p>
        </w:tc>
        <w:tc>
          <w:tcPr>
            <w:tcW w:w="2410" w:type="dxa"/>
            <w:tcBorders>
              <w:top w:val="single" w:sz="2" w:space="0" w:color="auto"/>
              <w:left w:val="single" w:sz="2" w:space="0" w:color="auto"/>
              <w:bottom w:val="single" w:sz="2" w:space="0" w:color="auto"/>
              <w:right w:val="single" w:sz="2" w:space="0" w:color="auto"/>
            </w:tcBorders>
            <w:vAlign w:val="center"/>
          </w:tcPr>
          <w:p w14:paraId="0475916C" w14:textId="794E5D17"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0.1195</w:t>
            </w:r>
          </w:p>
        </w:tc>
        <w:tc>
          <w:tcPr>
            <w:tcW w:w="2410" w:type="dxa"/>
            <w:tcBorders>
              <w:top w:val="single" w:sz="2" w:space="0" w:color="auto"/>
              <w:left w:val="single" w:sz="2" w:space="0" w:color="auto"/>
              <w:bottom w:val="single" w:sz="2" w:space="0" w:color="auto"/>
              <w:right w:val="single" w:sz="2" w:space="0" w:color="auto"/>
            </w:tcBorders>
            <w:vAlign w:val="center"/>
          </w:tcPr>
          <w:p w14:paraId="2D58865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2,068,676.71</w:t>
            </w:r>
          </w:p>
        </w:tc>
      </w:tr>
      <w:tr w:rsidR="00095F6F" w14:paraId="2E4B908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0DF0C71"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泰铢</w:t>
            </w:r>
          </w:p>
        </w:tc>
        <w:tc>
          <w:tcPr>
            <w:tcW w:w="2410" w:type="dxa"/>
            <w:tcBorders>
              <w:top w:val="single" w:sz="2" w:space="0" w:color="auto"/>
              <w:left w:val="single" w:sz="2" w:space="0" w:color="auto"/>
              <w:bottom w:val="single" w:sz="2" w:space="0" w:color="auto"/>
              <w:right w:val="single" w:sz="2" w:space="0" w:color="auto"/>
            </w:tcBorders>
            <w:vAlign w:val="center"/>
          </w:tcPr>
          <w:p w14:paraId="47ED10CF"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85,242.53</w:t>
            </w:r>
          </w:p>
        </w:tc>
        <w:tc>
          <w:tcPr>
            <w:tcW w:w="2410" w:type="dxa"/>
            <w:tcBorders>
              <w:top w:val="single" w:sz="2" w:space="0" w:color="auto"/>
              <w:left w:val="single" w:sz="2" w:space="0" w:color="auto"/>
              <w:bottom w:val="single" w:sz="2" w:space="0" w:color="auto"/>
              <w:right w:val="single" w:sz="2" w:space="0" w:color="auto"/>
            </w:tcBorders>
            <w:vAlign w:val="center"/>
          </w:tcPr>
          <w:p w14:paraId="6CAAB328" w14:textId="4E564333"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0.2225</w:t>
            </w:r>
          </w:p>
        </w:tc>
        <w:tc>
          <w:tcPr>
            <w:tcW w:w="2410" w:type="dxa"/>
            <w:tcBorders>
              <w:top w:val="single" w:sz="2" w:space="0" w:color="auto"/>
              <w:left w:val="single" w:sz="2" w:space="0" w:color="auto"/>
              <w:bottom w:val="single" w:sz="2" w:space="0" w:color="auto"/>
              <w:right w:val="single" w:sz="2" w:space="0" w:color="auto"/>
            </w:tcBorders>
            <w:vAlign w:val="center"/>
          </w:tcPr>
          <w:p w14:paraId="6BA7FD30"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18,968.08</w:t>
            </w:r>
          </w:p>
        </w:tc>
      </w:tr>
      <w:tr w:rsidR="00095F6F" w14:paraId="5061A4C7"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0E891E5"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墨西哥比索</w:t>
            </w:r>
          </w:p>
        </w:tc>
        <w:tc>
          <w:tcPr>
            <w:tcW w:w="2410" w:type="dxa"/>
            <w:tcBorders>
              <w:top w:val="single" w:sz="2" w:space="0" w:color="auto"/>
              <w:left w:val="single" w:sz="2" w:space="0" w:color="auto"/>
              <w:bottom w:val="single" w:sz="2" w:space="0" w:color="auto"/>
              <w:right w:val="single" w:sz="2" w:space="0" w:color="auto"/>
            </w:tcBorders>
            <w:vAlign w:val="center"/>
          </w:tcPr>
          <w:p w14:paraId="3531CAEB"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2,423,308.26</w:t>
            </w:r>
          </w:p>
        </w:tc>
        <w:tc>
          <w:tcPr>
            <w:tcW w:w="2410" w:type="dxa"/>
            <w:tcBorders>
              <w:top w:val="single" w:sz="2" w:space="0" w:color="auto"/>
              <w:left w:val="single" w:sz="2" w:space="0" w:color="auto"/>
              <w:bottom w:val="single" w:sz="2" w:space="0" w:color="auto"/>
              <w:right w:val="single" w:sz="2" w:space="0" w:color="auto"/>
            </w:tcBorders>
            <w:vAlign w:val="center"/>
          </w:tcPr>
          <w:p w14:paraId="52427336" w14:textId="5E5CE181"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0.3899</w:t>
            </w:r>
          </w:p>
        </w:tc>
        <w:tc>
          <w:tcPr>
            <w:tcW w:w="2410" w:type="dxa"/>
            <w:tcBorders>
              <w:top w:val="single" w:sz="2" w:space="0" w:color="auto"/>
              <w:left w:val="single" w:sz="2" w:space="0" w:color="auto"/>
              <w:bottom w:val="single" w:sz="2" w:space="0" w:color="auto"/>
              <w:right w:val="single" w:sz="2" w:space="0" w:color="auto"/>
            </w:tcBorders>
            <w:vAlign w:val="center"/>
          </w:tcPr>
          <w:p w14:paraId="5A4AB04A"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944,796.39</w:t>
            </w:r>
          </w:p>
        </w:tc>
      </w:tr>
      <w:tr w:rsidR="00095F6F" w14:paraId="5C99186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8FDABA7" w14:textId="77777777" w:rsidR="00A46BF1" w:rsidRPr="008A14F8" w:rsidRDefault="00A46BF1"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越南盾</w:t>
            </w:r>
          </w:p>
        </w:tc>
        <w:tc>
          <w:tcPr>
            <w:tcW w:w="2410" w:type="dxa"/>
            <w:tcBorders>
              <w:top w:val="single" w:sz="2" w:space="0" w:color="auto"/>
              <w:left w:val="single" w:sz="2" w:space="0" w:color="auto"/>
              <w:bottom w:val="single" w:sz="2" w:space="0" w:color="auto"/>
              <w:right w:val="single" w:sz="2" w:space="0" w:color="auto"/>
            </w:tcBorders>
            <w:vAlign w:val="center"/>
          </w:tcPr>
          <w:p w14:paraId="16AF17C9"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63,498,633.00</w:t>
            </w:r>
          </w:p>
        </w:tc>
        <w:tc>
          <w:tcPr>
            <w:tcW w:w="2410" w:type="dxa"/>
            <w:tcBorders>
              <w:top w:val="single" w:sz="2" w:space="0" w:color="auto"/>
              <w:left w:val="single" w:sz="2" w:space="0" w:color="auto"/>
              <w:bottom w:val="single" w:sz="2" w:space="0" w:color="auto"/>
              <w:right w:val="single" w:sz="2" w:space="0" w:color="auto"/>
            </w:tcBorders>
            <w:vAlign w:val="center"/>
          </w:tcPr>
          <w:p w14:paraId="563045FF" w14:textId="2C43F3DF" w:rsidR="00A46BF1" w:rsidRPr="008A14F8" w:rsidRDefault="00A46BF1"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0.0003</w:t>
            </w:r>
          </w:p>
        </w:tc>
        <w:tc>
          <w:tcPr>
            <w:tcW w:w="2410" w:type="dxa"/>
            <w:tcBorders>
              <w:top w:val="single" w:sz="2" w:space="0" w:color="auto"/>
              <w:left w:val="single" w:sz="2" w:space="0" w:color="auto"/>
              <w:bottom w:val="single" w:sz="2" w:space="0" w:color="auto"/>
              <w:right w:val="single" w:sz="2" w:space="0" w:color="auto"/>
            </w:tcBorders>
            <w:vAlign w:val="center"/>
          </w:tcPr>
          <w:p w14:paraId="14FA2886"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16,992.93</w:t>
            </w:r>
          </w:p>
        </w:tc>
      </w:tr>
      <w:tr w:rsidR="00095F6F" w14:paraId="271F45C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2D0C962" w14:textId="77777777" w:rsidR="00A46BF1" w:rsidRPr="008A14F8" w:rsidRDefault="00A46BF1" w:rsidP="00502946">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长期应付职工薪酬</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ECAA60B" w14:textId="77777777" w:rsidR="00A46BF1" w:rsidRPr="008A14F8" w:rsidRDefault="00A46BF1"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F50CDFC" w14:textId="77777777" w:rsidR="00A46BF1" w:rsidRPr="008A14F8" w:rsidRDefault="00A46BF1"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9FB1C28" w14:textId="77777777" w:rsidR="00A46BF1" w:rsidRPr="008A14F8" w:rsidRDefault="00A46BF1"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30,460.01</w:t>
            </w:r>
          </w:p>
        </w:tc>
      </w:tr>
      <w:tr w:rsidR="00502946" w14:paraId="62932320"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2D3EABD7" w14:textId="4B561795" w:rsidR="00502946" w:rsidRPr="008A14F8" w:rsidRDefault="00502946" w:rsidP="00502946">
            <w:pPr>
              <w:spacing w:before="40" w:after="40" w:line="360" w:lineRule="auto"/>
              <w:rPr>
                <w:rFonts w:ascii="Times New Roman" w:eastAsia="宋体" w:hAnsi="Times New Roman" w:cs="Times New Roman"/>
                <w:sz w:val="18"/>
                <w:szCs w:val="18"/>
              </w:rPr>
            </w:pPr>
            <w:r>
              <w:rPr>
                <w:rFonts w:ascii="Times New Roman" w:eastAsia="宋体" w:hAnsi="Times New Roman" w:cs="Times New Roman" w:hint="eastAsia"/>
                <w:sz w:val="18"/>
                <w:szCs w:val="18"/>
              </w:rPr>
              <w:t>其中：</w:t>
            </w:r>
            <w:r w:rsidRPr="008A14F8">
              <w:rPr>
                <w:rFonts w:ascii="Times New Roman" w:eastAsia="宋体" w:hAnsi="Times New Roman" w:cs="Times New Roman"/>
                <w:sz w:val="18"/>
                <w:szCs w:val="18"/>
              </w:rPr>
              <w:t>新台币</w:t>
            </w:r>
          </w:p>
        </w:tc>
        <w:tc>
          <w:tcPr>
            <w:tcW w:w="2410" w:type="dxa"/>
            <w:tcBorders>
              <w:top w:val="single" w:sz="2" w:space="0" w:color="auto"/>
              <w:left w:val="single" w:sz="2" w:space="0" w:color="auto"/>
              <w:bottom w:val="single" w:sz="2" w:space="0" w:color="auto"/>
              <w:right w:val="single" w:sz="2" w:space="0" w:color="auto"/>
            </w:tcBorders>
            <w:vAlign w:val="center"/>
          </w:tcPr>
          <w:p w14:paraId="58532627"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135,628.69</w:t>
            </w:r>
          </w:p>
        </w:tc>
        <w:tc>
          <w:tcPr>
            <w:tcW w:w="2410" w:type="dxa"/>
            <w:tcBorders>
              <w:top w:val="single" w:sz="2" w:space="0" w:color="auto"/>
              <w:left w:val="single" w:sz="2" w:space="0" w:color="auto"/>
              <w:bottom w:val="single" w:sz="2" w:space="0" w:color="auto"/>
              <w:right w:val="single" w:sz="2" w:space="0" w:color="auto"/>
            </w:tcBorders>
            <w:vAlign w:val="center"/>
          </w:tcPr>
          <w:p w14:paraId="08EB9836" w14:textId="77777777" w:rsidR="00502946" w:rsidRPr="008A14F8" w:rsidRDefault="00502946"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0.2246</w:t>
            </w:r>
          </w:p>
        </w:tc>
        <w:tc>
          <w:tcPr>
            <w:tcW w:w="2410" w:type="dxa"/>
            <w:tcBorders>
              <w:top w:val="single" w:sz="2" w:space="0" w:color="auto"/>
              <w:left w:val="single" w:sz="2" w:space="0" w:color="auto"/>
              <w:bottom w:val="single" w:sz="2" w:space="0" w:color="auto"/>
              <w:right w:val="single" w:sz="2" w:space="0" w:color="auto"/>
            </w:tcBorders>
            <w:vAlign w:val="center"/>
          </w:tcPr>
          <w:p w14:paraId="513B14A0"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30,460.01</w:t>
            </w:r>
          </w:p>
        </w:tc>
      </w:tr>
      <w:tr w:rsidR="00502946" w14:paraId="498979B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1B77D22" w14:textId="77777777" w:rsidR="00502946" w:rsidRPr="008A14F8" w:rsidRDefault="00502946" w:rsidP="00502946">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租赁负债</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7485A84" w14:textId="77777777" w:rsidR="00502946" w:rsidRPr="008A14F8" w:rsidRDefault="00502946"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DC559A2" w14:textId="77777777" w:rsidR="00502946" w:rsidRPr="008A14F8" w:rsidRDefault="00502946"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70C9A55"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1,871,434.94</w:t>
            </w:r>
          </w:p>
        </w:tc>
      </w:tr>
      <w:tr w:rsidR="00502946" w14:paraId="07426224"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A0FE662" w14:textId="77777777" w:rsidR="00502946" w:rsidRPr="008A14F8" w:rsidRDefault="00502946"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0F060337"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266,252.41</w:t>
            </w:r>
          </w:p>
        </w:tc>
        <w:tc>
          <w:tcPr>
            <w:tcW w:w="2410" w:type="dxa"/>
            <w:tcBorders>
              <w:top w:val="single" w:sz="2" w:space="0" w:color="auto"/>
              <w:left w:val="single" w:sz="2" w:space="0" w:color="auto"/>
              <w:bottom w:val="single" w:sz="2" w:space="0" w:color="auto"/>
              <w:right w:val="single" w:sz="2" w:space="0" w:color="auto"/>
            </w:tcBorders>
            <w:vAlign w:val="center"/>
          </w:tcPr>
          <w:p w14:paraId="74B5FEA3" w14:textId="77777777" w:rsidR="00502946" w:rsidRPr="008A14F8" w:rsidRDefault="00502946"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04F6B31F"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1,871,434.94</w:t>
            </w:r>
          </w:p>
        </w:tc>
      </w:tr>
      <w:tr w:rsidR="00502946" w14:paraId="705BBFFB"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8BBA332" w14:textId="77777777" w:rsidR="00502946" w:rsidRPr="008A14F8" w:rsidRDefault="00502946" w:rsidP="00502946">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其他流动负债</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1707DC4" w14:textId="77777777" w:rsidR="00502946" w:rsidRPr="008A14F8" w:rsidRDefault="00502946" w:rsidP="008A14F8">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395C8C9" w14:textId="77777777" w:rsidR="00502946" w:rsidRPr="008A14F8" w:rsidRDefault="00502946" w:rsidP="008A14F8">
            <w:pPr>
              <w:spacing w:line="360" w:lineRule="auto"/>
              <w:jc w:val="center"/>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24446ECF"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74,919,248.90</w:t>
            </w:r>
          </w:p>
        </w:tc>
      </w:tr>
      <w:tr w:rsidR="00502946" w14:paraId="34AC66C2"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0AE0F6A6" w14:textId="77777777" w:rsidR="00502946" w:rsidRPr="008A14F8" w:rsidRDefault="00502946" w:rsidP="00DD1531">
            <w:pPr>
              <w:spacing w:before="40" w:after="40" w:line="360" w:lineRule="auto"/>
              <w:rPr>
                <w:rFonts w:ascii="Times New Roman" w:eastAsia="宋体" w:hAnsi="Times New Roman" w:cs="Times New Roman"/>
                <w:sz w:val="18"/>
                <w:szCs w:val="18"/>
              </w:rPr>
            </w:pPr>
            <w:r w:rsidRPr="008A14F8">
              <w:rPr>
                <w:rFonts w:ascii="Times New Roman" w:eastAsia="宋体" w:hAnsi="Times New Roman" w:cs="Times New Roman"/>
                <w:sz w:val="18"/>
                <w:szCs w:val="18"/>
              </w:rPr>
              <w:t>其中：美元</w:t>
            </w:r>
          </w:p>
        </w:tc>
        <w:tc>
          <w:tcPr>
            <w:tcW w:w="2410" w:type="dxa"/>
            <w:tcBorders>
              <w:top w:val="single" w:sz="2" w:space="0" w:color="auto"/>
              <w:left w:val="single" w:sz="2" w:space="0" w:color="auto"/>
              <w:bottom w:val="single" w:sz="2" w:space="0" w:color="auto"/>
              <w:right w:val="single" w:sz="2" w:space="0" w:color="auto"/>
            </w:tcBorders>
            <w:vAlign w:val="center"/>
          </w:tcPr>
          <w:p w14:paraId="7362F885"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9,943,000.00</w:t>
            </w:r>
          </w:p>
        </w:tc>
        <w:tc>
          <w:tcPr>
            <w:tcW w:w="2410" w:type="dxa"/>
            <w:tcBorders>
              <w:top w:val="single" w:sz="2" w:space="0" w:color="auto"/>
              <w:left w:val="single" w:sz="2" w:space="0" w:color="auto"/>
              <w:bottom w:val="single" w:sz="2" w:space="0" w:color="auto"/>
              <w:right w:val="single" w:sz="2" w:space="0" w:color="auto"/>
            </w:tcBorders>
            <w:vAlign w:val="center"/>
          </w:tcPr>
          <w:p w14:paraId="36E50BB1" w14:textId="77777777" w:rsidR="00502946" w:rsidRPr="008A14F8" w:rsidRDefault="00502946"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7.0288</w:t>
            </w:r>
          </w:p>
        </w:tc>
        <w:tc>
          <w:tcPr>
            <w:tcW w:w="2410" w:type="dxa"/>
            <w:tcBorders>
              <w:top w:val="single" w:sz="2" w:space="0" w:color="auto"/>
              <w:left w:val="single" w:sz="2" w:space="0" w:color="auto"/>
              <w:bottom w:val="single" w:sz="2" w:space="0" w:color="auto"/>
              <w:right w:val="single" w:sz="2" w:space="0" w:color="auto"/>
            </w:tcBorders>
            <w:vAlign w:val="center"/>
          </w:tcPr>
          <w:p w14:paraId="0BFE4511"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69,887,358.40</w:t>
            </w:r>
          </w:p>
        </w:tc>
      </w:tr>
      <w:tr w:rsidR="00502946" w14:paraId="52793CE1" w14:textId="77777777" w:rsidTr="00B07534">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54EEE230" w14:textId="77777777" w:rsidR="00502946" w:rsidRPr="008A14F8" w:rsidRDefault="00502946" w:rsidP="00502946">
            <w:pPr>
              <w:spacing w:before="40" w:after="40" w:line="360" w:lineRule="auto"/>
              <w:ind w:firstLineChars="300" w:firstLine="540"/>
              <w:rPr>
                <w:rFonts w:ascii="Times New Roman" w:eastAsia="宋体" w:hAnsi="Times New Roman" w:cs="Times New Roman"/>
                <w:sz w:val="18"/>
                <w:szCs w:val="18"/>
              </w:rPr>
            </w:pPr>
            <w:r w:rsidRPr="008A14F8">
              <w:rPr>
                <w:rFonts w:ascii="Times New Roman" w:eastAsia="宋体" w:hAnsi="Times New Roman" w:cs="Times New Roman"/>
                <w:sz w:val="18"/>
                <w:szCs w:val="18"/>
              </w:rPr>
              <w:t>欧元</w:t>
            </w:r>
          </w:p>
        </w:tc>
        <w:tc>
          <w:tcPr>
            <w:tcW w:w="2410" w:type="dxa"/>
            <w:tcBorders>
              <w:top w:val="single" w:sz="2" w:space="0" w:color="auto"/>
              <w:left w:val="single" w:sz="2" w:space="0" w:color="auto"/>
              <w:bottom w:val="single" w:sz="2" w:space="0" w:color="auto"/>
              <w:right w:val="single" w:sz="2" w:space="0" w:color="auto"/>
            </w:tcBorders>
            <w:vAlign w:val="center"/>
          </w:tcPr>
          <w:p w14:paraId="6B6830BD"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611,000.00</w:t>
            </w:r>
          </w:p>
        </w:tc>
        <w:tc>
          <w:tcPr>
            <w:tcW w:w="2410" w:type="dxa"/>
            <w:tcBorders>
              <w:top w:val="single" w:sz="2" w:space="0" w:color="auto"/>
              <w:left w:val="single" w:sz="2" w:space="0" w:color="auto"/>
              <w:bottom w:val="single" w:sz="2" w:space="0" w:color="auto"/>
              <w:right w:val="single" w:sz="2" w:space="0" w:color="auto"/>
            </w:tcBorders>
            <w:vAlign w:val="center"/>
          </w:tcPr>
          <w:p w14:paraId="1722B2AE" w14:textId="77777777" w:rsidR="00502946" w:rsidRPr="008A14F8" w:rsidRDefault="00502946" w:rsidP="008A14F8">
            <w:pPr>
              <w:spacing w:line="360" w:lineRule="auto"/>
              <w:jc w:val="center"/>
              <w:rPr>
                <w:rFonts w:ascii="Times New Roman" w:eastAsia="宋体" w:hAnsi="Times New Roman" w:cs="Times New Roman"/>
                <w:sz w:val="18"/>
                <w:szCs w:val="18"/>
              </w:rPr>
            </w:pPr>
            <w:r w:rsidRPr="008A14F8">
              <w:rPr>
                <w:rFonts w:ascii="Times New Roman" w:eastAsia="宋体" w:hAnsi="Times New Roman" w:cs="Times New Roman"/>
                <w:sz w:val="18"/>
                <w:szCs w:val="18"/>
              </w:rPr>
              <w:t>8.2355</w:t>
            </w:r>
          </w:p>
        </w:tc>
        <w:tc>
          <w:tcPr>
            <w:tcW w:w="2410" w:type="dxa"/>
            <w:tcBorders>
              <w:top w:val="single" w:sz="2" w:space="0" w:color="auto"/>
              <w:left w:val="single" w:sz="2" w:space="0" w:color="auto"/>
              <w:bottom w:val="single" w:sz="2" w:space="0" w:color="auto"/>
              <w:right w:val="single" w:sz="2" w:space="0" w:color="auto"/>
            </w:tcBorders>
            <w:vAlign w:val="center"/>
          </w:tcPr>
          <w:p w14:paraId="292D85F8" w14:textId="77777777" w:rsidR="00502946" w:rsidRPr="008A14F8" w:rsidRDefault="00502946" w:rsidP="008A14F8">
            <w:pPr>
              <w:spacing w:line="360" w:lineRule="auto"/>
              <w:jc w:val="right"/>
              <w:rPr>
                <w:rFonts w:ascii="Times New Roman" w:eastAsia="宋体" w:hAnsi="Times New Roman" w:cs="Times New Roman"/>
                <w:sz w:val="18"/>
                <w:szCs w:val="18"/>
              </w:rPr>
            </w:pPr>
            <w:r w:rsidRPr="008A14F8">
              <w:rPr>
                <w:rFonts w:ascii="Times New Roman" w:eastAsia="宋体" w:hAnsi="Times New Roman" w:cs="Times New Roman"/>
                <w:sz w:val="18"/>
                <w:szCs w:val="18"/>
              </w:rPr>
              <w:t>5,031,890.50</w:t>
            </w:r>
          </w:p>
        </w:tc>
      </w:tr>
    </w:tbl>
    <w:p w14:paraId="0757493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3A9F91ED" w14:textId="77777777" w:rsidR="00A46BF1" w:rsidRPr="008A14F8" w:rsidRDefault="00A46BF1" w:rsidP="008A14F8">
      <w:pPr>
        <w:spacing w:before="100" w:after="100" w:line="240" w:lineRule="exact"/>
        <w:rPr>
          <w:rFonts w:ascii="宋体" w:eastAsia="宋体" w:hAnsi="宋体" w:cs="宋体"/>
          <w:sz w:val="18"/>
          <w:szCs w:val="18"/>
        </w:rPr>
      </w:pPr>
      <w:r w:rsidRPr="008A14F8">
        <w:rPr>
          <w:rFonts w:ascii="宋体" w:eastAsia="宋体" w:hAnsi="宋体" w:cs="宋体" w:hint="eastAsia"/>
          <w:sz w:val="18"/>
          <w:szCs w:val="18"/>
        </w:rPr>
        <w:t>无</w:t>
      </w:r>
    </w:p>
    <w:p w14:paraId="16AE029F"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境外经营实体说明，包括对于重要的境外经营实体，应披露其境外主要经营地、记账本位币及选择依据，记账本位币发生变化的还应披露原因。</w:t>
      </w:r>
    </w:p>
    <w:p w14:paraId="2CA7593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B166973"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本公司境外经营实体情况详见本附注“十、</w:t>
      </w:r>
      <w:r w:rsidRPr="00952ED6">
        <w:rPr>
          <w:rFonts w:ascii="Times New Roman" w:hAnsi="Times New Roman" w:cs="Times New Roman"/>
          <w:sz w:val="21"/>
          <w:szCs w:val="21"/>
        </w:rPr>
        <w:t>1.</w:t>
      </w:r>
      <w:r w:rsidRPr="00952ED6">
        <w:rPr>
          <w:rFonts w:ascii="Times New Roman" w:hAnsi="Times New Roman" w:cs="Times New Roman" w:hint="eastAsia"/>
          <w:sz w:val="21"/>
          <w:szCs w:val="21"/>
        </w:rPr>
        <w:t>（</w:t>
      </w:r>
      <w:r w:rsidRPr="00952ED6">
        <w:rPr>
          <w:rFonts w:ascii="Times New Roman" w:hAnsi="Times New Roman" w:cs="Times New Roman"/>
          <w:sz w:val="21"/>
          <w:szCs w:val="21"/>
        </w:rPr>
        <w:t>1</w:t>
      </w:r>
      <w:r w:rsidRPr="00952ED6">
        <w:rPr>
          <w:rFonts w:ascii="Times New Roman" w:hAnsi="Times New Roman" w:cs="Times New Roman" w:hint="eastAsia"/>
          <w:sz w:val="21"/>
          <w:szCs w:val="21"/>
        </w:rPr>
        <w:t>）企业集团的构成”相关内容。</w:t>
      </w:r>
    </w:p>
    <w:p w14:paraId="15D82BC9" w14:textId="47A83345" w:rsidR="00A46BF1" w:rsidRDefault="00A46BF1" w:rsidP="00A46BF1">
      <w:pPr>
        <w:pStyle w:val="3"/>
        <w:spacing w:line="280" w:lineRule="exact"/>
        <w:jc w:val="left"/>
        <w:rPr>
          <w:rFonts w:ascii="宋体" w:hAnsi="宋体" w:cs="宋体"/>
          <w:b/>
          <w:bCs/>
        </w:rPr>
      </w:pPr>
      <w:r>
        <w:rPr>
          <w:rFonts w:ascii="宋体" w:hAnsi="宋体" w:cs="宋体"/>
          <w:b/>
          <w:bCs/>
        </w:rPr>
        <w:t>6</w:t>
      </w:r>
      <w:r w:rsidR="00FD2B0C">
        <w:rPr>
          <w:rFonts w:ascii="宋体" w:hAnsi="宋体" w:cs="宋体"/>
          <w:b/>
          <w:bCs/>
        </w:rPr>
        <w:t>5</w:t>
      </w:r>
      <w:r>
        <w:rPr>
          <w:rFonts w:ascii="宋体" w:hAnsi="宋体" w:cs="宋体"/>
          <w:b/>
          <w:bCs/>
        </w:rPr>
        <w:t>、租赁</w:t>
      </w:r>
    </w:p>
    <w:p w14:paraId="21146AA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本公司作为承租方</w:t>
      </w:r>
    </w:p>
    <w:p w14:paraId="274D529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C65C88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未纳入租赁负债计量的可变租赁付款额</w:t>
      </w:r>
    </w:p>
    <w:p w14:paraId="47CB28A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7E281C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简化处理的短期租赁或低价值资产的租赁费用</w:t>
      </w:r>
    </w:p>
    <w:p w14:paraId="279A831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tbl>
      <w:tblPr>
        <w:tblW w:w="5000" w:type="pct"/>
        <w:jc w:val="center"/>
        <w:tblCellMar>
          <w:left w:w="0" w:type="dxa"/>
          <w:right w:w="0" w:type="dxa"/>
        </w:tblCellMar>
        <w:tblLook w:val="04A0" w:firstRow="1" w:lastRow="0" w:firstColumn="1" w:lastColumn="0" w:noHBand="0" w:noVBand="1"/>
      </w:tblPr>
      <w:tblGrid>
        <w:gridCol w:w="5921"/>
        <w:gridCol w:w="1965"/>
        <w:gridCol w:w="1967"/>
      </w:tblGrid>
      <w:tr w:rsidR="00A46BF1" w14:paraId="0013584D" w14:textId="77777777" w:rsidTr="00FD2B0C">
        <w:trPr>
          <w:cantSplit/>
          <w:trHeight w:val="397"/>
          <w:tblHeader/>
          <w:jc w:val="center"/>
        </w:trPr>
        <w:tc>
          <w:tcPr>
            <w:tcW w:w="300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3FF97"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Style w:val="aa"/>
                <w:rFonts w:ascii="Times New Roman" w:hAnsi="Times New Roman" w:cs="Times New Roman"/>
                <w:sz w:val="18"/>
                <w:szCs w:val="18"/>
              </w:rPr>
              <w:t>项目</w:t>
            </w:r>
          </w:p>
        </w:tc>
        <w:tc>
          <w:tcPr>
            <w:tcW w:w="997"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79135D2" w14:textId="77777777" w:rsidR="00A46BF1" w:rsidRPr="00716DB2" w:rsidRDefault="00A46BF1" w:rsidP="00716DB2">
            <w:pPr>
              <w:pStyle w:val="a9"/>
              <w:spacing w:before="0" w:beforeAutospacing="0" w:after="0" w:afterAutospacing="0" w:line="360" w:lineRule="auto"/>
              <w:jc w:val="center"/>
              <w:rPr>
                <w:rFonts w:ascii="Times New Roman" w:hAnsi="Times New Roman" w:cs="Times New Roman"/>
                <w:sz w:val="18"/>
                <w:szCs w:val="18"/>
              </w:rPr>
            </w:pPr>
            <w:r w:rsidRPr="00716DB2">
              <w:rPr>
                <w:rStyle w:val="aa"/>
                <w:rFonts w:ascii="Times New Roman" w:hAnsi="Times New Roman" w:cs="Times New Roman"/>
                <w:sz w:val="18"/>
                <w:szCs w:val="18"/>
              </w:rPr>
              <w:t>本年发生额</w:t>
            </w:r>
          </w:p>
        </w:tc>
        <w:tc>
          <w:tcPr>
            <w:tcW w:w="998"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CA9DC5" w14:textId="77777777" w:rsidR="00A46BF1" w:rsidRPr="00716DB2" w:rsidRDefault="00A46BF1" w:rsidP="00716DB2">
            <w:pPr>
              <w:pStyle w:val="a9"/>
              <w:spacing w:before="0" w:beforeAutospacing="0" w:after="0" w:afterAutospacing="0" w:line="360" w:lineRule="auto"/>
              <w:jc w:val="center"/>
              <w:rPr>
                <w:rFonts w:ascii="Times New Roman" w:hAnsi="Times New Roman" w:cs="Times New Roman"/>
                <w:sz w:val="18"/>
                <w:szCs w:val="18"/>
              </w:rPr>
            </w:pPr>
            <w:r w:rsidRPr="00716DB2">
              <w:rPr>
                <w:rStyle w:val="aa"/>
                <w:rFonts w:ascii="Times New Roman" w:hAnsi="Times New Roman" w:cs="Times New Roman"/>
                <w:sz w:val="18"/>
                <w:szCs w:val="18"/>
              </w:rPr>
              <w:t>上年发生额</w:t>
            </w:r>
          </w:p>
        </w:tc>
      </w:tr>
      <w:tr w:rsidR="00A46BF1" w14:paraId="71255832"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2F2B43"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租赁负债利息费用</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9B600B" w14:textId="3F9EC602"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745,481.75</w:t>
            </w: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C037B1" w14:textId="498CE307"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957,750.39</w:t>
            </w:r>
          </w:p>
        </w:tc>
      </w:tr>
      <w:tr w:rsidR="00A46BF1" w14:paraId="3AA941E8"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B572D8"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计入当期损益的采用简化处理的短期租赁费用</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03ABE7" w14:textId="77777777"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6,309,207.96</w:t>
            </w: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E671D2" w14:textId="1F112F52"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8,903,140.81</w:t>
            </w:r>
          </w:p>
        </w:tc>
      </w:tr>
      <w:tr w:rsidR="00A46BF1" w14:paraId="1D7925BC"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52391A"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计入当期损益的采用简化处理的低价值资产租赁费用（短期租赁除外）</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65496E" w14:textId="4EEF669B"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850.00</w:t>
            </w: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BEB02B" w14:textId="25A70F41"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850.00</w:t>
            </w:r>
          </w:p>
        </w:tc>
      </w:tr>
      <w:tr w:rsidR="00A46BF1" w14:paraId="2EC65B07"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9550B"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未纳入租赁负债计量的可变租赁付款额</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30663B" w14:textId="1500EAB0"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CEBA1A" w14:textId="5F380CA5"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p>
        </w:tc>
      </w:tr>
      <w:tr w:rsidR="00A46BF1" w14:paraId="218AB878"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9EDE75" w14:textId="269439E5"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其中：售后租回交易产生部分</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C8E9DA" w14:textId="1F7DCEF3"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BFFE47" w14:textId="38790211"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p>
        </w:tc>
      </w:tr>
      <w:tr w:rsidR="00A46BF1" w14:paraId="70F6D9F9"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D3A2CB"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转租使用权资产取得的收入</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91F5D" w14:textId="61496D86"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413,031.74</w:t>
            </w: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D4EF8D" w14:textId="47C6A5BE"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424,164.36</w:t>
            </w:r>
          </w:p>
        </w:tc>
      </w:tr>
      <w:tr w:rsidR="00A46BF1" w14:paraId="7CE72751" w14:textId="77777777" w:rsidTr="00FD2B0C">
        <w:trPr>
          <w:cantSplit/>
          <w:trHeight w:val="397"/>
          <w:tblHeader/>
          <w:jc w:val="center"/>
        </w:trPr>
        <w:tc>
          <w:tcPr>
            <w:tcW w:w="300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91518EC"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与租赁相关的总现金流出</w:t>
            </w:r>
          </w:p>
        </w:tc>
        <w:tc>
          <w:tcPr>
            <w:tcW w:w="9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69EC20" w14:textId="77777777"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23,626,408.83</w:t>
            </w:r>
          </w:p>
        </w:tc>
        <w:tc>
          <w:tcPr>
            <w:tcW w:w="99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47205" w14:textId="77777777"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15,907,161.28</w:t>
            </w:r>
          </w:p>
        </w:tc>
      </w:tr>
    </w:tbl>
    <w:p w14:paraId="1FAF1BA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涉及售后租回交易的情况</w:t>
      </w:r>
    </w:p>
    <w:p w14:paraId="1BC57B3D" w14:textId="77777777" w:rsidR="00A46BF1" w:rsidRPr="00716DB2" w:rsidRDefault="00A46BF1" w:rsidP="00716DB2">
      <w:pPr>
        <w:spacing w:before="100" w:after="100" w:line="240" w:lineRule="exact"/>
        <w:rPr>
          <w:rFonts w:ascii="宋体" w:eastAsia="宋体" w:hAnsi="宋体" w:cs="宋体"/>
          <w:sz w:val="18"/>
          <w:szCs w:val="18"/>
        </w:rPr>
      </w:pPr>
      <w:r w:rsidRPr="00716DB2">
        <w:rPr>
          <w:rFonts w:ascii="宋体" w:eastAsia="宋体" w:hAnsi="宋体" w:cs="宋体" w:hint="eastAsia"/>
          <w:sz w:val="18"/>
          <w:szCs w:val="18"/>
        </w:rPr>
        <w:t>不适用</w:t>
      </w:r>
    </w:p>
    <w:p w14:paraId="0215A044"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本公司作为出租方</w:t>
      </w:r>
    </w:p>
    <w:p w14:paraId="12B200A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作为出租人的经营租赁</w:t>
      </w:r>
    </w:p>
    <w:p w14:paraId="51D0107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6147122"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作为出租人的融资租赁</w:t>
      </w:r>
    </w:p>
    <w:p w14:paraId="4944FF4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7701AC57"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1277"/>
        <w:gridCol w:w="1701"/>
        <w:gridCol w:w="4252"/>
      </w:tblGrid>
      <w:tr w:rsidR="00095F6F" w14:paraId="0D0A9C39" w14:textId="77777777" w:rsidTr="00716DB2">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163D813D"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项目</w:t>
            </w:r>
          </w:p>
        </w:tc>
        <w:tc>
          <w:tcPr>
            <w:tcW w:w="1277" w:type="dxa"/>
            <w:tcBorders>
              <w:top w:val="single" w:sz="2" w:space="0" w:color="auto"/>
              <w:left w:val="single" w:sz="2" w:space="0" w:color="auto"/>
              <w:bottom w:val="single" w:sz="2" w:space="0" w:color="auto"/>
              <w:right w:val="single" w:sz="2" w:space="0" w:color="auto"/>
            </w:tcBorders>
            <w:shd w:val="clear" w:color="auto" w:fill="D3D3D3"/>
            <w:vAlign w:val="center"/>
          </w:tcPr>
          <w:p w14:paraId="5093CFE9"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销售损益</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519BF3D0"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融资收益</w:t>
            </w:r>
          </w:p>
        </w:tc>
        <w:tc>
          <w:tcPr>
            <w:tcW w:w="4252" w:type="dxa"/>
            <w:tcBorders>
              <w:top w:val="single" w:sz="2" w:space="0" w:color="auto"/>
              <w:left w:val="single" w:sz="2" w:space="0" w:color="auto"/>
              <w:bottom w:val="single" w:sz="2" w:space="0" w:color="auto"/>
              <w:right w:val="single" w:sz="2" w:space="0" w:color="auto"/>
            </w:tcBorders>
            <w:shd w:val="clear" w:color="auto" w:fill="D3D3D3"/>
            <w:vAlign w:val="center"/>
          </w:tcPr>
          <w:p w14:paraId="66E5480E"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未纳入租赁投资净额的可变租赁付款额相关的收入</w:t>
            </w:r>
          </w:p>
        </w:tc>
      </w:tr>
      <w:tr w:rsidR="00095F6F" w14:paraId="11DB8397" w14:textId="77777777" w:rsidTr="00716DB2">
        <w:trPr>
          <w:trHeight w:val="240"/>
        </w:trPr>
        <w:tc>
          <w:tcPr>
            <w:tcW w:w="2409" w:type="dxa"/>
            <w:tcBorders>
              <w:top w:val="single" w:sz="2" w:space="0" w:color="auto"/>
              <w:left w:val="single" w:sz="2" w:space="0" w:color="auto"/>
              <w:bottom w:val="single" w:sz="2" w:space="0" w:color="auto"/>
              <w:right w:val="single" w:sz="2" w:space="0" w:color="auto"/>
            </w:tcBorders>
            <w:vAlign w:val="center"/>
          </w:tcPr>
          <w:p w14:paraId="712A9715"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房屋建筑物</w:t>
            </w:r>
            <w:r w:rsidRPr="00716DB2">
              <w:rPr>
                <w:rFonts w:ascii="Times New Roman" w:eastAsia="宋体" w:hAnsi="Times New Roman" w:cs="Times New Roman"/>
                <w:sz w:val="18"/>
                <w:szCs w:val="18"/>
              </w:rPr>
              <w:t>-</w:t>
            </w:r>
            <w:r w:rsidRPr="00716DB2">
              <w:rPr>
                <w:rFonts w:ascii="Times New Roman" w:eastAsia="宋体" w:hAnsi="Times New Roman" w:cs="Times New Roman"/>
                <w:sz w:val="18"/>
                <w:szCs w:val="18"/>
              </w:rPr>
              <w:t>厂房及仓库</w:t>
            </w:r>
          </w:p>
        </w:tc>
        <w:tc>
          <w:tcPr>
            <w:tcW w:w="1277" w:type="dxa"/>
            <w:tcBorders>
              <w:top w:val="single" w:sz="2" w:space="0" w:color="auto"/>
              <w:left w:val="single" w:sz="2" w:space="0" w:color="auto"/>
              <w:bottom w:val="single" w:sz="2" w:space="0" w:color="auto"/>
              <w:right w:val="single" w:sz="2" w:space="0" w:color="auto"/>
            </w:tcBorders>
            <w:vAlign w:val="center"/>
          </w:tcPr>
          <w:p w14:paraId="09F305DB"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413,031.74</w:t>
            </w:r>
          </w:p>
        </w:tc>
        <w:tc>
          <w:tcPr>
            <w:tcW w:w="1701" w:type="dxa"/>
            <w:tcBorders>
              <w:top w:val="single" w:sz="2" w:space="0" w:color="auto"/>
              <w:left w:val="single" w:sz="2" w:space="0" w:color="auto"/>
              <w:bottom w:val="single" w:sz="2" w:space="0" w:color="auto"/>
              <w:right w:val="single" w:sz="2" w:space="0" w:color="auto"/>
            </w:tcBorders>
            <w:vAlign w:val="center"/>
          </w:tcPr>
          <w:p w14:paraId="4B345489"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23,890.10</w:t>
            </w:r>
          </w:p>
        </w:tc>
        <w:tc>
          <w:tcPr>
            <w:tcW w:w="4252" w:type="dxa"/>
            <w:tcBorders>
              <w:top w:val="single" w:sz="2" w:space="0" w:color="auto"/>
              <w:left w:val="single" w:sz="2" w:space="0" w:color="auto"/>
              <w:bottom w:val="single" w:sz="2" w:space="0" w:color="auto"/>
              <w:right w:val="single" w:sz="2" w:space="0" w:color="auto"/>
            </w:tcBorders>
            <w:vAlign w:val="center"/>
          </w:tcPr>
          <w:p w14:paraId="319BEB87" w14:textId="77777777" w:rsidR="00A46BF1" w:rsidRPr="00716DB2" w:rsidRDefault="00A46BF1" w:rsidP="00716DB2">
            <w:pPr>
              <w:spacing w:line="360" w:lineRule="auto"/>
              <w:jc w:val="right"/>
              <w:rPr>
                <w:rFonts w:ascii="Times New Roman" w:eastAsia="宋体" w:hAnsi="Times New Roman" w:cs="Times New Roman"/>
                <w:sz w:val="18"/>
                <w:szCs w:val="18"/>
              </w:rPr>
            </w:pPr>
          </w:p>
        </w:tc>
      </w:tr>
      <w:tr w:rsidR="00095F6F" w14:paraId="09F0511A" w14:textId="77777777" w:rsidTr="00716DB2">
        <w:trPr>
          <w:trHeight w:val="240"/>
        </w:trPr>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44DEADB8" w14:textId="77777777" w:rsidR="00A46BF1" w:rsidRPr="00716DB2" w:rsidRDefault="00A46BF1" w:rsidP="00716DB2">
            <w:pPr>
              <w:spacing w:before="40" w:after="40"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合计</w:t>
            </w:r>
          </w:p>
        </w:tc>
        <w:tc>
          <w:tcPr>
            <w:tcW w:w="1277" w:type="dxa"/>
            <w:tcBorders>
              <w:top w:val="single" w:sz="2" w:space="0" w:color="auto"/>
              <w:left w:val="single" w:sz="2" w:space="0" w:color="auto"/>
              <w:bottom w:val="single" w:sz="2" w:space="0" w:color="auto"/>
              <w:right w:val="single" w:sz="2" w:space="0" w:color="auto"/>
            </w:tcBorders>
            <w:vAlign w:val="center"/>
          </w:tcPr>
          <w:p w14:paraId="2DBB57AB"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413,031.74</w:t>
            </w:r>
          </w:p>
        </w:tc>
        <w:tc>
          <w:tcPr>
            <w:tcW w:w="1701" w:type="dxa"/>
            <w:tcBorders>
              <w:top w:val="single" w:sz="2" w:space="0" w:color="auto"/>
              <w:left w:val="single" w:sz="2" w:space="0" w:color="auto"/>
              <w:bottom w:val="single" w:sz="2" w:space="0" w:color="auto"/>
              <w:right w:val="single" w:sz="2" w:space="0" w:color="auto"/>
            </w:tcBorders>
            <w:vAlign w:val="center"/>
          </w:tcPr>
          <w:p w14:paraId="071EFD36"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23,890.10</w:t>
            </w:r>
          </w:p>
        </w:tc>
        <w:tc>
          <w:tcPr>
            <w:tcW w:w="4252" w:type="dxa"/>
            <w:tcBorders>
              <w:top w:val="single" w:sz="2" w:space="0" w:color="auto"/>
              <w:left w:val="single" w:sz="2" w:space="0" w:color="auto"/>
              <w:bottom w:val="single" w:sz="2" w:space="0" w:color="auto"/>
              <w:right w:val="single" w:sz="2" w:space="0" w:color="auto"/>
            </w:tcBorders>
            <w:vAlign w:val="center"/>
          </w:tcPr>
          <w:p w14:paraId="4AE4BC09" w14:textId="77777777" w:rsidR="00A46BF1" w:rsidRPr="00716DB2" w:rsidRDefault="00A46BF1" w:rsidP="00716DB2">
            <w:pPr>
              <w:spacing w:line="360" w:lineRule="auto"/>
              <w:jc w:val="right"/>
              <w:rPr>
                <w:rFonts w:ascii="Times New Roman" w:eastAsia="宋体" w:hAnsi="Times New Roman" w:cs="Times New Roman"/>
                <w:sz w:val="18"/>
                <w:szCs w:val="18"/>
              </w:rPr>
            </w:pPr>
          </w:p>
        </w:tc>
      </w:tr>
    </w:tbl>
    <w:p w14:paraId="7B6B8420"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未来五年每年未折现租赁收款额</w:t>
      </w:r>
    </w:p>
    <w:p w14:paraId="66B8B58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571A2B8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rsidRPr="00716DB2" w14:paraId="114F28DF" w14:textId="77777777" w:rsidTr="00A46BF1">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205C30D"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项目</w:t>
            </w:r>
          </w:p>
        </w:tc>
        <w:tc>
          <w:tcPr>
            <w:tcW w:w="642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21882BE"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每年未折现租赁收款额</w:t>
            </w:r>
          </w:p>
        </w:tc>
      </w:tr>
      <w:tr w:rsidR="00095F6F" w:rsidRPr="00716DB2" w14:paraId="3586BE1D" w14:textId="77777777" w:rsidTr="00A46BF1">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7E51CD4" w14:textId="77777777" w:rsidR="00A46BF1" w:rsidRPr="00716DB2" w:rsidRDefault="00A46BF1" w:rsidP="00716DB2">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8FB49A"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期末金额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104BA3"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期初金额</w:t>
            </w:r>
          </w:p>
        </w:tc>
      </w:tr>
      <w:tr w:rsidR="00095F6F" w:rsidRPr="00716DB2" w14:paraId="406A517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96F3DA8" w14:textId="77777777" w:rsidR="00A46BF1" w:rsidRPr="00716DB2" w:rsidRDefault="00A46BF1" w:rsidP="00716DB2">
            <w:pPr>
              <w:spacing w:before="40" w:after="40"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第二年</w:t>
            </w:r>
          </w:p>
        </w:tc>
        <w:tc>
          <w:tcPr>
            <w:tcW w:w="3213" w:type="dxa"/>
            <w:tcBorders>
              <w:top w:val="single" w:sz="2" w:space="0" w:color="auto"/>
              <w:left w:val="single" w:sz="2" w:space="0" w:color="auto"/>
              <w:bottom w:val="single" w:sz="2" w:space="0" w:color="auto"/>
              <w:right w:val="single" w:sz="2" w:space="0" w:color="auto"/>
            </w:tcBorders>
            <w:vAlign w:val="center"/>
          </w:tcPr>
          <w:p w14:paraId="1B9D2BE7" w14:textId="77777777" w:rsidR="00A46BF1" w:rsidRPr="00716DB2" w:rsidRDefault="00A46BF1" w:rsidP="00716DB2">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77A9F689"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389,141.64</w:t>
            </w:r>
          </w:p>
        </w:tc>
      </w:tr>
      <w:tr w:rsidR="00095F6F" w:rsidRPr="00716DB2" w14:paraId="7E1D6DC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A5C835" w14:textId="77777777" w:rsidR="00A46BF1" w:rsidRPr="00716DB2" w:rsidRDefault="00A46BF1" w:rsidP="00716DB2">
            <w:pPr>
              <w:spacing w:before="40" w:after="40"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第三年</w:t>
            </w:r>
          </w:p>
        </w:tc>
        <w:tc>
          <w:tcPr>
            <w:tcW w:w="3213" w:type="dxa"/>
            <w:tcBorders>
              <w:top w:val="single" w:sz="2" w:space="0" w:color="auto"/>
              <w:left w:val="single" w:sz="2" w:space="0" w:color="auto"/>
              <w:bottom w:val="single" w:sz="2" w:space="0" w:color="auto"/>
              <w:right w:val="single" w:sz="2" w:space="0" w:color="auto"/>
            </w:tcBorders>
            <w:vAlign w:val="center"/>
          </w:tcPr>
          <w:p w14:paraId="5DFE8633"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389,141.64</w:t>
            </w:r>
          </w:p>
        </w:tc>
        <w:tc>
          <w:tcPr>
            <w:tcW w:w="3213" w:type="dxa"/>
            <w:tcBorders>
              <w:top w:val="single" w:sz="2" w:space="0" w:color="auto"/>
              <w:left w:val="single" w:sz="2" w:space="0" w:color="auto"/>
              <w:bottom w:val="single" w:sz="2" w:space="0" w:color="auto"/>
              <w:right w:val="single" w:sz="2" w:space="0" w:color="auto"/>
            </w:tcBorders>
            <w:vAlign w:val="center"/>
          </w:tcPr>
          <w:p w14:paraId="086F306B"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389,141.64</w:t>
            </w:r>
          </w:p>
        </w:tc>
      </w:tr>
    </w:tbl>
    <w:p w14:paraId="3BDC1EC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未折现租赁收款额与租赁投资净额的调节表</w:t>
      </w:r>
    </w:p>
    <w:tbl>
      <w:tblPr>
        <w:tblW w:w="5000" w:type="pct"/>
        <w:jc w:val="center"/>
        <w:tblCellMar>
          <w:left w:w="0" w:type="dxa"/>
          <w:right w:w="0" w:type="dxa"/>
        </w:tblCellMar>
        <w:tblLook w:val="04A0" w:firstRow="1" w:lastRow="0" w:firstColumn="1" w:lastColumn="0" w:noHBand="0" w:noVBand="1"/>
      </w:tblPr>
      <w:tblGrid>
        <w:gridCol w:w="4055"/>
        <w:gridCol w:w="2373"/>
        <w:gridCol w:w="3425"/>
      </w:tblGrid>
      <w:tr w:rsidR="00A46BF1" w14:paraId="3DF145C4" w14:textId="77777777" w:rsidTr="00A46BF1">
        <w:trPr>
          <w:trHeight w:val="397"/>
          <w:tblHeader/>
          <w:jc w:val="center"/>
        </w:trPr>
        <w:tc>
          <w:tcPr>
            <w:tcW w:w="20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957464"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Style w:val="aa"/>
                <w:rFonts w:ascii="Times New Roman" w:hAnsi="Times New Roman" w:cs="Times New Roman"/>
                <w:sz w:val="18"/>
                <w:szCs w:val="18"/>
              </w:rPr>
              <w:t>项目</w:t>
            </w:r>
          </w:p>
        </w:tc>
        <w:tc>
          <w:tcPr>
            <w:tcW w:w="12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9EC75E" w14:textId="77777777" w:rsidR="00A46BF1" w:rsidRPr="00716DB2" w:rsidRDefault="00A46BF1" w:rsidP="00716DB2">
            <w:pPr>
              <w:pStyle w:val="a9"/>
              <w:spacing w:before="0" w:beforeAutospacing="0" w:after="0" w:afterAutospacing="0" w:line="360" w:lineRule="auto"/>
              <w:jc w:val="center"/>
              <w:rPr>
                <w:rFonts w:ascii="Times New Roman" w:hAnsi="Times New Roman" w:cs="Times New Roman"/>
                <w:sz w:val="18"/>
                <w:szCs w:val="18"/>
              </w:rPr>
            </w:pPr>
            <w:r w:rsidRPr="00716DB2">
              <w:rPr>
                <w:rStyle w:val="aa"/>
                <w:rFonts w:ascii="Times New Roman" w:hAnsi="Times New Roman" w:cs="Times New Roman"/>
                <w:sz w:val="18"/>
                <w:szCs w:val="18"/>
              </w:rPr>
              <w:t>年末金额</w:t>
            </w:r>
          </w:p>
        </w:tc>
        <w:tc>
          <w:tcPr>
            <w:tcW w:w="17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532CFA" w14:textId="77777777" w:rsidR="00A46BF1" w:rsidRPr="00716DB2" w:rsidRDefault="00A46BF1" w:rsidP="00716DB2">
            <w:pPr>
              <w:pStyle w:val="a9"/>
              <w:spacing w:before="0" w:beforeAutospacing="0" w:after="0" w:afterAutospacing="0" w:line="360" w:lineRule="auto"/>
              <w:jc w:val="center"/>
              <w:rPr>
                <w:rFonts w:ascii="Times New Roman" w:hAnsi="Times New Roman" w:cs="Times New Roman"/>
                <w:sz w:val="18"/>
                <w:szCs w:val="18"/>
              </w:rPr>
            </w:pPr>
            <w:r w:rsidRPr="00716DB2">
              <w:rPr>
                <w:rStyle w:val="aa"/>
                <w:rFonts w:ascii="Times New Roman" w:hAnsi="Times New Roman" w:cs="Times New Roman"/>
                <w:sz w:val="18"/>
                <w:szCs w:val="18"/>
              </w:rPr>
              <w:t>年初金额</w:t>
            </w:r>
          </w:p>
        </w:tc>
      </w:tr>
      <w:tr w:rsidR="00A46BF1" w14:paraId="28015DAC" w14:textId="77777777" w:rsidTr="00A46BF1">
        <w:trPr>
          <w:trHeight w:val="397"/>
          <w:jc w:val="center"/>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0E4CF6"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未折现租赁收款额总额</w:t>
            </w:r>
          </w:p>
        </w:tc>
        <w:tc>
          <w:tcPr>
            <w:tcW w:w="12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B749F" w14:textId="27F81FFF"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389,141.64</w:t>
            </w:r>
          </w:p>
        </w:tc>
        <w:tc>
          <w:tcPr>
            <w:tcW w:w="17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5F051" w14:textId="416090C5"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778,283.28</w:t>
            </w:r>
          </w:p>
        </w:tc>
      </w:tr>
      <w:tr w:rsidR="00A46BF1" w14:paraId="2A2C67DD" w14:textId="77777777" w:rsidTr="00A46BF1">
        <w:trPr>
          <w:trHeight w:val="397"/>
          <w:jc w:val="center"/>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7347E7"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加：未担保余值</w:t>
            </w:r>
          </w:p>
        </w:tc>
        <w:tc>
          <w:tcPr>
            <w:tcW w:w="12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A6080" w14:textId="309EB301" w:rsidR="00A46BF1" w:rsidRPr="00716DB2" w:rsidRDefault="00A46BF1" w:rsidP="00716DB2">
            <w:pPr>
              <w:spacing w:line="360" w:lineRule="auto"/>
              <w:rPr>
                <w:rFonts w:ascii="Times New Roman" w:hAnsi="Times New Roman" w:cs="Times New Roman"/>
                <w:sz w:val="18"/>
                <w:szCs w:val="18"/>
              </w:rPr>
            </w:pPr>
          </w:p>
        </w:tc>
        <w:tc>
          <w:tcPr>
            <w:tcW w:w="17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750ACE" w14:textId="5345F43F" w:rsidR="00A46BF1" w:rsidRPr="00716DB2" w:rsidRDefault="00A46BF1" w:rsidP="00716DB2">
            <w:pPr>
              <w:spacing w:line="360" w:lineRule="auto"/>
              <w:rPr>
                <w:rFonts w:ascii="Times New Roman" w:hAnsi="Times New Roman" w:cs="Times New Roman"/>
                <w:sz w:val="18"/>
                <w:szCs w:val="18"/>
              </w:rPr>
            </w:pPr>
          </w:p>
        </w:tc>
      </w:tr>
      <w:tr w:rsidR="00A46BF1" w14:paraId="59BA01E1" w14:textId="77777777" w:rsidTr="00A46BF1">
        <w:trPr>
          <w:trHeight w:val="397"/>
          <w:jc w:val="center"/>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959C3"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减：未实现融资收益</w:t>
            </w:r>
          </w:p>
        </w:tc>
        <w:tc>
          <w:tcPr>
            <w:tcW w:w="12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154477" w14:textId="5356F25D"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8,549.55</w:t>
            </w:r>
          </w:p>
        </w:tc>
        <w:tc>
          <w:tcPr>
            <w:tcW w:w="17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04CAA" w14:textId="1CF143CC"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32,439.65</w:t>
            </w:r>
          </w:p>
        </w:tc>
      </w:tr>
      <w:tr w:rsidR="00A46BF1" w14:paraId="1CC10FD9" w14:textId="77777777" w:rsidTr="00A46BF1">
        <w:trPr>
          <w:trHeight w:val="397"/>
          <w:jc w:val="center"/>
        </w:trPr>
        <w:tc>
          <w:tcPr>
            <w:tcW w:w="20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E6F2C6" w14:textId="77777777" w:rsidR="00A46BF1" w:rsidRPr="00716DB2" w:rsidRDefault="00A46BF1" w:rsidP="00716DB2">
            <w:pPr>
              <w:pStyle w:val="a9"/>
              <w:spacing w:before="0" w:beforeAutospacing="0" w:after="0" w:afterAutospacing="0" w:line="360" w:lineRule="auto"/>
              <w:jc w:val="both"/>
              <w:rPr>
                <w:rFonts w:ascii="Times New Roman" w:hAnsi="Times New Roman" w:cs="Times New Roman"/>
                <w:sz w:val="18"/>
                <w:szCs w:val="18"/>
              </w:rPr>
            </w:pPr>
            <w:r w:rsidRPr="00716DB2">
              <w:rPr>
                <w:rFonts w:ascii="Times New Roman" w:hAnsi="Times New Roman" w:cs="Times New Roman"/>
                <w:sz w:val="18"/>
                <w:szCs w:val="18"/>
              </w:rPr>
              <w:t>租赁投资净额</w:t>
            </w:r>
          </w:p>
        </w:tc>
        <w:tc>
          <w:tcPr>
            <w:tcW w:w="12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FC6E31" w14:textId="3E06153F"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sz w:val="18"/>
                <w:szCs w:val="18"/>
              </w:rPr>
              <w:t>380,592.09</w:t>
            </w:r>
          </w:p>
        </w:tc>
        <w:tc>
          <w:tcPr>
            <w:tcW w:w="173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C4CF5" w14:textId="1C6E1147" w:rsidR="00A46BF1" w:rsidRPr="00716DB2" w:rsidRDefault="00A46BF1" w:rsidP="00716DB2">
            <w:pPr>
              <w:pStyle w:val="a9"/>
              <w:spacing w:before="0" w:beforeAutospacing="0" w:after="0" w:afterAutospacing="0" w:line="360" w:lineRule="auto"/>
              <w:jc w:val="right"/>
              <w:rPr>
                <w:rFonts w:ascii="Times New Roman" w:hAnsi="Times New Roman" w:cs="Times New Roman"/>
                <w:sz w:val="18"/>
                <w:szCs w:val="18"/>
              </w:rPr>
            </w:pPr>
            <w:r w:rsidRPr="00716DB2">
              <w:rPr>
                <w:rFonts w:ascii="Times New Roman" w:hAnsi="Times New Roman" w:cs="Times New Roman"/>
                <w:color w:val="000000"/>
                <w:sz w:val="18"/>
                <w:szCs w:val="18"/>
              </w:rPr>
              <w:t>745,843.63</w:t>
            </w:r>
          </w:p>
        </w:tc>
      </w:tr>
    </w:tbl>
    <w:p w14:paraId="3589BE31" w14:textId="77777777" w:rsidR="00A46BF1" w:rsidRDefault="00A46BF1" w:rsidP="00A46BF1"/>
    <w:p w14:paraId="005226C9"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八、研发支出</w:t>
      </w:r>
    </w:p>
    <w:p w14:paraId="6AA69D5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55E0B78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4EF3F3F"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5A0291"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D2154BC" w14:textId="77777777" w:rsidR="00A46BF1" w:rsidRPr="00716DB2" w:rsidRDefault="00A46BF1" w:rsidP="00716DB2">
            <w:pPr>
              <w:spacing w:before="40" w:after="40" w:line="360" w:lineRule="auto"/>
              <w:jc w:val="center"/>
              <w:rPr>
                <w:rFonts w:ascii="Times New Roman" w:eastAsia="宋体" w:hAnsi="Times New Roman" w:cs="Times New Roman"/>
                <w:sz w:val="18"/>
                <w:szCs w:val="18"/>
              </w:rPr>
            </w:pPr>
            <w:r w:rsidRPr="00716DB2">
              <w:rPr>
                <w:rFonts w:ascii="Times New Roman" w:eastAsia="宋体" w:hAnsi="Times New Roman" w:cs="Times New Roman"/>
                <w:sz w:val="18"/>
                <w:szCs w:val="18"/>
              </w:rPr>
              <w:t>上期发生额</w:t>
            </w:r>
          </w:p>
        </w:tc>
      </w:tr>
      <w:tr w:rsidR="00095F6F" w14:paraId="22E52C1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542FB70"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职工薪酬</w:t>
            </w:r>
          </w:p>
        </w:tc>
        <w:tc>
          <w:tcPr>
            <w:tcW w:w="3213" w:type="dxa"/>
            <w:tcBorders>
              <w:top w:val="single" w:sz="2" w:space="0" w:color="auto"/>
              <w:left w:val="single" w:sz="2" w:space="0" w:color="auto"/>
              <w:bottom w:val="single" w:sz="2" w:space="0" w:color="auto"/>
              <w:right w:val="single" w:sz="2" w:space="0" w:color="auto"/>
            </w:tcBorders>
            <w:vAlign w:val="center"/>
          </w:tcPr>
          <w:p w14:paraId="55B4E502"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140,028,343.41</w:t>
            </w:r>
          </w:p>
        </w:tc>
        <w:tc>
          <w:tcPr>
            <w:tcW w:w="3213" w:type="dxa"/>
            <w:tcBorders>
              <w:top w:val="single" w:sz="2" w:space="0" w:color="auto"/>
              <w:left w:val="single" w:sz="2" w:space="0" w:color="auto"/>
              <w:bottom w:val="single" w:sz="2" w:space="0" w:color="auto"/>
              <w:right w:val="single" w:sz="2" w:space="0" w:color="auto"/>
            </w:tcBorders>
            <w:vAlign w:val="center"/>
          </w:tcPr>
          <w:p w14:paraId="17C25818"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157,320,952.28</w:t>
            </w:r>
          </w:p>
        </w:tc>
      </w:tr>
      <w:tr w:rsidR="00095F6F" w14:paraId="4C2B58D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62D3FF5"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专利申请及中介费</w:t>
            </w:r>
          </w:p>
        </w:tc>
        <w:tc>
          <w:tcPr>
            <w:tcW w:w="3213" w:type="dxa"/>
            <w:tcBorders>
              <w:top w:val="single" w:sz="2" w:space="0" w:color="auto"/>
              <w:left w:val="single" w:sz="2" w:space="0" w:color="auto"/>
              <w:bottom w:val="single" w:sz="2" w:space="0" w:color="auto"/>
              <w:right w:val="single" w:sz="2" w:space="0" w:color="auto"/>
            </w:tcBorders>
            <w:vAlign w:val="center"/>
          </w:tcPr>
          <w:p w14:paraId="30FB6ADA"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36,634,281.64</w:t>
            </w:r>
          </w:p>
        </w:tc>
        <w:tc>
          <w:tcPr>
            <w:tcW w:w="3213" w:type="dxa"/>
            <w:tcBorders>
              <w:top w:val="single" w:sz="2" w:space="0" w:color="auto"/>
              <w:left w:val="single" w:sz="2" w:space="0" w:color="auto"/>
              <w:bottom w:val="single" w:sz="2" w:space="0" w:color="auto"/>
              <w:right w:val="single" w:sz="2" w:space="0" w:color="auto"/>
            </w:tcBorders>
            <w:vAlign w:val="center"/>
          </w:tcPr>
          <w:p w14:paraId="383F06A9"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55,319,857.29</w:t>
            </w:r>
          </w:p>
        </w:tc>
      </w:tr>
      <w:tr w:rsidR="00095F6F" w14:paraId="3635475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CD9A67D"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折旧摊销费</w:t>
            </w:r>
          </w:p>
        </w:tc>
        <w:tc>
          <w:tcPr>
            <w:tcW w:w="3213" w:type="dxa"/>
            <w:tcBorders>
              <w:top w:val="single" w:sz="2" w:space="0" w:color="auto"/>
              <w:left w:val="single" w:sz="2" w:space="0" w:color="auto"/>
              <w:bottom w:val="single" w:sz="2" w:space="0" w:color="auto"/>
              <w:right w:val="single" w:sz="2" w:space="0" w:color="auto"/>
            </w:tcBorders>
            <w:vAlign w:val="center"/>
          </w:tcPr>
          <w:p w14:paraId="54D4D5C3"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28,762,550.04</w:t>
            </w:r>
          </w:p>
        </w:tc>
        <w:tc>
          <w:tcPr>
            <w:tcW w:w="3213" w:type="dxa"/>
            <w:tcBorders>
              <w:top w:val="single" w:sz="2" w:space="0" w:color="auto"/>
              <w:left w:val="single" w:sz="2" w:space="0" w:color="auto"/>
              <w:bottom w:val="single" w:sz="2" w:space="0" w:color="auto"/>
              <w:right w:val="single" w:sz="2" w:space="0" w:color="auto"/>
            </w:tcBorders>
            <w:vAlign w:val="center"/>
          </w:tcPr>
          <w:p w14:paraId="04197734"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30,865,770.44</w:t>
            </w:r>
          </w:p>
        </w:tc>
      </w:tr>
      <w:tr w:rsidR="00095F6F" w14:paraId="120DCAB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BF7475A"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材料费</w:t>
            </w:r>
          </w:p>
        </w:tc>
        <w:tc>
          <w:tcPr>
            <w:tcW w:w="3213" w:type="dxa"/>
            <w:tcBorders>
              <w:top w:val="single" w:sz="2" w:space="0" w:color="auto"/>
              <w:left w:val="single" w:sz="2" w:space="0" w:color="auto"/>
              <w:bottom w:val="single" w:sz="2" w:space="0" w:color="auto"/>
              <w:right w:val="single" w:sz="2" w:space="0" w:color="auto"/>
            </w:tcBorders>
            <w:vAlign w:val="center"/>
          </w:tcPr>
          <w:p w14:paraId="68792787"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25,533,577.43</w:t>
            </w:r>
          </w:p>
        </w:tc>
        <w:tc>
          <w:tcPr>
            <w:tcW w:w="3213" w:type="dxa"/>
            <w:tcBorders>
              <w:top w:val="single" w:sz="2" w:space="0" w:color="auto"/>
              <w:left w:val="single" w:sz="2" w:space="0" w:color="auto"/>
              <w:bottom w:val="single" w:sz="2" w:space="0" w:color="auto"/>
              <w:right w:val="single" w:sz="2" w:space="0" w:color="auto"/>
            </w:tcBorders>
            <w:vAlign w:val="center"/>
          </w:tcPr>
          <w:p w14:paraId="0AEE4C19"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41,936,739.57</w:t>
            </w:r>
          </w:p>
        </w:tc>
      </w:tr>
      <w:tr w:rsidR="00095F6F" w14:paraId="1ADC7D1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A81FB80"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测试服务费</w:t>
            </w:r>
          </w:p>
        </w:tc>
        <w:tc>
          <w:tcPr>
            <w:tcW w:w="3213" w:type="dxa"/>
            <w:tcBorders>
              <w:top w:val="single" w:sz="2" w:space="0" w:color="auto"/>
              <w:left w:val="single" w:sz="2" w:space="0" w:color="auto"/>
              <w:bottom w:val="single" w:sz="2" w:space="0" w:color="auto"/>
              <w:right w:val="single" w:sz="2" w:space="0" w:color="auto"/>
            </w:tcBorders>
            <w:vAlign w:val="center"/>
          </w:tcPr>
          <w:p w14:paraId="079A1C12"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15,489,800.95</w:t>
            </w:r>
          </w:p>
        </w:tc>
        <w:tc>
          <w:tcPr>
            <w:tcW w:w="3213" w:type="dxa"/>
            <w:tcBorders>
              <w:top w:val="single" w:sz="2" w:space="0" w:color="auto"/>
              <w:left w:val="single" w:sz="2" w:space="0" w:color="auto"/>
              <w:bottom w:val="single" w:sz="2" w:space="0" w:color="auto"/>
              <w:right w:val="single" w:sz="2" w:space="0" w:color="auto"/>
            </w:tcBorders>
            <w:vAlign w:val="center"/>
          </w:tcPr>
          <w:p w14:paraId="3E33855A"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56,612,398.40</w:t>
            </w:r>
          </w:p>
        </w:tc>
      </w:tr>
      <w:tr w:rsidR="00095F6F" w14:paraId="4FDC409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79F3E7D"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办公相关费用</w:t>
            </w:r>
          </w:p>
        </w:tc>
        <w:tc>
          <w:tcPr>
            <w:tcW w:w="3213" w:type="dxa"/>
            <w:tcBorders>
              <w:top w:val="single" w:sz="2" w:space="0" w:color="auto"/>
              <w:left w:val="single" w:sz="2" w:space="0" w:color="auto"/>
              <w:bottom w:val="single" w:sz="2" w:space="0" w:color="auto"/>
              <w:right w:val="single" w:sz="2" w:space="0" w:color="auto"/>
            </w:tcBorders>
            <w:vAlign w:val="center"/>
          </w:tcPr>
          <w:p w14:paraId="332D4369"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9,747,618.80</w:t>
            </w:r>
          </w:p>
        </w:tc>
        <w:tc>
          <w:tcPr>
            <w:tcW w:w="3213" w:type="dxa"/>
            <w:tcBorders>
              <w:top w:val="single" w:sz="2" w:space="0" w:color="auto"/>
              <w:left w:val="single" w:sz="2" w:space="0" w:color="auto"/>
              <w:bottom w:val="single" w:sz="2" w:space="0" w:color="auto"/>
              <w:right w:val="single" w:sz="2" w:space="0" w:color="auto"/>
            </w:tcBorders>
            <w:vAlign w:val="center"/>
          </w:tcPr>
          <w:p w14:paraId="6A7FF2AD"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8,990,323.84</w:t>
            </w:r>
          </w:p>
        </w:tc>
      </w:tr>
      <w:tr w:rsidR="00095F6F" w14:paraId="6EFE4A1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F271A6C"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注册代理费</w:t>
            </w:r>
          </w:p>
        </w:tc>
        <w:tc>
          <w:tcPr>
            <w:tcW w:w="3213" w:type="dxa"/>
            <w:tcBorders>
              <w:top w:val="single" w:sz="2" w:space="0" w:color="auto"/>
              <w:left w:val="single" w:sz="2" w:space="0" w:color="auto"/>
              <w:bottom w:val="single" w:sz="2" w:space="0" w:color="auto"/>
              <w:right w:val="single" w:sz="2" w:space="0" w:color="auto"/>
            </w:tcBorders>
            <w:vAlign w:val="center"/>
          </w:tcPr>
          <w:p w14:paraId="7A2D8BEE"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5,027,213.46</w:t>
            </w:r>
          </w:p>
        </w:tc>
        <w:tc>
          <w:tcPr>
            <w:tcW w:w="3213" w:type="dxa"/>
            <w:tcBorders>
              <w:top w:val="single" w:sz="2" w:space="0" w:color="auto"/>
              <w:left w:val="single" w:sz="2" w:space="0" w:color="auto"/>
              <w:bottom w:val="single" w:sz="2" w:space="0" w:color="auto"/>
              <w:right w:val="single" w:sz="2" w:space="0" w:color="auto"/>
            </w:tcBorders>
            <w:vAlign w:val="center"/>
          </w:tcPr>
          <w:p w14:paraId="405E1C7A"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5,166,445.37</w:t>
            </w:r>
          </w:p>
        </w:tc>
      </w:tr>
      <w:tr w:rsidR="00095F6F" w14:paraId="6F4AD74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BF5D876"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模具费</w:t>
            </w:r>
          </w:p>
        </w:tc>
        <w:tc>
          <w:tcPr>
            <w:tcW w:w="3213" w:type="dxa"/>
            <w:tcBorders>
              <w:top w:val="single" w:sz="2" w:space="0" w:color="auto"/>
              <w:left w:val="single" w:sz="2" w:space="0" w:color="auto"/>
              <w:bottom w:val="single" w:sz="2" w:space="0" w:color="auto"/>
              <w:right w:val="single" w:sz="2" w:space="0" w:color="auto"/>
            </w:tcBorders>
            <w:vAlign w:val="center"/>
          </w:tcPr>
          <w:p w14:paraId="217E2247"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4,943,039.47</w:t>
            </w:r>
          </w:p>
        </w:tc>
        <w:tc>
          <w:tcPr>
            <w:tcW w:w="3213" w:type="dxa"/>
            <w:tcBorders>
              <w:top w:val="single" w:sz="2" w:space="0" w:color="auto"/>
              <w:left w:val="single" w:sz="2" w:space="0" w:color="auto"/>
              <w:bottom w:val="single" w:sz="2" w:space="0" w:color="auto"/>
              <w:right w:val="single" w:sz="2" w:space="0" w:color="auto"/>
            </w:tcBorders>
            <w:vAlign w:val="center"/>
          </w:tcPr>
          <w:p w14:paraId="7EF5B78F"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6,573,298.45</w:t>
            </w:r>
          </w:p>
        </w:tc>
      </w:tr>
      <w:tr w:rsidR="00095F6F" w14:paraId="5F95A94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3326C04"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差旅费</w:t>
            </w:r>
          </w:p>
        </w:tc>
        <w:tc>
          <w:tcPr>
            <w:tcW w:w="3213" w:type="dxa"/>
            <w:tcBorders>
              <w:top w:val="single" w:sz="2" w:space="0" w:color="auto"/>
              <w:left w:val="single" w:sz="2" w:space="0" w:color="auto"/>
              <w:bottom w:val="single" w:sz="2" w:space="0" w:color="auto"/>
              <w:right w:val="single" w:sz="2" w:space="0" w:color="auto"/>
            </w:tcBorders>
            <w:vAlign w:val="center"/>
          </w:tcPr>
          <w:p w14:paraId="3066AAB9"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3,941,127.90</w:t>
            </w:r>
          </w:p>
        </w:tc>
        <w:tc>
          <w:tcPr>
            <w:tcW w:w="3213" w:type="dxa"/>
            <w:tcBorders>
              <w:top w:val="single" w:sz="2" w:space="0" w:color="auto"/>
              <w:left w:val="single" w:sz="2" w:space="0" w:color="auto"/>
              <w:bottom w:val="single" w:sz="2" w:space="0" w:color="auto"/>
              <w:right w:val="single" w:sz="2" w:space="0" w:color="auto"/>
            </w:tcBorders>
            <w:vAlign w:val="center"/>
          </w:tcPr>
          <w:p w14:paraId="6DB049CE"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5,622,997.13</w:t>
            </w:r>
          </w:p>
        </w:tc>
      </w:tr>
      <w:tr w:rsidR="00095F6F" w14:paraId="6DF5607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6C323B2" w14:textId="77777777" w:rsidR="00A46BF1" w:rsidRPr="00716DB2" w:rsidRDefault="00A46BF1" w:rsidP="00716DB2">
            <w:pPr>
              <w:spacing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773D466B"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4,523,556.36</w:t>
            </w:r>
          </w:p>
        </w:tc>
        <w:tc>
          <w:tcPr>
            <w:tcW w:w="3213" w:type="dxa"/>
            <w:tcBorders>
              <w:top w:val="single" w:sz="2" w:space="0" w:color="auto"/>
              <w:left w:val="single" w:sz="2" w:space="0" w:color="auto"/>
              <w:bottom w:val="single" w:sz="2" w:space="0" w:color="auto"/>
              <w:right w:val="single" w:sz="2" w:space="0" w:color="auto"/>
            </w:tcBorders>
            <w:vAlign w:val="center"/>
          </w:tcPr>
          <w:p w14:paraId="04C36026"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6,588,889.66</w:t>
            </w:r>
          </w:p>
        </w:tc>
      </w:tr>
      <w:tr w:rsidR="00095F6F" w14:paraId="183D38D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83B5F1F" w14:textId="77777777" w:rsidR="00A46BF1" w:rsidRPr="00716DB2" w:rsidRDefault="00A46BF1" w:rsidP="00716DB2">
            <w:pPr>
              <w:spacing w:before="40" w:after="40"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8BCF2D1"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274,631,109.46</w:t>
            </w:r>
          </w:p>
        </w:tc>
        <w:tc>
          <w:tcPr>
            <w:tcW w:w="3213" w:type="dxa"/>
            <w:tcBorders>
              <w:top w:val="single" w:sz="2" w:space="0" w:color="auto"/>
              <w:left w:val="single" w:sz="2" w:space="0" w:color="auto"/>
              <w:bottom w:val="single" w:sz="2" w:space="0" w:color="auto"/>
              <w:right w:val="single" w:sz="2" w:space="0" w:color="auto"/>
            </w:tcBorders>
            <w:vAlign w:val="center"/>
          </w:tcPr>
          <w:p w14:paraId="73BC0B7F"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374,997,672.43</w:t>
            </w:r>
          </w:p>
        </w:tc>
      </w:tr>
      <w:tr w:rsidR="00095F6F" w14:paraId="3F486DB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20ACD2" w14:textId="77777777" w:rsidR="00A46BF1" w:rsidRPr="00716DB2" w:rsidRDefault="00A46BF1" w:rsidP="00716DB2">
            <w:pPr>
              <w:spacing w:before="40" w:after="40" w:line="360" w:lineRule="auto"/>
              <w:rPr>
                <w:rFonts w:ascii="Times New Roman" w:eastAsia="宋体" w:hAnsi="Times New Roman" w:cs="Times New Roman"/>
                <w:sz w:val="18"/>
                <w:szCs w:val="18"/>
              </w:rPr>
            </w:pPr>
            <w:r w:rsidRPr="00716DB2">
              <w:rPr>
                <w:rFonts w:ascii="Times New Roman" w:eastAsia="宋体" w:hAnsi="Times New Roman" w:cs="Times New Roman"/>
                <w:sz w:val="18"/>
                <w:szCs w:val="18"/>
              </w:rPr>
              <w:t>其中：费用化研发支出</w:t>
            </w:r>
          </w:p>
        </w:tc>
        <w:tc>
          <w:tcPr>
            <w:tcW w:w="3213" w:type="dxa"/>
            <w:tcBorders>
              <w:top w:val="single" w:sz="2" w:space="0" w:color="auto"/>
              <w:left w:val="single" w:sz="2" w:space="0" w:color="auto"/>
              <w:bottom w:val="single" w:sz="2" w:space="0" w:color="auto"/>
              <w:right w:val="single" w:sz="2" w:space="0" w:color="auto"/>
            </w:tcBorders>
            <w:vAlign w:val="center"/>
          </w:tcPr>
          <w:p w14:paraId="6692BC85"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274,631,109.46</w:t>
            </w:r>
          </w:p>
        </w:tc>
        <w:tc>
          <w:tcPr>
            <w:tcW w:w="3213" w:type="dxa"/>
            <w:tcBorders>
              <w:top w:val="single" w:sz="2" w:space="0" w:color="auto"/>
              <w:left w:val="single" w:sz="2" w:space="0" w:color="auto"/>
              <w:bottom w:val="single" w:sz="2" w:space="0" w:color="auto"/>
              <w:right w:val="single" w:sz="2" w:space="0" w:color="auto"/>
            </w:tcBorders>
            <w:vAlign w:val="center"/>
          </w:tcPr>
          <w:p w14:paraId="2657180E" w14:textId="77777777" w:rsidR="00A46BF1" w:rsidRPr="00716DB2" w:rsidRDefault="00A46BF1" w:rsidP="00716DB2">
            <w:pPr>
              <w:spacing w:line="360" w:lineRule="auto"/>
              <w:jc w:val="right"/>
              <w:rPr>
                <w:rFonts w:ascii="Times New Roman" w:eastAsia="宋体" w:hAnsi="Times New Roman" w:cs="Times New Roman"/>
                <w:sz w:val="18"/>
                <w:szCs w:val="18"/>
              </w:rPr>
            </w:pPr>
            <w:r w:rsidRPr="00716DB2">
              <w:rPr>
                <w:rFonts w:ascii="Times New Roman" w:eastAsia="宋体" w:hAnsi="Times New Roman" w:cs="Times New Roman"/>
                <w:sz w:val="18"/>
                <w:szCs w:val="18"/>
              </w:rPr>
              <w:t>374,997,672.43</w:t>
            </w:r>
          </w:p>
        </w:tc>
      </w:tr>
    </w:tbl>
    <w:p w14:paraId="723A6A98"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九、合并范围的变更</w:t>
      </w:r>
    </w:p>
    <w:p w14:paraId="46182B00" w14:textId="77777777" w:rsidR="00A46BF1" w:rsidRDefault="00A46BF1" w:rsidP="00A46BF1">
      <w:pPr>
        <w:pStyle w:val="3"/>
        <w:spacing w:line="280" w:lineRule="exact"/>
        <w:jc w:val="left"/>
        <w:rPr>
          <w:rFonts w:ascii="宋体" w:hAnsi="宋体" w:cs="宋体"/>
          <w:b/>
          <w:bCs/>
        </w:rPr>
      </w:pPr>
      <w:r>
        <w:rPr>
          <w:rFonts w:ascii="宋体" w:hAnsi="宋体" w:cs="宋体"/>
          <w:b/>
          <w:bCs/>
        </w:rPr>
        <w:t>1、非同一控制下企业合并</w:t>
      </w:r>
    </w:p>
    <w:p w14:paraId="28367A7D"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本期发生的非同一控制下企业合并</w:t>
      </w:r>
    </w:p>
    <w:p w14:paraId="4D05DEE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963"/>
        <w:gridCol w:w="964"/>
        <w:gridCol w:w="964"/>
        <w:gridCol w:w="964"/>
        <w:gridCol w:w="964"/>
        <w:gridCol w:w="964"/>
        <w:gridCol w:w="964"/>
        <w:gridCol w:w="964"/>
        <w:gridCol w:w="964"/>
        <w:gridCol w:w="964"/>
      </w:tblGrid>
      <w:tr w:rsidR="00095F6F" w14:paraId="0A425E41" w14:textId="77777777" w:rsidTr="00716DB2">
        <w:trPr>
          <w:trHeight w:val="240"/>
        </w:trPr>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5464246"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被购买方名称</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23697443"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股权取得时点</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1F9DF97F"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股权取得成本</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0A7937BC"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股权取得比例</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675BDC6B"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股权取得方式</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4A23ECC2"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购买日</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F3E99EE"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购买日的确定依据</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7FA415ED"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购买日至期末被购买方的收入</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54EA1677"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购买日至期末被购买方的净利润</w:t>
            </w:r>
          </w:p>
        </w:tc>
        <w:tc>
          <w:tcPr>
            <w:tcW w:w="964" w:type="dxa"/>
            <w:tcBorders>
              <w:top w:val="single" w:sz="2" w:space="0" w:color="auto"/>
              <w:left w:val="single" w:sz="2" w:space="0" w:color="auto"/>
              <w:bottom w:val="single" w:sz="2" w:space="0" w:color="auto"/>
              <w:right w:val="single" w:sz="2" w:space="0" w:color="auto"/>
            </w:tcBorders>
            <w:shd w:val="clear" w:color="auto" w:fill="D3D3D3"/>
            <w:vAlign w:val="center"/>
          </w:tcPr>
          <w:p w14:paraId="336CA654" w14:textId="77777777" w:rsidR="00A46BF1" w:rsidRPr="00716DB2" w:rsidRDefault="00A46BF1" w:rsidP="00716DB2">
            <w:pPr>
              <w:spacing w:before="40" w:after="40" w:line="360" w:lineRule="auto"/>
              <w:jc w:val="center"/>
              <w:rPr>
                <w:rFonts w:ascii="Times New Roman" w:eastAsia="宋体" w:hAnsi="Times New Roman" w:cs="Times New Roman"/>
                <w:sz w:val="15"/>
                <w:szCs w:val="15"/>
              </w:rPr>
            </w:pPr>
            <w:r w:rsidRPr="00716DB2">
              <w:rPr>
                <w:rFonts w:ascii="Times New Roman" w:eastAsia="宋体" w:hAnsi="Times New Roman" w:cs="Times New Roman"/>
                <w:sz w:val="15"/>
                <w:szCs w:val="15"/>
              </w:rPr>
              <w:t>购买日至期末被购买方的现金流</w:t>
            </w:r>
          </w:p>
        </w:tc>
      </w:tr>
      <w:tr w:rsidR="00095F6F" w14:paraId="76905E40" w14:textId="77777777" w:rsidTr="00716DB2">
        <w:trPr>
          <w:trHeight w:val="240"/>
        </w:trPr>
        <w:tc>
          <w:tcPr>
            <w:tcW w:w="964" w:type="dxa"/>
            <w:tcBorders>
              <w:top w:val="single" w:sz="2" w:space="0" w:color="auto"/>
              <w:left w:val="single" w:sz="2" w:space="0" w:color="auto"/>
              <w:bottom w:val="single" w:sz="2" w:space="0" w:color="auto"/>
              <w:right w:val="single" w:sz="2" w:space="0" w:color="auto"/>
            </w:tcBorders>
            <w:vAlign w:val="center"/>
          </w:tcPr>
          <w:p w14:paraId="279B7FD9" w14:textId="77777777" w:rsidR="00A46BF1" w:rsidRPr="00716DB2" w:rsidRDefault="00A46BF1" w:rsidP="00716DB2">
            <w:pPr>
              <w:spacing w:line="360" w:lineRule="auto"/>
              <w:rPr>
                <w:rFonts w:ascii="Times New Roman" w:eastAsia="宋体" w:hAnsi="Times New Roman" w:cs="Times New Roman"/>
                <w:sz w:val="15"/>
                <w:szCs w:val="15"/>
              </w:rPr>
            </w:pPr>
            <w:r w:rsidRPr="00716DB2">
              <w:rPr>
                <w:rFonts w:ascii="Times New Roman" w:eastAsia="宋体" w:hAnsi="Times New Roman" w:cs="Times New Roman"/>
                <w:sz w:val="15"/>
                <w:szCs w:val="15"/>
              </w:rPr>
              <w:t>长沙甜蜜医联网络科技有限公司</w:t>
            </w:r>
          </w:p>
        </w:tc>
        <w:tc>
          <w:tcPr>
            <w:tcW w:w="964" w:type="dxa"/>
            <w:tcBorders>
              <w:top w:val="single" w:sz="2" w:space="0" w:color="auto"/>
              <w:left w:val="single" w:sz="2" w:space="0" w:color="auto"/>
              <w:bottom w:val="single" w:sz="2" w:space="0" w:color="auto"/>
              <w:right w:val="single" w:sz="2" w:space="0" w:color="auto"/>
            </w:tcBorders>
            <w:vAlign w:val="center"/>
          </w:tcPr>
          <w:p w14:paraId="13847AB5" w14:textId="77777777" w:rsidR="00A46BF1" w:rsidRPr="00716DB2" w:rsidRDefault="00A46BF1" w:rsidP="00716DB2">
            <w:pPr>
              <w:spacing w:line="360" w:lineRule="auto"/>
              <w:rPr>
                <w:rFonts w:ascii="Times New Roman" w:eastAsia="宋体" w:hAnsi="Times New Roman" w:cs="Times New Roman"/>
                <w:sz w:val="15"/>
                <w:szCs w:val="15"/>
              </w:rPr>
            </w:pPr>
            <w:r w:rsidRPr="00716DB2">
              <w:rPr>
                <w:rFonts w:ascii="Times New Roman" w:eastAsia="宋体" w:hAnsi="Times New Roman" w:cs="Times New Roman"/>
                <w:sz w:val="15"/>
                <w:szCs w:val="15"/>
              </w:rPr>
              <w:t>2025</w:t>
            </w:r>
            <w:r w:rsidRPr="00716DB2">
              <w:rPr>
                <w:rFonts w:ascii="Times New Roman" w:eastAsia="宋体" w:hAnsi="Times New Roman" w:cs="Times New Roman"/>
                <w:sz w:val="15"/>
                <w:szCs w:val="15"/>
              </w:rPr>
              <w:t>年</w:t>
            </w:r>
            <w:r w:rsidRPr="00716DB2">
              <w:rPr>
                <w:rFonts w:ascii="Times New Roman" w:eastAsia="宋体" w:hAnsi="Times New Roman" w:cs="Times New Roman"/>
                <w:sz w:val="15"/>
                <w:szCs w:val="15"/>
              </w:rPr>
              <w:t>10</w:t>
            </w:r>
            <w:r w:rsidRPr="00716DB2">
              <w:rPr>
                <w:rFonts w:ascii="Times New Roman" w:eastAsia="宋体" w:hAnsi="Times New Roman" w:cs="Times New Roman"/>
                <w:sz w:val="15"/>
                <w:szCs w:val="15"/>
              </w:rPr>
              <w:t>月</w:t>
            </w:r>
            <w:r w:rsidRPr="00716DB2">
              <w:rPr>
                <w:rFonts w:ascii="Times New Roman" w:eastAsia="宋体" w:hAnsi="Times New Roman" w:cs="Times New Roman"/>
                <w:sz w:val="15"/>
                <w:szCs w:val="15"/>
              </w:rPr>
              <w:t>01</w:t>
            </w:r>
            <w:r w:rsidRPr="00716DB2">
              <w:rPr>
                <w:rFonts w:ascii="Times New Roman" w:eastAsia="宋体" w:hAnsi="Times New Roman" w:cs="Times New Roman"/>
                <w:sz w:val="15"/>
                <w:szCs w:val="15"/>
              </w:rPr>
              <w:t>日</w:t>
            </w:r>
          </w:p>
        </w:tc>
        <w:tc>
          <w:tcPr>
            <w:tcW w:w="964" w:type="dxa"/>
            <w:tcBorders>
              <w:top w:val="single" w:sz="2" w:space="0" w:color="auto"/>
              <w:left w:val="single" w:sz="2" w:space="0" w:color="auto"/>
              <w:bottom w:val="single" w:sz="2" w:space="0" w:color="auto"/>
              <w:right w:val="single" w:sz="2" w:space="0" w:color="auto"/>
            </w:tcBorders>
            <w:vAlign w:val="center"/>
          </w:tcPr>
          <w:p w14:paraId="5C64212F" w14:textId="77777777" w:rsidR="00A46BF1" w:rsidRPr="00716DB2" w:rsidRDefault="00A46BF1" w:rsidP="00716DB2">
            <w:pPr>
              <w:spacing w:line="360" w:lineRule="auto"/>
              <w:jc w:val="right"/>
              <w:rPr>
                <w:rFonts w:ascii="Times New Roman" w:eastAsia="宋体" w:hAnsi="Times New Roman" w:cs="Times New Roman"/>
                <w:sz w:val="15"/>
                <w:szCs w:val="15"/>
              </w:rPr>
            </w:pPr>
            <w:r w:rsidRPr="00716DB2">
              <w:rPr>
                <w:rFonts w:ascii="Times New Roman" w:eastAsia="宋体" w:hAnsi="Times New Roman" w:cs="Times New Roman"/>
                <w:sz w:val="15"/>
                <w:szCs w:val="15"/>
              </w:rPr>
              <w:t>111,064.26</w:t>
            </w:r>
          </w:p>
        </w:tc>
        <w:tc>
          <w:tcPr>
            <w:tcW w:w="964" w:type="dxa"/>
            <w:tcBorders>
              <w:top w:val="single" w:sz="2" w:space="0" w:color="auto"/>
              <w:left w:val="single" w:sz="2" w:space="0" w:color="auto"/>
              <w:bottom w:val="single" w:sz="2" w:space="0" w:color="auto"/>
              <w:right w:val="single" w:sz="2" w:space="0" w:color="auto"/>
            </w:tcBorders>
            <w:vAlign w:val="center"/>
          </w:tcPr>
          <w:p w14:paraId="0859E118" w14:textId="77777777" w:rsidR="00A46BF1" w:rsidRPr="00716DB2" w:rsidRDefault="00A46BF1" w:rsidP="00716DB2">
            <w:pPr>
              <w:spacing w:line="360" w:lineRule="auto"/>
              <w:jc w:val="right"/>
              <w:rPr>
                <w:rFonts w:ascii="Times New Roman" w:eastAsia="宋体" w:hAnsi="Times New Roman" w:cs="Times New Roman"/>
                <w:sz w:val="15"/>
                <w:szCs w:val="15"/>
              </w:rPr>
            </w:pPr>
            <w:r w:rsidRPr="00716DB2">
              <w:rPr>
                <w:rFonts w:ascii="Times New Roman" w:eastAsia="宋体" w:hAnsi="Times New Roman" w:cs="Times New Roman"/>
                <w:sz w:val="15"/>
                <w:szCs w:val="15"/>
              </w:rPr>
              <w:t>100.00%</w:t>
            </w:r>
          </w:p>
        </w:tc>
        <w:tc>
          <w:tcPr>
            <w:tcW w:w="964" w:type="dxa"/>
            <w:tcBorders>
              <w:top w:val="single" w:sz="2" w:space="0" w:color="auto"/>
              <w:left w:val="single" w:sz="2" w:space="0" w:color="auto"/>
              <w:bottom w:val="single" w:sz="2" w:space="0" w:color="auto"/>
              <w:right w:val="single" w:sz="2" w:space="0" w:color="auto"/>
            </w:tcBorders>
            <w:vAlign w:val="center"/>
          </w:tcPr>
          <w:p w14:paraId="7B1D0119" w14:textId="77777777" w:rsidR="00A46BF1" w:rsidRPr="00716DB2" w:rsidRDefault="00A46BF1" w:rsidP="00716DB2">
            <w:pPr>
              <w:spacing w:line="360" w:lineRule="auto"/>
              <w:rPr>
                <w:rFonts w:ascii="Times New Roman" w:eastAsia="宋体" w:hAnsi="Times New Roman" w:cs="Times New Roman"/>
                <w:sz w:val="15"/>
                <w:szCs w:val="15"/>
              </w:rPr>
            </w:pPr>
            <w:r w:rsidRPr="00716DB2">
              <w:rPr>
                <w:rFonts w:ascii="Times New Roman" w:eastAsia="宋体" w:hAnsi="Times New Roman" w:cs="Times New Roman"/>
                <w:sz w:val="15"/>
                <w:szCs w:val="15"/>
              </w:rPr>
              <w:t>现金收购</w:t>
            </w:r>
          </w:p>
        </w:tc>
        <w:tc>
          <w:tcPr>
            <w:tcW w:w="964" w:type="dxa"/>
            <w:tcBorders>
              <w:top w:val="single" w:sz="2" w:space="0" w:color="auto"/>
              <w:left w:val="single" w:sz="2" w:space="0" w:color="auto"/>
              <w:bottom w:val="single" w:sz="2" w:space="0" w:color="auto"/>
              <w:right w:val="single" w:sz="2" w:space="0" w:color="auto"/>
            </w:tcBorders>
            <w:vAlign w:val="center"/>
          </w:tcPr>
          <w:p w14:paraId="22C022CE" w14:textId="77777777" w:rsidR="00A46BF1" w:rsidRPr="00716DB2" w:rsidRDefault="00A46BF1" w:rsidP="00716DB2">
            <w:pPr>
              <w:spacing w:line="360" w:lineRule="auto"/>
              <w:rPr>
                <w:rFonts w:ascii="Times New Roman" w:eastAsia="宋体" w:hAnsi="Times New Roman" w:cs="Times New Roman"/>
                <w:sz w:val="15"/>
                <w:szCs w:val="15"/>
              </w:rPr>
            </w:pPr>
            <w:r w:rsidRPr="00716DB2">
              <w:rPr>
                <w:rFonts w:ascii="Times New Roman" w:eastAsia="宋体" w:hAnsi="Times New Roman" w:cs="Times New Roman"/>
                <w:sz w:val="15"/>
                <w:szCs w:val="15"/>
              </w:rPr>
              <w:t>2025</w:t>
            </w:r>
            <w:r w:rsidRPr="00716DB2">
              <w:rPr>
                <w:rFonts w:ascii="Times New Roman" w:eastAsia="宋体" w:hAnsi="Times New Roman" w:cs="Times New Roman"/>
                <w:sz w:val="15"/>
                <w:szCs w:val="15"/>
              </w:rPr>
              <w:t>年</w:t>
            </w:r>
            <w:r w:rsidRPr="00716DB2">
              <w:rPr>
                <w:rFonts w:ascii="Times New Roman" w:eastAsia="宋体" w:hAnsi="Times New Roman" w:cs="Times New Roman"/>
                <w:sz w:val="15"/>
                <w:szCs w:val="15"/>
              </w:rPr>
              <w:t>10</w:t>
            </w:r>
            <w:r w:rsidRPr="00716DB2">
              <w:rPr>
                <w:rFonts w:ascii="Times New Roman" w:eastAsia="宋体" w:hAnsi="Times New Roman" w:cs="Times New Roman"/>
                <w:sz w:val="15"/>
                <w:szCs w:val="15"/>
              </w:rPr>
              <w:t>月</w:t>
            </w:r>
            <w:r w:rsidRPr="00716DB2">
              <w:rPr>
                <w:rFonts w:ascii="Times New Roman" w:eastAsia="宋体" w:hAnsi="Times New Roman" w:cs="Times New Roman"/>
                <w:sz w:val="15"/>
                <w:szCs w:val="15"/>
              </w:rPr>
              <w:t>01</w:t>
            </w:r>
            <w:r w:rsidRPr="00716DB2">
              <w:rPr>
                <w:rFonts w:ascii="Times New Roman" w:eastAsia="宋体" w:hAnsi="Times New Roman" w:cs="Times New Roman"/>
                <w:sz w:val="15"/>
                <w:szCs w:val="15"/>
              </w:rPr>
              <w:t>日</w:t>
            </w:r>
          </w:p>
        </w:tc>
        <w:tc>
          <w:tcPr>
            <w:tcW w:w="964" w:type="dxa"/>
            <w:tcBorders>
              <w:top w:val="single" w:sz="2" w:space="0" w:color="auto"/>
              <w:left w:val="single" w:sz="2" w:space="0" w:color="auto"/>
              <w:bottom w:val="single" w:sz="2" w:space="0" w:color="auto"/>
              <w:right w:val="single" w:sz="2" w:space="0" w:color="auto"/>
            </w:tcBorders>
            <w:vAlign w:val="center"/>
          </w:tcPr>
          <w:p w14:paraId="40040317" w14:textId="77777777" w:rsidR="00A46BF1" w:rsidRPr="00716DB2" w:rsidRDefault="00A46BF1" w:rsidP="00716DB2">
            <w:pPr>
              <w:spacing w:line="360" w:lineRule="auto"/>
              <w:rPr>
                <w:rFonts w:ascii="Times New Roman" w:eastAsia="宋体" w:hAnsi="Times New Roman" w:cs="Times New Roman"/>
                <w:sz w:val="15"/>
                <w:szCs w:val="15"/>
              </w:rPr>
            </w:pPr>
            <w:r w:rsidRPr="00716DB2">
              <w:rPr>
                <w:rFonts w:ascii="Times New Roman" w:eastAsia="宋体" w:hAnsi="Times New Roman" w:cs="Times New Roman"/>
                <w:sz w:val="15"/>
                <w:szCs w:val="15"/>
              </w:rPr>
              <w:t>取得控制权之日</w:t>
            </w:r>
          </w:p>
        </w:tc>
        <w:tc>
          <w:tcPr>
            <w:tcW w:w="964" w:type="dxa"/>
            <w:tcBorders>
              <w:top w:val="single" w:sz="2" w:space="0" w:color="auto"/>
              <w:left w:val="single" w:sz="2" w:space="0" w:color="auto"/>
              <w:bottom w:val="single" w:sz="2" w:space="0" w:color="auto"/>
              <w:right w:val="single" w:sz="2" w:space="0" w:color="auto"/>
            </w:tcBorders>
            <w:vAlign w:val="center"/>
          </w:tcPr>
          <w:p w14:paraId="74F7636B" w14:textId="77777777" w:rsidR="00A46BF1" w:rsidRPr="00716DB2" w:rsidRDefault="00A46BF1" w:rsidP="00716DB2">
            <w:pPr>
              <w:spacing w:line="360" w:lineRule="auto"/>
              <w:jc w:val="right"/>
              <w:rPr>
                <w:rFonts w:ascii="Times New Roman" w:eastAsia="宋体" w:hAnsi="Times New Roman" w:cs="Times New Roman"/>
                <w:sz w:val="15"/>
                <w:szCs w:val="15"/>
              </w:rPr>
            </w:pPr>
            <w:r w:rsidRPr="00716DB2">
              <w:rPr>
                <w:rFonts w:ascii="Times New Roman" w:eastAsia="宋体" w:hAnsi="Times New Roman" w:cs="Times New Roman"/>
                <w:sz w:val="15"/>
                <w:szCs w:val="15"/>
              </w:rPr>
              <w:t>2,532.04</w:t>
            </w:r>
          </w:p>
        </w:tc>
        <w:tc>
          <w:tcPr>
            <w:tcW w:w="964" w:type="dxa"/>
            <w:tcBorders>
              <w:top w:val="single" w:sz="2" w:space="0" w:color="auto"/>
              <w:left w:val="single" w:sz="2" w:space="0" w:color="auto"/>
              <w:bottom w:val="single" w:sz="2" w:space="0" w:color="auto"/>
              <w:right w:val="single" w:sz="2" w:space="0" w:color="auto"/>
            </w:tcBorders>
            <w:vAlign w:val="center"/>
          </w:tcPr>
          <w:p w14:paraId="51ADE672" w14:textId="77777777" w:rsidR="00A46BF1" w:rsidRPr="00716DB2" w:rsidRDefault="00A46BF1" w:rsidP="00716DB2">
            <w:pPr>
              <w:spacing w:line="360" w:lineRule="auto"/>
              <w:jc w:val="right"/>
              <w:rPr>
                <w:rFonts w:ascii="Times New Roman" w:eastAsia="宋体" w:hAnsi="Times New Roman" w:cs="Times New Roman"/>
                <w:sz w:val="15"/>
                <w:szCs w:val="15"/>
              </w:rPr>
            </w:pPr>
            <w:r w:rsidRPr="00716DB2">
              <w:rPr>
                <w:rFonts w:ascii="Times New Roman" w:eastAsia="宋体" w:hAnsi="Times New Roman" w:cs="Times New Roman"/>
                <w:sz w:val="15"/>
                <w:szCs w:val="15"/>
              </w:rPr>
              <w:t>299.48</w:t>
            </w:r>
          </w:p>
        </w:tc>
        <w:tc>
          <w:tcPr>
            <w:tcW w:w="964" w:type="dxa"/>
            <w:tcBorders>
              <w:top w:val="single" w:sz="2" w:space="0" w:color="auto"/>
              <w:left w:val="single" w:sz="2" w:space="0" w:color="auto"/>
              <w:bottom w:val="single" w:sz="2" w:space="0" w:color="auto"/>
              <w:right w:val="single" w:sz="2" w:space="0" w:color="auto"/>
            </w:tcBorders>
            <w:vAlign w:val="center"/>
          </w:tcPr>
          <w:p w14:paraId="176E96E2" w14:textId="77777777" w:rsidR="00A46BF1" w:rsidRPr="00716DB2" w:rsidRDefault="00A46BF1" w:rsidP="00716DB2">
            <w:pPr>
              <w:spacing w:line="360" w:lineRule="auto"/>
              <w:jc w:val="right"/>
              <w:rPr>
                <w:rFonts w:ascii="Times New Roman" w:eastAsia="宋体" w:hAnsi="Times New Roman" w:cs="Times New Roman"/>
                <w:sz w:val="15"/>
                <w:szCs w:val="15"/>
              </w:rPr>
            </w:pPr>
            <w:r w:rsidRPr="00716DB2">
              <w:rPr>
                <w:rFonts w:ascii="Times New Roman" w:eastAsia="宋体" w:hAnsi="Times New Roman" w:cs="Times New Roman"/>
                <w:sz w:val="15"/>
                <w:szCs w:val="15"/>
              </w:rPr>
              <w:t>2,451.52</w:t>
            </w:r>
          </w:p>
        </w:tc>
      </w:tr>
    </w:tbl>
    <w:p w14:paraId="589E588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DB69B37" w14:textId="77777777" w:rsidR="00A46BF1" w:rsidRPr="00716DB2" w:rsidRDefault="00A46BF1" w:rsidP="00716DB2">
      <w:pPr>
        <w:spacing w:before="100" w:after="100" w:line="240" w:lineRule="exact"/>
        <w:rPr>
          <w:rFonts w:ascii="宋体" w:eastAsia="宋体" w:hAnsi="宋体" w:cs="宋体"/>
          <w:sz w:val="18"/>
          <w:szCs w:val="18"/>
        </w:rPr>
      </w:pPr>
      <w:r w:rsidRPr="00716DB2">
        <w:rPr>
          <w:rFonts w:ascii="宋体" w:eastAsia="宋体" w:hAnsi="宋体" w:cs="宋体" w:hint="eastAsia"/>
          <w:sz w:val="18"/>
          <w:szCs w:val="18"/>
        </w:rPr>
        <w:t>无</w:t>
      </w:r>
    </w:p>
    <w:p w14:paraId="716D6FF5"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（2） 合并成本及商誉</w:t>
      </w:r>
    </w:p>
    <w:p w14:paraId="0E6D083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820"/>
        <w:gridCol w:w="4819"/>
      </w:tblGrid>
      <w:tr w:rsidR="00095F6F" w14:paraId="17B70858"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07DFC86C"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合并成本</w:t>
            </w:r>
          </w:p>
        </w:tc>
        <w:tc>
          <w:tcPr>
            <w:tcW w:w="4820" w:type="dxa"/>
            <w:tcBorders>
              <w:top w:val="single" w:sz="2" w:space="0" w:color="auto"/>
              <w:left w:val="single" w:sz="2" w:space="0" w:color="auto"/>
              <w:bottom w:val="single" w:sz="2" w:space="0" w:color="auto"/>
              <w:right w:val="single" w:sz="2" w:space="0" w:color="auto"/>
            </w:tcBorders>
            <w:vAlign w:val="center"/>
          </w:tcPr>
          <w:p w14:paraId="2F188671" w14:textId="77777777" w:rsidR="00A46BF1" w:rsidRDefault="00A46BF1" w:rsidP="00A46BF1">
            <w:pPr>
              <w:spacing w:line="240" w:lineRule="exact"/>
              <w:jc w:val="center"/>
              <w:rPr>
                <w:rFonts w:ascii="宋体" w:eastAsia="宋体" w:hAnsi="宋体" w:cs="宋体"/>
                <w:sz w:val="18"/>
                <w:szCs w:val="18"/>
              </w:rPr>
            </w:pPr>
            <w:r>
              <w:rPr>
                <w:rFonts w:ascii="宋体" w:eastAsia="宋体" w:hAnsi="宋体" w:cs="宋体"/>
                <w:sz w:val="18"/>
                <w:szCs w:val="18"/>
              </w:rPr>
              <w:t>长沙甜蜜医联网络科技有限公司</w:t>
            </w:r>
          </w:p>
        </w:tc>
      </w:tr>
      <w:tr w:rsidR="00095F6F" w14:paraId="0458B4A2"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C9E4001"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--现金</w:t>
            </w:r>
          </w:p>
        </w:tc>
        <w:tc>
          <w:tcPr>
            <w:tcW w:w="4820" w:type="dxa"/>
            <w:tcBorders>
              <w:top w:val="single" w:sz="2" w:space="0" w:color="auto"/>
              <w:left w:val="single" w:sz="2" w:space="0" w:color="auto"/>
              <w:bottom w:val="single" w:sz="2" w:space="0" w:color="auto"/>
              <w:right w:val="single" w:sz="2" w:space="0" w:color="auto"/>
            </w:tcBorders>
            <w:vAlign w:val="center"/>
          </w:tcPr>
          <w:p w14:paraId="0E0A459A" w14:textId="77777777" w:rsidR="00A46BF1" w:rsidRDefault="00A46BF1" w:rsidP="00A46BF1">
            <w:pPr>
              <w:spacing w:line="240" w:lineRule="exact"/>
              <w:jc w:val="right"/>
              <w:rPr>
                <w:rFonts w:ascii="宋体" w:eastAsia="宋体" w:hAnsi="宋体" w:cs="宋体"/>
                <w:sz w:val="18"/>
                <w:szCs w:val="18"/>
              </w:rPr>
            </w:pPr>
          </w:p>
        </w:tc>
      </w:tr>
      <w:tr w:rsidR="00095F6F" w14:paraId="24399034"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BE401B3"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--非现金资产的公允价值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5522151B" w14:textId="77777777" w:rsidR="00A46BF1" w:rsidRDefault="00A46BF1" w:rsidP="00A46BF1">
            <w:pPr>
              <w:spacing w:line="240" w:lineRule="exact"/>
              <w:jc w:val="right"/>
              <w:rPr>
                <w:rFonts w:ascii="宋体" w:eastAsia="宋体" w:hAnsi="宋体" w:cs="宋体"/>
                <w:sz w:val="18"/>
                <w:szCs w:val="18"/>
              </w:rPr>
            </w:pPr>
          </w:p>
        </w:tc>
      </w:tr>
      <w:tr w:rsidR="00095F6F" w14:paraId="5E244DE9"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1EBB3DC8"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--发行或承担的债务的公允价值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103DDB5B" w14:textId="77777777" w:rsidR="00A46BF1" w:rsidRDefault="00A46BF1" w:rsidP="00A46BF1">
            <w:pPr>
              <w:spacing w:line="240" w:lineRule="exact"/>
              <w:jc w:val="right"/>
              <w:rPr>
                <w:rFonts w:ascii="宋体" w:eastAsia="宋体" w:hAnsi="宋体" w:cs="宋体"/>
                <w:sz w:val="18"/>
                <w:szCs w:val="18"/>
              </w:rPr>
            </w:pPr>
          </w:p>
        </w:tc>
      </w:tr>
      <w:tr w:rsidR="00095F6F" w14:paraId="41603C60"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2BED537F"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--发行的权益性证券的公允价值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4AA8F618" w14:textId="77777777" w:rsidR="00A46BF1" w:rsidRDefault="00A46BF1" w:rsidP="00A46BF1">
            <w:pPr>
              <w:spacing w:line="240" w:lineRule="exact"/>
              <w:jc w:val="right"/>
              <w:rPr>
                <w:rFonts w:ascii="宋体" w:eastAsia="宋体" w:hAnsi="宋体" w:cs="宋体"/>
                <w:sz w:val="18"/>
                <w:szCs w:val="18"/>
              </w:rPr>
            </w:pPr>
          </w:p>
        </w:tc>
      </w:tr>
      <w:tr w:rsidR="00095F6F" w14:paraId="25C72F86"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762EEB7"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--或有对价的公允价值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396CC563" w14:textId="77777777" w:rsidR="00A46BF1" w:rsidRDefault="00A46BF1" w:rsidP="00A46BF1">
            <w:pPr>
              <w:spacing w:line="240" w:lineRule="exact"/>
              <w:jc w:val="right"/>
              <w:rPr>
                <w:rFonts w:ascii="宋体" w:eastAsia="宋体" w:hAnsi="宋体" w:cs="宋体"/>
                <w:sz w:val="18"/>
                <w:szCs w:val="18"/>
              </w:rPr>
            </w:pPr>
          </w:p>
        </w:tc>
      </w:tr>
      <w:tr w:rsidR="00095F6F" w14:paraId="1CD932A9"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DB30006"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--购买日之前持有的股权于购买日的公允价值</w:t>
            </w:r>
          </w:p>
        </w:tc>
        <w:tc>
          <w:tcPr>
            <w:tcW w:w="4820" w:type="dxa"/>
            <w:tcBorders>
              <w:top w:val="single" w:sz="2" w:space="0" w:color="auto"/>
              <w:left w:val="single" w:sz="2" w:space="0" w:color="auto"/>
              <w:bottom w:val="single" w:sz="2" w:space="0" w:color="auto"/>
              <w:right w:val="single" w:sz="2" w:space="0" w:color="auto"/>
            </w:tcBorders>
            <w:vAlign w:val="center"/>
          </w:tcPr>
          <w:p w14:paraId="0714E1BE" w14:textId="77777777" w:rsidR="00A46BF1" w:rsidRDefault="00A46BF1" w:rsidP="00A46BF1">
            <w:pPr>
              <w:spacing w:line="240" w:lineRule="exact"/>
              <w:jc w:val="right"/>
              <w:rPr>
                <w:rFonts w:ascii="宋体" w:eastAsia="宋体" w:hAnsi="宋体" w:cs="宋体"/>
                <w:sz w:val="18"/>
                <w:szCs w:val="18"/>
              </w:rPr>
            </w:pPr>
            <w:r>
              <w:rPr>
                <w:rFonts w:ascii="宋体" w:eastAsia="宋体" w:hAnsi="宋体" w:cs="宋体"/>
                <w:sz w:val="18"/>
                <w:szCs w:val="18"/>
              </w:rPr>
              <w:t>111,064.26</w:t>
            </w:r>
          </w:p>
        </w:tc>
      </w:tr>
      <w:tr w:rsidR="00095F6F" w14:paraId="6E99270C"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B670477"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--其他</w:t>
            </w:r>
          </w:p>
        </w:tc>
        <w:tc>
          <w:tcPr>
            <w:tcW w:w="4820" w:type="dxa"/>
            <w:tcBorders>
              <w:top w:val="single" w:sz="2" w:space="0" w:color="auto"/>
              <w:left w:val="single" w:sz="2" w:space="0" w:color="auto"/>
              <w:bottom w:val="single" w:sz="2" w:space="0" w:color="auto"/>
              <w:right w:val="single" w:sz="2" w:space="0" w:color="auto"/>
            </w:tcBorders>
            <w:vAlign w:val="center"/>
          </w:tcPr>
          <w:p w14:paraId="6A2348D5" w14:textId="77777777" w:rsidR="00A46BF1" w:rsidRDefault="00A46BF1" w:rsidP="00A46BF1">
            <w:pPr>
              <w:spacing w:line="240" w:lineRule="exact"/>
              <w:jc w:val="right"/>
              <w:rPr>
                <w:rFonts w:ascii="宋体" w:eastAsia="宋体" w:hAnsi="宋体" w:cs="宋体"/>
                <w:sz w:val="18"/>
                <w:szCs w:val="18"/>
              </w:rPr>
            </w:pPr>
          </w:p>
        </w:tc>
      </w:tr>
      <w:tr w:rsidR="00095F6F" w14:paraId="214592F6"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B60B8C6"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合并成本合计</w:t>
            </w:r>
          </w:p>
        </w:tc>
        <w:tc>
          <w:tcPr>
            <w:tcW w:w="4820" w:type="dxa"/>
            <w:tcBorders>
              <w:top w:val="single" w:sz="2" w:space="0" w:color="auto"/>
              <w:left w:val="single" w:sz="2" w:space="0" w:color="auto"/>
              <w:bottom w:val="single" w:sz="2" w:space="0" w:color="auto"/>
              <w:right w:val="single" w:sz="2" w:space="0" w:color="auto"/>
            </w:tcBorders>
            <w:vAlign w:val="center"/>
          </w:tcPr>
          <w:p w14:paraId="089D4B0A" w14:textId="77777777" w:rsidR="00A46BF1" w:rsidRDefault="00A46BF1" w:rsidP="00A46BF1">
            <w:pPr>
              <w:spacing w:line="240" w:lineRule="exact"/>
              <w:jc w:val="right"/>
              <w:rPr>
                <w:rFonts w:ascii="宋体" w:eastAsia="宋体" w:hAnsi="宋体" w:cs="宋体"/>
                <w:sz w:val="18"/>
                <w:szCs w:val="18"/>
              </w:rPr>
            </w:pPr>
            <w:r>
              <w:rPr>
                <w:rFonts w:ascii="宋体" w:eastAsia="宋体" w:hAnsi="宋体" w:cs="宋体"/>
                <w:sz w:val="18"/>
                <w:szCs w:val="18"/>
              </w:rPr>
              <w:t>111,064.26</w:t>
            </w:r>
          </w:p>
        </w:tc>
      </w:tr>
      <w:tr w:rsidR="00095F6F" w14:paraId="4742053A"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5D534E2"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减：取得的可辨认净资产公允价值份额</w:t>
            </w:r>
          </w:p>
        </w:tc>
        <w:tc>
          <w:tcPr>
            <w:tcW w:w="4820" w:type="dxa"/>
            <w:tcBorders>
              <w:top w:val="single" w:sz="2" w:space="0" w:color="auto"/>
              <w:left w:val="single" w:sz="2" w:space="0" w:color="auto"/>
              <w:bottom w:val="single" w:sz="2" w:space="0" w:color="auto"/>
              <w:right w:val="single" w:sz="2" w:space="0" w:color="auto"/>
            </w:tcBorders>
            <w:vAlign w:val="center"/>
          </w:tcPr>
          <w:p w14:paraId="3F5AA5C2" w14:textId="77777777" w:rsidR="00A46BF1" w:rsidRDefault="00A46BF1" w:rsidP="00A46BF1">
            <w:pPr>
              <w:spacing w:line="240" w:lineRule="exact"/>
              <w:jc w:val="right"/>
              <w:rPr>
                <w:rFonts w:ascii="宋体" w:eastAsia="宋体" w:hAnsi="宋体" w:cs="宋体"/>
                <w:sz w:val="18"/>
                <w:szCs w:val="18"/>
              </w:rPr>
            </w:pPr>
          </w:p>
        </w:tc>
      </w:tr>
      <w:tr w:rsidR="00095F6F" w14:paraId="12479153"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4F119C5"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商誉/合并成本小于取得的可辨认净资产公允价值份额的金额</w:t>
            </w:r>
          </w:p>
        </w:tc>
        <w:tc>
          <w:tcPr>
            <w:tcW w:w="4820" w:type="dxa"/>
            <w:tcBorders>
              <w:top w:val="single" w:sz="2" w:space="0" w:color="auto"/>
              <w:left w:val="single" w:sz="2" w:space="0" w:color="auto"/>
              <w:bottom w:val="single" w:sz="2" w:space="0" w:color="auto"/>
              <w:right w:val="single" w:sz="2" w:space="0" w:color="auto"/>
            </w:tcBorders>
            <w:vAlign w:val="center"/>
          </w:tcPr>
          <w:p w14:paraId="607699DE" w14:textId="77777777" w:rsidR="00A46BF1" w:rsidRDefault="00A46BF1" w:rsidP="00A46BF1">
            <w:pPr>
              <w:spacing w:line="240" w:lineRule="exact"/>
              <w:jc w:val="right"/>
              <w:rPr>
                <w:rFonts w:ascii="宋体" w:eastAsia="宋体" w:hAnsi="宋体" w:cs="宋体"/>
                <w:sz w:val="18"/>
                <w:szCs w:val="18"/>
              </w:rPr>
            </w:pPr>
          </w:p>
        </w:tc>
      </w:tr>
    </w:tbl>
    <w:p w14:paraId="49E86BB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合并成本公允价值的确定方法：</w:t>
      </w:r>
    </w:p>
    <w:p w14:paraId="7479D0E7"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以被购买方于购买日可辨认净资产为基础确认合并成本公允价值。</w:t>
      </w:r>
    </w:p>
    <w:p w14:paraId="0050244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或有对价及其变动的说明</w:t>
      </w:r>
    </w:p>
    <w:p w14:paraId="1D8D9DE1" w14:textId="1324AACD" w:rsidR="00A46BF1" w:rsidRPr="00D813D3" w:rsidRDefault="00095F6F" w:rsidP="00D813D3">
      <w:pPr>
        <w:spacing w:before="100" w:after="100" w:line="240" w:lineRule="exact"/>
        <w:rPr>
          <w:rFonts w:ascii="宋体" w:eastAsia="宋体" w:hAnsi="宋体" w:cs="宋体"/>
          <w:sz w:val="18"/>
          <w:szCs w:val="18"/>
        </w:rPr>
      </w:pPr>
      <w:r>
        <w:rPr>
          <w:rFonts w:ascii="宋体" w:eastAsia="宋体" w:hAnsi="宋体" w:cs="宋体" w:hint="eastAsia"/>
          <w:sz w:val="18"/>
          <w:szCs w:val="18"/>
        </w:rPr>
        <w:t>不适用</w:t>
      </w:r>
    </w:p>
    <w:p w14:paraId="5CEE768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大额商誉形成的主要原因：</w:t>
      </w:r>
    </w:p>
    <w:p w14:paraId="43465E08" w14:textId="3C95BE21" w:rsidR="00A46BF1" w:rsidRPr="00D813D3" w:rsidRDefault="00095F6F" w:rsidP="00D813D3">
      <w:pPr>
        <w:spacing w:before="100" w:after="100" w:line="240" w:lineRule="exact"/>
        <w:rPr>
          <w:rFonts w:ascii="宋体" w:eastAsia="宋体" w:hAnsi="宋体" w:cs="宋体"/>
          <w:sz w:val="18"/>
          <w:szCs w:val="18"/>
        </w:rPr>
      </w:pPr>
      <w:r>
        <w:rPr>
          <w:rFonts w:ascii="宋体" w:eastAsia="宋体" w:hAnsi="宋体" w:cs="宋体" w:hint="eastAsia"/>
          <w:sz w:val="18"/>
          <w:szCs w:val="18"/>
        </w:rPr>
        <w:t>不适用</w:t>
      </w:r>
    </w:p>
    <w:p w14:paraId="7D9220D5"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642BA8D3" w14:textId="77777777" w:rsidR="00D813D3" w:rsidRPr="00D813D3" w:rsidRDefault="00D813D3" w:rsidP="00D813D3">
      <w:pPr>
        <w:spacing w:before="100" w:after="100" w:line="240" w:lineRule="exact"/>
        <w:rPr>
          <w:rFonts w:ascii="宋体" w:eastAsia="宋体" w:hAnsi="宋体" w:cs="宋体"/>
          <w:sz w:val="18"/>
          <w:szCs w:val="18"/>
        </w:rPr>
      </w:pPr>
      <w:r w:rsidRPr="00D813D3">
        <w:rPr>
          <w:rFonts w:ascii="宋体" w:eastAsia="宋体" w:hAnsi="宋体" w:cs="宋体" w:hint="eastAsia"/>
          <w:sz w:val="18"/>
          <w:szCs w:val="18"/>
        </w:rPr>
        <w:t>无</w:t>
      </w:r>
    </w:p>
    <w:p w14:paraId="00D98C0D"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（3） 被购买方于购买日可辨认资产、负债</w:t>
      </w:r>
    </w:p>
    <w:p w14:paraId="34DE70B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FFE07E9" w14:textId="77777777" w:rsidTr="00A46BF1">
        <w:trPr>
          <w:trHeight w:val="240"/>
        </w:trPr>
        <w:tc>
          <w:tcPr>
            <w:tcW w:w="321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497EE55" w14:textId="77777777" w:rsidR="00A46BF1" w:rsidRPr="00440464" w:rsidRDefault="00A46BF1" w:rsidP="00440464">
            <w:pPr>
              <w:spacing w:line="360" w:lineRule="auto"/>
              <w:rPr>
                <w:rFonts w:ascii="Times New Roman" w:hAnsi="Times New Roman" w:cs="Times New Roman"/>
                <w:sz w:val="18"/>
                <w:szCs w:val="18"/>
              </w:rPr>
            </w:pPr>
          </w:p>
        </w:tc>
        <w:tc>
          <w:tcPr>
            <w:tcW w:w="6426" w:type="dxa"/>
            <w:gridSpan w:val="2"/>
            <w:tcBorders>
              <w:top w:val="single" w:sz="2" w:space="0" w:color="auto"/>
              <w:left w:val="single" w:sz="2" w:space="0" w:color="auto"/>
              <w:bottom w:val="single" w:sz="2" w:space="0" w:color="auto"/>
              <w:right w:val="single" w:sz="2" w:space="0" w:color="auto"/>
            </w:tcBorders>
            <w:vAlign w:val="center"/>
          </w:tcPr>
          <w:p w14:paraId="639F18E4" w14:textId="77777777" w:rsidR="00A46BF1" w:rsidRPr="00440464" w:rsidRDefault="00A46BF1" w:rsidP="00440464">
            <w:pPr>
              <w:spacing w:line="360" w:lineRule="auto"/>
              <w:jc w:val="center"/>
              <w:rPr>
                <w:rFonts w:ascii="Times New Roman" w:eastAsia="宋体" w:hAnsi="Times New Roman" w:cs="Times New Roman"/>
                <w:sz w:val="18"/>
                <w:szCs w:val="18"/>
              </w:rPr>
            </w:pPr>
            <w:r w:rsidRPr="00440464">
              <w:rPr>
                <w:rFonts w:ascii="Times New Roman" w:eastAsia="宋体" w:hAnsi="Times New Roman" w:cs="Times New Roman"/>
                <w:sz w:val="18"/>
                <w:szCs w:val="18"/>
              </w:rPr>
              <w:t>长沙甜蜜医联网络科技有限公司</w:t>
            </w:r>
          </w:p>
        </w:tc>
      </w:tr>
      <w:tr w:rsidR="00095F6F" w14:paraId="607BAFE8" w14:textId="77777777" w:rsidTr="00A46BF1">
        <w:trPr>
          <w:trHeight w:val="240"/>
        </w:trPr>
        <w:tc>
          <w:tcPr>
            <w:tcW w:w="321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F1228A5" w14:textId="77777777" w:rsidR="00A46BF1" w:rsidRPr="00440464" w:rsidRDefault="00A46BF1" w:rsidP="00440464">
            <w:pPr>
              <w:spacing w:line="360" w:lineRule="auto"/>
              <w:rPr>
                <w:rFonts w:ascii="Times New Roman"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ADEF33" w14:textId="77777777" w:rsidR="00A46BF1" w:rsidRPr="00440464" w:rsidRDefault="00A46BF1" w:rsidP="00440464">
            <w:pPr>
              <w:spacing w:before="40" w:after="40" w:line="360" w:lineRule="auto"/>
              <w:jc w:val="center"/>
              <w:rPr>
                <w:rFonts w:ascii="Times New Roman" w:eastAsia="宋体" w:hAnsi="Times New Roman" w:cs="Times New Roman"/>
                <w:sz w:val="18"/>
                <w:szCs w:val="18"/>
              </w:rPr>
            </w:pPr>
            <w:r w:rsidRPr="00440464">
              <w:rPr>
                <w:rFonts w:ascii="Times New Roman" w:eastAsia="宋体" w:hAnsi="Times New Roman" w:cs="Times New Roman"/>
                <w:sz w:val="18"/>
                <w:szCs w:val="18"/>
              </w:rPr>
              <w:t>购买日公允价值</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9BE4648" w14:textId="77777777" w:rsidR="00A46BF1" w:rsidRPr="00440464" w:rsidRDefault="00A46BF1" w:rsidP="00440464">
            <w:pPr>
              <w:spacing w:before="40" w:after="40" w:line="360" w:lineRule="auto"/>
              <w:jc w:val="center"/>
              <w:rPr>
                <w:rFonts w:ascii="Times New Roman" w:eastAsia="宋体" w:hAnsi="Times New Roman" w:cs="Times New Roman"/>
                <w:sz w:val="18"/>
                <w:szCs w:val="18"/>
              </w:rPr>
            </w:pPr>
            <w:r w:rsidRPr="00440464">
              <w:rPr>
                <w:rFonts w:ascii="Times New Roman" w:eastAsia="宋体" w:hAnsi="Times New Roman" w:cs="Times New Roman"/>
                <w:sz w:val="18"/>
                <w:szCs w:val="18"/>
              </w:rPr>
              <w:t>购买日账面价值</w:t>
            </w:r>
          </w:p>
        </w:tc>
      </w:tr>
      <w:tr w:rsidR="00095F6F" w14:paraId="2F1E641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C19DDC"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资产：</w:t>
            </w:r>
          </w:p>
        </w:tc>
        <w:tc>
          <w:tcPr>
            <w:tcW w:w="3213" w:type="dxa"/>
            <w:tcBorders>
              <w:top w:val="single" w:sz="2" w:space="0" w:color="auto"/>
              <w:left w:val="single" w:sz="2" w:space="0" w:color="auto"/>
              <w:bottom w:val="single" w:sz="2" w:space="0" w:color="auto"/>
              <w:right w:val="single" w:sz="2" w:space="0" w:color="auto"/>
            </w:tcBorders>
            <w:vAlign w:val="center"/>
          </w:tcPr>
          <w:p w14:paraId="16D1E46E"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123,070.89</w:t>
            </w:r>
          </w:p>
        </w:tc>
        <w:tc>
          <w:tcPr>
            <w:tcW w:w="3213" w:type="dxa"/>
            <w:tcBorders>
              <w:top w:val="single" w:sz="2" w:space="0" w:color="auto"/>
              <w:left w:val="single" w:sz="2" w:space="0" w:color="auto"/>
              <w:bottom w:val="single" w:sz="2" w:space="0" w:color="auto"/>
              <w:right w:val="single" w:sz="2" w:space="0" w:color="auto"/>
            </w:tcBorders>
            <w:vAlign w:val="center"/>
          </w:tcPr>
          <w:p w14:paraId="0D350BD5"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123,070.89</w:t>
            </w:r>
          </w:p>
        </w:tc>
      </w:tr>
      <w:tr w:rsidR="00095F6F" w14:paraId="3E47190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75C4391"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货币资金</w:t>
            </w:r>
          </w:p>
        </w:tc>
        <w:tc>
          <w:tcPr>
            <w:tcW w:w="3213" w:type="dxa"/>
            <w:tcBorders>
              <w:top w:val="single" w:sz="2" w:space="0" w:color="auto"/>
              <w:left w:val="single" w:sz="2" w:space="0" w:color="auto"/>
              <w:bottom w:val="single" w:sz="2" w:space="0" w:color="auto"/>
              <w:right w:val="single" w:sz="2" w:space="0" w:color="auto"/>
            </w:tcBorders>
            <w:vAlign w:val="center"/>
          </w:tcPr>
          <w:p w14:paraId="0998E380"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495C6676"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657FEFC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0F6F7B"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应收款项</w:t>
            </w:r>
          </w:p>
        </w:tc>
        <w:tc>
          <w:tcPr>
            <w:tcW w:w="3213" w:type="dxa"/>
            <w:tcBorders>
              <w:top w:val="single" w:sz="2" w:space="0" w:color="auto"/>
              <w:left w:val="single" w:sz="2" w:space="0" w:color="auto"/>
              <w:bottom w:val="single" w:sz="2" w:space="0" w:color="auto"/>
              <w:right w:val="single" w:sz="2" w:space="0" w:color="auto"/>
            </w:tcBorders>
            <w:vAlign w:val="center"/>
          </w:tcPr>
          <w:p w14:paraId="4A34AD0E"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1DFD72A"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6285190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2EAE8E"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存货</w:t>
            </w:r>
          </w:p>
        </w:tc>
        <w:tc>
          <w:tcPr>
            <w:tcW w:w="3213" w:type="dxa"/>
            <w:tcBorders>
              <w:top w:val="single" w:sz="2" w:space="0" w:color="auto"/>
              <w:left w:val="single" w:sz="2" w:space="0" w:color="auto"/>
              <w:bottom w:val="single" w:sz="2" w:space="0" w:color="auto"/>
              <w:right w:val="single" w:sz="2" w:space="0" w:color="auto"/>
            </w:tcBorders>
            <w:vAlign w:val="center"/>
          </w:tcPr>
          <w:p w14:paraId="35EB5DA5"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174578A"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41D4CC3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CA8198E"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固定资产</w:t>
            </w:r>
          </w:p>
        </w:tc>
        <w:tc>
          <w:tcPr>
            <w:tcW w:w="3213" w:type="dxa"/>
            <w:tcBorders>
              <w:top w:val="single" w:sz="2" w:space="0" w:color="auto"/>
              <w:left w:val="single" w:sz="2" w:space="0" w:color="auto"/>
              <w:bottom w:val="single" w:sz="2" w:space="0" w:color="auto"/>
              <w:right w:val="single" w:sz="2" w:space="0" w:color="auto"/>
            </w:tcBorders>
            <w:vAlign w:val="center"/>
          </w:tcPr>
          <w:p w14:paraId="57E95D50"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2EADA24D"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078A08B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5AE0BF"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无形资产</w:t>
            </w:r>
          </w:p>
        </w:tc>
        <w:tc>
          <w:tcPr>
            <w:tcW w:w="3213" w:type="dxa"/>
            <w:tcBorders>
              <w:top w:val="single" w:sz="2" w:space="0" w:color="auto"/>
              <w:left w:val="single" w:sz="2" w:space="0" w:color="auto"/>
              <w:bottom w:val="single" w:sz="2" w:space="0" w:color="auto"/>
              <w:right w:val="single" w:sz="2" w:space="0" w:color="auto"/>
            </w:tcBorders>
            <w:vAlign w:val="center"/>
          </w:tcPr>
          <w:p w14:paraId="6D6CD999"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03E4B719"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410D32F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8342918"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负债：</w:t>
            </w:r>
          </w:p>
        </w:tc>
        <w:tc>
          <w:tcPr>
            <w:tcW w:w="3213" w:type="dxa"/>
            <w:tcBorders>
              <w:top w:val="single" w:sz="2" w:space="0" w:color="auto"/>
              <w:left w:val="single" w:sz="2" w:space="0" w:color="auto"/>
              <w:bottom w:val="single" w:sz="2" w:space="0" w:color="auto"/>
              <w:right w:val="single" w:sz="2" w:space="0" w:color="auto"/>
            </w:tcBorders>
            <w:vAlign w:val="center"/>
          </w:tcPr>
          <w:p w14:paraId="24193DC9"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12,006.63</w:t>
            </w:r>
          </w:p>
        </w:tc>
        <w:tc>
          <w:tcPr>
            <w:tcW w:w="3213" w:type="dxa"/>
            <w:tcBorders>
              <w:top w:val="single" w:sz="2" w:space="0" w:color="auto"/>
              <w:left w:val="single" w:sz="2" w:space="0" w:color="auto"/>
              <w:bottom w:val="single" w:sz="2" w:space="0" w:color="auto"/>
              <w:right w:val="single" w:sz="2" w:space="0" w:color="auto"/>
            </w:tcBorders>
            <w:vAlign w:val="center"/>
          </w:tcPr>
          <w:p w14:paraId="7764071B"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12,006.63</w:t>
            </w:r>
          </w:p>
        </w:tc>
      </w:tr>
      <w:tr w:rsidR="00095F6F" w14:paraId="5DBF230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764E3B7"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借款</w:t>
            </w:r>
          </w:p>
        </w:tc>
        <w:tc>
          <w:tcPr>
            <w:tcW w:w="3213" w:type="dxa"/>
            <w:tcBorders>
              <w:top w:val="single" w:sz="2" w:space="0" w:color="auto"/>
              <w:left w:val="single" w:sz="2" w:space="0" w:color="auto"/>
              <w:bottom w:val="single" w:sz="2" w:space="0" w:color="auto"/>
              <w:right w:val="single" w:sz="2" w:space="0" w:color="auto"/>
            </w:tcBorders>
            <w:vAlign w:val="center"/>
          </w:tcPr>
          <w:p w14:paraId="0480CC62"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5C2D8A77"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7C45BCD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A19F6F4"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应付款项</w:t>
            </w:r>
          </w:p>
        </w:tc>
        <w:tc>
          <w:tcPr>
            <w:tcW w:w="3213" w:type="dxa"/>
            <w:tcBorders>
              <w:top w:val="single" w:sz="2" w:space="0" w:color="auto"/>
              <w:left w:val="single" w:sz="2" w:space="0" w:color="auto"/>
              <w:bottom w:val="single" w:sz="2" w:space="0" w:color="auto"/>
              <w:right w:val="single" w:sz="2" w:space="0" w:color="auto"/>
            </w:tcBorders>
            <w:vAlign w:val="center"/>
          </w:tcPr>
          <w:p w14:paraId="5123F5CF"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6B99FA1C"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7BF3B20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3AC8D4"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递延所得税负债</w:t>
            </w:r>
          </w:p>
        </w:tc>
        <w:tc>
          <w:tcPr>
            <w:tcW w:w="3213" w:type="dxa"/>
            <w:tcBorders>
              <w:top w:val="single" w:sz="2" w:space="0" w:color="auto"/>
              <w:left w:val="single" w:sz="2" w:space="0" w:color="auto"/>
              <w:bottom w:val="single" w:sz="2" w:space="0" w:color="auto"/>
              <w:right w:val="single" w:sz="2" w:space="0" w:color="auto"/>
            </w:tcBorders>
            <w:vAlign w:val="center"/>
          </w:tcPr>
          <w:p w14:paraId="4337321A"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3789D50E"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39AB8CC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6D4A75"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净资产</w:t>
            </w:r>
          </w:p>
        </w:tc>
        <w:tc>
          <w:tcPr>
            <w:tcW w:w="3213" w:type="dxa"/>
            <w:tcBorders>
              <w:top w:val="single" w:sz="2" w:space="0" w:color="auto"/>
              <w:left w:val="single" w:sz="2" w:space="0" w:color="auto"/>
              <w:bottom w:val="single" w:sz="2" w:space="0" w:color="auto"/>
              <w:right w:val="single" w:sz="2" w:space="0" w:color="auto"/>
            </w:tcBorders>
            <w:vAlign w:val="center"/>
          </w:tcPr>
          <w:p w14:paraId="28CE1690"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111,064.26</w:t>
            </w:r>
          </w:p>
        </w:tc>
        <w:tc>
          <w:tcPr>
            <w:tcW w:w="3213" w:type="dxa"/>
            <w:tcBorders>
              <w:top w:val="single" w:sz="2" w:space="0" w:color="auto"/>
              <w:left w:val="single" w:sz="2" w:space="0" w:color="auto"/>
              <w:bottom w:val="single" w:sz="2" w:space="0" w:color="auto"/>
              <w:right w:val="single" w:sz="2" w:space="0" w:color="auto"/>
            </w:tcBorders>
            <w:vAlign w:val="center"/>
          </w:tcPr>
          <w:p w14:paraId="054464AA"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111,064.26</w:t>
            </w:r>
          </w:p>
        </w:tc>
      </w:tr>
      <w:tr w:rsidR="00095F6F" w14:paraId="5604497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CFDE56D"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减：少数股东权益</w:t>
            </w:r>
          </w:p>
        </w:tc>
        <w:tc>
          <w:tcPr>
            <w:tcW w:w="3213" w:type="dxa"/>
            <w:tcBorders>
              <w:top w:val="single" w:sz="2" w:space="0" w:color="auto"/>
              <w:left w:val="single" w:sz="2" w:space="0" w:color="auto"/>
              <w:bottom w:val="single" w:sz="2" w:space="0" w:color="auto"/>
              <w:right w:val="single" w:sz="2" w:space="0" w:color="auto"/>
            </w:tcBorders>
            <w:vAlign w:val="center"/>
          </w:tcPr>
          <w:p w14:paraId="13577C17" w14:textId="77777777" w:rsidR="00A46BF1" w:rsidRPr="00440464" w:rsidRDefault="00A46BF1" w:rsidP="00440464">
            <w:pPr>
              <w:spacing w:line="360" w:lineRule="auto"/>
              <w:jc w:val="right"/>
              <w:rPr>
                <w:rFonts w:ascii="Times New Roman" w:eastAsia="宋体" w:hAnsi="Times New Roman" w:cs="Times New Roman"/>
                <w:sz w:val="18"/>
                <w:szCs w:val="18"/>
              </w:rPr>
            </w:pPr>
          </w:p>
        </w:tc>
        <w:tc>
          <w:tcPr>
            <w:tcW w:w="3213" w:type="dxa"/>
            <w:tcBorders>
              <w:top w:val="single" w:sz="2" w:space="0" w:color="auto"/>
              <w:left w:val="single" w:sz="2" w:space="0" w:color="auto"/>
              <w:bottom w:val="single" w:sz="2" w:space="0" w:color="auto"/>
              <w:right w:val="single" w:sz="2" w:space="0" w:color="auto"/>
            </w:tcBorders>
            <w:vAlign w:val="center"/>
          </w:tcPr>
          <w:p w14:paraId="1E402AA4" w14:textId="77777777" w:rsidR="00A46BF1" w:rsidRPr="00440464" w:rsidRDefault="00A46BF1" w:rsidP="00440464">
            <w:pPr>
              <w:spacing w:line="360" w:lineRule="auto"/>
              <w:jc w:val="right"/>
              <w:rPr>
                <w:rFonts w:ascii="Times New Roman" w:eastAsia="宋体" w:hAnsi="Times New Roman" w:cs="Times New Roman"/>
                <w:sz w:val="18"/>
                <w:szCs w:val="18"/>
              </w:rPr>
            </w:pPr>
          </w:p>
        </w:tc>
      </w:tr>
      <w:tr w:rsidR="00095F6F" w14:paraId="128CFDF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789389B" w14:textId="77777777" w:rsidR="00A46BF1" w:rsidRPr="00440464" w:rsidRDefault="00A46BF1" w:rsidP="00440464">
            <w:pPr>
              <w:spacing w:before="40" w:after="40" w:line="360" w:lineRule="auto"/>
              <w:rPr>
                <w:rFonts w:ascii="Times New Roman" w:eastAsia="宋体" w:hAnsi="Times New Roman" w:cs="Times New Roman"/>
                <w:sz w:val="18"/>
                <w:szCs w:val="18"/>
              </w:rPr>
            </w:pPr>
            <w:r w:rsidRPr="00440464">
              <w:rPr>
                <w:rFonts w:ascii="Times New Roman" w:eastAsia="宋体" w:hAnsi="Times New Roman" w:cs="Times New Roman"/>
                <w:sz w:val="18"/>
                <w:szCs w:val="18"/>
              </w:rPr>
              <w:t>取得的净资产</w:t>
            </w:r>
          </w:p>
        </w:tc>
        <w:tc>
          <w:tcPr>
            <w:tcW w:w="3213" w:type="dxa"/>
            <w:tcBorders>
              <w:top w:val="single" w:sz="2" w:space="0" w:color="auto"/>
              <w:left w:val="single" w:sz="2" w:space="0" w:color="auto"/>
              <w:bottom w:val="single" w:sz="2" w:space="0" w:color="auto"/>
              <w:right w:val="single" w:sz="2" w:space="0" w:color="auto"/>
            </w:tcBorders>
            <w:vAlign w:val="center"/>
          </w:tcPr>
          <w:p w14:paraId="664D894B"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111,064.26</w:t>
            </w:r>
          </w:p>
        </w:tc>
        <w:tc>
          <w:tcPr>
            <w:tcW w:w="3213" w:type="dxa"/>
            <w:tcBorders>
              <w:top w:val="single" w:sz="2" w:space="0" w:color="auto"/>
              <w:left w:val="single" w:sz="2" w:space="0" w:color="auto"/>
              <w:bottom w:val="single" w:sz="2" w:space="0" w:color="auto"/>
              <w:right w:val="single" w:sz="2" w:space="0" w:color="auto"/>
            </w:tcBorders>
            <w:vAlign w:val="center"/>
          </w:tcPr>
          <w:p w14:paraId="4798ED2B" w14:textId="77777777" w:rsidR="00A46BF1" w:rsidRPr="00440464" w:rsidRDefault="00A46BF1" w:rsidP="00440464">
            <w:pPr>
              <w:spacing w:line="360" w:lineRule="auto"/>
              <w:jc w:val="right"/>
              <w:rPr>
                <w:rFonts w:ascii="Times New Roman" w:eastAsia="宋体" w:hAnsi="Times New Roman" w:cs="Times New Roman"/>
                <w:sz w:val="18"/>
                <w:szCs w:val="18"/>
              </w:rPr>
            </w:pPr>
            <w:r w:rsidRPr="00440464">
              <w:rPr>
                <w:rFonts w:ascii="Times New Roman" w:eastAsia="宋体" w:hAnsi="Times New Roman" w:cs="Times New Roman"/>
                <w:sz w:val="18"/>
                <w:szCs w:val="18"/>
              </w:rPr>
              <w:t>111,064.26</w:t>
            </w:r>
          </w:p>
        </w:tc>
      </w:tr>
    </w:tbl>
    <w:p w14:paraId="4075E738" w14:textId="011DA4DD"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可辨认资产、负债公允价值的确定方法：</w:t>
      </w:r>
    </w:p>
    <w:p w14:paraId="694A6576" w14:textId="3C357D74" w:rsidR="00095F6F" w:rsidRPr="00095F6F" w:rsidRDefault="00095F6F" w:rsidP="00A46BF1">
      <w:pPr>
        <w:spacing w:before="100" w:after="100" w:line="240" w:lineRule="exact"/>
        <w:rPr>
          <w:rFonts w:ascii="宋体" w:eastAsia="宋体" w:hAnsi="宋体" w:cs="宋体"/>
          <w:sz w:val="18"/>
          <w:szCs w:val="18"/>
        </w:rPr>
      </w:pPr>
      <w:r>
        <w:rPr>
          <w:rFonts w:ascii="宋体" w:eastAsia="宋体" w:hAnsi="宋体" w:cs="宋体" w:hint="eastAsia"/>
          <w:sz w:val="18"/>
          <w:szCs w:val="18"/>
        </w:rPr>
        <w:t>不适用</w:t>
      </w:r>
    </w:p>
    <w:p w14:paraId="19ACA6CB" w14:textId="79937CA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企业合并中承担的被购买方的或有负债：</w:t>
      </w:r>
    </w:p>
    <w:p w14:paraId="2A2218DE" w14:textId="4C1F927C" w:rsidR="00095F6F" w:rsidRDefault="00095F6F" w:rsidP="00A46BF1">
      <w:pPr>
        <w:spacing w:before="100" w:after="100" w:line="240" w:lineRule="exact"/>
        <w:rPr>
          <w:rFonts w:ascii="宋体" w:eastAsia="宋体" w:hAnsi="宋体" w:cs="宋体"/>
          <w:sz w:val="18"/>
          <w:szCs w:val="18"/>
        </w:rPr>
      </w:pPr>
      <w:r>
        <w:rPr>
          <w:rFonts w:ascii="宋体" w:eastAsia="宋体" w:hAnsi="宋体" w:cs="宋体" w:hint="eastAsia"/>
          <w:sz w:val="18"/>
          <w:szCs w:val="18"/>
        </w:rPr>
        <w:t>不适用</w:t>
      </w:r>
    </w:p>
    <w:p w14:paraId="5A7B899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05B07AD" w14:textId="77777777" w:rsidR="00A46BF1" w:rsidRPr="00440464" w:rsidRDefault="00A46BF1" w:rsidP="00440464">
      <w:pPr>
        <w:spacing w:before="100" w:after="100" w:line="240" w:lineRule="exact"/>
        <w:rPr>
          <w:rFonts w:ascii="宋体" w:eastAsia="宋体" w:hAnsi="宋体" w:cs="宋体"/>
          <w:sz w:val="18"/>
          <w:szCs w:val="18"/>
        </w:rPr>
      </w:pPr>
      <w:r w:rsidRPr="00440464">
        <w:rPr>
          <w:rFonts w:ascii="宋体" w:eastAsia="宋体" w:hAnsi="宋体" w:cs="宋体" w:hint="eastAsia"/>
          <w:sz w:val="18"/>
          <w:szCs w:val="18"/>
        </w:rPr>
        <w:t>无</w:t>
      </w:r>
    </w:p>
    <w:p w14:paraId="4F42682A" w14:textId="77777777" w:rsidR="00A46BF1" w:rsidRDefault="00A46BF1" w:rsidP="00A46BF1">
      <w:pPr>
        <w:pStyle w:val="3"/>
        <w:spacing w:line="280" w:lineRule="exact"/>
        <w:jc w:val="left"/>
        <w:rPr>
          <w:rFonts w:ascii="宋体" w:hAnsi="宋体" w:cs="宋体"/>
          <w:b/>
          <w:bCs/>
        </w:rPr>
      </w:pPr>
      <w:r>
        <w:rPr>
          <w:rFonts w:ascii="宋体" w:hAnsi="宋体" w:cs="宋体"/>
          <w:b/>
          <w:bCs/>
        </w:rPr>
        <w:t>2、同一控制下企业合并</w:t>
      </w:r>
    </w:p>
    <w:p w14:paraId="41A2F7D0"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本期发生的同一控制下企业合并</w:t>
      </w:r>
    </w:p>
    <w:p w14:paraId="2409B743"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095F6F" w14:paraId="3251DA33" w14:textId="77777777" w:rsidTr="00A46BF1">
        <w:trPr>
          <w:trHeight w:val="240"/>
        </w:trPr>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3C850D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被合并方名称</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56D3321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企业合并中取得的权益比例</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F353CD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构成同一控制下企业合并的依据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386D30C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合并日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4FF4D5D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合并日的确定依据</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7EBCCF54"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合并当期期初至合并日被合并方的收入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2C6AC02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合并当期期初至合并日被合并方的净利润</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16597A2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比较期间被合并方的收入</w:t>
            </w:r>
          </w:p>
        </w:tc>
        <w:tc>
          <w:tcPr>
            <w:tcW w:w="1071" w:type="dxa"/>
            <w:tcBorders>
              <w:top w:val="single" w:sz="2" w:space="0" w:color="auto"/>
              <w:left w:val="single" w:sz="2" w:space="0" w:color="auto"/>
              <w:bottom w:val="single" w:sz="2" w:space="0" w:color="auto"/>
              <w:right w:val="single" w:sz="2" w:space="0" w:color="auto"/>
            </w:tcBorders>
            <w:shd w:val="clear" w:color="auto" w:fill="D3D3D3"/>
            <w:vAlign w:val="center"/>
          </w:tcPr>
          <w:p w14:paraId="01AFB43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比较期间被合并方的净利润</w:t>
            </w:r>
          </w:p>
        </w:tc>
      </w:tr>
    </w:tbl>
    <w:p w14:paraId="608CA6E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EEB4EB3" w14:textId="45A81A15" w:rsidR="00A46BF1" w:rsidRPr="00440464" w:rsidRDefault="00A46BF1" w:rsidP="00440464">
      <w:pPr>
        <w:pStyle w:val="a9"/>
        <w:spacing w:before="0" w:beforeAutospacing="0" w:after="0" w:afterAutospacing="0" w:line="360" w:lineRule="auto"/>
        <w:ind w:firstLineChars="200" w:firstLine="420"/>
        <w:jc w:val="both"/>
        <w:rPr>
          <w:rFonts w:ascii="Times New Roman" w:hAnsi="Times New Roman" w:cs="Times New Roman"/>
          <w:bCs/>
          <w:sz w:val="21"/>
          <w:szCs w:val="21"/>
        </w:rPr>
      </w:pPr>
      <w:r w:rsidRPr="00440464">
        <w:rPr>
          <w:rFonts w:ascii="Times New Roman" w:hAnsi="Times New Roman" w:cs="Times New Roman" w:hint="eastAsia"/>
          <w:sz w:val="21"/>
          <w:szCs w:val="21"/>
        </w:rPr>
        <w:t>本集团本年未发生同一控制下企业合并</w:t>
      </w:r>
      <w:r w:rsidRPr="00440464">
        <w:rPr>
          <w:rFonts w:ascii="Times New Roman" w:hAnsi="Times New Roman" w:cs="Times New Roman" w:hint="eastAsia"/>
          <w:bCs/>
          <w:sz w:val="21"/>
          <w:szCs w:val="21"/>
        </w:rPr>
        <w:t>。</w:t>
      </w:r>
    </w:p>
    <w:p w14:paraId="7436E2A5" w14:textId="77777777" w:rsidR="00A46BF1" w:rsidRDefault="00A46BF1" w:rsidP="00A46BF1">
      <w:pPr>
        <w:pStyle w:val="3"/>
        <w:spacing w:line="280" w:lineRule="exact"/>
        <w:jc w:val="left"/>
        <w:rPr>
          <w:rFonts w:ascii="宋体" w:hAnsi="宋体" w:cs="宋体"/>
          <w:b/>
          <w:bCs/>
        </w:rPr>
      </w:pPr>
      <w:r>
        <w:rPr>
          <w:rFonts w:ascii="宋体" w:hAnsi="宋体" w:cs="宋体"/>
          <w:b/>
          <w:bCs/>
        </w:rPr>
        <w:t>3、反向购买</w:t>
      </w:r>
    </w:p>
    <w:p w14:paraId="78A1C7E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交易基本信息、交易构成反向购买的依据、上市公司保留的资产、负债是否构成业务及其依据、合并成本的确定、按照权益性交易处理时调整权益的金额及其计算：</w:t>
      </w:r>
    </w:p>
    <w:p w14:paraId="717FD631" w14:textId="77777777" w:rsidR="00A46BF1" w:rsidRPr="00440464" w:rsidRDefault="00A46BF1" w:rsidP="00440464">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440464">
        <w:rPr>
          <w:rFonts w:ascii="Times New Roman" w:hAnsi="Times New Roman" w:cs="Times New Roman" w:hint="eastAsia"/>
          <w:bCs/>
          <w:sz w:val="21"/>
          <w:szCs w:val="21"/>
        </w:rPr>
        <w:t>本集团本年未发生反向收购。</w:t>
      </w:r>
    </w:p>
    <w:p w14:paraId="504902D2" w14:textId="77777777" w:rsidR="00A46BF1" w:rsidRDefault="00A46BF1" w:rsidP="00A46BF1">
      <w:pPr>
        <w:pStyle w:val="3"/>
        <w:spacing w:line="280" w:lineRule="exact"/>
        <w:jc w:val="left"/>
        <w:rPr>
          <w:rFonts w:ascii="宋体" w:hAnsi="宋体" w:cs="宋体"/>
          <w:b/>
          <w:bCs/>
        </w:rPr>
      </w:pPr>
      <w:r>
        <w:rPr>
          <w:rFonts w:ascii="宋体" w:hAnsi="宋体" w:cs="宋体"/>
          <w:b/>
          <w:bCs/>
        </w:rPr>
        <w:t>4、处置子公司</w:t>
      </w:r>
    </w:p>
    <w:p w14:paraId="1BFE173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本期是否存在丧失子公司控制权的交易或事项</w:t>
      </w:r>
    </w:p>
    <w:p w14:paraId="7DCD8C84"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5194A79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是否存在通过多次交易分步处置对子公司投资且在本期丧失控制权的情形</w:t>
      </w:r>
    </w:p>
    <w:p w14:paraId="4EEE9E5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□是 </w:t>
      </w:r>
      <w:r>
        <w:rPr>
          <w:rFonts w:ascii="宋体" w:eastAsia="宋体" w:hAnsi="宋体" w:cs="宋体"/>
          <w:sz w:val="18"/>
          <w:szCs w:val="18"/>
        </w:rPr>
        <w:sym w:font="Wingdings 2" w:char="F052"/>
      </w:r>
      <w:r>
        <w:rPr>
          <w:rFonts w:ascii="宋体" w:eastAsia="宋体" w:hAnsi="宋体" w:cs="宋体"/>
          <w:sz w:val="18"/>
          <w:szCs w:val="18"/>
        </w:rPr>
        <w:t>否</w:t>
      </w:r>
    </w:p>
    <w:p w14:paraId="333CDF1F" w14:textId="77777777" w:rsidR="00A46BF1" w:rsidRDefault="00A46BF1" w:rsidP="00A46BF1">
      <w:pPr>
        <w:pStyle w:val="3"/>
        <w:spacing w:line="280" w:lineRule="exact"/>
        <w:jc w:val="left"/>
        <w:rPr>
          <w:rFonts w:ascii="宋体" w:hAnsi="宋体" w:cs="宋体"/>
          <w:b/>
          <w:bCs/>
        </w:rPr>
      </w:pPr>
      <w:r>
        <w:rPr>
          <w:rFonts w:ascii="宋体" w:hAnsi="宋体" w:cs="宋体"/>
          <w:b/>
          <w:bCs/>
        </w:rPr>
        <w:t>5、其他原因的合并范围变动</w:t>
      </w:r>
    </w:p>
    <w:p w14:paraId="4148839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说明其他原因导致的合并范围变动（如，新设子公司、清算子公司等）及其相关情况：</w:t>
      </w:r>
    </w:p>
    <w:p w14:paraId="15ED6E89"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年度新增</w:t>
      </w:r>
      <w:r w:rsidRPr="00952ED6">
        <w:rPr>
          <w:rFonts w:ascii="Times New Roman" w:hAnsi="Times New Roman" w:cs="Times New Roman"/>
          <w:sz w:val="21"/>
          <w:szCs w:val="21"/>
        </w:rPr>
        <w:t>4</w:t>
      </w:r>
      <w:r w:rsidRPr="00952ED6">
        <w:rPr>
          <w:rFonts w:ascii="Times New Roman" w:hAnsi="Times New Roman" w:cs="Times New Roman" w:hint="eastAsia"/>
          <w:sz w:val="21"/>
          <w:szCs w:val="21"/>
        </w:rPr>
        <w:t>家子公司：</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11</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20</w:t>
      </w:r>
      <w:r w:rsidRPr="00952ED6">
        <w:rPr>
          <w:rFonts w:ascii="Times New Roman" w:hAnsi="Times New Roman" w:cs="Times New Roman" w:hint="eastAsia"/>
          <w:sz w:val="21"/>
          <w:szCs w:val="21"/>
        </w:rPr>
        <w:t>日注册成立</w:t>
      </w:r>
      <w:r w:rsidRPr="00952ED6">
        <w:rPr>
          <w:rFonts w:ascii="Times New Roman" w:hAnsi="Times New Roman" w:cs="Times New Roman"/>
          <w:sz w:val="21"/>
          <w:szCs w:val="21"/>
        </w:rPr>
        <w:t>Sinocare Meditech Netherlands B.V.</w:t>
      </w:r>
      <w:r w:rsidRPr="00952ED6">
        <w:rPr>
          <w:rFonts w:ascii="Times New Roman" w:hAnsi="Times New Roman" w:cs="Times New Roman" w:hint="eastAsia"/>
          <w:sz w:val="21"/>
          <w:szCs w:val="21"/>
        </w:rPr>
        <w:t>，</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8</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7</w:t>
      </w:r>
      <w:r w:rsidRPr="00952ED6">
        <w:rPr>
          <w:rFonts w:ascii="Times New Roman" w:hAnsi="Times New Roman" w:cs="Times New Roman" w:hint="eastAsia"/>
          <w:sz w:val="21"/>
          <w:szCs w:val="21"/>
        </w:rPr>
        <w:t>日注册成立</w:t>
      </w:r>
      <w:r w:rsidRPr="00952ED6">
        <w:rPr>
          <w:rFonts w:ascii="Times New Roman" w:hAnsi="Times New Roman" w:cs="Times New Roman"/>
          <w:sz w:val="21"/>
          <w:szCs w:val="21"/>
        </w:rPr>
        <w:t>SINOCARE MALAYSIA SDN. BHD.</w:t>
      </w:r>
      <w:r w:rsidRPr="00952ED6">
        <w:rPr>
          <w:rFonts w:ascii="Times New Roman" w:hAnsi="Times New Roman" w:cs="Times New Roman" w:hint="eastAsia"/>
          <w:sz w:val="21"/>
          <w:szCs w:val="21"/>
        </w:rPr>
        <w:t>，</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10</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28</w:t>
      </w:r>
      <w:r w:rsidRPr="00952ED6">
        <w:rPr>
          <w:rFonts w:ascii="Times New Roman" w:hAnsi="Times New Roman" w:cs="Times New Roman" w:hint="eastAsia"/>
          <w:sz w:val="21"/>
          <w:szCs w:val="21"/>
        </w:rPr>
        <w:t>日注册成立</w:t>
      </w:r>
      <w:r w:rsidRPr="00952ED6">
        <w:rPr>
          <w:rFonts w:ascii="Times New Roman" w:hAnsi="Times New Roman" w:cs="Times New Roman"/>
          <w:sz w:val="21"/>
          <w:szCs w:val="21"/>
        </w:rPr>
        <w:t>SINOCARE MEDITECH SINGAPORE PTE. LTD.</w:t>
      </w:r>
      <w:r w:rsidRPr="00952ED6">
        <w:rPr>
          <w:rFonts w:ascii="Times New Roman" w:hAnsi="Times New Roman" w:cs="Times New Roman" w:hint="eastAsia"/>
          <w:sz w:val="21"/>
          <w:szCs w:val="21"/>
        </w:rPr>
        <w:t>，</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2</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7</w:t>
      </w:r>
      <w:r w:rsidRPr="00952ED6">
        <w:rPr>
          <w:rFonts w:ascii="Times New Roman" w:hAnsi="Times New Roman" w:cs="Times New Roman" w:hint="eastAsia"/>
          <w:sz w:val="21"/>
          <w:szCs w:val="21"/>
        </w:rPr>
        <w:t>日注册成立上海绮风电子商务有限公司。</w:t>
      </w:r>
    </w:p>
    <w:p w14:paraId="50B62B1A"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年度注销</w:t>
      </w:r>
      <w:r w:rsidRPr="00952ED6">
        <w:rPr>
          <w:rFonts w:ascii="Times New Roman" w:hAnsi="Times New Roman" w:cs="Times New Roman" w:hint="eastAsia"/>
          <w:sz w:val="21"/>
          <w:szCs w:val="21"/>
        </w:rPr>
        <w:t>4</w:t>
      </w:r>
      <w:r w:rsidRPr="00952ED6">
        <w:rPr>
          <w:rFonts w:ascii="Times New Roman" w:hAnsi="Times New Roman" w:cs="Times New Roman" w:hint="eastAsia"/>
          <w:sz w:val="21"/>
          <w:szCs w:val="21"/>
        </w:rPr>
        <w:t>家子公司：三伟达健康管理有限公司，三诺健康（香港）有限公司，</w:t>
      </w:r>
      <w:r w:rsidRPr="00952ED6">
        <w:rPr>
          <w:rFonts w:ascii="Times New Roman" w:hAnsi="Times New Roman" w:cs="Times New Roman"/>
          <w:sz w:val="21"/>
          <w:szCs w:val="21"/>
        </w:rPr>
        <w:t>Sinocare Medical (Singapore) Pte.Ltd</w:t>
      </w:r>
      <w:r w:rsidRPr="00952ED6">
        <w:rPr>
          <w:rFonts w:ascii="Times New Roman" w:hAnsi="Times New Roman" w:cs="Times New Roman"/>
          <w:sz w:val="21"/>
          <w:szCs w:val="21"/>
        </w:rPr>
        <w:t>，</w:t>
      </w:r>
      <w:r w:rsidRPr="00952ED6">
        <w:rPr>
          <w:rFonts w:ascii="Times New Roman" w:hAnsi="Times New Roman" w:cs="Times New Roman"/>
          <w:sz w:val="21"/>
          <w:szCs w:val="21"/>
        </w:rPr>
        <w:t>Trividia Health Australia Pty Ltd.</w:t>
      </w:r>
      <w:r w:rsidRPr="00952ED6">
        <w:rPr>
          <w:rFonts w:ascii="Times New Roman" w:hAnsi="Times New Roman" w:cs="Times New Roman" w:hint="eastAsia"/>
          <w:sz w:val="21"/>
          <w:szCs w:val="21"/>
        </w:rPr>
        <w:t>。</w:t>
      </w:r>
    </w:p>
    <w:p w14:paraId="460B507B" w14:textId="77777777" w:rsidR="00A23B23" w:rsidRDefault="00A23B23" w:rsidP="00A46BF1">
      <w:pPr>
        <w:pStyle w:val="2"/>
        <w:spacing w:before="300" w:after="300" w:line="320" w:lineRule="exact"/>
        <w:rPr>
          <w:rFonts w:ascii="宋体" w:eastAsia="宋体" w:hAnsi="宋体" w:cs="宋体"/>
          <w:b/>
          <w:bCs/>
          <w:sz w:val="24"/>
          <w:szCs w:val="24"/>
        </w:rPr>
        <w:sectPr w:rsidR="00A23B23">
          <w:pgSz w:w="11905" w:h="16840"/>
          <w:pgMar w:top="1440" w:right="1134" w:bottom="1440" w:left="1134" w:header="850" w:footer="992" w:gutter="0"/>
          <w:cols w:space="720"/>
          <w:docGrid w:type="linesAndChars" w:linePitch="312"/>
        </w:sectPr>
      </w:pPr>
    </w:p>
    <w:p w14:paraId="77A05A29" w14:textId="18851F3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十、在其他主体中的权益</w:t>
      </w:r>
    </w:p>
    <w:p w14:paraId="5DAFCF4E" w14:textId="77777777" w:rsidR="00A46BF1" w:rsidRDefault="00A46BF1" w:rsidP="00A46BF1">
      <w:pPr>
        <w:pStyle w:val="3"/>
        <w:spacing w:line="280" w:lineRule="exact"/>
        <w:jc w:val="left"/>
        <w:rPr>
          <w:rFonts w:ascii="宋体" w:hAnsi="宋体" w:cs="宋体"/>
          <w:b/>
          <w:bCs/>
        </w:rPr>
      </w:pPr>
      <w:r>
        <w:rPr>
          <w:rFonts w:ascii="宋体" w:hAnsi="宋体" w:cs="宋体"/>
          <w:b/>
          <w:bCs/>
        </w:rPr>
        <w:t>1、在子公司中的权益</w:t>
      </w:r>
    </w:p>
    <w:p w14:paraId="3CB0B947"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企业集团的构成</w:t>
      </w:r>
    </w:p>
    <w:p w14:paraId="62C0BFBE"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4A0" w:firstRow="1" w:lastRow="0" w:firstColumn="1" w:lastColumn="0" w:noHBand="0" w:noVBand="1"/>
      </w:tblPr>
      <w:tblGrid>
        <w:gridCol w:w="3998"/>
        <w:gridCol w:w="1418"/>
        <w:gridCol w:w="998"/>
        <w:gridCol w:w="1682"/>
        <w:gridCol w:w="1685"/>
        <w:gridCol w:w="1533"/>
        <w:gridCol w:w="852"/>
        <w:gridCol w:w="852"/>
        <w:gridCol w:w="998"/>
      </w:tblGrid>
      <w:tr w:rsidR="00095F6F" w14:paraId="0EE4C0F3" w14:textId="77777777" w:rsidTr="00827A49">
        <w:trPr>
          <w:trHeight w:val="240"/>
        </w:trPr>
        <w:tc>
          <w:tcPr>
            <w:tcW w:w="142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788CBE5"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子公司名称</w:t>
            </w:r>
          </w:p>
        </w:tc>
        <w:tc>
          <w:tcPr>
            <w:tcW w:w="50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602CAEF"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注册资本</w:t>
            </w:r>
          </w:p>
        </w:tc>
        <w:tc>
          <w:tcPr>
            <w:tcW w:w="356" w:type="pct"/>
            <w:vMerge w:val="restart"/>
            <w:tcBorders>
              <w:top w:val="single" w:sz="2" w:space="0" w:color="auto"/>
              <w:left w:val="single" w:sz="2" w:space="0" w:color="auto"/>
              <w:right w:val="single" w:sz="2" w:space="0" w:color="auto"/>
            </w:tcBorders>
            <w:shd w:val="clear" w:color="auto" w:fill="D3D3D3"/>
            <w:vAlign w:val="center"/>
          </w:tcPr>
          <w:p w14:paraId="2B6E9033" w14:textId="1E51642E"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币种</w:t>
            </w:r>
          </w:p>
        </w:tc>
        <w:tc>
          <w:tcPr>
            <w:tcW w:w="600"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4301C3F" w14:textId="7769A868"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主要经营地</w:t>
            </w:r>
          </w:p>
        </w:tc>
        <w:tc>
          <w:tcPr>
            <w:tcW w:w="601"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4B88C9B"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注册地</w:t>
            </w:r>
          </w:p>
        </w:tc>
        <w:tc>
          <w:tcPr>
            <w:tcW w:w="547"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6F6E97A"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业务性质</w:t>
            </w:r>
          </w:p>
        </w:tc>
        <w:tc>
          <w:tcPr>
            <w:tcW w:w="608"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967DEFC"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持股比例</w:t>
            </w:r>
          </w:p>
        </w:tc>
        <w:tc>
          <w:tcPr>
            <w:tcW w:w="35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0E25872"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取得方式</w:t>
            </w:r>
          </w:p>
        </w:tc>
      </w:tr>
      <w:tr w:rsidR="00095F6F" w14:paraId="1A847CF5" w14:textId="77777777" w:rsidTr="00827A49">
        <w:trPr>
          <w:trHeight w:val="240"/>
        </w:trPr>
        <w:tc>
          <w:tcPr>
            <w:tcW w:w="142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462C7E2" w14:textId="77777777" w:rsidR="00A23B23" w:rsidRPr="00B243EA" w:rsidRDefault="00A23B23" w:rsidP="00827A49">
            <w:pPr>
              <w:spacing w:line="360" w:lineRule="auto"/>
              <w:rPr>
                <w:rFonts w:ascii="Times New Roman" w:hAnsi="Times New Roman" w:cs="Times New Roman"/>
              </w:rPr>
            </w:pPr>
          </w:p>
        </w:tc>
        <w:tc>
          <w:tcPr>
            <w:tcW w:w="50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6C9AF901" w14:textId="77777777" w:rsidR="00A23B23" w:rsidRPr="00B243EA" w:rsidRDefault="00A23B23" w:rsidP="00827A49">
            <w:pPr>
              <w:spacing w:line="360" w:lineRule="auto"/>
              <w:rPr>
                <w:rFonts w:ascii="Times New Roman" w:hAnsi="Times New Roman" w:cs="Times New Roman"/>
              </w:rPr>
            </w:pPr>
          </w:p>
        </w:tc>
        <w:tc>
          <w:tcPr>
            <w:tcW w:w="356" w:type="pct"/>
            <w:vMerge/>
            <w:tcBorders>
              <w:left w:val="single" w:sz="2" w:space="0" w:color="auto"/>
              <w:bottom w:val="single" w:sz="2" w:space="0" w:color="auto"/>
              <w:right w:val="single" w:sz="2" w:space="0" w:color="auto"/>
            </w:tcBorders>
            <w:shd w:val="clear" w:color="auto" w:fill="D3D3D3"/>
            <w:vAlign w:val="center"/>
          </w:tcPr>
          <w:p w14:paraId="22BC67B9" w14:textId="77777777" w:rsidR="00A23B23" w:rsidRPr="00B243EA" w:rsidRDefault="00A23B23" w:rsidP="00827A49">
            <w:pPr>
              <w:spacing w:line="360" w:lineRule="auto"/>
              <w:jc w:val="center"/>
              <w:rPr>
                <w:rFonts w:ascii="Times New Roman" w:hAnsi="Times New Roman" w:cs="Times New Roman"/>
                <w:sz w:val="18"/>
                <w:szCs w:val="18"/>
              </w:rPr>
            </w:pPr>
          </w:p>
        </w:tc>
        <w:tc>
          <w:tcPr>
            <w:tcW w:w="60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104F9C65" w14:textId="4B9EB617" w:rsidR="00A23B23" w:rsidRPr="00B243EA" w:rsidRDefault="00A23B23" w:rsidP="00827A49">
            <w:pPr>
              <w:spacing w:line="360" w:lineRule="auto"/>
              <w:rPr>
                <w:rFonts w:ascii="Times New Roman" w:hAnsi="Times New Roman" w:cs="Times New Roman"/>
              </w:rPr>
            </w:pPr>
          </w:p>
        </w:tc>
        <w:tc>
          <w:tcPr>
            <w:tcW w:w="60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92F7A13" w14:textId="77777777" w:rsidR="00A23B23" w:rsidRPr="00B243EA" w:rsidRDefault="00A23B23" w:rsidP="00827A49">
            <w:pPr>
              <w:spacing w:line="360" w:lineRule="auto"/>
              <w:rPr>
                <w:rFonts w:ascii="Times New Roman" w:hAnsi="Times New Roman" w:cs="Times New Roman"/>
              </w:rPr>
            </w:pPr>
          </w:p>
        </w:tc>
        <w:tc>
          <w:tcPr>
            <w:tcW w:w="547"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D6B0B43" w14:textId="77777777" w:rsidR="00A23B23" w:rsidRPr="00B243EA" w:rsidRDefault="00A23B23" w:rsidP="00827A49">
            <w:pPr>
              <w:spacing w:line="360" w:lineRule="auto"/>
              <w:rPr>
                <w:rFonts w:ascii="Times New Roman" w:hAnsi="Times New Roman" w:cs="Times New Roman"/>
              </w:rPr>
            </w:pPr>
          </w:p>
        </w:tc>
        <w:tc>
          <w:tcPr>
            <w:tcW w:w="304" w:type="pct"/>
            <w:tcBorders>
              <w:top w:val="single" w:sz="2" w:space="0" w:color="auto"/>
              <w:left w:val="single" w:sz="2" w:space="0" w:color="auto"/>
              <w:bottom w:val="single" w:sz="2" w:space="0" w:color="auto"/>
              <w:right w:val="single" w:sz="2" w:space="0" w:color="auto"/>
            </w:tcBorders>
            <w:shd w:val="clear" w:color="auto" w:fill="D3D3D3"/>
            <w:vAlign w:val="center"/>
          </w:tcPr>
          <w:p w14:paraId="5E9BD371"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直接</w:t>
            </w:r>
          </w:p>
        </w:tc>
        <w:tc>
          <w:tcPr>
            <w:tcW w:w="304" w:type="pct"/>
            <w:tcBorders>
              <w:top w:val="single" w:sz="2" w:space="0" w:color="auto"/>
              <w:left w:val="single" w:sz="2" w:space="0" w:color="auto"/>
              <w:bottom w:val="single" w:sz="2" w:space="0" w:color="auto"/>
              <w:right w:val="single" w:sz="2" w:space="0" w:color="auto"/>
            </w:tcBorders>
            <w:shd w:val="clear" w:color="auto" w:fill="D3D3D3"/>
            <w:vAlign w:val="center"/>
          </w:tcPr>
          <w:p w14:paraId="1B0B888B" w14:textId="77777777" w:rsidR="00A23B23" w:rsidRPr="00B243EA" w:rsidRDefault="00A23B23" w:rsidP="00827A49">
            <w:pPr>
              <w:spacing w:before="40" w:after="40"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间接</w:t>
            </w:r>
          </w:p>
        </w:tc>
        <w:tc>
          <w:tcPr>
            <w:tcW w:w="35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48204F4" w14:textId="77777777" w:rsidR="00A23B23" w:rsidRPr="00B243EA" w:rsidRDefault="00A23B23" w:rsidP="00827A49">
            <w:pPr>
              <w:spacing w:line="360" w:lineRule="auto"/>
              <w:rPr>
                <w:rFonts w:ascii="Times New Roman" w:hAnsi="Times New Roman" w:cs="Times New Roman"/>
              </w:rPr>
            </w:pPr>
          </w:p>
        </w:tc>
      </w:tr>
      <w:tr w:rsidR="00095F6F" w14:paraId="7C22E785"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2CF9DC3"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深圳市三诺健康产业发展有限公司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21E42C3D" w14:textId="77777777" w:rsidR="00A23B23" w:rsidRPr="00B243EA" w:rsidRDefault="00A23B23"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200,000,000.00</w:t>
            </w:r>
          </w:p>
        </w:tc>
        <w:tc>
          <w:tcPr>
            <w:tcW w:w="356" w:type="pct"/>
            <w:tcBorders>
              <w:top w:val="single" w:sz="2" w:space="0" w:color="auto"/>
              <w:left w:val="single" w:sz="2" w:space="0" w:color="auto"/>
              <w:bottom w:val="single" w:sz="2" w:space="0" w:color="auto"/>
              <w:right w:val="single" w:sz="2" w:space="0" w:color="auto"/>
            </w:tcBorders>
            <w:vAlign w:val="center"/>
          </w:tcPr>
          <w:p w14:paraId="346531BE" w14:textId="0B525668" w:rsidR="00A23B23"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4981F74D" w14:textId="30E3F61B"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19F92855"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广东深圳</w:t>
            </w:r>
          </w:p>
        </w:tc>
        <w:tc>
          <w:tcPr>
            <w:tcW w:w="547" w:type="pct"/>
            <w:tcBorders>
              <w:top w:val="single" w:sz="2" w:space="0" w:color="auto"/>
              <w:left w:val="single" w:sz="2" w:space="0" w:color="auto"/>
              <w:bottom w:val="single" w:sz="2" w:space="0" w:color="auto"/>
              <w:right w:val="single" w:sz="2" w:space="0" w:color="auto"/>
            </w:tcBorders>
            <w:vAlign w:val="center"/>
          </w:tcPr>
          <w:p w14:paraId="068CF2D0"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产业投资与管理</w:t>
            </w:r>
          </w:p>
        </w:tc>
        <w:tc>
          <w:tcPr>
            <w:tcW w:w="304" w:type="pct"/>
            <w:tcBorders>
              <w:top w:val="single" w:sz="2" w:space="0" w:color="auto"/>
              <w:left w:val="single" w:sz="2" w:space="0" w:color="auto"/>
              <w:bottom w:val="single" w:sz="2" w:space="0" w:color="auto"/>
              <w:right w:val="single" w:sz="2" w:space="0" w:color="auto"/>
            </w:tcBorders>
            <w:vAlign w:val="center"/>
          </w:tcPr>
          <w:p w14:paraId="684BD64C" w14:textId="77777777" w:rsidR="00A23B23" w:rsidRPr="00B243EA" w:rsidRDefault="00A23B23"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04" w:type="pct"/>
            <w:tcBorders>
              <w:top w:val="single" w:sz="2" w:space="0" w:color="auto"/>
              <w:left w:val="single" w:sz="2" w:space="0" w:color="auto"/>
              <w:bottom w:val="single" w:sz="2" w:space="0" w:color="auto"/>
              <w:right w:val="single" w:sz="2" w:space="0" w:color="auto"/>
            </w:tcBorders>
            <w:vAlign w:val="center"/>
          </w:tcPr>
          <w:p w14:paraId="40691F6A" w14:textId="77777777" w:rsidR="00A23B23" w:rsidRPr="00B243EA" w:rsidRDefault="00A23B23"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1BE6FE60"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6B277A0C"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6F8B5E2C"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三诺生物（香港</w:t>
            </w:r>
            <w:r w:rsidRPr="00B243EA">
              <w:rPr>
                <w:rFonts w:ascii="Times New Roman" w:eastAsia="宋体" w:hAnsi="Times New Roman" w:cs="Times New Roman"/>
                <w:sz w:val="18"/>
                <w:szCs w:val="18"/>
              </w:rPr>
              <w:t>)</w:t>
            </w:r>
            <w:r w:rsidRPr="00B243EA">
              <w:rPr>
                <w:rFonts w:ascii="Times New Roman" w:eastAsia="宋体" w:hAnsi="Times New Roman" w:cs="Times New Roman"/>
                <w:sz w:val="18"/>
                <w:szCs w:val="18"/>
              </w:rPr>
              <w:t>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50A8ADB4" w14:textId="73CB53B4" w:rsidR="00A23B23" w:rsidRPr="00B243EA" w:rsidRDefault="00A23B23"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w:t>
            </w:r>
          </w:p>
        </w:tc>
        <w:tc>
          <w:tcPr>
            <w:tcW w:w="356" w:type="pct"/>
            <w:tcBorders>
              <w:top w:val="single" w:sz="2" w:space="0" w:color="auto"/>
              <w:left w:val="single" w:sz="2" w:space="0" w:color="auto"/>
              <w:bottom w:val="single" w:sz="2" w:space="0" w:color="auto"/>
              <w:right w:val="single" w:sz="2" w:space="0" w:color="auto"/>
            </w:tcBorders>
            <w:vAlign w:val="center"/>
          </w:tcPr>
          <w:p w14:paraId="7F655C56" w14:textId="4470B0FB" w:rsidR="00A23B23"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港币</w:t>
            </w:r>
          </w:p>
        </w:tc>
        <w:tc>
          <w:tcPr>
            <w:tcW w:w="600" w:type="pct"/>
            <w:tcBorders>
              <w:top w:val="single" w:sz="2" w:space="0" w:color="auto"/>
              <w:left w:val="single" w:sz="2" w:space="0" w:color="auto"/>
              <w:bottom w:val="single" w:sz="2" w:space="0" w:color="auto"/>
              <w:right w:val="single" w:sz="2" w:space="0" w:color="auto"/>
            </w:tcBorders>
            <w:vAlign w:val="center"/>
          </w:tcPr>
          <w:p w14:paraId="721CA5A2" w14:textId="293207E3"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中国香港</w:t>
            </w:r>
          </w:p>
        </w:tc>
        <w:tc>
          <w:tcPr>
            <w:tcW w:w="601" w:type="pct"/>
            <w:tcBorders>
              <w:top w:val="single" w:sz="2" w:space="0" w:color="auto"/>
              <w:left w:val="single" w:sz="2" w:space="0" w:color="auto"/>
              <w:bottom w:val="single" w:sz="2" w:space="0" w:color="auto"/>
              <w:right w:val="single" w:sz="2" w:space="0" w:color="auto"/>
            </w:tcBorders>
            <w:vAlign w:val="center"/>
          </w:tcPr>
          <w:p w14:paraId="500B307C"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中国香港</w:t>
            </w:r>
          </w:p>
        </w:tc>
        <w:tc>
          <w:tcPr>
            <w:tcW w:w="547" w:type="pct"/>
            <w:tcBorders>
              <w:top w:val="single" w:sz="2" w:space="0" w:color="auto"/>
              <w:left w:val="single" w:sz="2" w:space="0" w:color="auto"/>
              <w:bottom w:val="single" w:sz="2" w:space="0" w:color="auto"/>
              <w:right w:val="single" w:sz="2" w:space="0" w:color="auto"/>
            </w:tcBorders>
            <w:vAlign w:val="center"/>
          </w:tcPr>
          <w:p w14:paraId="584FEFF8"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医疗器械</w:t>
            </w:r>
          </w:p>
        </w:tc>
        <w:tc>
          <w:tcPr>
            <w:tcW w:w="304" w:type="pct"/>
            <w:tcBorders>
              <w:top w:val="single" w:sz="2" w:space="0" w:color="auto"/>
              <w:left w:val="single" w:sz="2" w:space="0" w:color="auto"/>
              <w:bottom w:val="single" w:sz="2" w:space="0" w:color="auto"/>
              <w:right w:val="single" w:sz="2" w:space="0" w:color="auto"/>
            </w:tcBorders>
            <w:vAlign w:val="center"/>
          </w:tcPr>
          <w:p w14:paraId="0DB5DEA7" w14:textId="77777777" w:rsidR="00A23B23" w:rsidRPr="00B243EA" w:rsidRDefault="00A23B23"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04" w:type="pct"/>
            <w:tcBorders>
              <w:top w:val="single" w:sz="2" w:space="0" w:color="auto"/>
              <w:left w:val="single" w:sz="2" w:space="0" w:color="auto"/>
              <w:bottom w:val="single" w:sz="2" w:space="0" w:color="auto"/>
              <w:right w:val="single" w:sz="2" w:space="0" w:color="auto"/>
            </w:tcBorders>
            <w:vAlign w:val="center"/>
          </w:tcPr>
          <w:p w14:paraId="152B732E" w14:textId="77777777" w:rsidR="00A23B23" w:rsidRPr="00B243EA" w:rsidRDefault="00A23B23"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3EEE5C44" w14:textId="77777777" w:rsidR="00A23B23" w:rsidRPr="00B243EA" w:rsidRDefault="00A23B23"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6E3D3318"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635997D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Bangladesh Limited</w:t>
            </w:r>
          </w:p>
        </w:tc>
        <w:tc>
          <w:tcPr>
            <w:tcW w:w="506" w:type="pct"/>
            <w:tcBorders>
              <w:top w:val="single" w:sz="2" w:space="0" w:color="auto"/>
              <w:left w:val="single" w:sz="2" w:space="0" w:color="auto"/>
              <w:bottom w:val="single" w:sz="2" w:space="0" w:color="auto"/>
              <w:right w:val="single" w:sz="2" w:space="0" w:color="auto"/>
            </w:tcBorders>
            <w:vAlign w:val="center"/>
          </w:tcPr>
          <w:p w14:paraId="7F225FA0" w14:textId="3A47D69D"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4,000,000.00</w:t>
            </w:r>
          </w:p>
        </w:tc>
        <w:tc>
          <w:tcPr>
            <w:tcW w:w="356" w:type="pct"/>
            <w:tcBorders>
              <w:top w:val="single" w:sz="2" w:space="0" w:color="auto"/>
              <w:left w:val="single" w:sz="2" w:space="0" w:color="auto"/>
              <w:bottom w:val="single" w:sz="2" w:space="0" w:color="auto"/>
              <w:right w:val="single" w:sz="2" w:space="0" w:color="auto"/>
            </w:tcBorders>
            <w:vAlign w:val="center"/>
          </w:tcPr>
          <w:p w14:paraId="4CCF421B" w14:textId="7A39F935" w:rsidR="00274311" w:rsidRPr="00B243EA" w:rsidRDefault="00B243EA"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孟加拉塔卡</w:t>
            </w:r>
          </w:p>
        </w:tc>
        <w:tc>
          <w:tcPr>
            <w:tcW w:w="600" w:type="pct"/>
            <w:tcBorders>
              <w:top w:val="single" w:sz="2" w:space="0" w:color="auto"/>
              <w:left w:val="single" w:sz="2" w:space="0" w:color="auto"/>
              <w:bottom w:val="single" w:sz="2" w:space="0" w:color="auto"/>
              <w:right w:val="single" w:sz="2" w:space="0" w:color="auto"/>
            </w:tcBorders>
            <w:vAlign w:val="center"/>
          </w:tcPr>
          <w:p w14:paraId="64BB857E" w14:textId="48B84AEF" w:rsidR="00274311" w:rsidRPr="00B243EA" w:rsidRDefault="003437DB" w:rsidP="00827A49">
            <w:pPr>
              <w:spacing w:line="360" w:lineRule="auto"/>
              <w:rPr>
                <w:rFonts w:ascii="Times New Roman" w:eastAsia="宋体" w:hAnsi="Times New Roman" w:cs="Times New Roman"/>
                <w:sz w:val="18"/>
                <w:szCs w:val="18"/>
              </w:rPr>
            </w:pPr>
            <w:r>
              <w:rPr>
                <w:rFonts w:ascii="Times New Roman" w:eastAsia="宋体" w:hAnsi="Times New Roman" w:cs="Times New Roman" w:hint="eastAsia"/>
                <w:sz w:val="18"/>
                <w:szCs w:val="18"/>
              </w:rPr>
              <w:t>达卡</w:t>
            </w:r>
          </w:p>
        </w:tc>
        <w:tc>
          <w:tcPr>
            <w:tcW w:w="601" w:type="pct"/>
            <w:tcBorders>
              <w:top w:val="single" w:sz="2" w:space="0" w:color="auto"/>
              <w:left w:val="single" w:sz="2" w:space="0" w:color="auto"/>
              <w:bottom w:val="single" w:sz="2" w:space="0" w:color="auto"/>
              <w:right w:val="single" w:sz="2" w:space="0" w:color="auto"/>
            </w:tcBorders>
            <w:vAlign w:val="center"/>
          </w:tcPr>
          <w:p w14:paraId="08FD2318" w14:textId="6CF4AA93" w:rsidR="00274311" w:rsidRPr="00B243EA" w:rsidRDefault="003437DB" w:rsidP="00827A49">
            <w:pPr>
              <w:spacing w:line="360" w:lineRule="auto"/>
              <w:rPr>
                <w:rFonts w:ascii="Times New Roman" w:eastAsia="宋体" w:hAnsi="Times New Roman" w:cs="Times New Roman"/>
                <w:sz w:val="18"/>
                <w:szCs w:val="18"/>
              </w:rPr>
            </w:pPr>
            <w:r>
              <w:rPr>
                <w:rFonts w:ascii="Times New Roman" w:eastAsia="宋体" w:hAnsi="Times New Roman" w:cs="Times New Roman" w:hint="eastAsia"/>
                <w:sz w:val="18"/>
                <w:szCs w:val="18"/>
              </w:rPr>
              <w:t>达卡</w:t>
            </w:r>
          </w:p>
        </w:tc>
        <w:tc>
          <w:tcPr>
            <w:tcW w:w="547" w:type="pct"/>
            <w:tcBorders>
              <w:top w:val="single" w:sz="2" w:space="0" w:color="auto"/>
              <w:left w:val="single" w:sz="2" w:space="0" w:color="auto"/>
              <w:bottom w:val="single" w:sz="2" w:space="0" w:color="auto"/>
              <w:right w:val="single" w:sz="2" w:space="0" w:color="auto"/>
            </w:tcBorders>
            <w:vAlign w:val="center"/>
          </w:tcPr>
          <w:p w14:paraId="72380DE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投资及贸易</w:t>
            </w:r>
          </w:p>
        </w:tc>
        <w:tc>
          <w:tcPr>
            <w:tcW w:w="304" w:type="pct"/>
            <w:tcBorders>
              <w:top w:val="single" w:sz="2" w:space="0" w:color="auto"/>
              <w:left w:val="single" w:sz="2" w:space="0" w:color="auto"/>
              <w:bottom w:val="single" w:sz="2" w:space="0" w:color="auto"/>
              <w:right w:val="single" w:sz="2" w:space="0" w:color="auto"/>
            </w:tcBorders>
            <w:vAlign w:val="center"/>
          </w:tcPr>
          <w:p w14:paraId="6B7A7457"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53CE1F92"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259E088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2FE31969"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E3DBC0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(Thailand) Company Limited</w:t>
            </w:r>
          </w:p>
        </w:tc>
        <w:tc>
          <w:tcPr>
            <w:tcW w:w="506" w:type="pct"/>
            <w:tcBorders>
              <w:top w:val="single" w:sz="2" w:space="0" w:color="auto"/>
              <w:left w:val="single" w:sz="2" w:space="0" w:color="auto"/>
              <w:bottom w:val="single" w:sz="2" w:space="0" w:color="auto"/>
              <w:right w:val="single" w:sz="2" w:space="0" w:color="auto"/>
            </w:tcBorders>
            <w:vAlign w:val="center"/>
          </w:tcPr>
          <w:p w14:paraId="216275CA" w14:textId="6A955308"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5,000,000.00</w:t>
            </w:r>
          </w:p>
        </w:tc>
        <w:tc>
          <w:tcPr>
            <w:tcW w:w="356" w:type="pct"/>
            <w:tcBorders>
              <w:top w:val="single" w:sz="2" w:space="0" w:color="auto"/>
              <w:left w:val="single" w:sz="2" w:space="0" w:color="auto"/>
              <w:bottom w:val="single" w:sz="2" w:space="0" w:color="auto"/>
              <w:right w:val="single" w:sz="2" w:space="0" w:color="auto"/>
            </w:tcBorders>
            <w:vAlign w:val="center"/>
          </w:tcPr>
          <w:p w14:paraId="03D5684E" w14:textId="32FF9103" w:rsidR="00274311" w:rsidRPr="00B243EA" w:rsidRDefault="00B243EA"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泰铢</w:t>
            </w:r>
          </w:p>
        </w:tc>
        <w:tc>
          <w:tcPr>
            <w:tcW w:w="600" w:type="pct"/>
            <w:tcBorders>
              <w:top w:val="single" w:sz="2" w:space="0" w:color="auto"/>
              <w:left w:val="single" w:sz="2" w:space="0" w:color="auto"/>
              <w:bottom w:val="single" w:sz="2" w:space="0" w:color="auto"/>
              <w:right w:val="single" w:sz="2" w:space="0" w:color="auto"/>
            </w:tcBorders>
            <w:vAlign w:val="center"/>
          </w:tcPr>
          <w:p w14:paraId="594D90EF" w14:textId="4627E6FE"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泰国曼谷</w:t>
            </w:r>
          </w:p>
        </w:tc>
        <w:tc>
          <w:tcPr>
            <w:tcW w:w="601" w:type="pct"/>
            <w:tcBorders>
              <w:top w:val="single" w:sz="2" w:space="0" w:color="auto"/>
              <w:left w:val="single" w:sz="2" w:space="0" w:color="auto"/>
              <w:bottom w:val="single" w:sz="2" w:space="0" w:color="auto"/>
              <w:right w:val="single" w:sz="2" w:space="0" w:color="auto"/>
            </w:tcBorders>
            <w:vAlign w:val="center"/>
          </w:tcPr>
          <w:p w14:paraId="0FBE16C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泰国曼谷</w:t>
            </w:r>
          </w:p>
        </w:tc>
        <w:tc>
          <w:tcPr>
            <w:tcW w:w="547" w:type="pct"/>
            <w:tcBorders>
              <w:top w:val="single" w:sz="2" w:space="0" w:color="auto"/>
              <w:left w:val="single" w:sz="2" w:space="0" w:color="auto"/>
              <w:bottom w:val="single" w:sz="2" w:space="0" w:color="auto"/>
              <w:right w:val="single" w:sz="2" w:space="0" w:color="auto"/>
            </w:tcBorders>
            <w:vAlign w:val="center"/>
          </w:tcPr>
          <w:p w14:paraId="0A7C0CF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投资及贸易</w:t>
            </w:r>
          </w:p>
        </w:tc>
        <w:tc>
          <w:tcPr>
            <w:tcW w:w="304" w:type="pct"/>
            <w:tcBorders>
              <w:top w:val="single" w:sz="2" w:space="0" w:color="auto"/>
              <w:left w:val="single" w:sz="2" w:space="0" w:color="auto"/>
              <w:bottom w:val="single" w:sz="2" w:space="0" w:color="auto"/>
              <w:right w:val="single" w:sz="2" w:space="0" w:color="auto"/>
            </w:tcBorders>
            <w:vAlign w:val="center"/>
          </w:tcPr>
          <w:p w14:paraId="5408FB59"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779F6CF4"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3A23D4D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1CB8743F"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EC7DC8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PT. Sinocare Healthcare Indonesia</w:t>
            </w:r>
          </w:p>
        </w:tc>
        <w:tc>
          <w:tcPr>
            <w:tcW w:w="506" w:type="pct"/>
            <w:tcBorders>
              <w:top w:val="single" w:sz="2" w:space="0" w:color="auto"/>
              <w:left w:val="single" w:sz="2" w:space="0" w:color="auto"/>
              <w:bottom w:val="single" w:sz="2" w:space="0" w:color="auto"/>
              <w:right w:val="single" w:sz="2" w:space="0" w:color="auto"/>
            </w:tcBorders>
            <w:vAlign w:val="center"/>
          </w:tcPr>
          <w:p w14:paraId="2463554C" w14:textId="09164BB5"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15,000,000.00</w:t>
            </w:r>
          </w:p>
        </w:tc>
        <w:tc>
          <w:tcPr>
            <w:tcW w:w="356" w:type="pct"/>
            <w:tcBorders>
              <w:top w:val="single" w:sz="2" w:space="0" w:color="auto"/>
              <w:left w:val="single" w:sz="2" w:space="0" w:color="auto"/>
              <w:bottom w:val="single" w:sz="2" w:space="0" w:color="auto"/>
              <w:right w:val="single" w:sz="2" w:space="0" w:color="auto"/>
            </w:tcBorders>
            <w:vAlign w:val="center"/>
          </w:tcPr>
          <w:p w14:paraId="3CB6FDB7" w14:textId="110F08A7" w:rsidR="00274311" w:rsidRPr="00B243EA" w:rsidRDefault="00B243EA"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印尼盾</w:t>
            </w:r>
          </w:p>
        </w:tc>
        <w:tc>
          <w:tcPr>
            <w:tcW w:w="600" w:type="pct"/>
            <w:tcBorders>
              <w:top w:val="single" w:sz="2" w:space="0" w:color="auto"/>
              <w:left w:val="single" w:sz="2" w:space="0" w:color="auto"/>
              <w:bottom w:val="single" w:sz="2" w:space="0" w:color="auto"/>
              <w:right w:val="single" w:sz="2" w:space="0" w:color="auto"/>
            </w:tcBorders>
            <w:vAlign w:val="center"/>
          </w:tcPr>
          <w:p w14:paraId="11CC17EF" w14:textId="2D0F3D7F"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印度尼西亚雅加达</w:t>
            </w:r>
          </w:p>
        </w:tc>
        <w:tc>
          <w:tcPr>
            <w:tcW w:w="601" w:type="pct"/>
            <w:tcBorders>
              <w:top w:val="single" w:sz="2" w:space="0" w:color="auto"/>
              <w:left w:val="single" w:sz="2" w:space="0" w:color="auto"/>
              <w:bottom w:val="single" w:sz="2" w:space="0" w:color="auto"/>
              <w:right w:val="single" w:sz="2" w:space="0" w:color="auto"/>
            </w:tcBorders>
            <w:vAlign w:val="center"/>
          </w:tcPr>
          <w:p w14:paraId="5DBEDEB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印度尼西亚雅加达</w:t>
            </w:r>
          </w:p>
        </w:tc>
        <w:tc>
          <w:tcPr>
            <w:tcW w:w="547" w:type="pct"/>
            <w:tcBorders>
              <w:top w:val="single" w:sz="2" w:space="0" w:color="auto"/>
              <w:left w:val="single" w:sz="2" w:space="0" w:color="auto"/>
              <w:bottom w:val="single" w:sz="2" w:space="0" w:color="auto"/>
              <w:right w:val="single" w:sz="2" w:space="0" w:color="auto"/>
            </w:tcBorders>
            <w:vAlign w:val="center"/>
          </w:tcPr>
          <w:p w14:paraId="7E725FA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投资及贸易</w:t>
            </w:r>
          </w:p>
        </w:tc>
        <w:tc>
          <w:tcPr>
            <w:tcW w:w="304" w:type="pct"/>
            <w:tcBorders>
              <w:top w:val="single" w:sz="2" w:space="0" w:color="auto"/>
              <w:left w:val="single" w:sz="2" w:space="0" w:color="auto"/>
              <w:bottom w:val="single" w:sz="2" w:space="0" w:color="auto"/>
              <w:right w:val="single" w:sz="2" w:space="0" w:color="auto"/>
            </w:tcBorders>
            <w:vAlign w:val="center"/>
          </w:tcPr>
          <w:p w14:paraId="04CD6A36"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57703E8E"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081CBC7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04EEA731"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28CB5B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Vietnam L&amp;M Company Limited</w:t>
            </w:r>
          </w:p>
        </w:tc>
        <w:tc>
          <w:tcPr>
            <w:tcW w:w="506" w:type="pct"/>
            <w:tcBorders>
              <w:top w:val="single" w:sz="2" w:space="0" w:color="auto"/>
              <w:left w:val="single" w:sz="2" w:space="0" w:color="auto"/>
              <w:bottom w:val="single" w:sz="2" w:space="0" w:color="auto"/>
              <w:right w:val="single" w:sz="2" w:space="0" w:color="auto"/>
            </w:tcBorders>
            <w:vAlign w:val="center"/>
          </w:tcPr>
          <w:p w14:paraId="1B24B1B6" w14:textId="7255CA22"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1,500,000,000.00</w:t>
            </w:r>
          </w:p>
        </w:tc>
        <w:tc>
          <w:tcPr>
            <w:tcW w:w="356" w:type="pct"/>
            <w:tcBorders>
              <w:top w:val="single" w:sz="2" w:space="0" w:color="auto"/>
              <w:left w:val="single" w:sz="2" w:space="0" w:color="auto"/>
              <w:bottom w:val="single" w:sz="2" w:space="0" w:color="auto"/>
              <w:right w:val="single" w:sz="2" w:space="0" w:color="auto"/>
            </w:tcBorders>
            <w:vAlign w:val="center"/>
          </w:tcPr>
          <w:p w14:paraId="787D8683" w14:textId="4741C6F8" w:rsidR="00274311" w:rsidRPr="00B243EA" w:rsidRDefault="00B243EA"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越南盾</w:t>
            </w:r>
          </w:p>
        </w:tc>
        <w:tc>
          <w:tcPr>
            <w:tcW w:w="600" w:type="pct"/>
            <w:tcBorders>
              <w:top w:val="single" w:sz="2" w:space="0" w:color="auto"/>
              <w:left w:val="single" w:sz="2" w:space="0" w:color="auto"/>
              <w:bottom w:val="single" w:sz="2" w:space="0" w:color="auto"/>
              <w:right w:val="single" w:sz="2" w:space="0" w:color="auto"/>
            </w:tcBorders>
            <w:vAlign w:val="center"/>
          </w:tcPr>
          <w:p w14:paraId="69C24072" w14:textId="53302162"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越南河内</w:t>
            </w:r>
          </w:p>
        </w:tc>
        <w:tc>
          <w:tcPr>
            <w:tcW w:w="601" w:type="pct"/>
            <w:tcBorders>
              <w:top w:val="single" w:sz="2" w:space="0" w:color="auto"/>
              <w:left w:val="single" w:sz="2" w:space="0" w:color="auto"/>
              <w:bottom w:val="single" w:sz="2" w:space="0" w:color="auto"/>
              <w:right w:val="single" w:sz="2" w:space="0" w:color="auto"/>
            </w:tcBorders>
            <w:vAlign w:val="center"/>
          </w:tcPr>
          <w:p w14:paraId="5C2F517E"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越南河内</w:t>
            </w:r>
          </w:p>
        </w:tc>
        <w:tc>
          <w:tcPr>
            <w:tcW w:w="547" w:type="pct"/>
            <w:tcBorders>
              <w:top w:val="single" w:sz="2" w:space="0" w:color="auto"/>
              <w:left w:val="single" w:sz="2" w:space="0" w:color="auto"/>
              <w:bottom w:val="single" w:sz="2" w:space="0" w:color="auto"/>
              <w:right w:val="single" w:sz="2" w:space="0" w:color="auto"/>
            </w:tcBorders>
            <w:vAlign w:val="center"/>
          </w:tcPr>
          <w:p w14:paraId="1E56473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市场营销</w:t>
            </w:r>
          </w:p>
        </w:tc>
        <w:tc>
          <w:tcPr>
            <w:tcW w:w="304" w:type="pct"/>
            <w:tcBorders>
              <w:top w:val="single" w:sz="2" w:space="0" w:color="auto"/>
              <w:left w:val="single" w:sz="2" w:space="0" w:color="auto"/>
              <w:bottom w:val="single" w:sz="2" w:space="0" w:color="auto"/>
              <w:right w:val="single" w:sz="2" w:space="0" w:color="auto"/>
            </w:tcBorders>
            <w:vAlign w:val="center"/>
          </w:tcPr>
          <w:p w14:paraId="6EF5ABF1"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61D21C88"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549D817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11F03306"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1E9E61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Meditech Netherlands B.V.</w:t>
            </w:r>
          </w:p>
        </w:tc>
        <w:tc>
          <w:tcPr>
            <w:tcW w:w="506" w:type="pct"/>
            <w:tcBorders>
              <w:top w:val="single" w:sz="2" w:space="0" w:color="auto"/>
              <w:left w:val="single" w:sz="2" w:space="0" w:color="auto"/>
              <w:bottom w:val="single" w:sz="2" w:space="0" w:color="auto"/>
              <w:right w:val="single" w:sz="2" w:space="0" w:color="auto"/>
            </w:tcBorders>
            <w:vAlign w:val="center"/>
          </w:tcPr>
          <w:p w14:paraId="052C1ECE" w14:textId="2EF960AA"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1,200.00</w:t>
            </w:r>
          </w:p>
        </w:tc>
        <w:tc>
          <w:tcPr>
            <w:tcW w:w="356" w:type="pct"/>
            <w:tcBorders>
              <w:top w:val="single" w:sz="2" w:space="0" w:color="auto"/>
              <w:left w:val="single" w:sz="2" w:space="0" w:color="auto"/>
              <w:bottom w:val="single" w:sz="2" w:space="0" w:color="auto"/>
              <w:right w:val="single" w:sz="2" w:space="0" w:color="auto"/>
            </w:tcBorders>
            <w:vAlign w:val="center"/>
          </w:tcPr>
          <w:p w14:paraId="0E39F291" w14:textId="22479477" w:rsidR="00274311" w:rsidRPr="00B243EA" w:rsidRDefault="00B243EA"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欧元</w:t>
            </w:r>
          </w:p>
        </w:tc>
        <w:tc>
          <w:tcPr>
            <w:tcW w:w="600" w:type="pct"/>
            <w:tcBorders>
              <w:top w:val="single" w:sz="2" w:space="0" w:color="auto"/>
              <w:left w:val="single" w:sz="2" w:space="0" w:color="auto"/>
              <w:bottom w:val="single" w:sz="2" w:space="0" w:color="auto"/>
              <w:right w:val="single" w:sz="2" w:space="0" w:color="auto"/>
            </w:tcBorders>
            <w:vAlign w:val="center"/>
          </w:tcPr>
          <w:p w14:paraId="08A66549" w14:textId="029E4E99"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荷兰海牙</w:t>
            </w:r>
          </w:p>
        </w:tc>
        <w:tc>
          <w:tcPr>
            <w:tcW w:w="601" w:type="pct"/>
            <w:tcBorders>
              <w:top w:val="single" w:sz="2" w:space="0" w:color="auto"/>
              <w:left w:val="single" w:sz="2" w:space="0" w:color="auto"/>
              <w:bottom w:val="single" w:sz="2" w:space="0" w:color="auto"/>
              <w:right w:val="single" w:sz="2" w:space="0" w:color="auto"/>
            </w:tcBorders>
            <w:vAlign w:val="center"/>
          </w:tcPr>
          <w:p w14:paraId="72885E9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荷兰海牙</w:t>
            </w:r>
          </w:p>
        </w:tc>
        <w:tc>
          <w:tcPr>
            <w:tcW w:w="547" w:type="pct"/>
            <w:tcBorders>
              <w:top w:val="single" w:sz="2" w:space="0" w:color="auto"/>
              <w:left w:val="single" w:sz="2" w:space="0" w:color="auto"/>
              <w:bottom w:val="single" w:sz="2" w:space="0" w:color="auto"/>
              <w:right w:val="single" w:sz="2" w:space="0" w:color="auto"/>
            </w:tcBorders>
            <w:vAlign w:val="center"/>
          </w:tcPr>
          <w:p w14:paraId="74A11FC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医疗保健</w:t>
            </w:r>
          </w:p>
        </w:tc>
        <w:tc>
          <w:tcPr>
            <w:tcW w:w="304" w:type="pct"/>
            <w:tcBorders>
              <w:top w:val="single" w:sz="2" w:space="0" w:color="auto"/>
              <w:left w:val="single" w:sz="2" w:space="0" w:color="auto"/>
              <w:bottom w:val="single" w:sz="2" w:space="0" w:color="auto"/>
              <w:right w:val="single" w:sz="2" w:space="0" w:color="auto"/>
            </w:tcBorders>
            <w:vAlign w:val="center"/>
          </w:tcPr>
          <w:p w14:paraId="644CB0F1"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6D2CE870"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6EDDF73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6D30D182"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226C437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MALAYSIA SDN. BHD.</w:t>
            </w:r>
          </w:p>
        </w:tc>
        <w:tc>
          <w:tcPr>
            <w:tcW w:w="506" w:type="pct"/>
            <w:tcBorders>
              <w:top w:val="single" w:sz="2" w:space="0" w:color="auto"/>
              <w:left w:val="single" w:sz="2" w:space="0" w:color="auto"/>
              <w:bottom w:val="single" w:sz="2" w:space="0" w:color="auto"/>
              <w:right w:val="single" w:sz="2" w:space="0" w:color="auto"/>
            </w:tcBorders>
            <w:vAlign w:val="center"/>
          </w:tcPr>
          <w:p w14:paraId="2E651A60" w14:textId="713F6139"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w:t>
            </w:r>
          </w:p>
        </w:tc>
        <w:tc>
          <w:tcPr>
            <w:tcW w:w="356" w:type="pct"/>
            <w:tcBorders>
              <w:top w:val="single" w:sz="2" w:space="0" w:color="auto"/>
              <w:left w:val="single" w:sz="2" w:space="0" w:color="auto"/>
              <w:bottom w:val="single" w:sz="2" w:space="0" w:color="auto"/>
              <w:right w:val="single" w:sz="2" w:space="0" w:color="auto"/>
            </w:tcBorders>
            <w:vAlign w:val="center"/>
          </w:tcPr>
          <w:p w14:paraId="136DE038" w14:textId="0CBEA944" w:rsidR="00274311" w:rsidRPr="00B243EA" w:rsidRDefault="00B243EA"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林吉特</w:t>
            </w:r>
          </w:p>
        </w:tc>
        <w:tc>
          <w:tcPr>
            <w:tcW w:w="600" w:type="pct"/>
            <w:tcBorders>
              <w:top w:val="single" w:sz="2" w:space="0" w:color="auto"/>
              <w:left w:val="single" w:sz="2" w:space="0" w:color="auto"/>
              <w:bottom w:val="single" w:sz="2" w:space="0" w:color="auto"/>
              <w:right w:val="single" w:sz="2" w:space="0" w:color="auto"/>
            </w:tcBorders>
            <w:vAlign w:val="center"/>
          </w:tcPr>
          <w:p w14:paraId="77B1AF29" w14:textId="601B53E2"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马来西亚吉隆坡</w:t>
            </w:r>
          </w:p>
        </w:tc>
        <w:tc>
          <w:tcPr>
            <w:tcW w:w="601" w:type="pct"/>
            <w:tcBorders>
              <w:top w:val="single" w:sz="2" w:space="0" w:color="auto"/>
              <w:left w:val="single" w:sz="2" w:space="0" w:color="auto"/>
              <w:bottom w:val="single" w:sz="2" w:space="0" w:color="auto"/>
              <w:right w:val="single" w:sz="2" w:space="0" w:color="auto"/>
            </w:tcBorders>
            <w:vAlign w:val="center"/>
          </w:tcPr>
          <w:p w14:paraId="7699B36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马来西亚吉隆坡</w:t>
            </w:r>
          </w:p>
        </w:tc>
        <w:tc>
          <w:tcPr>
            <w:tcW w:w="547" w:type="pct"/>
            <w:tcBorders>
              <w:top w:val="single" w:sz="2" w:space="0" w:color="auto"/>
              <w:left w:val="single" w:sz="2" w:space="0" w:color="auto"/>
              <w:bottom w:val="single" w:sz="2" w:space="0" w:color="auto"/>
              <w:right w:val="single" w:sz="2" w:space="0" w:color="auto"/>
            </w:tcBorders>
            <w:vAlign w:val="center"/>
          </w:tcPr>
          <w:p w14:paraId="018350E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医疗保健</w:t>
            </w:r>
          </w:p>
        </w:tc>
        <w:tc>
          <w:tcPr>
            <w:tcW w:w="304" w:type="pct"/>
            <w:tcBorders>
              <w:top w:val="single" w:sz="2" w:space="0" w:color="auto"/>
              <w:left w:val="single" w:sz="2" w:space="0" w:color="auto"/>
              <w:bottom w:val="single" w:sz="2" w:space="0" w:color="auto"/>
              <w:right w:val="single" w:sz="2" w:space="0" w:color="auto"/>
            </w:tcBorders>
            <w:vAlign w:val="center"/>
          </w:tcPr>
          <w:p w14:paraId="25C37E78"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57D77F2F"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01371F4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7CFB13A3"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326CE7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MEDITECH SINGAPORE PTE. LTD.</w:t>
            </w:r>
          </w:p>
        </w:tc>
        <w:tc>
          <w:tcPr>
            <w:tcW w:w="506" w:type="pct"/>
            <w:tcBorders>
              <w:top w:val="single" w:sz="2" w:space="0" w:color="auto"/>
              <w:left w:val="single" w:sz="2" w:space="0" w:color="auto"/>
              <w:bottom w:val="single" w:sz="2" w:space="0" w:color="auto"/>
              <w:right w:val="single" w:sz="2" w:space="0" w:color="auto"/>
            </w:tcBorders>
            <w:vAlign w:val="center"/>
          </w:tcPr>
          <w:p w14:paraId="52CC0ABE" w14:textId="23AB5F76"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450,000.00</w:t>
            </w:r>
          </w:p>
        </w:tc>
        <w:tc>
          <w:tcPr>
            <w:tcW w:w="356" w:type="pct"/>
            <w:tcBorders>
              <w:top w:val="single" w:sz="2" w:space="0" w:color="auto"/>
              <w:left w:val="single" w:sz="2" w:space="0" w:color="auto"/>
              <w:bottom w:val="single" w:sz="2" w:space="0" w:color="auto"/>
              <w:right w:val="single" w:sz="2" w:space="0" w:color="auto"/>
            </w:tcBorders>
            <w:vAlign w:val="center"/>
          </w:tcPr>
          <w:p w14:paraId="122C8D3E" w14:textId="501FED75" w:rsidR="00274311" w:rsidRPr="00B243EA" w:rsidRDefault="003140ED"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新加坡元</w:t>
            </w:r>
          </w:p>
        </w:tc>
        <w:tc>
          <w:tcPr>
            <w:tcW w:w="600" w:type="pct"/>
            <w:tcBorders>
              <w:top w:val="single" w:sz="2" w:space="0" w:color="auto"/>
              <w:left w:val="single" w:sz="2" w:space="0" w:color="auto"/>
              <w:bottom w:val="single" w:sz="2" w:space="0" w:color="auto"/>
              <w:right w:val="single" w:sz="2" w:space="0" w:color="auto"/>
            </w:tcBorders>
            <w:vAlign w:val="center"/>
          </w:tcPr>
          <w:p w14:paraId="78C4EE7E" w14:textId="793F7305"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新加坡</w:t>
            </w:r>
          </w:p>
        </w:tc>
        <w:tc>
          <w:tcPr>
            <w:tcW w:w="601" w:type="pct"/>
            <w:tcBorders>
              <w:top w:val="single" w:sz="2" w:space="0" w:color="auto"/>
              <w:left w:val="single" w:sz="2" w:space="0" w:color="auto"/>
              <w:bottom w:val="single" w:sz="2" w:space="0" w:color="auto"/>
              <w:right w:val="single" w:sz="2" w:space="0" w:color="auto"/>
            </w:tcBorders>
            <w:vAlign w:val="center"/>
          </w:tcPr>
          <w:p w14:paraId="35FE3EF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新加坡</w:t>
            </w:r>
          </w:p>
        </w:tc>
        <w:tc>
          <w:tcPr>
            <w:tcW w:w="547" w:type="pct"/>
            <w:tcBorders>
              <w:top w:val="single" w:sz="2" w:space="0" w:color="auto"/>
              <w:left w:val="single" w:sz="2" w:space="0" w:color="auto"/>
              <w:bottom w:val="single" w:sz="2" w:space="0" w:color="auto"/>
              <w:right w:val="single" w:sz="2" w:space="0" w:color="auto"/>
            </w:tcBorders>
            <w:vAlign w:val="center"/>
          </w:tcPr>
          <w:p w14:paraId="75C1CEC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医疗保健</w:t>
            </w:r>
          </w:p>
        </w:tc>
        <w:tc>
          <w:tcPr>
            <w:tcW w:w="304" w:type="pct"/>
            <w:tcBorders>
              <w:top w:val="single" w:sz="2" w:space="0" w:color="auto"/>
              <w:left w:val="single" w:sz="2" w:space="0" w:color="auto"/>
              <w:bottom w:val="single" w:sz="2" w:space="0" w:color="auto"/>
              <w:right w:val="single" w:sz="2" w:space="0" w:color="auto"/>
            </w:tcBorders>
            <w:vAlign w:val="center"/>
          </w:tcPr>
          <w:p w14:paraId="2725EA8E"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74A409A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54130AC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2DE4A309"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39600EB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Meditech,Inc.</w:t>
            </w:r>
          </w:p>
        </w:tc>
        <w:tc>
          <w:tcPr>
            <w:tcW w:w="506" w:type="pct"/>
            <w:tcBorders>
              <w:top w:val="single" w:sz="2" w:space="0" w:color="auto"/>
              <w:left w:val="single" w:sz="2" w:space="0" w:color="auto"/>
              <w:bottom w:val="single" w:sz="2" w:space="0" w:color="auto"/>
              <w:right w:val="single" w:sz="2" w:space="0" w:color="auto"/>
            </w:tcBorders>
            <w:vAlign w:val="center"/>
          </w:tcPr>
          <w:p w14:paraId="352182AF" w14:textId="0ABCD0CD"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w:t>
            </w:r>
          </w:p>
        </w:tc>
        <w:tc>
          <w:tcPr>
            <w:tcW w:w="356" w:type="pct"/>
            <w:tcBorders>
              <w:top w:val="single" w:sz="2" w:space="0" w:color="auto"/>
              <w:left w:val="single" w:sz="2" w:space="0" w:color="auto"/>
              <w:bottom w:val="single" w:sz="2" w:space="0" w:color="auto"/>
              <w:right w:val="single" w:sz="2" w:space="0" w:color="auto"/>
            </w:tcBorders>
            <w:vAlign w:val="center"/>
          </w:tcPr>
          <w:p w14:paraId="110E5578" w14:textId="32114140" w:rsidR="00274311" w:rsidRPr="00B243EA" w:rsidRDefault="003140ED"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美元</w:t>
            </w:r>
          </w:p>
        </w:tc>
        <w:tc>
          <w:tcPr>
            <w:tcW w:w="600" w:type="pct"/>
            <w:tcBorders>
              <w:top w:val="single" w:sz="2" w:space="0" w:color="auto"/>
              <w:left w:val="single" w:sz="2" w:space="0" w:color="auto"/>
              <w:bottom w:val="single" w:sz="2" w:space="0" w:color="auto"/>
              <w:right w:val="single" w:sz="2" w:space="0" w:color="auto"/>
            </w:tcBorders>
            <w:vAlign w:val="center"/>
          </w:tcPr>
          <w:p w14:paraId="619F453F" w14:textId="523331E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美国内华达州</w:t>
            </w:r>
          </w:p>
        </w:tc>
        <w:tc>
          <w:tcPr>
            <w:tcW w:w="601" w:type="pct"/>
            <w:tcBorders>
              <w:top w:val="single" w:sz="2" w:space="0" w:color="auto"/>
              <w:left w:val="single" w:sz="2" w:space="0" w:color="auto"/>
              <w:bottom w:val="single" w:sz="2" w:space="0" w:color="auto"/>
              <w:right w:val="single" w:sz="2" w:space="0" w:color="auto"/>
            </w:tcBorders>
            <w:vAlign w:val="center"/>
          </w:tcPr>
          <w:p w14:paraId="36305B47"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美国内华达州</w:t>
            </w:r>
          </w:p>
        </w:tc>
        <w:tc>
          <w:tcPr>
            <w:tcW w:w="547" w:type="pct"/>
            <w:tcBorders>
              <w:top w:val="single" w:sz="2" w:space="0" w:color="auto"/>
              <w:left w:val="single" w:sz="2" w:space="0" w:color="auto"/>
              <w:bottom w:val="single" w:sz="2" w:space="0" w:color="auto"/>
              <w:right w:val="single" w:sz="2" w:space="0" w:color="auto"/>
            </w:tcBorders>
            <w:vAlign w:val="center"/>
          </w:tcPr>
          <w:p w14:paraId="782A810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投资及贸易</w:t>
            </w:r>
          </w:p>
        </w:tc>
        <w:tc>
          <w:tcPr>
            <w:tcW w:w="304" w:type="pct"/>
            <w:tcBorders>
              <w:top w:val="single" w:sz="2" w:space="0" w:color="auto"/>
              <w:left w:val="single" w:sz="2" w:space="0" w:color="auto"/>
              <w:bottom w:val="single" w:sz="2" w:space="0" w:color="auto"/>
              <w:right w:val="single" w:sz="2" w:space="0" w:color="auto"/>
            </w:tcBorders>
            <w:vAlign w:val="center"/>
          </w:tcPr>
          <w:p w14:paraId="11A46892"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04" w:type="pct"/>
            <w:tcBorders>
              <w:top w:val="single" w:sz="2" w:space="0" w:color="auto"/>
              <w:left w:val="single" w:sz="2" w:space="0" w:color="auto"/>
              <w:bottom w:val="single" w:sz="2" w:space="0" w:color="auto"/>
              <w:right w:val="single" w:sz="2" w:space="0" w:color="auto"/>
            </w:tcBorders>
            <w:vAlign w:val="center"/>
          </w:tcPr>
          <w:p w14:paraId="6B4C7517"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6F34DB3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79FD447E"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18AAC8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三诺健康管理有限公司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0008972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50,000,000.00</w:t>
            </w:r>
          </w:p>
        </w:tc>
        <w:tc>
          <w:tcPr>
            <w:tcW w:w="356" w:type="pct"/>
            <w:tcBorders>
              <w:top w:val="single" w:sz="2" w:space="0" w:color="auto"/>
              <w:left w:val="single" w:sz="2" w:space="0" w:color="auto"/>
              <w:bottom w:val="single" w:sz="2" w:space="0" w:color="auto"/>
              <w:right w:val="single" w:sz="2" w:space="0" w:color="auto"/>
            </w:tcBorders>
            <w:vAlign w:val="center"/>
          </w:tcPr>
          <w:p w14:paraId="68E000CF" w14:textId="02A76164"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649B4ED1" w14:textId="6DF19B4E"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352B82BE"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614379D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健康管理</w:t>
            </w:r>
          </w:p>
        </w:tc>
        <w:tc>
          <w:tcPr>
            <w:tcW w:w="304" w:type="pct"/>
            <w:tcBorders>
              <w:top w:val="single" w:sz="2" w:space="0" w:color="auto"/>
              <w:left w:val="single" w:sz="2" w:space="0" w:color="auto"/>
              <w:bottom w:val="single" w:sz="2" w:space="0" w:color="auto"/>
              <w:right w:val="single" w:sz="2" w:space="0" w:color="auto"/>
            </w:tcBorders>
            <w:vAlign w:val="center"/>
          </w:tcPr>
          <w:p w14:paraId="74A5ACCE"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04" w:type="pct"/>
            <w:tcBorders>
              <w:top w:val="single" w:sz="2" w:space="0" w:color="auto"/>
              <w:left w:val="single" w:sz="2" w:space="0" w:color="auto"/>
              <w:bottom w:val="single" w:sz="2" w:space="0" w:color="auto"/>
              <w:right w:val="single" w:sz="2" w:space="0" w:color="auto"/>
            </w:tcBorders>
            <w:vAlign w:val="center"/>
          </w:tcPr>
          <w:p w14:paraId="12E33F2B"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32FB107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2D0DEE18"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85DB14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Polymer Technology  Systems,Inc.</w:t>
            </w:r>
          </w:p>
        </w:tc>
        <w:tc>
          <w:tcPr>
            <w:tcW w:w="506" w:type="pct"/>
            <w:tcBorders>
              <w:top w:val="single" w:sz="2" w:space="0" w:color="auto"/>
              <w:left w:val="single" w:sz="2" w:space="0" w:color="auto"/>
              <w:bottom w:val="single" w:sz="2" w:space="0" w:color="auto"/>
              <w:right w:val="single" w:sz="2" w:space="0" w:color="auto"/>
            </w:tcBorders>
            <w:vAlign w:val="center"/>
          </w:tcPr>
          <w:p w14:paraId="3D6602CC"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3A001A5E" w14:textId="45C85CB1"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0D863370" w14:textId="748C009A"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美国印第安纳州</w:t>
            </w:r>
          </w:p>
        </w:tc>
        <w:tc>
          <w:tcPr>
            <w:tcW w:w="601" w:type="pct"/>
            <w:tcBorders>
              <w:top w:val="single" w:sz="2" w:space="0" w:color="auto"/>
              <w:left w:val="single" w:sz="2" w:space="0" w:color="auto"/>
              <w:bottom w:val="single" w:sz="2" w:space="0" w:color="auto"/>
              <w:right w:val="single" w:sz="2" w:space="0" w:color="auto"/>
            </w:tcBorders>
            <w:vAlign w:val="center"/>
          </w:tcPr>
          <w:p w14:paraId="707015A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美国印第安纳州</w:t>
            </w:r>
          </w:p>
        </w:tc>
        <w:tc>
          <w:tcPr>
            <w:tcW w:w="547" w:type="pct"/>
            <w:tcBorders>
              <w:top w:val="single" w:sz="2" w:space="0" w:color="auto"/>
              <w:left w:val="single" w:sz="2" w:space="0" w:color="auto"/>
              <w:bottom w:val="single" w:sz="2" w:space="0" w:color="auto"/>
              <w:right w:val="single" w:sz="2" w:space="0" w:color="auto"/>
            </w:tcBorders>
            <w:vAlign w:val="center"/>
          </w:tcPr>
          <w:p w14:paraId="16FC33F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医疗器械</w:t>
            </w:r>
          </w:p>
        </w:tc>
        <w:tc>
          <w:tcPr>
            <w:tcW w:w="304" w:type="pct"/>
            <w:tcBorders>
              <w:top w:val="single" w:sz="2" w:space="0" w:color="auto"/>
              <w:left w:val="single" w:sz="2" w:space="0" w:color="auto"/>
              <w:bottom w:val="single" w:sz="2" w:space="0" w:color="auto"/>
              <w:right w:val="single" w:sz="2" w:space="0" w:color="auto"/>
            </w:tcBorders>
            <w:vAlign w:val="center"/>
          </w:tcPr>
          <w:p w14:paraId="646335EB"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4D185D60"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3AC3000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1829D01A"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DCDB4D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PTS  Diagnostics California,Inc.</w:t>
            </w:r>
          </w:p>
        </w:tc>
        <w:tc>
          <w:tcPr>
            <w:tcW w:w="506" w:type="pct"/>
            <w:tcBorders>
              <w:top w:val="single" w:sz="2" w:space="0" w:color="auto"/>
              <w:left w:val="single" w:sz="2" w:space="0" w:color="auto"/>
              <w:bottom w:val="single" w:sz="2" w:space="0" w:color="auto"/>
              <w:right w:val="single" w:sz="2" w:space="0" w:color="auto"/>
            </w:tcBorders>
            <w:vAlign w:val="center"/>
          </w:tcPr>
          <w:p w14:paraId="27A080C4"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75F88160" w14:textId="3298DE20"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5378AA0E" w14:textId="31005CE5"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美国印第安纳州</w:t>
            </w:r>
          </w:p>
        </w:tc>
        <w:tc>
          <w:tcPr>
            <w:tcW w:w="601" w:type="pct"/>
            <w:tcBorders>
              <w:top w:val="single" w:sz="2" w:space="0" w:color="auto"/>
              <w:left w:val="single" w:sz="2" w:space="0" w:color="auto"/>
              <w:bottom w:val="single" w:sz="2" w:space="0" w:color="auto"/>
              <w:right w:val="single" w:sz="2" w:space="0" w:color="auto"/>
            </w:tcBorders>
            <w:vAlign w:val="center"/>
          </w:tcPr>
          <w:p w14:paraId="5720C68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美国印第安纳州</w:t>
            </w:r>
          </w:p>
        </w:tc>
        <w:tc>
          <w:tcPr>
            <w:tcW w:w="547" w:type="pct"/>
            <w:tcBorders>
              <w:top w:val="single" w:sz="2" w:space="0" w:color="auto"/>
              <w:left w:val="single" w:sz="2" w:space="0" w:color="auto"/>
              <w:bottom w:val="single" w:sz="2" w:space="0" w:color="auto"/>
              <w:right w:val="single" w:sz="2" w:space="0" w:color="auto"/>
            </w:tcBorders>
            <w:vAlign w:val="center"/>
          </w:tcPr>
          <w:p w14:paraId="1F6D3B6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医疗器械</w:t>
            </w:r>
          </w:p>
        </w:tc>
        <w:tc>
          <w:tcPr>
            <w:tcW w:w="304" w:type="pct"/>
            <w:tcBorders>
              <w:top w:val="single" w:sz="2" w:space="0" w:color="auto"/>
              <w:left w:val="single" w:sz="2" w:space="0" w:color="auto"/>
              <w:bottom w:val="single" w:sz="2" w:space="0" w:color="auto"/>
              <w:right w:val="single" w:sz="2" w:space="0" w:color="auto"/>
            </w:tcBorders>
            <w:vAlign w:val="center"/>
          </w:tcPr>
          <w:p w14:paraId="3C8BC843"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598E8BE1"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4C9912E6"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71AF6EED"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832A7B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长沙三诺电子商务有限公司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6A57E4C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5,000,000.00</w:t>
            </w:r>
          </w:p>
        </w:tc>
        <w:tc>
          <w:tcPr>
            <w:tcW w:w="356" w:type="pct"/>
            <w:tcBorders>
              <w:top w:val="single" w:sz="2" w:space="0" w:color="auto"/>
              <w:left w:val="single" w:sz="2" w:space="0" w:color="auto"/>
              <w:bottom w:val="single" w:sz="2" w:space="0" w:color="auto"/>
              <w:right w:val="single" w:sz="2" w:space="0" w:color="auto"/>
            </w:tcBorders>
            <w:vAlign w:val="center"/>
          </w:tcPr>
          <w:p w14:paraId="56FE7FD4" w14:textId="1577E669"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48F077F7" w14:textId="598824F4"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4C37181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78A52B7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73822629"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62FEE54F"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67AFEF9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049D77D4"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C1B47A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长沙默风电子商务有限公司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0D99596B"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0CBF1C7C" w14:textId="33CF0B42"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4F081FBC" w14:textId="7C7AC406"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05B63C2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3B2F4BC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207A4146"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0D26CE35"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24C18E7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3F1BA8DB"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C35C1F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长沙超风电子商务有限公司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055E1E95"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172F12A2" w14:textId="28EFB6E6"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06C8006A" w14:textId="1AB46FBB"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41C4A48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2FE85D2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00499A87"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22B9D0DC"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4D8E5B0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1401C8A4"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55AFF2F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长沙章风电子商务有限公司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5A09B52A"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561A253D" w14:textId="0F4859D1"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4178039E" w14:textId="03EA7F16"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342FABC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23DEA46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2F56B1FB"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2BF6AF7E"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31B74F4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3F0C33EE"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C67E82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长沙若风电子商务有限公司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49423E7E"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3B81830C" w14:textId="65AA6C9B"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0D643A33" w14:textId="4413827B"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5919628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3DE506F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16492798"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0F80C159"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59861F9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3D88A649"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FD922E6"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长沙健准电子商务有限公司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581CA22D"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2FC7DB52" w14:textId="561573AA"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5D868345" w14:textId="728D3F72"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0C66CFA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5F37F3A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008A64C6"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5848A804"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7662821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059969DC"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26E22A2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上海绮风电子商务有限公司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4D78C787"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w:t>
            </w:r>
          </w:p>
        </w:tc>
        <w:tc>
          <w:tcPr>
            <w:tcW w:w="356" w:type="pct"/>
            <w:tcBorders>
              <w:top w:val="single" w:sz="2" w:space="0" w:color="auto"/>
              <w:left w:val="single" w:sz="2" w:space="0" w:color="auto"/>
              <w:bottom w:val="single" w:sz="2" w:space="0" w:color="auto"/>
              <w:right w:val="single" w:sz="2" w:space="0" w:color="auto"/>
            </w:tcBorders>
            <w:vAlign w:val="center"/>
          </w:tcPr>
          <w:p w14:paraId="22B9ABAE" w14:textId="1003162E"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2D8B7550" w14:textId="2135A9A4"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上海</w:t>
            </w:r>
          </w:p>
        </w:tc>
        <w:tc>
          <w:tcPr>
            <w:tcW w:w="601" w:type="pct"/>
            <w:tcBorders>
              <w:top w:val="single" w:sz="2" w:space="0" w:color="auto"/>
              <w:left w:val="single" w:sz="2" w:space="0" w:color="auto"/>
              <w:bottom w:val="single" w:sz="2" w:space="0" w:color="auto"/>
              <w:right w:val="single" w:sz="2" w:space="0" w:color="auto"/>
            </w:tcBorders>
            <w:vAlign w:val="center"/>
          </w:tcPr>
          <w:p w14:paraId="5A204DC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上海</w:t>
            </w:r>
          </w:p>
        </w:tc>
        <w:tc>
          <w:tcPr>
            <w:tcW w:w="547" w:type="pct"/>
            <w:tcBorders>
              <w:top w:val="single" w:sz="2" w:space="0" w:color="auto"/>
              <w:left w:val="single" w:sz="2" w:space="0" w:color="auto"/>
              <w:bottom w:val="single" w:sz="2" w:space="0" w:color="auto"/>
              <w:right w:val="single" w:sz="2" w:space="0" w:color="auto"/>
            </w:tcBorders>
            <w:vAlign w:val="center"/>
          </w:tcPr>
          <w:p w14:paraId="2454FC0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6B564501"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67A21FBC"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51A8708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407271B6"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5BF62D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长沙安诺心大药房有限公司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1A3FCBF1"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10,000,000.00</w:t>
            </w:r>
          </w:p>
        </w:tc>
        <w:tc>
          <w:tcPr>
            <w:tcW w:w="356" w:type="pct"/>
            <w:tcBorders>
              <w:top w:val="single" w:sz="2" w:space="0" w:color="auto"/>
              <w:left w:val="single" w:sz="2" w:space="0" w:color="auto"/>
              <w:bottom w:val="single" w:sz="2" w:space="0" w:color="auto"/>
              <w:right w:val="single" w:sz="2" w:space="0" w:color="auto"/>
            </w:tcBorders>
            <w:vAlign w:val="center"/>
          </w:tcPr>
          <w:p w14:paraId="2AB4E86A" w14:textId="617698E2"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1C7F9D5E" w14:textId="47FC076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66C4D73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28806DE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零售</w:t>
            </w:r>
          </w:p>
        </w:tc>
        <w:tc>
          <w:tcPr>
            <w:tcW w:w="304" w:type="pct"/>
            <w:tcBorders>
              <w:top w:val="single" w:sz="2" w:space="0" w:color="auto"/>
              <w:left w:val="single" w:sz="2" w:space="0" w:color="auto"/>
              <w:bottom w:val="single" w:sz="2" w:space="0" w:color="auto"/>
              <w:right w:val="single" w:sz="2" w:space="0" w:color="auto"/>
            </w:tcBorders>
            <w:vAlign w:val="center"/>
          </w:tcPr>
          <w:p w14:paraId="620547D4"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7FA17517"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7015F4D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527012A4"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613F635E"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北京三诺健恒糖尿病医院有限责任公司</w:t>
            </w:r>
          </w:p>
        </w:tc>
        <w:tc>
          <w:tcPr>
            <w:tcW w:w="506" w:type="pct"/>
            <w:tcBorders>
              <w:top w:val="single" w:sz="2" w:space="0" w:color="auto"/>
              <w:left w:val="single" w:sz="2" w:space="0" w:color="auto"/>
              <w:bottom w:val="single" w:sz="2" w:space="0" w:color="auto"/>
              <w:right w:val="single" w:sz="2" w:space="0" w:color="auto"/>
            </w:tcBorders>
            <w:vAlign w:val="center"/>
          </w:tcPr>
          <w:p w14:paraId="57D3E8B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23,000,000.00</w:t>
            </w:r>
          </w:p>
        </w:tc>
        <w:tc>
          <w:tcPr>
            <w:tcW w:w="356" w:type="pct"/>
            <w:tcBorders>
              <w:top w:val="single" w:sz="2" w:space="0" w:color="auto"/>
              <w:left w:val="single" w:sz="2" w:space="0" w:color="auto"/>
              <w:bottom w:val="single" w:sz="2" w:space="0" w:color="auto"/>
              <w:right w:val="single" w:sz="2" w:space="0" w:color="auto"/>
            </w:tcBorders>
            <w:vAlign w:val="center"/>
          </w:tcPr>
          <w:p w14:paraId="65BF3348" w14:textId="1DD3FC75"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7793669B" w14:textId="7944F6DB"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北京</w:t>
            </w:r>
          </w:p>
        </w:tc>
        <w:tc>
          <w:tcPr>
            <w:tcW w:w="601" w:type="pct"/>
            <w:tcBorders>
              <w:top w:val="single" w:sz="2" w:space="0" w:color="auto"/>
              <w:left w:val="single" w:sz="2" w:space="0" w:color="auto"/>
              <w:bottom w:val="single" w:sz="2" w:space="0" w:color="auto"/>
              <w:right w:val="single" w:sz="2" w:space="0" w:color="auto"/>
            </w:tcBorders>
            <w:vAlign w:val="center"/>
          </w:tcPr>
          <w:p w14:paraId="6CD4360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北京</w:t>
            </w:r>
          </w:p>
        </w:tc>
        <w:tc>
          <w:tcPr>
            <w:tcW w:w="547" w:type="pct"/>
            <w:tcBorders>
              <w:top w:val="single" w:sz="2" w:space="0" w:color="auto"/>
              <w:left w:val="single" w:sz="2" w:space="0" w:color="auto"/>
              <w:bottom w:val="single" w:sz="2" w:space="0" w:color="auto"/>
              <w:right w:val="single" w:sz="2" w:space="0" w:color="auto"/>
            </w:tcBorders>
            <w:vAlign w:val="center"/>
          </w:tcPr>
          <w:p w14:paraId="24289B3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糖尿病专科</w:t>
            </w:r>
          </w:p>
        </w:tc>
        <w:tc>
          <w:tcPr>
            <w:tcW w:w="304" w:type="pct"/>
            <w:tcBorders>
              <w:top w:val="single" w:sz="2" w:space="0" w:color="auto"/>
              <w:left w:val="single" w:sz="2" w:space="0" w:color="auto"/>
              <w:bottom w:val="single" w:sz="2" w:space="0" w:color="auto"/>
              <w:right w:val="single" w:sz="2" w:space="0" w:color="auto"/>
            </w:tcBorders>
            <w:vAlign w:val="center"/>
          </w:tcPr>
          <w:p w14:paraId="44D707CF"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08537BF3"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05C6D466"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6E8FB9F3"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D22FE4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长沙三诺智慧糖尿病医院有限责任公司</w:t>
            </w:r>
          </w:p>
        </w:tc>
        <w:tc>
          <w:tcPr>
            <w:tcW w:w="506" w:type="pct"/>
            <w:tcBorders>
              <w:top w:val="single" w:sz="2" w:space="0" w:color="auto"/>
              <w:left w:val="single" w:sz="2" w:space="0" w:color="auto"/>
              <w:bottom w:val="single" w:sz="2" w:space="0" w:color="auto"/>
              <w:right w:val="single" w:sz="2" w:space="0" w:color="auto"/>
            </w:tcBorders>
            <w:vAlign w:val="center"/>
          </w:tcPr>
          <w:p w14:paraId="6280F80D"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10,000,000.00</w:t>
            </w:r>
          </w:p>
        </w:tc>
        <w:tc>
          <w:tcPr>
            <w:tcW w:w="356" w:type="pct"/>
            <w:tcBorders>
              <w:top w:val="single" w:sz="2" w:space="0" w:color="auto"/>
              <w:left w:val="single" w:sz="2" w:space="0" w:color="auto"/>
              <w:bottom w:val="single" w:sz="2" w:space="0" w:color="auto"/>
              <w:right w:val="single" w:sz="2" w:space="0" w:color="auto"/>
            </w:tcBorders>
            <w:vAlign w:val="center"/>
          </w:tcPr>
          <w:p w14:paraId="0FA43496" w14:textId="6888CCA0"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08B8EEE8" w14:textId="731F3795"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39B1E82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792366D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糖尿病专科</w:t>
            </w:r>
          </w:p>
        </w:tc>
        <w:tc>
          <w:tcPr>
            <w:tcW w:w="304" w:type="pct"/>
            <w:tcBorders>
              <w:top w:val="single" w:sz="2" w:space="0" w:color="auto"/>
              <w:left w:val="single" w:sz="2" w:space="0" w:color="auto"/>
              <w:bottom w:val="single" w:sz="2" w:space="0" w:color="auto"/>
              <w:right w:val="single" w:sz="2" w:space="0" w:color="auto"/>
            </w:tcBorders>
            <w:vAlign w:val="center"/>
          </w:tcPr>
          <w:p w14:paraId="5E2D6E65"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0FF0F15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29671F26"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3F6D8F32"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4AF350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长沙稳糖健康管理有限公司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009191D4"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7DA7AC62" w14:textId="631EF1D6"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6B942E7B" w14:textId="29820FDF"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2EC814EE"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4CD7B13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零售</w:t>
            </w:r>
          </w:p>
        </w:tc>
        <w:tc>
          <w:tcPr>
            <w:tcW w:w="304" w:type="pct"/>
            <w:tcBorders>
              <w:top w:val="single" w:sz="2" w:space="0" w:color="auto"/>
              <w:left w:val="single" w:sz="2" w:space="0" w:color="auto"/>
              <w:bottom w:val="single" w:sz="2" w:space="0" w:color="auto"/>
              <w:right w:val="single" w:sz="2" w:space="0" w:color="auto"/>
            </w:tcBorders>
            <w:vAlign w:val="center"/>
          </w:tcPr>
          <w:p w14:paraId="09B6AB7B"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3FDD4402"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2686CEA7"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596C3C43"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E86711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长沙甜蜜医联网络科技有限公司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56ADF831"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200,000.00</w:t>
            </w:r>
          </w:p>
        </w:tc>
        <w:tc>
          <w:tcPr>
            <w:tcW w:w="356" w:type="pct"/>
            <w:tcBorders>
              <w:top w:val="single" w:sz="2" w:space="0" w:color="auto"/>
              <w:left w:val="single" w:sz="2" w:space="0" w:color="auto"/>
              <w:bottom w:val="single" w:sz="2" w:space="0" w:color="auto"/>
              <w:right w:val="single" w:sz="2" w:space="0" w:color="auto"/>
            </w:tcBorders>
            <w:vAlign w:val="center"/>
          </w:tcPr>
          <w:p w14:paraId="56D08FD7" w14:textId="3530852C"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6B175267" w14:textId="248D2BA8"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78C13B1E"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2805D7E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0339537A"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4944218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55C6DFF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3ED65498"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9366E7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PTS  Diagnostics India Private</w:t>
            </w:r>
          </w:p>
          <w:p w14:paraId="08377A6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Limited</w:t>
            </w:r>
          </w:p>
        </w:tc>
        <w:tc>
          <w:tcPr>
            <w:tcW w:w="506" w:type="pct"/>
            <w:tcBorders>
              <w:top w:val="single" w:sz="2" w:space="0" w:color="auto"/>
              <w:left w:val="single" w:sz="2" w:space="0" w:color="auto"/>
              <w:bottom w:val="single" w:sz="2" w:space="0" w:color="auto"/>
              <w:right w:val="single" w:sz="2" w:space="0" w:color="auto"/>
            </w:tcBorders>
            <w:vAlign w:val="center"/>
          </w:tcPr>
          <w:p w14:paraId="535FB8B4" w14:textId="45E25388"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w:t>
            </w:r>
          </w:p>
        </w:tc>
        <w:tc>
          <w:tcPr>
            <w:tcW w:w="356" w:type="pct"/>
            <w:tcBorders>
              <w:top w:val="single" w:sz="2" w:space="0" w:color="auto"/>
              <w:left w:val="single" w:sz="2" w:space="0" w:color="auto"/>
              <w:bottom w:val="single" w:sz="2" w:space="0" w:color="auto"/>
              <w:right w:val="single" w:sz="2" w:space="0" w:color="auto"/>
            </w:tcBorders>
            <w:vAlign w:val="center"/>
          </w:tcPr>
          <w:p w14:paraId="019FD01D" w14:textId="21F82673" w:rsidR="00274311" w:rsidRPr="00B243EA" w:rsidRDefault="003140ED"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印度卢比</w:t>
            </w:r>
          </w:p>
        </w:tc>
        <w:tc>
          <w:tcPr>
            <w:tcW w:w="600" w:type="pct"/>
            <w:tcBorders>
              <w:top w:val="single" w:sz="2" w:space="0" w:color="auto"/>
              <w:left w:val="single" w:sz="2" w:space="0" w:color="auto"/>
              <w:bottom w:val="single" w:sz="2" w:space="0" w:color="auto"/>
              <w:right w:val="single" w:sz="2" w:space="0" w:color="auto"/>
            </w:tcBorders>
            <w:vAlign w:val="center"/>
          </w:tcPr>
          <w:p w14:paraId="1A3DB1D3" w14:textId="1A2B13B5"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印度班加罗尔</w:t>
            </w:r>
          </w:p>
        </w:tc>
        <w:tc>
          <w:tcPr>
            <w:tcW w:w="601" w:type="pct"/>
            <w:tcBorders>
              <w:top w:val="single" w:sz="2" w:space="0" w:color="auto"/>
              <w:left w:val="single" w:sz="2" w:space="0" w:color="auto"/>
              <w:bottom w:val="single" w:sz="2" w:space="0" w:color="auto"/>
              <w:right w:val="single" w:sz="2" w:space="0" w:color="auto"/>
            </w:tcBorders>
            <w:vAlign w:val="center"/>
          </w:tcPr>
          <w:p w14:paraId="4BDBBCB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印度班加罗尔</w:t>
            </w:r>
          </w:p>
        </w:tc>
        <w:tc>
          <w:tcPr>
            <w:tcW w:w="547" w:type="pct"/>
            <w:tcBorders>
              <w:top w:val="single" w:sz="2" w:space="0" w:color="auto"/>
              <w:left w:val="single" w:sz="2" w:space="0" w:color="auto"/>
              <w:bottom w:val="single" w:sz="2" w:space="0" w:color="auto"/>
              <w:right w:val="single" w:sz="2" w:space="0" w:color="auto"/>
            </w:tcBorders>
            <w:vAlign w:val="center"/>
          </w:tcPr>
          <w:p w14:paraId="47E3F39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医疗器械</w:t>
            </w:r>
          </w:p>
        </w:tc>
        <w:tc>
          <w:tcPr>
            <w:tcW w:w="304" w:type="pct"/>
            <w:tcBorders>
              <w:top w:val="single" w:sz="2" w:space="0" w:color="auto"/>
              <w:left w:val="single" w:sz="2" w:space="0" w:color="auto"/>
              <w:bottom w:val="single" w:sz="2" w:space="0" w:color="auto"/>
              <w:right w:val="single" w:sz="2" w:space="0" w:color="auto"/>
            </w:tcBorders>
            <w:vAlign w:val="center"/>
          </w:tcPr>
          <w:p w14:paraId="0F043D99"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04" w:type="pct"/>
            <w:tcBorders>
              <w:top w:val="single" w:sz="2" w:space="0" w:color="auto"/>
              <w:left w:val="single" w:sz="2" w:space="0" w:color="auto"/>
              <w:bottom w:val="single" w:sz="2" w:space="0" w:color="auto"/>
              <w:right w:val="single" w:sz="2" w:space="0" w:color="auto"/>
            </w:tcBorders>
            <w:vAlign w:val="center"/>
          </w:tcPr>
          <w:p w14:paraId="30BBDF57"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3273CE6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7D133A8F"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66B9DF7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长沙三诺医学检验有限公司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03BF3ABE"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8,000,000.00</w:t>
            </w:r>
          </w:p>
        </w:tc>
        <w:tc>
          <w:tcPr>
            <w:tcW w:w="356" w:type="pct"/>
            <w:tcBorders>
              <w:top w:val="single" w:sz="2" w:space="0" w:color="auto"/>
              <w:left w:val="single" w:sz="2" w:space="0" w:color="auto"/>
              <w:bottom w:val="single" w:sz="2" w:space="0" w:color="auto"/>
              <w:right w:val="single" w:sz="2" w:space="0" w:color="auto"/>
            </w:tcBorders>
            <w:vAlign w:val="center"/>
          </w:tcPr>
          <w:p w14:paraId="6A111C45" w14:textId="2049B87F"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5A3D4252" w14:textId="6AFF955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7B261F9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009637C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医学检测</w:t>
            </w:r>
          </w:p>
        </w:tc>
        <w:tc>
          <w:tcPr>
            <w:tcW w:w="304" w:type="pct"/>
            <w:tcBorders>
              <w:top w:val="single" w:sz="2" w:space="0" w:color="auto"/>
              <w:left w:val="single" w:sz="2" w:space="0" w:color="auto"/>
              <w:bottom w:val="single" w:sz="2" w:space="0" w:color="auto"/>
              <w:right w:val="single" w:sz="2" w:space="0" w:color="auto"/>
            </w:tcBorders>
            <w:vAlign w:val="center"/>
          </w:tcPr>
          <w:p w14:paraId="1DE76E72"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04" w:type="pct"/>
            <w:tcBorders>
              <w:top w:val="single" w:sz="2" w:space="0" w:color="auto"/>
              <w:left w:val="single" w:sz="2" w:space="0" w:color="auto"/>
              <w:bottom w:val="single" w:sz="2" w:space="0" w:color="auto"/>
              <w:right w:val="single" w:sz="2" w:space="0" w:color="auto"/>
            </w:tcBorders>
            <w:vAlign w:val="center"/>
          </w:tcPr>
          <w:p w14:paraId="5284BD04"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4954313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407F7692"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A992F2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东莞一测科技有限公司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61B226AF"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10,000,000.00</w:t>
            </w:r>
          </w:p>
        </w:tc>
        <w:tc>
          <w:tcPr>
            <w:tcW w:w="356" w:type="pct"/>
            <w:tcBorders>
              <w:top w:val="single" w:sz="2" w:space="0" w:color="auto"/>
              <w:left w:val="single" w:sz="2" w:space="0" w:color="auto"/>
              <w:bottom w:val="single" w:sz="2" w:space="0" w:color="auto"/>
              <w:right w:val="single" w:sz="2" w:space="0" w:color="auto"/>
            </w:tcBorders>
            <w:vAlign w:val="center"/>
          </w:tcPr>
          <w:p w14:paraId="35BC4991" w14:textId="4737A093"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0A82E0D1" w14:textId="2D767D93"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广东东莞</w:t>
            </w:r>
          </w:p>
        </w:tc>
        <w:tc>
          <w:tcPr>
            <w:tcW w:w="601" w:type="pct"/>
            <w:tcBorders>
              <w:top w:val="single" w:sz="2" w:space="0" w:color="auto"/>
              <w:left w:val="single" w:sz="2" w:space="0" w:color="auto"/>
              <w:bottom w:val="single" w:sz="2" w:space="0" w:color="auto"/>
              <w:right w:val="single" w:sz="2" w:space="0" w:color="auto"/>
            </w:tcBorders>
            <w:vAlign w:val="center"/>
          </w:tcPr>
          <w:p w14:paraId="59F77237"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广东东莞</w:t>
            </w:r>
          </w:p>
        </w:tc>
        <w:tc>
          <w:tcPr>
            <w:tcW w:w="547" w:type="pct"/>
            <w:tcBorders>
              <w:top w:val="single" w:sz="2" w:space="0" w:color="auto"/>
              <w:left w:val="single" w:sz="2" w:space="0" w:color="auto"/>
              <w:bottom w:val="single" w:sz="2" w:space="0" w:color="auto"/>
              <w:right w:val="single" w:sz="2" w:space="0" w:color="auto"/>
            </w:tcBorders>
            <w:vAlign w:val="center"/>
          </w:tcPr>
          <w:p w14:paraId="04E57BF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医疗器械</w:t>
            </w:r>
          </w:p>
        </w:tc>
        <w:tc>
          <w:tcPr>
            <w:tcW w:w="304" w:type="pct"/>
            <w:tcBorders>
              <w:top w:val="single" w:sz="2" w:space="0" w:color="auto"/>
              <w:left w:val="single" w:sz="2" w:space="0" w:color="auto"/>
              <w:bottom w:val="single" w:sz="2" w:space="0" w:color="auto"/>
              <w:right w:val="single" w:sz="2" w:space="0" w:color="auto"/>
            </w:tcBorders>
            <w:vAlign w:val="center"/>
          </w:tcPr>
          <w:p w14:paraId="72D1F10C"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66.50%</w:t>
            </w:r>
          </w:p>
        </w:tc>
        <w:tc>
          <w:tcPr>
            <w:tcW w:w="304" w:type="pct"/>
            <w:tcBorders>
              <w:top w:val="single" w:sz="2" w:space="0" w:color="auto"/>
              <w:left w:val="single" w:sz="2" w:space="0" w:color="auto"/>
              <w:bottom w:val="single" w:sz="2" w:space="0" w:color="auto"/>
              <w:right w:val="single" w:sz="2" w:space="0" w:color="auto"/>
            </w:tcBorders>
            <w:vAlign w:val="center"/>
          </w:tcPr>
          <w:p w14:paraId="7B194148"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12EA64F7"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667FE292"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5F08437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Sinocare  Healthcare  Philippines,Inc.</w:t>
            </w:r>
          </w:p>
        </w:tc>
        <w:tc>
          <w:tcPr>
            <w:tcW w:w="506" w:type="pct"/>
            <w:tcBorders>
              <w:top w:val="single" w:sz="2" w:space="0" w:color="auto"/>
              <w:left w:val="single" w:sz="2" w:space="0" w:color="auto"/>
              <w:bottom w:val="single" w:sz="2" w:space="0" w:color="auto"/>
              <w:right w:val="single" w:sz="2" w:space="0" w:color="auto"/>
            </w:tcBorders>
            <w:vAlign w:val="center"/>
          </w:tcPr>
          <w:p w14:paraId="5B1183CC" w14:textId="4D55F1CC"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11,000,000.00</w:t>
            </w:r>
          </w:p>
        </w:tc>
        <w:tc>
          <w:tcPr>
            <w:tcW w:w="356" w:type="pct"/>
            <w:tcBorders>
              <w:top w:val="single" w:sz="2" w:space="0" w:color="auto"/>
              <w:left w:val="single" w:sz="2" w:space="0" w:color="auto"/>
              <w:bottom w:val="single" w:sz="2" w:space="0" w:color="auto"/>
              <w:right w:val="single" w:sz="2" w:space="0" w:color="auto"/>
            </w:tcBorders>
            <w:vAlign w:val="center"/>
          </w:tcPr>
          <w:p w14:paraId="4342E48A" w14:textId="207AD24E" w:rsidR="00274311" w:rsidRPr="00B243EA" w:rsidRDefault="003140ED"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菲律宾比索</w:t>
            </w:r>
          </w:p>
        </w:tc>
        <w:tc>
          <w:tcPr>
            <w:tcW w:w="600" w:type="pct"/>
            <w:tcBorders>
              <w:top w:val="single" w:sz="2" w:space="0" w:color="auto"/>
              <w:left w:val="single" w:sz="2" w:space="0" w:color="auto"/>
              <w:bottom w:val="single" w:sz="2" w:space="0" w:color="auto"/>
              <w:right w:val="single" w:sz="2" w:space="0" w:color="auto"/>
            </w:tcBorders>
            <w:vAlign w:val="center"/>
          </w:tcPr>
          <w:p w14:paraId="49FA1934" w14:textId="135F1F5D"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菲律宾马卡蒂市</w:t>
            </w:r>
          </w:p>
        </w:tc>
        <w:tc>
          <w:tcPr>
            <w:tcW w:w="601" w:type="pct"/>
            <w:tcBorders>
              <w:top w:val="single" w:sz="2" w:space="0" w:color="auto"/>
              <w:left w:val="single" w:sz="2" w:space="0" w:color="auto"/>
              <w:bottom w:val="single" w:sz="2" w:space="0" w:color="auto"/>
              <w:right w:val="single" w:sz="2" w:space="0" w:color="auto"/>
            </w:tcBorders>
            <w:vAlign w:val="center"/>
          </w:tcPr>
          <w:p w14:paraId="1AA5AF8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菲律宾马卡蒂市</w:t>
            </w:r>
          </w:p>
        </w:tc>
        <w:tc>
          <w:tcPr>
            <w:tcW w:w="547" w:type="pct"/>
            <w:tcBorders>
              <w:top w:val="single" w:sz="2" w:space="0" w:color="auto"/>
              <w:left w:val="single" w:sz="2" w:space="0" w:color="auto"/>
              <w:bottom w:val="single" w:sz="2" w:space="0" w:color="auto"/>
              <w:right w:val="single" w:sz="2" w:space="0" w:color="auto"/>
            </w:tcBorders>
            <w:vAlign w:val="center"/>
          </w:tcPr>
          <w:p w14:paraId="614C1E3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投资及贸易</w:t>
            </w:r>
          </w:p>
        </w:tc>
        <w:tc>
          <w:tcPr>
            <w:tcW w:w="304" w:type="pct"/>
            <w:tcBorders>
              <w:top w:val="single" w:sz="2" w:space="0" w:color="auto"/>
              <w:left w:val="single" w:sz="2" w:space="0" w:color="auto"/>
              <w:bottom w:val="single" w:sz="2" w:space="0" w:color="auto"/>
              <w:right w:val="single" w:sz="2" w:space="0" w:color="auto"/>
            </w:tcBorders>
            <w:vAlign w:val="center"/>
          </w:tcPr>
          <w:p w14:paraId="402F2E91"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99.00%</w:t>
            </w:r>
          </w:p>
        </w:tc>
        <w:tc>
          <w:tcPr>
            <w:tcW w:w="304" w:type="pct"/>
            <w:tcBorders>
              <w:top w:val="single" w:sz="2" w:space="0" w:color="auto"/>
              <w:left w:val="single" w:sz="2" w:space="0" w:color="auto"/>
              <w:bottom w:val="single" w:sz="2" w:space="0" w:color="auto"/>
              <w:right w:val="single" w:sz="2" w:space="0" w:color="auto"/>
            </w:tcBorders>
            <w:vAlign w:val="center"/>
          </w:tcPr>
          <w:p w14:paraId="6D1A58AC"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w:t>
            </w:r>
          </w:p>
        </w:tc>
        <w:tc>
          <w:tcPr>
            <w:tcW w:w="356" w:type="pct"/>
            <w:tcBorders>
              <w:top w:val="single" w:sz="2" w:space="0" w:color="auto"/>
              <w:left w:val="single" w:sz="2" w:space="0" w:color="auto"/>
              <w:bottom w:val="single" w:sz="2" w:space="0" w:color="auto"/>
              <w:right w:val="single" w:sz="2" w:space="0" w:color="auto"/>
            </w:tcBorders>
            <w:vAlign w:val="center"/>
          </w:tcPr>
          <w:p w14:paraId="26C8C32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262B0E0B"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C0DE66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长沙福诺医疗科技有限公司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0C4BAB3F"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90,000,000.00</w:t>
            </w:r>
          </w:p>
        </w:tc>
        <w:tc>
          <w:tcPr>
            <w:tcW w:w="356" w:type="pct"/>
            <w:tcBorders>
              <w:top w:val="single" w:sz="2" w:space="0" w:color="auto"/>
              <w:left w:val="single" w:sz="2" w:space="0" w:color="auto"/>
              <w:bottom w:val="single" w:sz="2" w:space="0" w:color="auto"/>
              <w:right w:val="single" w:sz="2" w:space="0" w:color="auto"/>
            </w:tcBorders>
            <w:vAlign w:val="center"/>
          </w:tcPr>
          <w:p w14:paraId="3C044AFF" w14:textId="012AEB3B"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4DF55678" w14:textId="78464CFC"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5803177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09A8940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医疗器械</w:t>
            </w:r>
          </w:p>
        </w:tc>
        <w:tc>
          <w:tcPr>
            <w:tcW w:w="304" w:type="pct"/>
            <w:tcBorders>
              <w:top w:val="single" w:sz="2" w:space="0" w:color="auto"/>
              <w:left w:val="single" w:sz="2" w:space="0" w:color="auto"/>
              <w:bottom w:val="single" w:sz="2" w:space="0" w:color="auto"/>
              <w:right w:val="single" w:sz="2" w:space="0" w:color="auto"/>
            </w:tcBorders>
            <w:vAlign w:val="center"/>
          </w:tcPr>
          <w:p w14:paraId="23431820"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60.00%</w:t>
            </w:r>
          </w:p>
        </w:tc>
        <w:tc>
          <w:tcPr>
            <w:tcW w:w="304" w:type="pct"/>
            <w:tcBorders>
              <w:top w:val="single" w:sz="2" w:space="0" w:color="auto"/>
              <w:left w:val="single" w:sz="2" w:space="0" w:color="auto"/>
              <w:bottom w:val="single" w:sz="2" w:space="0" w:color="auto"/>
              <w:right w:val="single" w:sz="2" w:space="0" w:color="auto"/>
            </w:tcBorders>
            <w:vAlign w:val="center"/>
          </w:tcPr>
          <w:p w14:paraId="60013FB7"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2AF6433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45B4AF5A"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6F5A66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长沙心诺健康产业投资有限公司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58FE805C"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133,906,667.00</w:t>
            </w:r>
          </w:p>
        </w:tc>
        <w:tc>
          <w:tcPr>
            <w:tcW w:w="356" w:type="pct"/>
            <w:tcBorders>
              <w:top w:val="single" w:sz="2" w:space="0" w:color="auto"/>
              <w:left w:val="single" w:sz="2" w:space="0" w:color="auto"/>
              <w:bottom w:val="single" w:sz="2" w:space="0" w:color="auto"/>
              <w:right w:val="single" w:sz="2" w:space="0" w:color="auto"/>
            </w:tcBorders>
            <w:vAlign w:val="center"/>
          </w:tcPr>
          <w:p w14:paraId="0E09A6A8" w14:textId="668EF8BE"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368F1E51" w14:textId="0BBDDE66"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2B8ADB8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091566B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投资及贸易</w:t>
            </w:r>
          </w:p>
        </w:tc>
        <w:tc>
          <w:tcPr>
            <w:tcW w:w="304" w:type="pct"/>
            <w:tcBorders>
              <w:top w:val="single" w:sz="2" w:space="0" w:color="auto"/>
              <w:left w:val="single" w:sz="2" w:space="0" w:color="auto"/>
              <w:bottom w:val="single" w:sz="2" w:space="0" w:color="auto"/>
              <w:right w:val="single" w:sz="2" w:space="0" w:color="auto"/>
            </w:tcBorders>
            <w:vAlign w:val="center"/>
          </w:tcPr>
          <w:p w14:paraId="15119687"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04" w:type="pct"/>
            <w:tcBorders>
              <w:top w:val="single" w:sz="2" w:space="0" w:color="auto"/>
              <w:left w:val="single" w:sz="2" w:space="0" w:color="auto"/>
              <w:bottom w:val="single" w:sz="2" w:space="0" w:color="auto"/>
              <w:right w:val="single" w:sz="2" w:space="0" w:color="auto"/>
            </w:tcBorders>
            <w:vAlign w:val="center"/>
          </w:tcPr>
          <w:p w14:paraId="5EC8870B"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4DF18E3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0B875577"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020529F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Health Inc.</w:t>
            </w:r>
          </w:p>
        </w:tc>
        <w:tc>
          <w:tcPr>
            <w:tcW w:w="506" w:type="pct"/>
            <w:tcBorders>
              <w:top w:val="single" w:sz="2" w:space="0" w:color="auto"/>
              <w:left w:val="single" w:sz="2" w:space="0" w:color="auto"/>
              <w:bottom w:val="single" w:sz="2" w:space="0" w:color="auto"/>
              <w:right w:val="single" w:sz="2" w:space="0" w:color="auto"/>
            </w:tcBorders>
            <w:vAlign w:val="center"/>
          </w:tcPr>
          <w:p w14:paraId="1B283AE8" w14:textId="1E969A2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w:t>
            </w:r>
          </w:p>
        </w:tc>
        <w:tc>
          <w:tcPr>
            <w:tcW w:w="356" w:type="pct"/>
            <w:tcBorders>
              <w:top w:val="single" w:sz="2" w:space="0" w:color="auto"/>
              <w:left w:val="single" w:sz="2" w:space="0" w:color="auto"/>
              <w:bottom w:val="single" w:sz="2" w:space="0" w:color="auto"/>
              <w:right w:val="single" w:sz="2" w:space="0" w:color="auto"/>
            </w:tcBorders>
            <w:vAlign w:val="center"/>
          </w:tcPr>
          <w:p w14:paraId="14FC51A5" w14:textId="54BDD65E" w:rsidR="00274311" w:rsidRPr="00B243EA" w:rsidRDefault="003140ED"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美元</w:t>
            </w:r>
          </w:p>
        </w:tc>
        <w:tc>
          <w:tcPr>
            <w:tcW w:w="600" w:type="pct"/>
            <w:tcBorders>
              <w:top w:val="single" w:sz="2" w:space="0" w:color="auto"/>
              <w:left w:val="single" w:sz="2" w:space="0" w:color="auto"/>
              <w:bottom w:val="single" w:sz="2" w:space="0" w:color="auto"/>
              <w:right w:val="single" w:sz="2" w:space="0" w:color="auto"/>
            </w:tcBorders>
            <w:vAlign w:val="center"/>
          </w:tcPr>
          <w:p w14:paraId="71689D03" w14:textId="234B25F8"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601" w:type="pct"/>
            <w:tcBorders>
              <w:top w:val="single" w:sz="2" w:space="0" w:color="auto"/>
              <w:left w:val="single" w:sz="2" w:space="0" w:color="auto"/>
              <w:bottom w:val="single" w:sz="2" w:space="0" w:color="auto"/>
              <w:right w:val="single" w:sz="2" w:space="0" w:color="auto"/>
            </w:tcBorders>
            <w:vAlign w:val="center"/>
          </w:tcPr>
          <w:p w14:paraId="555C7EE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美国特拉华州</w:t>
            </w:r>
          </w:p>
        </w:tc>
        <w:tc>
          <w:tcPr>
            <w:tcW w:w="547" w:type="pct"/>
            <w:tcBorders>
              <w:top w:val="single" w:sz="2" w:space="0" w:color="auto"/>
              <w:left w:val="single" w:sz="2" w:space="0" w:color="auto"/>
              <w:bottom w:val="single" w:sz="2" w:space="0" w:color="auto"/>
              <w:right w:val="single" w:sz="2" w:space="0" w:color="auto"/>
            </w:tcBorders>
            <w:vAlign w:val="center"/>
          </w:tcPr>
          <w:p w14:paraId="587DB68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制造生产</w:t>
            </w:r>
          </w:p>
        </w:tc>
        <w:tc>
          <w:tcPr>
            <w:tcW w:w="304" w:type="pct"/>
            <w:tcBorders>
              <w:top w:val="single" w:sz="2" w:space="0" w:color="auto"/>
              <w:left w:val="single" w:sz="2" w:space="0" w:color="auto"/>
              <w:bottom w:val="single" w:sz="2" w:space="0" w:color="auto"/>
              <w:right w:val="single" w:sz="2" w:space="0" w:color="auto"/>
            </w:tcBorders>
            <w:vAlign w:val="center"/>
          </w:tcPr>
          <w:p w14:paraId="69D0BCAC"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07E30BF2"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2C4E074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60130F2F"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6271E6C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Manufacturing Solutions, Inc.</w:t>
            </w:r>
          </w:p>
        </w:tc>
        <w:tc>
          <w:tcPr>
            <w:tcW w:w="506" w:type="pct"/>
            <w:tcBorders>
              <w:top w:val="single" w:sz="2" w:space="0" w:color="auto"/>
              <w:left w:val="single" w:sz="2" w:space="0" w:color="auto"/>
              <w:bottom w:val="single" w:sz="2" w:space="0" w:color="auto"/>
              <w:right w:val="single" w:sz="2" w:space="0" w:color="auto"/>
            </w:tcBorders>
            <w:vAlign w:val="center"/>
          </w:tcPr>
          <w:p w14:paraId="46AFA92D"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3824FD06" w14:textId="75A49DAF"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5BF9FC5C" w14:textId="2ED4E369"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美国新罕布什尔州</w:t>
            </w:r>
          </w:p>
        </w:tc>
        <w:tc>
          <w:tcPr>
            <w:tcW w:w="601" w:type="pct"/>
            <w:tcBorders>
              <w:top w:val="single" w:sz="2" w:space="0" w:color="auto"/>
              <w:left w:val="single" w:sz="2" w:space="0" w:color="auto"/>
              <w:bottom w:val="single" w:sz="2" w:space="0" w:color="auto"/>
              <w:right w:val="single" w:sz="2" w:space="0" w:color="auto"/>
            </w:tcBorders>
            <w:vAlign w:val="center"/>
          </w:tcPr>
          <w:p w14:paraId="20534D8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美国新罕布什尔州</w:t>
            </w:r>
          </w:p>
        </w:tc>
        <w:tc>
          <w:tcPr>
            <w:tcW w:w="547" w:type="pct"/>
            <w:tcBorders>
              <w:top w:val="single" w:sz="2" w:space="0" w:color="auto"/>
              <w:left w:val="single" w:sz="2" w:space="0" w:color="auto"/>
              <w:bottom w:val="single" w:sz="2" w:space="0" w:color="auto"/>
              <w:right w:val="single" w:sz="2" w:space="0" w:color="auto"/>
            </w:tcBorders>
            <w:vAlign w:val="center"/>
          </w:tcPr>
          <w:p w14:paraId="36D23AC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制造生产</w:t>
            </w:r>
          </w:p>
        </w:tc>
        <w:tc>
          <w:tcPr>
            <w:tcW w:w="304" w:type="pct"/>
            <w:tcBorders>
              <w:top w:val="single" w:sz="2" w:space="0" w:color="auto"/>
              <w:left w:val="single" w:sz="2" w:space="0" w:color="auto"/>
              <w:bottom w:val="single" w:sz="2" w:space="0" w:color="auto"/>
              <w:right w:val="single" w:sz="2" w:space="0" w:color="auto"/>
            </w:tcBorders>
            <w:vAlign w:val="center"/>
          </w:tcPr>
          <w:p w14:paraId="3A253B4F"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416111D4"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43F5BA7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17233F7E"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8E7543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Meditech, LLC.</w:t>
            </w:r>
          </w:p>
        </w:tc>
        <w:tc>
          <w:tcPr>
            <w:tcW w:w="506" w:type="pct"/>
            <w:tcBorders>
              <w:top w:val="single" w:sz="2" w:space="0" w:color="auto"/>
              <w:left w:val="single" w:sz="2" w:space="0" w:color="auto"/>
              <w:bottom w:val="single" w:sz="2" w:space="0" w:color="auto"/>
              <w:right w:val="single" w:sz="2" w:space="0" w:color="auto"/>
            </w:tcBorders>
            <w:vAlign w:val="center"/>
          </w:tcPr>
          <w:p w14:paraId="7D959FD5"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20EFB006" w14:textId="4742318B"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7021ABE2" w14:textId="7E0BACC3"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601" w:type="pct"/>
            <w:tcBorders>
              <w:top w:val="single" w:sz="2" w:space="0" w:color="auto"/>
              <w:left w:val="single" w:sz="2" w:space="0" w:color="auto"/>
              <w:bottom w:val="single" w:sz="2" w:space="0" w:color="auto"/>
              <w:right w:val="single" w:sz="2" w:space="0" w:color="auto"/>
            </w:tcBorders>
            <w:vAlign w:val="center"/>
          </w:tcPr>
          <w:p w14:paraId="56CBE08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547" w:type="pct"/>
            <w:tcBorders>
              <w:top w:val="single" w:sz="2" w:space="0" w:color="auto"/>
              <w:left w:val="single" w:sz="2" w:space="0" w:color="auto"/>
              <w:bottom w:val="single" w:sz="2" w:space="0" w:color="auto"/>
              <w:right w:val="single" w:sz="2" w:space="0" w:color="auto"/>
            </w:tcBorders>
            <w:vAlign w:val="center"/>
          </w:tcPr>
          <w:p w14:paraId="66719CBE"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制造生产</w:t>
            </w:r>
          </w:p>
        </w:tc>
        <w:tc>
          <w:tcPr>
            <w:tcW w:w="304" w:type="pct"/>
            <w:tcBorders>
              <w:top w:val="single" w:sz="2" w:space="0" w:color="auto"/>
              <w:left w:val="single" w:sz="2" w:space="0" w:color="auto"/>
              <w:bottom w:val="single" w:sz="2" w:space="0" w:color="auto"/>
              <w:right w:val="single" w:sz="2" w:space="0" w:color="auto"/>
            </w:tcBorders>
            <w:vAlign w:val="center"/>
          </w:tcPr>
          <w:p w14:paraId="2F970EF9"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51263A27"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4291BFE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59B16055"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E5A2C7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Healthcare Systems, LLC.</w:t>
            </w:r>
          </w:p>
        </w:tc>
        <w:tc>
          <w:tcPr>
            <w:tcW w:w="506" w:type="pct"/>
            <w:tcBorders>
              <w:top w:val="single" w:sz="2" w:space="0" w:color="auto"/>
              <w:left w:val="single" w:sz="2" w:space="0" w:color="auto"/>
              <w:bottom w:val="single" w:sz="2" w:space="0" w:color="auto"/>
              <w:right w:val="single" w:sz="2" w:space="0" w:color="auto"/>
            </w:tcBorders>
            <w:vAlign w:val="center"/>
          </w:tcPr>
          <w:p w14:paraId="746864A2"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187A1AD7" w14:textId="51737BC9"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63E99CC6" w14:textId="2640A156"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601" w:type="pct"/>
            <w:tcBorders>
              <w:top w:val="single" w:sz="2" w:space="0" w:color="auto"/>
              <w:left w:val="single" w:sz="2" w:space="0" w:color="auto"/>
              <w:bottom w:val="single" w:sz="2" w:space="0" w:color="auto"/>
              <w:right w:val="single" w:sz="2" w:space="0" w:color="auto"/>
            </w:tcBorders>
            <w:vAlign w:val="center"/>
          </w:tcPr>
          <w:p w14:paraId="143056F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547" w:type="pct"/>
            <w:tcBorders>
              <w:top w:val="single" w:sz="2" w:space="0" w:color="auto"/>
              <w:left w:val="single" w:sz="2" w:space="0" w:color="auto"/>
              <w:bottom w:val="single" w:sz="2" w:space="0" w:color="auto"/>
              <w:right w:val="single" w:sz="2" w:space="0" w:color="auto"/>
            </w:tcBorders>
            <w:vAlign w:val="center"/>
          </w:tcPr>
          <w:p w14:paraId="1D83E41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研发</w:t>
            </w:r>
          </w:p>
        </w:tc>
        <w:tc>
          <w:tcPr>
            <w:tcW w:w="304" w:type="pct"/>
            <w:tcBorders>
              <w:top w:val="single" w:sz="2" w:space="0" w:color="auto"/>
              <w:left w:val="single" w:sz="2" w:space="0" w:color="auto"/>
              <w:bottom w:val="single" w:sz="2" w:space="0" w:color="auto"/>
              <w:right w:val="single" w:sz="2" w:space="0" w:color="auto"/>
            </w:tcBorders>
            <w:vAlign w:val="center"/>
          </w:tcPr>
          <w:p w14:paraId="67D23B51"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073A810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6A747A8D"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3F6387F3"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C85411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台湾三伟达医疗器材股份有限公司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3F1F176D" w14:textId="1348DA55"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63,000,000.00</w:t>
            </w:r>
          </w:p>
        </w:tc>
        <w:tc>
          <w:tcPr>
            <w:tcW w:w="356" w:type="pct"/>
            <w:tcBorders>
              <w:top w:val="single" w:sz="2" w:space="0" w:color="auto"/>
              <w:left w:val="single" w:sz="2" w:space="0" w:color="auto"/>
              <w:bottom w:val="single" w:sz="2" w:space="0" w:color="auto"/>
              <w:right w:val="single" w:sz="2" w:space="0" w:color="auto"/>
            </w:tcBorders>
            <w:vAlign w:val="center"/>
          </w:tcPr>
          <w:p w14:paraId="68A62BF4" w14:textId="70AC1058" w:rsidR="00274311" w:rsidRPr="00B243EA" w:rsidRDefault="003140ED"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新台币</w:t>
            </w:r>
          </w:p>
        </w:tc>
        <w:tc>
          <w:tcPr>
            <w:tcW w:w="600" w:type="pct"/>
            <w:tcBorders>
              <w:top w:val="single" w:sz="2" w:space="0" w:color="auto"/>
              <w:left w:val="single" w:sz="2" w:space="0" w:color="auto"/>
              <w:bottom w:val="single" w:sz="2" w:space="0" w:color="auto"/>
              <w:right w:val="single" w:sz="2" w:space="0" w:color="auto"/>
            </w:tcBorders>
            <w:vAlign w:val="center"/>
          </w:tcPr>
          <w:p w14:paraId="26D2850B" w14:textId="1F645F3B"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中国台湾</w:t>
            </w:r>
          </w:p>
        </w:tc>
        <w:tc>
          <w:tcPr>
            <w:tcW w:w="601" w:type="pct"/>
            <w:tcBorders>
              <w:top w:val="single" w:sz="2" w:space="0" w:color="auto"/>
              <w:left w:val="single" w:sz="2" w:space="0" w:color="auto"/>
              <w:bottom w:val="single" w:sz="2" w:space="0" w:color="auto"/>
              <w:right w:val="single" w:sz="2" w:space="0" w:color="auto"/>
            </w:tcBorders>
            <w:vAlign w:val="center"/>
          </w:tcPr>
          <w:p w14:paraId="7546C5A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中国台湾</w:t>
            </w:r>
          </w:p>
        </w:tc>
        <w:tc>
          <w:tcPr>
            <w:tcW w:w="547" w:type="pct"/>
            <w:tcBorders>
              <w:top w:val="single" w:sz="2" w:space="0" w:color="auto"/>
              <w:left w:val="single" w:sz="2" w:space="0" w:color="auto"/>
              <w:bottom w:val="single" w:sz="2" w:space="0" w:color="auto"/>
              <w:right w:val="single" w:sz="2" w:space="0" w:color="auto"/>
            </w:tcBorders>
            <w:vAlign w:val="center"/>
          </w:tcPr>
          <w:p w14:paraId="371A26A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制造生产</w:t>
            </w:r>
          </w:p>
        </w:tc>
        <w:tc>
          <w:tcPr>
            <w:tcW w:w="304" w:type="pct"/>
            <w:tcBorders>
              <w:top w:val="single" w:sz="2" w:space="0" w:color="auto"/>
              <w:left w:val="single" w:sz="2" w:space="0" w:color="auto"/>
              <w:bottom w:val="single" w:sz="2" w:space="0" w:color="auto"/>
              <w:right w:val="single" w:sz="2" w:space="0" w:color="auto"/>
            </w:tcBorders>
            <w:vAlign w:val="center"/>
          </w:tcPr>
          <w:p w14:paraId="014AE144"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30B0B171"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0593F753"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41FF24AE"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5DF89A6"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Health,Canada, Ltd.</w:t>
            </w:r>
          </w:p>
        </w:tc>
        <w:tc>
          <w:tcPr>
            <w:tcW w:w="506" w:type="pct"/>
            <w:tcBorders>
              <w:top w:val="single" w:sz="2" w:space="0" w:color="auto"/>
              <w:left w:val="single" w:sz="2" w:space="0" w:color="auto"/>
              <w:bottom w:val="single" w:sz="2" w:space="0" w:color="auto"/>
              <w:right w:val="single" w:sz="2" w:space="0" w:color="auto"/>
            </w:tcBorders>
            <w:vAlign w:val="center"/>
          </w:tcPr>
          <w:p w14:paraId="3BB0748B"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429D5BF9" w14:textId="594D871E"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7B73C269" w14:textId="49F12175"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加拿大安大略</w:t>
            </w:r>
          </w:p>
        </w:tc>
        <w:tc>
          <w:tcPr>
            <w:tcW w:w="601" w:type="pct"/>
            <w:tcBorders>
              <w:top w:val="single" w:sz="2" w:space="0" w:color="auto"/>
              <w:left w:val="single" w:sz="2" w:space="0" w:color="auto"/>
              <w:bottom w:val="single" w:sz="2" w:space="0" w:color="auto"/>
              <w:right w:val="single" w:sz="2" w:space="0" w:color="auto"/>
            </w:tcBorders>
            <w:vAlign w:val="center"/>
          </w:tcPr>
          <w:p w14:paraId="22F62A6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加拿大安大略</w:t>
            </w:r>
          </w:p>
        </w:tc>
        <w:tc>
          <w:tcPr>
            <w:tcW w:w="547" w:type="pct"/>
            <w:tcBorders>
              <w:top w:val="single" w:sz="2" w:space="0" w:color="auto"/>
              <w:left w:val="single" w:sz="2" w:space="0" w:color="auto"/>
              <w:bottom w:val="single" w:sz="2" w:space="0" w:color="auto"/>
              <w:right w:val="single" w:sz="2" w:space="0" w:color="auto"/>
            </w:tcBorders>
            <w:vAlign w:val="center"/>
          </w:tcPr>
          <w:p w14:paraId="58C6BA9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市场营销</w:t>
            </w:r>
          </w:p>
        </w:tc>
        <w:tc>
          <w:tcPr>
            <w:tcW w:w="304" w:type="pct"/>
            <w:tcBorders>
              <w:top w:val="single" w:sz="2" w:space="0" w:color="auto"/>
              <w:left w:val="single" w:sz="2" w:space="0" w:color="auto"/>
              <w:bottom w:val="single" w:sz="2" w:space="0" w:color="auto"/>
              <w:right w:val="single" w:sz="2" w:space="0" w:color="auto"/>
            </w:tcBorders>
            <w:vAlign w:val="center"/>
          </w:tcPr>
          <w:p w14:paraId="5AF02923"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4A670319"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6CEEB8A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47570347"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58604E7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Health Mexico,S De R.L. De CV</w:t>
            </w:r>
          </w:p>
        </w:tc>
        <w:tc>
          <w:tcPr>
            <w:tcW w:w="506" w:type="pct"/>
            <w:tcBorders>
              <w:top w:val="single" w:sz="2" w:space="0" w:color="auto"/>
              <w:left w:val="single" w:sz="2" w:space="0" w:color="auto"/>
              <w:bottom w:val="single" w:sz="2" w:space="0" w:color="auto"/>
              <w:right w:val="single" w:sz="2" w:space="0" w:color="auto"/>
            </w:tcBorders>
            <w:vAlign w:val="center"/>
          </w:tcPr>
          <w:p w14:paraId="01AE92CF"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4B0FC3E3" w14:textId="0E456F6E"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2142BA6F" w14:textId="29DE2A76"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墨西哥伊达尔戈州</w:t>
            </w:r>
          </w:p>
        </w:tc>
        <w:tc>
          <w:tcPr>
            <w:tcW w:w="601" w:type="pct"/>
            <w:tcBorders>
              <w:top w:val="single" w:sz="2" w:space="0" w:color="auto"/>
              <w:left w:val="single" w:sz="2" w:space="0" w:color="auto"/>
              <w:bottom w:val="single" w:sz="2" w:space="0" w:color="auto"/>
              <w:right w:val="single" w:sz="2" w:space="0" w:color="auto"/>
            </w:tcBorders>
            <w:vAlign w:val="center"/>
          </w:tcPr>
          <w:p w14:paraId="17F706C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墨西哥伊达尔戈州</w:t>
            </w:r>
          </w:p>
        </w:tc>
        <w:tc>
          <w:tcPr>
            <w:tcW w:w="547" w:type="pct"/>
            <w:tcBorders>
              <w:top w:val="single" w:sz="2" w:space="0" w:color="auto"/>
              <w:left w:val="single" w:sz="2" w:space="0" w:color="auto"/>
              <w:bottom w:val="single" w:sz="2" w:space="0" w:color="auto"/>
              <w:right w:val="single" w:sz="2" w:space="0" w:color="auto"/>
            </w:tcBorders>
            <w:vAlign w:val="center"/>
          </w:tcPr>
          <w:p w14:paraId="7ACAB6B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市场营销</w:t>
            </w:r>
          </w:p>
        </w:tc>
        <w:tc>
          <w:tcPr>
            <w:tcW w:w="304" w:type="pct"/>
            <w:tcBorders>
              <w:top w:val="single" w:sz="2" w:space="0" w:color="auto"/>
              <w:left w:val="single" w:sz="2" w:space="0" w:color="auto"/>
              <w:bottom w:val="single" w:sz="2" w:space="0" w:color="auto"/>
              <w:right w:val="single" w:sz="2" w:space="0" w:color="auto"/>
            </w:tcBorders>
            <w:vAlign w:val="center"/>
          </w:tcPr>
          <w:p w14:paraId="4DD132F9"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6D9D4ADA"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464D899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6D8753BA"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F2FC789"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Trividia Health UK Ltd</w:t>
            </w:r>
          </w:p>
        </w:tc>
        <w:tc>
          <w:tcPr>
            <w:tcW w:w="506" w:type="pct"/>
            <w:tcBorders>
              <w:top w:val="single" w:sz="2" w:space="0" w:color="auto"/>
              <w:left w:val="single" w:sz="2" w:space="0" w:color="auto"/>
              <w:bottom w:val="single" w:sz="2" w:space="0" w:color="auto"/>
              <w:right w:val="single" w:sz="2" w:space="0" w:color="auto"/>
            </w:tcBorders>
            <w:vAlign w:val="center"/>
          </w:tcPr>
          <w:p w14:paraId="7706B440"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00E5B1F1" w14:textId="18D08729"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573DE127" w14:textId="36DABF32"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英国伦敦</w:t>
            </w:r>
          </w:p>
        </w:tc>
        <w:tc>
          <w:tcPr>
            <w:tcW w:w="601" w:type="pct"/>
            <w:tcBorders>
              <w:top w:val="single" w:sz="2" w:space="0" w:color="auto"/>
              <w:left w:val="single" w:sz="2" w:space="0" w:color="auto"/>
              <w:bottom w:val="single" w:sz="2" w:space="0" w:color="auto"/>
              <w:right w:val="single" w:sz="2" w:space="0" w:color="auto"/>
            </w:tcBorders>
            <w:vAlign w:val="center"/>
          </w:tcPr>
          <w:p w14:paraId="7BF3703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英国伦敦</w:t>
            </w:r>
          </w:p>
        </w:tc>
        <w:tc>
          <w:tcPr>
            <w:tcW w:w="547" w:type="pct"/>
            <w:tcBorders>
              <w:top w:val="single" w:sz="2" w:space="0" w:color="auto"/>
              <w:left w:val="single" w:sz="2" w:space="0" w:color="auto"/>
              <w:bottom w:val="single" w:sz="2" w:space="0" w:color="auto"/>
              <w:right w:val="single" w:sz="2" w:space="0" w:color="auto"/>
            </w:tcBorders>
            <w:vAlign w:val="center"/>
          </w:tcPr>
          <w:p w14:paraId="45246F54"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市场营销</w:t>
            </w:r>
          </w:p>
        </w:tc>
        <w:tc>
          <w:tcPr>
            <w:tcW w:w="304" w:type="pct"/>
            <w:tcBorders>
              <w:top w:val="single" w:sz="2" w:space="0" w:color="auto"/>
              <w:left w:val="single" w:sz="2" w:space="0" w:color="auto"/>
              <w:bottom w:val="single" w:sz="2" w:space="0" w:color="auto"/>
              <w:right w:val="single" w:sz="2" w:space="0" w:color="auto"/>
            </w:tcBorders>
            <w:vAlign w:val="center"/>
          </w:tcPr>
          <w:p w14:paraId="21CFCDD9"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3C18B9A0"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1B96070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5CD8C05E"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136230A7"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NTH Brands, LLC.</w:t>
            </w:r>
          </w:p>
        </w:tc>
        <w:tc>
          <w:tcPr>
            <w:tcW w:w="506" w:type="pct"/>
            <w:tcBorders>
              <w:top w:val="single" w:sz="2" w:space="0" w:color="auto"/>
              <w:left w:val="single" w:sz="2" w:space="0" w:color="auto"/>
              <w:bottom w:val="single" w:sz="2" w:space="0" w:color="auto"/>
              <w:right w:val="single" w:sz="2" w:space="0" w:color="auto"/>
            </w:tcBorders>
            <w:vAlign w:val="center"/>
          </w:tcPr>
          <w:p w14:paraId="38F13B27"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10BB10E5" w14:textId="12DDEC37"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197721C2" w14:textId="06E816B0"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601" w:type="pct"/>
            <w:tcBorders>
              <w:top w:val="single" w:sz="2" w:space="0" w:color="auto"/>
              <w:left w:val="single" w:sz="2" w:space="0" w:color="auto"/>
              <w:bottom w:val="single" w:sz="2" w:space="0" w:color="auto"/>
              <w:right w:val="single" w:sz="2" w:space="0" w:color="auto"/>
            </w:tcBorders>
            <w:vAlign w:val="center"/>
          </w:tcPr>
          <w:p w14:paraId="0A56DA1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547" w:type="pct"/>
            <w:tcBorders>
              <w:top w:val="single" w:sz="2" w:space="0" w:color="auto"/>
              <w:left w:val="single" w:sz="2" w:space="0" w:color="auto"/>
              <w:bottom w:val="single" w:sz="2" w:space="0" w:color="auto"/>
              <w:right w:val="single" w:sz="2" w:space="0" w:color="auto"/>
            </w:tcBorders>
            <w:vAlign w:val="center"/>
          </w:tcPr>
          <w:p w14:paraId="40FA145A"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电子商务</w:t>
            </w:r>
          </w:p>
        </w:tc>
        <w:tc>
          <w:tcPr>
            <w:tcW w:w="304" w:type="pct"/>
            <w:tcBorders>
              <w:top w:val="single" w:sz="2" w:space="0" w:color="auto"/>
              <w:left w:val="single" w:sz="2" w:space="0" w:color="auto"/>
              <w:bottom w:val="single" w:sz="2" w:space="0" w:color="auto"/>
              <w:right w:val="single" w:sz="2" w:space="0" w:color="auto"/>
            </w:tcBorders>
            <w:vAlign w:val="center"/>
          </w:tcPr>
          <w:p w14:paraId="54EB92AA"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6C667905"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323D98E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217536CA"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758241CC"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TD Health, LLC.</w:t>
            </w:r>
          </w:p>
        </w:tc>
        <w:tc>
          <w:tcPr>
            <w:tcW w:w="506" w:type="pct"/>
            <w:tcBorders>
              <w:top w:val="single" w:sz="2" w:space="0" w:color="auto"/>
              <w:left w:val="single" w:sz="2" w:space="0" w:color="auto"/>
              <w:bottom w:val="single" w:sz="2" w:space="0" w:color="auto"/>
              <w:right w:val="single" w:sz="2" w:space="0" w:color="auto"/>
            </w:tcBorders>
            <w:vAlign w:val="center"/>
          </w:tcPr>
          <w:p w14:paraId="212330AA"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56" w:type="pct"/>
            <w:tcBorders>
              <w:top w:val="single" w:sz="2" w:space="0" w:color="auto"/>
              <w:left w:val="single" w:sz="2" w:space="0" w:color="auto"/>
              <w:bottom w:val="single" w:sz="2" w:space="0" w:color="auto"/>
              <w:right w:val="single" w:sz="2" w:space="0" w:color="auto"/>
            </w:tcBorders>
            <w:vAlign w:val="center"/>
          </w:tcPr>
          <w:p w14:paraId="2272D204" w14:textId="66BBB5EC" w:rsidR="00274311" w:rsidRPr="00B243EA" w:rsidRDefault="00274311" w:rsidP="00827A49">
            <w:pPr>
              <w:spacing w:line="360" w:lineRule="auto"/>
              <w:jc w:val="center"/>
              <w:rPr>
                <w:rFonts w:ascii="Times New Roman" w:eastAsia="宋体" w:hAnsi="Times New Roman" w:cs="Times New Roman"/>
                <w:sz w:val="18"/>
                <w:szCs w:val="18"/>
              </w:rPr>
            </w:pPr>
          </w:p>
        </w:tc>
        <w:tc>
          <w:tcPr>
            <w:tcW w:w="600" w:type="pct"/>
            <w:tcBorders>
              <w:top w:val="single" w:sz="2" w:space="0" w:color="auto"/>
              <w:left w:val="single" w:sz="2" w:space="0" w:color="auto"/>
              <w:bottom w:val="single" w:sz="2" w:space="0" w:color="auto"/>
              <w:right w:val="single" w:sz="2" w:space="0" w:color="auto"/>
            </w:tcBorders>
            <w:vAlign w:val="center"/>
          </w:tcPr>
          <w:p w14:paraId="5E0EADDE" w14:textId="7383CD95"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601" w:type="pct"/>
            <w:tcBorders>
              <w:top w:val="single" w:sz="2" w:space="0" w:color="auto"/>
              <w:left w:val="single" w:sz="2" w:space="0" w:color="auto"/>
              <w:bottom w:val="single" w:sz="2" w:space="0" w:color="auto"/>
              <w:right w:val="single" w:sz="2" w:space="0" w:color="auto"/>
            </w:tcBorders>
            <w:vAlign w:val="center"/>
          </w:tcPr>
          <w:p w14:paraId="7430FBC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美国佛罗里达州</w:t>
            </w:r>
          </w:p>
        </w:tc>
        <w:tc>
          <w:tcPr>
            <w:tcW w:w="547" w:type="pct"/>
            <w:tcBorders>
              <w:top w:val="single" w:sz="2" w:space="0" w:color="auto"/>
              <w:left w:val="single" w:sz="2" w:space="0" w:color="auto"/>
              <w:bottom w:val="single" w:sz="2" w:space="0" w:color="auto"/>
              <w:right w:val="single" w:sz="2" w:space="0" w:color="auto"/>
            </w:tcBorders>
            <w:vAlign w:val="center"/>
          </w:tcPr>
          <w:p w14:paraId="163720B7"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电子商务</w:t>
            </w:r>
          </w:p>
        </w:tc>
        <w:tc>
          <w:tcPr>
            <w:tcW w:w="304" w:type="pct"/>
            <w:tcBorders>
              <w:top w:val="single" w:sz="2" w:space="0" w:color="auto"/>
              <w:left w:val="single" w:sz="2" w:space="0" w:color="auto"/>
              <w:bottom w:val="single" w:sz="2" w:space="0" w:color="auto"/>
              <w:right w:val="single" w:sz="2" w:space="0" w:color="auto"/>
            </w:tcBorders>
            <w:vAlign w:val="center"/>
          </w:tcPr>
          <w:p w14:paraId="5BEEBADC"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70837478"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55.00%</w:t>
            </w:r>
          </w:p>
        </w:tc>
        <w:tc>
          <w:tcPr>
            <w:tcW w:w="356" w:type="pct"/>
            <w:tcBorders>
              <w:top w:val="single" w:sz="2" w:space="0" w:color="auto"/>
              <w:left w:val="single" w:sz="2" w:space="0" w:color="auto"/>
              <w:bottom w:val="single" w:sz="2" w:space="0" w:color="auto"/>
              <w:right w:val="single" w:sz="2" w:space="0" w:color="auto"/>
            </w:tcBorders>
            <w:vAlign w:val="center"/>
          </w:tcPr>
          <w:p w14:paraId="7E1804AB"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合并增加</w:t>
            </w:r>
          </w:p>
        </w:tc>
      </w:tr>
      <w:tr w:rsidR="00095F6F" w14:paraId="73C70FDA"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6BE44392"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长沙耘睿科技有限公司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2F011B05"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6B2CCFB6" w14:textId="714AA361"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587666B5" w14:textId="29EFAF82"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514F0A11"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6041FF9F"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5EF8619C"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79C57842"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27A36CF8"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r w:rsidR="00095F6F" w14:paraId="4D9BC198" w14:textId="77777777" w:rsidTr="00827A49">
        <w:trPr>
          <w:trHeight w:val="240"/>
        </w:trPr>
        <w:tc>
          <w:tcPr>
            <w:tcW w:w="1426" w:type="pct"/>
            <w:tcBorders>
              <w:top w:val="single" w:sz="2" w:space="0" w:color="auto"/>
              <w:left w:val="single" w:sz="2" w:space="0" w:color="auto"/>
              <w:bottom w:val="single" w:sz="2" w:space="0" w:color="auto"/>
              <w:right w:val="single" w:sz="2" w:space="0" w:color="auto"/>
            </w:tcBorders>
            <w:vAlign w:val="center"/>
          </w:tcPr>
          <w:p w14:paraId="425B0B30"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长沙诺行科技有限公司</w:t>
            </w:r>
          </w:p>
        </w:tc>
        <w:tc>
          <w:tcPr>
            <w:tcW w:w="506" w:type="pct"/>
            <w:tcBorders>
              <w:top w:val="single" w:sz="2" w:space="0" w:color="auto"/>
              <w:left w:val="single" w:sz="2" w:space="0" w:color="auto"/>
              <w:bottom w:val="single" w:sz="2" w:space="0" w:color="auto"/>
              <w:right w:val="single" w:sz="2" w:space="0" w:color="auto"/>
            </w:tcBorders>
            <w:vAlign w:val="center"/>
          </w:tcPr>
          <w:p w14:paraId="39C8FF56"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1,000,000.00</w:t>
            </w:r>
          </w:p>
        </w:tc>
        <w:tc>
          <w:tcPr>
            <w:tcW w:w="356" w:type="pct"/>
            <w:tcBorders>
              <w:top w:val="single" w:sz="2" w:space="0" w:color="auto"/>
              <w:left w:val="single" w:sz="2" w:space="0" w:color="auto"/>
              <w:bottom w:val="single" w:sz="2" w:space="0" w:color="auto"/>
              <w:right w:val="single" w:sz="2" w:space="0" w:color="auto"/>
            </w:tcBorders>
            <w:vAlign w:val="center"/>
          </w:tcPr>
          <w:p w14:paraId="1DB5E0D5" w14:textId="576AA9D0" w:rsidR="00274311" w:rsidRPr="00B243EA" w:rsidRDefault="00274311" w:rsidP="00827A49">
            <w:pPr>
              <w:spacing w:line="360" w:lineRule="auto"/>
              <w:jc w:val="center"/>
              <w:rPr>
                <w:rFonts w:ascii="Times New Roman" w:eastAsia="宋体" w:hAnsi="Times New Roman" w:cs="Times New Roman"/>
                <w:sz w:val="18"/>
                <w:szCs w:val="18"/>
              </w:rPr>
            </w:pPr>
            <w:r w:rsidRPr="00B243EA">
              <w:rPr>
                <w:rFonts w:ascii="Times New Roman" w:eastAsia="宋体" w:hAnsi="Times New Roman" w:cs="Times New Roman"/>
                <w:sz w:val="18"/>
                <w:szCs w:val="18"/>
              </w:rPr>
              <w:t>人民币</w:t>
            </w:r>
          </w:p>
        </w:tc>
        <w:tc>
          <w:tcPr>
            <w:tcW w:w="600" w:type="pct"/>
            <w:tcBorders>
              <w:top w:val="single" w:sz="2" w:space="0" w:color="auto"/>
              <w:left w:val="single" w:sz="2" w:space="0" w:color="auto"/>
              <w:bottom w:val="single" w:sz="2" w:space="0" w:color="auto"/>
              <w:right w:val="single" w:sz="2" w:space="0" w:color="auto"/>
            </w:tcBorders>
            <w:vAlign w:val="center"/>
          </w:tcPr>
          <w:p w14:paraId="6EF86A58" w14:textId="31296FE1"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601" w:type="pct"/>
            <w:tcBorders>
              <w:top w:val="single" w:sz="2" w:space="0" w:color="auto"/>
              <w:left w:val="single" w:sz="2" w:space="0" w:color="auto"/>
              <w:bottom w:val="single" w:sz="2" w:space="0" w:color="auto"/>
              <w:right w:val="single" w:sz="2" w:space="0" w:color="auto"/>
            </w:tcBorders>
            <w:vAlign w:val="center"/>
          </w:tcPr>
          <w:p w14:paraId="4B14A59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湖南长沙</w:t>
            </w:r>
          </w:p>
        </w:tc>
        <w:tc>
          <w:tcPr>
            <w:tcW w:w="547" w:type="pct"/>
            <w:tcBorders>
              <w:top w:val="single" w:sz="2" w:space="0" w:color="auto"/>
              <w:left w:val="single" w:sz="2" w:space="0" w:color="auto"/>
              <w:bottom w:val="single" w:sz="2" w:space="0" w:color="auto"/>
              <w:right w:val="single" w:sz="2" w:space="0" w:color="auto"/>
            </w:tcBorders>
            <w:vAlign w:val="center"/>
          </w:tcPr>
          <w:p w14:paraId="7221297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互联网销售</w:t>
            </w:r>
          </w:p>
        </w:tc>
        <w:tc>
          <w:tcPr>
            <w:tcW w:w="304" w:type="pct"/>
            <w:tcBorders>
              <w:top w:val="single" w:sz="2" w:space="0" w:color="auto"/>
              <w:left w:val="single" w:sz="2" w:space="0" w:color="auto"/>
              <w:bottom w:val="single" w:sz="2" w:space="0" w:color="auto"/>
              <w:right w:val="single" w:sz="2" w:space="0" w:color="auto"/>
            </w:tcBorders>
            <w:vAlign w:val="center"/>
          </w:tcPr>
          <w:p w14:paraId="7D404FA8" w14:textId="77777777" w:rsidR="00274311" w:rsidRPr="00B243EA" w:rsidRDefault="00274311" w:rsidP="00827A49">
            <w:pPr>
              <w:spacing w:line="360" w:lineRule="auto"/>
              <w:jc w:val="right"/>
              <w:rPr>
                <w:rFonts w:ascii="Times New Roman" w:eastAsia="宋体" w:hAnsi="Times New Roman" w:cs="Times New Roman"/>
                <w:sz w:val="18"/>
                <w:szCs w:val="18"/>
              </w:rPr>
            </w:pPr>
          </w:p>
        </w:tc>
        <w:tc>
          <w:tcPr>
            <w:tcW w:w="304" w:type="pct"/>
            <w:tcBorders>
              <w:top w:val="single" w:sz="2" w:space="0" w:color="auto"/>
              <w:left w:val="single" w:sz="2" w:space="0" w:color="auto"/>
              <w:bottom w:val="single" w:sz="2" w:space="0" w:color="auto"/>
              <w:right w:val="single" w:sz="2" w:space="0" w:color="auto"/>
            </w:tcBorders>
            <w:vAlign w:val="center"/>
          </w:tcPr>
          <w:p w14:paraId="273CDE70" w14:textId="77777777" w:rsidR="00274311" w:rsidRPr="00B243EA" w:rsidRDefault="00274311" w:rsidP="00827A49">
            <w:pPr>
              <w:spacing w:line="360" w:lineRule="auto"/>
              <w:jc w:val="right"/>
              <w:rPr>
                <w:rFonts w:ascii="Times New Roman" w:eastAsia="宋体" w:hAnsi="Times New Roman" w:cs="Times New Roman"/>
                <w:sz w:val="18"/>
                <w:szCs w:val="18"/>
              </w:rPr>
            </w:pPr>
            <w:r w:rsidRPr="00B243EA">
              <w:rPr>
                <w:rFonts w:ascii="Times New Roman" w:eastAsia="宋体" w:hAnsi="Times New Roman" w:cs="Times New Roman"/>
                <w:sz w:val="18"/>
                <w:szCs w:val="18"/>
              </w:rPr>
              <w:t>100.00%</w:t>
            </w:r>
          </w:p>
        </w:tc>
        <w:tc>
          <w:tcPr>
            <w:tcW w:w="356" w:type="pct"/>
            <w:tcBorders>
              <w:top w:val="single" w:sz="2" w:space="0" w:color="auto"/>
              <w:left w:val="single" w:sz="2" w:space="0" w:color="auto"/>
              <w:bottom w:val="single" w:sz="2" w:space="0" w:color="auto"/>
              <w:right w:val="single" w:sz="2" w:space="0" w:color="auto"/>
            </w:tcBorders>
            <w:vAlign w:val="center"/>
          </w:tcPr>
          <w:p w14:paraId="652E32A5" w14:textId="77777777" w:rsidR="00274311" w:rsidRPr="00B243EA" w:rsidRDefault="00274311" w:rsidP="00827A49">
            <w:pPr>
              <w:spacing w:line="360" w:lineRule="auto"/>
              <w:rPr>
                <w:rFonts w:ascii="Times New Roman" w:eastAsia="宋体" w:hAnsi="Times New Roman" w:cs="Times New Roman"/>
                <w:sz w:val="18"/>
                <w:szCs w:val="18"/>
              </w:rPr>
            </w:pPr>
            <w:r w:rsidRPr="00B243EA">
              <w:rPr>
                <w:rFonts w:ascii="Times New Roman" w:eastAsia="宋体" w:hAnsi="Times New Roman" w:cs="Times New Roman"/>
                <w:sz w:val="18"/>
                <w:szCs w:val="18"/>
              </w:rPr>
              <w:t>出资成立</w:t>
            </w:r>
          </w:p>
        </w:tc>
      </w:tr>
    </w:tbl>
    <w:p w14:paraId="3CDA1F47" w14:textId="2835A717" w:rsidR="00A46BF1" w:rsidRDefault="00A46BF1" w:rsidP="00A46BF1"/>
    <w:p w14:paraId="49D33F7D" w14:textId="77777777" w:rsidR="00A23B23" w:rsidRDefault="00A23B23" w:rsidP="00A46BF1">
      <w:pPr>
        <w:spacing w:before="100" w:after="100" w:line="240" w:lineRule="exact"/>
        <w:rPr>
          <w:rFonts w:ascii="宋体" w:eastAsia="宋体" w:hAnsi="宋体" w:cs="宋体"/>
          <w:sz w:val="18"/>
          <w:szCs w:val="18"/>
        </w:rPr>
        <w:sectPr w:rsidR="00A23B23" w:rsidSect="00A23B23">
          <w:pgSz w:w="16840" w:h="11905" w:orient="landscape"/>
          <w:pgMar w:top="1134" w:right="1440" w:bottom="1134" w:left="1440" w:header="850" w:footer="992" w:gutter="0"/>
          <w:cols w:space="720"/>
          <w:docGrid w:type="linesAndChars" w:linePitch="312"/>
        </w:sectPr>
      </w:pPr>
    </w:p>
    <w:p w14:paraId="61B40943" w14:textId="10CDFF99"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在子公司的持股比例不同于表决权比例的说明：</w:t>
      </w:r>
    </w:p>
    <w:p w14:paraId="52D4352B"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根据本公司与东莞一测科技有限公司股东之一自然人万勇（持股</w:t>
      </w:r>
      <w:r w:rsidRPr="00952ED6">
        <w:rPr>
          <w:rFonts w:ascii="Times New Roman" w:hAnsi="Times New Roman" w:cs="Times New Roman"/>
          <w:sz w:val="21"/>
          <w:szCs w:val="21"/>
        </w:rPr>
        <w:t>10.70%</w:t>
      </w:r>
      <w:r w:rsidRPr="00952ED6">
        <w:rPr>
          <w:rFonts w:ascii="Times New Roman" w:hAnsi="Times New Roman" w:cs="Times New Roman" w:hint="eastAsia"/>
          <w:sz w:val="21"/>
          <w:szCs w:val="21"/>
        </w:rPr>
        <w:t>）签订《一致行动协议》，本公司享有东莞一测科技有限公司</w:t>
      </w:r>
      <w:r w:rsidRPr="00952ED6">
        <w:rPr>
          <w:rFonts w:ascii="Times New Roman" w:hAnsi="Times New Roman" w:cs="Times New Roman"/>
          <w:sz w:val="21"/>
          <w:szCs w:val="21"/>
        </w:rPr>
        <w:t>77.20%</w:t>
      </w:r>
      <w:r w:rsidRPr="00952ED6">
        <w:rPr>
          <w:rFonts w:ascii="Times New Roman" w:hAnsi="Times New Roman" w:cs="Times New Roman" w:hint="eastAsia"/>
          <w:sz w:val="21"/>
          <w:szCs w:val="21"/>
        </w:rPr>
        <w:t>表决权，自</w:t>
      </w:r>
      <w:r w:rsidRPr="00952ED6">
        <w:rPr>
          <w:rFonts w:ascii="Times New Roman" w:hAnsi="Times New Roman" w:cs="Times New Roman"/>
          <w:sz w:val="21"/>
          <w:szCs w:val="21"/>
        </w:rPr>
        <w:t>2020</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10</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26</w:t>
      </w:r>
      <w:r w:rsidRPr="00952ED6">
        <w:rPr>
          <w:rFonts w:ascii="Times New Roman" w:hAnsi="Times New Roman" w:cs="Times New Roman" w:hint="eastAsia"/>
          <w:sz w:val="21"/>
          <w:szCs w:val="21"/>
        </w:rPr>
        <w:t>日协议签署之日起生效，在双方直接或间接持有东莞一测科技有限公司股份期间持续有效。</w:t>
      </w:r>
    </w:p>
    <w:p w14:paraId="320886B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持有半数或以下表决权但仍控制被投资单位、以及持有半数以上表决权但不控制被投资单位的依据：</w:t>
      </w:r>
    </w:p>
    <w:p w14:paraId="0C240680" w14:textId="77777777" w:rsidR="00A46BF1" w:rsidRPr="00117985" w:rsidRDefault="00A46BF1" w:rsidP="00117985">
      <w:pPr>
        <w:spacing w:before="100" w:after="100" w:line="240" w:lineRule="exact"/>
        <w:rPr>
          <w:rFonts w:ascii="宋体" w:eastAsia="宋体" w:hAnsi="宋体" w:cs="宋体"/>
          <w:sz w:val="18"/>
          <w:szCs w:val="18"/>
        </w:rPr>
      </w:pPr>
      <w:r w:rsidRPr="00117985">
        <w:rPr>
          <w:rFonts w:ascii="宋体" w:eastAsia="宋体" w:hAnsi="宋体" w:cs="宋体" w:hint="eastAsia"/>
          <w:sz w:val="18"/>
          <w:szCs w:val="18"/>
        </w:rPr>
        <w:t>不适用</w:t>
      </w:r>
    </w:p>
    <w:p w14:paraId="5D1A19F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对于纳入合并范围的重要的结构化主体，控制的依据：</w:t>
      </w:r>
    </w:p>
    <w:p w14:paraId="4D620A4B" w14:textId="77777777" w:rsidR="00A46BF1" w:rsidRPr="00117985" w:rsidRDefault="00A46BF1" w:rsidP="00117985">
      <w:pPr>
        <w:spacing w:before="100" w:after="100" w:line="240" w:lineRule="exact"/>
        <w:rPr>
          <w:rFonts w:ascii="宋体" w:eastAsia="宋体" w:hAnsi="宋体" w:cs="宋体"/>
          <w:sz w:val="18"/>
          <w:szCs w:val="18"/>
        </w:rPr>
      </w:pPr>
      <w:r w:rsidRPr="00117985">
        <w:rPr>
          <w:rFonts w:ascii="宋体" w:eastAsia="宋体" w:hAnsi="宋体" w:cs="宋体" w:hint="eastAsia"/>
          <w:sz w:val="18"/>
          <w:szCs w:val="18"/>
        </w:rPr>
        <w:t>不适用</w:t>
      </w:r>
    </w:p>
    <w:p w14:paraId="4531AD9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确定公司是代理人还是委托人的依据：</w:t>
      </w:r>
    </w:p>
    <w:p w14:paraId="1DDE8674" w14:textId="77777777" w:rsidR="00A46BF1" w:rsidRPr="00117985" w:rsidRDefault="00A46BF1" w:rsidP="00117985">
      <w:pPr>
        <w:spacing w:before="100" w:after="100" w:line="240" w:lineRule="exact"/>
        <w:rPr>
          <w:rFonts w:ascii="宋体" w:eastAsia="宋体" w:hAnsi="宋体" w:cs="宋体"/>
          <w:sz w:val="18"/>
          <w:szCs w:val="18"/>
        </w:rPr>
      </w:pPr>
      <w:r w:rsidRPr="00117985">
        <w:rPr>
          <w:rFonts w:ascii="宋体" w:eastAsia="宋体" w:hAnsi="宋体" w:cs="宋体" w:hint="eastAsia"/>
          <w:sz w:val="18"/>
          <w:szCs w:val="18"/>
        </w:rPr>
        <w:t>不适用</w:t>
      </w:r>
    </w:p>
    <w:p w14:paraId="7CD8D3D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5451A02" w14:textId="77777777" w:rsidR="00A46BF1" w:rsidRPr="00117985" w:rsidRDefault="00A46BF1" w:rsidP="00117985">
      <w:pPr>
        <w:spacing w:before="100" w:after="100" w:line="240" w:lineRule="exact"/>
        <w:rPr>
          <w:rFonts w:ascii="宋体" w:eastAsia="宋体" w:hAnsi="宋体" w:cs="宋体"/>
          <w:sz w:val="18"/>
          <w:szCs w:val="18"/>
        </w:rPr>
      </w:pPr>
      <w:r w:rsidRPr="00117985">
        <w:rPr>
          <w:rFonts w:ascii="宋体" w:eastAsia="宋体" w:hAnsi="宋体" w:cs="宋体" w:hint="eastAsia"/>
          <w:sz w:val="18"/>
          <w:szCs w:val="18"/>
        </w:rPr>
        <w:t>无</w:t>
      </w:r>
    </w:p>
    <w:p w14:paraId="67038C46"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（2） 重要的非全资子公司</w:t>
      </w:r>
    </w:p>
    <w:p w14:paraId="0E29598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835"/>
        <w:gridCol w:w="1843"/>
        <w:gridCol w:w="1985"/>
        <w:gridCol w:w="1559"/>
        <w:gridCol w:w="1417"/>
      </w:tblGrid>
      <w:tr w:rsidR="00095F6F" w14:paraId="2FB91413" w14:textId="77777777" w:rsidTr="00117985">
        <w:trPr>
          <w:trHeight w:val="240"/>
        </w:trPr>
        <w:tc>
          <w:tcPr>
            <w:tcW w:w="2835" w:type="dxa"/>
            <w:tcBorders>
              <w:top w:val="single" w:sz="2" w:space="0" w:color="auto"/>
              <w:left w:val="single" w:sz="2" w:space="0" w:color="auto"/>
              <w:bottom w:val="single" w:sz="2" w:space="0" w:color="auto"/>
              <w:right w:val="single" w:sz="2" w:space="0" w:color="auto"/>
            </w:tcBorders>
            <w:shd w:val="clear" w:color="auto" w:fill="D3D3D3"/>
            <w:vAlign w:val="center"/>
          </w:tcPr>
          <w:p w14:paraId="635D8DA7" w14:textId="77777777" w:rsidR="00A46BF1" w:rsidRPr="00117985" w:rsidRDefault="00A46BF1" w:rsidP="00117985">
            <w:pPr>
              <w:spacing w:before="40" w:after="40" w:line="360" w:lineRule="auto"/>
              <w:jc w:val="center"/>
              <w:rPr>
                <w:rFonts w:ascii="Times New Roman" w:eastAsia="宋体" w:hAnsi="Times New Roman" w:cs="Times New Roman"/>
                <w:sz w:val="18"/>
                <w:szCs w:val="18"/>
              </w:rPr>
            </w:pPr>
            <w:r w:rsidRPr="00117985">
              <w:rPr>
                <w:rFonts w:ascii="Times New Roman" w:eastAsia="宋体" w:hAnsi="Times New Roman" w:cs="Times New Roman"/>
                <w:sz w:val="18"/>
                <w:szCs w:val="18"/>
              </w:rPr>
              <w:t>子公司名称</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17101D2E" w14:textId="77777777" w:rsidR="00A46BF1" w:rsidRPr="00117985" w:rsidRDefault="00A46BF1" w:rsidP="00117985">
            <w:pPr>
              <w:spacing w:before="40" w:after="40" w:line="360" w:lineRule="auto"/>
              <w:jc w:val="center"/>
              <w:rPr>
                <w:rFonts w:ascii="Times New Roman" w:eastAsia="宋体" w:hAnsi="Times New Roman" w:cs="Times New Roman"/>
                <w:sz w:val="18"/>
                <w:szCs w:val="18"/>
              </w:rPr>
            </w:pPr>
            <w:r w:rsidRPr="00117985">
              <w:rPr>
                <w:rFonts w:ascii="Times New Roman" w:eastAsia="宋体" w:hAnsi="Times New Roman" w:cs="Times New Roman"/>
                <w:sz w:val="18"/>
                <w:szCs w:val="18"/>
              </w:rPr>
              <w:t>少数股东持股比例</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603C3B8F" w14:textId="77777777" w:rsidR="00A46BF1" w:rsidRPr="00117985" w:rsidRDefault="00A46BF1" w:rsidP="00117985">
            <w:pPr>
              <w:spacing w:before="40" w:after="40" w:line="360" w:lineRule="auto"/>
              <w:jc w:val="center"/>
              <w:rPr>
                <w:rFonts w:ascii="Times New Roman" w:eastAsia="宋体" w:hAnsi="Times New Roman" w:cs="Times New Roman"/>
                <w:sz w:val="18"/>
                <w:szCs w:val="18"/>
              </w:rPr>
            </w:pPr>
            <w:r w:rsidRPr="00117985">
              <w:rPr>
                <w:rFonts w:ascii="Times New Roman" w:eastAsia="宋体" w:hAnsi="Times New Roman" w:cs="Times New Roman"/>
                <w:sz w:val="18"/>
                <w:szCs w:val="18"/>
              </w:rPr>
              <w:t>本期归属于少数股东的损益</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01C5D297" w14:textId="77777777" w:rsidR="00A46BF1" w:rsidRPr="00117985" w:rsidRDefault="00A46BF1" w:rsidP="00117985">
            <w:pPr>
              <w:spacing w:before="40" w:after="40" w:line="360" w:lineRule="auto"/>
              <w:jc w:val="center"/>
              <w:rPr>
                <w:rFonts w:ascii="Times New Roman" w:eastAsia="宋体" w:hAnsi="Times New Roman" w:cs="Times New Roman"/>
                <w:sz w:val="18"/>
                <w:szCs w:val="18"/>
              </w:rPr>
            </w:pPr>
            <w:r w:rsidRPr="00117985">
              <w:rPr>
                <w:rFonts w:ascii="Times New Roman" w:eastAsia="宋体" w:hAnsi="Times New Roman" w:cs="Times New Roman"/>
                <w:sz w:val="18"/>
                <w:szCs w:val="18"/>
              </w:rPr>
              <w:t>本期向少数股东宣告分派的股利</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1D2CA514" w14:textId="77777777" w:rsidR="00A46BF1" w:rsidRPr="00117985" w:rsidRDefault="00A46BF1" w:rsidP="00117985">
            <w:pPr>
              <w:spacing w:before="40" w:after="40" w:line="360" w:lineRule="auto"/>
              <w:jc w:val="center"/>
              <w:rPr>
                <w:rFonts w:ascii="Times New Roman" w:eastAsia="宋体" w:hAnsi="Times New Roman" w:cs="Times New Roman"/>
                <w:sz w:val="18"/>
                <w:szCs w:val="18"/>
              </w:rPr>
            </w:pPr>
            <w:r w:rsidRPr="00117985">
              <w:rPr>
                <w:rFonts w:ascii="Times New Roman" w:eastAsia="宋体" w:hAnsi="Times New Roman" w:cs="Times New Roman"/>
                <w:sz w:val="18"/>
                <w:szCs w:val="18"/>
              </w:rPr>
              <w:t>期末少数股东权益余额</w:t>
            </w:r>
          </w:p>
        </w:tc>
      </w:tr>
      <w:tr w:rsidR="00095F6F" w14:paraId="4BAB70B7" w14:textId="77777777" w:rsidTr="00117985">
        <w:trPr>
          <w:trHeight w:val="240"/>
        </w:trPr>
        <w:tc>
          <w:tcPr>
            <w:tcW w:w="2835" w:type="dxa"/>
            <w:tcBorders>
              <w:top w:val="single" w:sz="2" w:space="0" w:color="auto"/>
              <w:left w:val="single" w:sz="2" w:space="0" w:color="auto"/>
              <w:bottom w:val="single" w:sz="2" w:space="0" w:color="auto"/>
              <w:right w:val="single" w:sz="2" w:space="0" w:color="auto"/>
            </w:tcBorders>
            <w:vAlign w:val="center"/>
          </w:tcPr>
          <w:p w14:paraId="3DEDEFC6" w14:textId="77777777" w:rsidR="00A46BF1" w:rsidRPr="00117985" w:rsidRDefault="00A46BF1" w:rsidP="00117985">
            <w:pPr>
              <w:spacing w:line="360" w:lineRule="auto"/>
              <w:rPr>
                <w:rFonts w:ascii="Times New Roman" w:eastAsia="宋体" w:hAnsi="Times New Roman" w:cs="Times New Roman"/>
                <w:sz w:val="18"/>
                <w:szCs w:val="18"/>
              </w:rPr>
            </w:pPr>
            <w:r w:rsidRPr="00117985">
              <w:rPr>
                <w:rFonts w:ascii="Times New Roman" w:eastAsia="宋体" w:hAnsi="Times New Roman" w:cs="Times New Roman"/>
                <w:sz w:val="18"/>
                <w:szCs w:val="18"/>
              </w:rPr>
              <w:t>长沙心诺健康产业投资有限公司</w:t>
            </w:r>
          </w:p>
        </w:tc>
        <w:tc>
          <w:tcPr>
            <w:tcW w:w="1843" w:type="dxa"/>
            <w:tcBorders>
              <w:top w:val="single" w:sz="2" w:space="0" w:color="auto"/>
              <w:left w:val="single" w:sz="2" w:space="0" w:color="auto"/>
              <w:bottom w:val="single" w:sz="2" w:space="0" w:color="auto"/>
              <w:right w:val="single" w:sz="2" w:space="0" w:color="auto"/>
            </w:tcBorders>
            <w:vAlign w:val="center"/>
          </w:tcPr>
          <w:p w14:paraId="6C1465CE" w14:textId="77777777" w:rsidR="00A46BF1" w:rsidRPr="00117985" w:rsidRDefault="00A46BF1" w:rsidP="00117985">
            <w:pPr>
              <w:spacing w:line="360" w:lineRule="auto"/>
              <w:jc w:val="right"/>
              <w:rPr>
                <w:rFonts w:ascii="Times New Roman" w:eastAsia="宋体" w:hAnsi="Times New Roman" w:cs="Times New Roman"/>
                <w:sz w:val="18"/>
                <w:szCs w:val="18"/>
              </w:rPr>
            </w:pPr>
            <w:r w:rsidRPr="00117985">
              <w:rPr>
                <w:rFonts w:ascii="Times New Roman" w:eastAsia="宋体" w:hAnsi="Times New Roman" w:cs="Times New Roman"/>
                <w:sz w:val="18"/>
                <w:szCs w:val="18"/>
              </w:rPr>
              <w:t>45.00%</w:t>
            </w:r>
          </w:p>
        </w:tc>
        <w:tc>
          <w:tcPr>
            <w:tcW w:w="1985" w:type="dxa"/>
            <w:tcBorders>
              <w:top w:val="single" w:sz="2" w:space="0" w:color="auto"/>
              <w:left w:val="single" w:sz="2" w:space="0" w:color="auto"/>
              <w:bottom w:val="single" w:sz="2" w:space="0" w:color="auto"/>
              <w:right w:val="single" w:sz="2" w:space="0" w:color="auto"/>
            </w:tcBorders>
            <w:vAlign w:val="center"/>
          </w:tcPr>
          <w:p w14:paraId="659278BC" w14:textId="77777777" w:rsidR="00A46BF1" w:rsidRPr="00117985" w:rsidRDefault="00A46BF1" w:rsidP="00117985">
            <w:pPr>
              <w:spacing w:line="360" w:lineRule="auto"/>
              <w:jc w:val="right"/>
              <w:rPr>
                <w:rFonts w:ascii="Times New Roman" w:eastAsia="宋体" w:hAnsi="Times New Roman" w:cs="Times New Roman"/>
                <w:sz w:val="18"/>
                <w:szCs w:val="18"/>
              </w:rPr>
            </w:pPr>
            <w:r w:rsidRPr="00117985">
              <w:rPr>
                <w:rFonts w:ascii="Times New Roman" w:eastAsia="宋体" w:hAnsi="Times New Roman" w:cs="Times New Roman"/>
                <w:sz w:val="18"/>
                <w:szCs w:val="18"/>
              </w:rPr>
              <w:t>-67,316,146.74</w:t>
            </w:r>
          </w:p>
        </w:tc>
        <w:tc>
          <w:tcPr>
            <w:tcW w:w="1559" w:type="dxa"/>
            <w:tcBorders>
              <w:top w:val="single" w:sz="2" w:space="0" w:color="auto"/>
              <w:left w:val="single" w:sz="2" w:space="0" w:color="auto"/>
              <w:bottom w:val="single" w:sz="2" w:space="0" w:color="auto"/>
              <w:right w:val="single" w:sz="2" w:space="0" w:color="auto"/>
            </w:tcBorders>
            <w:vAlign w:val="center"/>
          </w:tcPr>
          <w:p w14:paraId="3F2EA986" w14:textId="77777777" w:rsidR="00A46BF1" w:rsidRPr="00117985" w:rsidRDefault="00A46BF1" w:rsidP="00117985">
            <w:pPr>
              <w:spacing w:line="360" w:lineRule="auto"/>
              <w:jc w:val="right"/>
              <w:rPr>
                <w:rFonts w:ascii="Times New Roman" w:eastAsia="宋体" w:hAnsi="Times New Roman" w:cs="Times New Roman"/>
                <w:sz w:val="18"/>
                <w:szCs w:val="18"/>
              </w:rPr>
            </w:pPr>
          </w:p>
        </w:tc>
        <w:tc>
          <w:tcPr>
            <w:tcW w:w="1417" w:type="dxa"/>
            <w:tcBorders>
              <w:top w:val="single" w:sz="2" w:space="0" w:color="auto"/>
              <w:left w:val="single" w:sz="2" w:space="0" w:color="auto"/>
              <w:bottom w:val="single" w:sz="2" w:space="0" w:color="auto"/>
              <w:right w:val="single" w:sz="2" w:space="0" w:color="auto"/>
            </w:tcBorders>
            <w:vAlign w:val="center"/>
          </w:tcPr>
          <w:p w14:paraId="7C2A62BA" w14:textId="77777777" w:rsidR="00A46BF1" w:rsidRPr="00117985" w:rsidRDefault="00A46BF1" w:rsidP="00117985">
            <w:pPr>
              <w:spacing w:line="360" w:lineRule="auto"/>
              <w:jc w:val="right"/>
              <w:rPr>
                <w:rFonts w:ascii="Times New Roman" w:eastAsia="宋体" w:hAnsi="Times New Roman" w:cs="Times New Roman"/>
                <w:sz w:val="18"/>
                <w:szCs w:val="18"/>
              </w:rPr>
            </w:pPr>
            <w:r w:rsidRPr="00117985">
              <w:rPr>
                <w:rFonts w:ascii="Times New Roman" w:eastAsia="宋体" w:hAnsi="Times New Roman" w:cs="Times New Roman"/>
                <w:sz w:val="18"/>
                <w:szCs w:val="18"/>
              </w:rPr>
              <w:t>310,624,219.45</w:t>
            </w:r>
          </w:p>
        </w:tc>
      </w:tr>
    </w:tbl>
    <w:p w14:paraId="6DCA492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子公司少数股东的持股比例不同于表决权比例的说明：</w:t>
      </w:r>
    </w:p>
    <w:p w14:paraId="04663E3C" w14:textId="77777777" w:rsidR="00A46BF1" w:rsidRPr="00117985" w:rsidRDefault="00A46BF1" w:rsidP="00117985">
      <w:pPr>
        <w:spacing w:before="100" w:after="100" w:line="240" w:lineRule="exact"/>
        <w:rPr>
          <w:rFonts w:ascii="宋体" w:eastAsia="宋体" w:hAnsi="宋体" w:cs="宋体"/>
          <w:sz w:val="18"/>
          <w:szCs w:val="18"/>
        </w:rPr>
      </w:pPr>
      <w:r w:rsidRPr="00117985">
        <w:rPr>
          <w:rFonts w:ascii="宋体" w:eastAsia="宋体" w:hAnsi="宋体" w:cs="宋体" w:hint="eastAsia"/>
          <w:sz w:val="18"/>
          <w:szCs w:val="18"/>
        </w:rPr>
        <w:t>不适用</w:t>
      </w:r>
    </w:p>
    <w:p w14:paraId="616E3E9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D64FD6D" w14:textId="77777777" w:rsidR="00A46BF1" w:rsidRPr="00117985" w:rsidRDefault="00A46BF1" w:rsidP="00117985">
      <w:pPr>
        <w:spacing w:before="100" w:after="100" w:line="240" w:lineRule="exact"/>
        <w:rPr>
          <w:rFonts w:ascii="宋体" w:eastAsia="宋体" w:hAnsi="宋体" w:cs="宋体"/>
          <w:sz w:val="18"/>
          <w:szCs w:val="18"/>
        </w:rPr>
      </w:pPr>
      <w:r w:rsidRPr="00117985">
        <w:rPr>
          <w:rFonts w:ascii="宋体" w:eastAsia="宋体" w:hAnsi="宋体" w:cs="宋体" w:hint="eastAsia"/>
          <w:sz w:val="18"/>
          <w:szCs w:val="18"/>
        </w:rPr>
        <w:t>无</w:t>
      </w:r>
    </w:p>
    <w:p w14:paraId="285FFCA3" w14:textId="77777777" w:rsidR="00117985" w:rsidRDefault="00117985" w:rsidP="00A46BF1">
      <w:pPr>
        <w:keepNext/>
        <w:keepLines/>
        <w:spacing w:before="300" w:after="300" w:line="280" w:lineRule="exact"/>
        <w:outlineLvl w:val="3"/>
        <w:rPr>
          <w:rFonts w:ascii="宋体" w:eastAsia="宋体" w:hAnsi="宋体" w:cs="宋体"/>
          <w:b/>
          <w:bCs/>
          <w:sz w:val="18"/>
          <w:szCs w:val="18"/>
        </w:rPr>
        <w:sectPr w:rsidR="00117985">
          <w:pgSz w:w="11905" w:h="16840"/>
          <w:pgMar w:top="1440" w:right="1134" w:bottom="1440" w:left="1134" w:header="850" w:footer="992" w:gutter="0"/>
          <w:cols w:space="720"/>
          <w:docGrid w:type="linesAndChars" w:linePitch="312"/>
        </w:sectPr>
      </w:pPr>
    </w:p>
    <w:p w14:paraId="065B2A20" w14:textId="653B20A3"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（3） 重要非全资子公司的主要财务信息</w:t>
      </w:r>
    </w:p>
    <w:p w14:paraId="726BB3D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4A0" w:firstRow="1" w:lastRow="0" w:firstColumn="1" w:lastColumn="0" w:noHBand="0" w:noVBand="1"/>
      </w:tblPr>
      <w:tblGrid>
        <w:gridCol w:w="1057"/>
        <w:gridCol w:w="1057"/>
        <w:gridCol w:w="1057"/>
        <w:gridCol w:w="1096"/>
        <w:gridCol w:w="1096"/>
        <w:gridCol w:w="1057"/>
        <w:gridCol w:w="1096"/>
        <w:gridCol w:w="1058"/>
        <w:gridCol w:w="1096"/>
        <w:gridCol w:w="1096"/>
        <w:gridCol w:w="1096"/>
        <w:gridCol w:w="1058"/>
        <w:gridCol w:w="1096"/>
      </w:tblGrid>
      <w:tr w:rsidR="00095F6F" w14:paraId="7C6410BC" w14:textId="77777777" w:rsidTr="00117985">
        <w:trPr>
          <w:trHeight w:val="240"/>
        </w:trPr>
        <w:tc>
          <w:tcPr>
            <w:tcW w:w="384"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8DF0B02"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子公司名称</w:t>
            </w:r>
          </w:p>
        </w:tc>
        <w:tc>
          <w:tcPr>
            <w:tcW w:w="2308" w:type="pct"/>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0FB625B8"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期末余额</w:t>
            </w:r>
          </w:p>
        </w:tc>
        <w:tc>
          <w:tcPr>
            <w:tcW w:w="2308" w:type="pct"/>
            <w:gridSpan w:val="6"/>
            <w:tcBorders>
              <w:top w:val="single" w:sz="2" w:space="0" w:color="auto"/>
              <w:left w:val="single" w:sz="2" w:space="0" w:color="auto"/>
              <w:bottom w:val="single" w:sz="2" w:space="0" w:color="auto"/>
              <w:right w:val="single" w:sz="2" w:space="0" w:color="auto"/>
            </w:tcBorders>
            <w:shd w:val="clear" w:color="auto" w:fill="D3D3D3"/>
            <w:vAlign w:val="center"/>
          </w:tcPr>
          <w:p w14:paraId="59D1BD16"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期初余额</w:t>
            </w:r>
          </w:p>
        </w:tc>
      </w:tr>
      <w:tr w:rsidR="00095F6F" w14:paraId="11DAB6C8" w14:textId="77777777" w:rsidTr="00117985">
        <w:trPr>
          <w:trHeight w:val="240"/>
        </w:trPr>
        <w:tc>
          <w:tcPr>
            <w:tcW w:w="384"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B30DFD7" w14:textId="77777777" w:rsidR="00A46BF1" w:rsidRPr="00117985" w:rsidRDefault="00A46BF1" w:rsidP="00117985">
            <w:pPr>
              <w:spacing w:line="360" w:lineRule="auto"/>
              <w:rPr>
                <w:sz w:val="13"/>
                <w:szCs w:val="13"/>
              </w:rPr>
            </w:pP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5D07FFD0"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流动资产</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16EDBE0F"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非流动资产</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39A103B7"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资产合计</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71185B25"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流动负债</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4E6D8836"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非流动负债</w:t>
            </w:r>
          </w:p>
        </w:tc>
        <w:tc>
          <w:tcPr>
            <w:tcW w:w="386" w:type="pct"/>
            <w:tcBorders>
              <w:top w:val="single" w:sz="2" w:space="0" w:color="auto"/>
              <w:left w:val="single" w:sz="2" w:space="0" w:color="auto"/>
              <w:bottom w:val="single" w:sz="2" w:space="0" w:color="auto"/>
              <w:right w:val="single" w:sz="2" w:space="0" w:color="auto"/>
            </w:tcBorders>
            <w:shd w:val="clear" w:color="auto" w:fill="D3D3D3"/>
            <w:vAlign w:val="center"/>
          </w:tcPr>
          <w:p w14:paraId="5B0F5D80"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负债合计</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7782E830"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流动资产</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741280D4"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非流动资产</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04E54DEA"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资产合计</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6BEAB816"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流动负债</w:t>
            </w:r>
          </w:p>
        </w:tc>
        <w:tc>
          <w:tcPr>
            <w:tcW w:w="384" w:type="pct"/>
            <w:tcBorders>
              <w:top w:val="single" w:sz="2" w:space="0" w:color="auto"/>
              <w:left w:val="single" w:sz="2" w:space="0" w:color="auto"/>
              <w:bottom w:val="single" w:sz="2" w:space="0" w:color="auto"/>
              <w:right w:val="single" w:sz="2" w:space="0" w:color="auto"/>
            </w:tcBorders>
            <w:shd w:val="clear" w:color="auto" w:fill="D3D3D3"/>
            <w:vAlign w:val="center"/>
          </w:tcPr>
          <w:p w14:paraId="26A51908"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非流动负债</w:t>
            </w:r>
          </w:p>
        </w:tc>
        <w:tc>
          <w:tcPr>
            <w:tcW w:w="386" w:type="pct"/>
            <w:tcBorders>
              <w:top w:val="single" w:sz="2" w:space="0" w:color="auto"/>
              <w:left w:val="single" w:sz="2" w:space="0" w:color="auto"/>
              <w:bottom w:val="single" w:sz="2" w:space="0" w:color="auto"/>
              <w:right w:val="single" w:sz="2" w:space="0" w:color="auto"/>
            </w:tcBorders>
            <w:shd w:val="clear" w:color="auto" w:fill="D3D3D3"/>
            <w:vAlign w:val="center"/>
          </w:tcPr>
          <w:p w14:paraId="26BE1742" w14:textId="77777777" w:rsidR="00A46BF1" w:rsidRPr="00117985" w:rsidRDefault="00A46BF1" w:rsidP="00117985">
            <w:pPr>
              <w:spacing w:before="40" w:after="40" w:line="360" w:lineRule="auto"/>
              <w:jc w:val="center"/>
              <w:rPr>
                <w:rFonts w:ascii="宋体" w:eastAsia="宋体" w:hAnsi="宋体" w:cs="宋体"/>
                <w:sz w:val="13"/>
                <w:szCs w:val="13"/>
              </w:rPr>
            </w:pPr>
            <w:r w:rsidRPr="00117985">
              <w:rPr>
                <w:rFonts w:ascii="宋体" w:eastAsia="宋体" w:hAnsi="宋体" w:cs="宋体"/>
                <w:sz w:val="13"/>
                <w:szCs w:val="13"/>
              </w:rPr>
              <w:t>负债合计</w:t>
            </w:r>
          </w:p>
        </w:tc>
      </w:tr>
      <w:tr w:rsidR="00095F6F" w14:paraId="182295A7" w14:textId="77777777" w:rsidTr="00117985">
        <w:trPr>
          <w:trHeight w:val="240"/>
        </w:trPr>
        <w:tc>
          <w:tcPr>
            <w:tcW w:w="384" w:type="pct"/>
            <w:tcBorders>
              <w:top w:val="single" w:sz="2" w:space="0" w:color="auto"/>
              <w:left w:val="single" w:sz="2" w:space="0" w:color="auto"/>
              <w:bottom w:val="single" w:sz="2" w:space="0" w:color="auto"/>
              <w:right w:val="single" w:sz="2" w:space="0" w:color="auto"/>
            </w:tcBorders>
            <w:vAlign w:val="center"/>
          </w:tcPr>
          <w:p w14:paraId="3A062626" w14:textId="77777777" w:rsidR="00A46BF1" w:rsidRPr="00117985" w:rsidRDefault="00A46BF1" w:rsidP="00117985">
            <w:pPr>
              <w:spacing w:line="360" w:lineRule="auto"/>
              <w:rPr>
                <w:rFonts w:ascii="宋体" w:eastAsia="宋体" w:hAnsi="宋体" w:cs="宋体"/>
                <w:sz w:val="13"/>
                <w:szCs w:val="13"/>
              </w:rPr>
            </w:pPr>
            <w:r w:rsidRPr="00117985">
              <w:rPr>
                <w:rFonts w:ascii="宋体" w:eastAsia="宋体" w:hAnsi="宋体" w:cs="宋体"/>
                <w:sz w:val="13"/>
                <w:szCs w:val="13"/>
              </w:rPr>
              <w:t>长沙心诺健康产业投资有限公司</w:t>
            </w:r>
          </w:p>
        </w:tc>
        <w:tc>
          <w:tcPr>
            <w:tcW w:w="384" w:type="pct"/>
            <w:tcBorders>
              <w:top w:val="single" w:sz="2" w:space="0" w:color="auto"/>
              <w:left w:val="single" w:sz="2" w:space="0" w:color="auto"/>
              <w:bottom w:val="single" w:sz="2" w:space="0" w:color="auto"/>
              <w:right w:val="single" w:sz="2" w:space="0" w:color="auto"/>
            </w:tcBorders>
            <w:vAlign w:val="center"/>
          </w:tcPr>
          <w:p w14:paraId="18F23FF2"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920,962,198.67</w:t>
            </w:r>
          </w:p>
        </w:tc>
        <w:tc>
          <w:tcPr>
            <w:tcW w:w="384" w:type="pct"/>
            <w:tcBorders>
              <w:top w:val="single" w:sz="2" w:space="0" w:color="auto"/>
              <w:left w:val="single" w:sz="2" w:space="0" w:color="auto"/>
              <w:bottom w:val="single" w:sz="2" w:space="0" w:color="auto"/>
              <w:right w:val="single" w:sz="2" w:space="0" w:color="auto"/>
            </w:tcBorders>
            <w:vAlign w:val="center"/>
          </w:tcPr>
          <w:p w14:paraId="208BECF9"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947,354,972.82</w:t>
            </w:r>
          </w:p>
        </w:tc>
        <w:tc>
          <w:tcPr>
            <w:tcW w:w="384" w:type="pct"/>
            <w:tcBorders>
              <w:top w:val="single" w:sz="2" w:space="0" w:color="auto"/>
              <w:left w:val="single" w:sz="2" w:space="0" w:color="auto"/>
              <w:bottom w:val="single" w:sz="2" w:space="0" w:color="auto"/>
              <w:right w:val="single" w:sz="2" w:space="0" w:color="auto"/>
            </w:tcBorders>
            <w:vAlign w:val="center"/>
          </w:tcPr>
          <w:p w14:paraId="330EDFEE"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1,868,317,171.49</w:t>
            </w:r>
          </w:p>
        </w:tc>
        <w:tc>
          <w:tcPr>
            <w:tcW w:w="384" w:type="pct"/>
            <w:tcBorders>
              <w:top w:val="single" w:sz="2" w:space="0" w:color="auto"/>
              <w:left w:val="single" w:sz="2" w:space="0" w:color="auto"/>
              <w:bottom w:val="single" w:sz="2" w:space="0" w:color="auto"/>
              <w:right w:val="single" w:sz="2" w:space="0" w:color="auto"/>
            </w:tcBorders>
            <w:vAlign w:val="center"/>
          </w:tcPr>
          <w:p w14:paraId="5CB16E46"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1,137,904,750.23</w:t>
            </w:r>
          </w:p>
        </w:tc>
        <w:tc>
          <w:tcPr>
            <w:tcW w:w="384" w:type="pct"/>
            <w:tcBorders>
              <w:top w:val="single" w:sz="2" w:space="0" w:color="auto"/>
              <w:left w:val="single" w:sz="2" w:space="0" w:color="auto"/>
              <w:bottom w:val="single" w:sz="2" w:space="0" w:color="auto"/>
              <w:right w:val="single" w:sz="2" w:space="0" w:color="auto"/>
            </w:tcBorders>
            <w:vAlign w:val="center"/>
          </w:tcPr>
          <w:p w14:paraId="1DE051D7"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40,136,378.03</w:t>
            </w:r>
          </w:p>
        </w:tc>
        <w:tc>
          <w:tcPr>
            <w:tcW w:w="386" w:type="pct"/>
            <w:tcBorders>
              <w:top w:val="single" w:sz="2" w:space="0" w:color="auto"/>
              <w:left w:val="single" w:sz="2" w:space="0" w:color="auto"/>
              <w:bottom w:val="single" w:sz="2" w:space="0" w:color="auto"/>
              <w:right w:val="single" w:sz="2" w:space="0" w:color="auto"/>
            </w:tcBorders>
            <w:vAlign w:val="center"/>
          </w:tcPr>
          <w:p w14:paraId="41B079D9"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1,178,041,128.26</w:t>
            </w:r>
          </w:p>
        </w:tc>
        <w:tc>
          <w:tcPr>
            <w:tcW w:w="384" w:type="pct"/>
            <w:tcBorders>
              <w:top w:val="single" w:sz="2" w:space="0" w:color="auto"/>
              <w:left w:val="single" w:sz="2" w:space="0" w:color="auto"/>
              <w:bottom w:val="single" w:sz="2" w:space="0" w:color="auto"/>
              <w:right w:val="single" w:sz="2" w:space="0" w:color="auto"/>
            </w:tcBorders>
            <w:vAlign w:val="center"/>
          </w:tcPr>
          <w:p w14:paraId="2A3F6462"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859,864,942.20</w:t>
            </w:r>
          </w:p>
        </w:tc>
        <w:tc>
          <w:tcPr>
            <w:tcW w:w="384" w:type="pct"/>
            <w:tcBorders>
              <w:top w:val="single" w:sz="2" w:space="0" w:color="auto"/>
              <w:left w:val="single" w:sz="2" w:space="0" w:color="auto"/>
              <w:bottom w:val="single" w:sz="2" w:space="0" w:color="auto"/>
              <w:right w:val="single" w:sz="2" w:space="0" w:color="auto"/>
            </w:tcBorders>
            <w:vAlign w:val="center"/>
          </w:tcPr>
          <w:p w14:paraId="5CFAC251"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1,010,829,883.89</w:t>
            </w:r>
          </w:p>
        </w:tc>
        <w:tc>
          <w:tcPr>
            <w:tcW w:w="384" w:type="pct"/>
            <w:tcBorders>
              <w:top w:val="single" w:sz="2" w:space="0" w:color="auto"/>
              <w:left w:val="single" w:sz="2" w:space="0" w:color="auto"/>
              <w:bottom w:val="single" w:sz="2" w:space="0" w:color="auto"/>
              <w:right w:val="single" w:sz="2" w:space="0" w:color="auto"/>
            </w:tcBorders>
            <w:vAlign w:val="center"/>
          </w:tcPr>
          <w:p w14:paraId="1AFD788B"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1,870,694,826.09</w:t>
            </w:r>
          </w:p>
        </w:tc>
        <w:tc>
          <w:tcPr>
            <w:tcW w:w="384" w:type="pct"/>
            <w:tcBorders>
              <w:top w:val="single" w:sz="2" w:space="0" w:color="auto"/>
              <w:left w:val="single" w:sz="2" w:space="0" w:color="auto"/>
              <w:bottom w:val="single" w:sz="2" w:space="0" w:color="auto"/>
              <w:right w:val="single" w:sz="2" w:space="0" w:color="auto"/>
            </w:tcBorders>
            <w:vAlign w:val="center"/>
          </w:tcPr>
          <w:p w14:paraId="09061B2E"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1,011,126,140.08</w:t>
            </w:r>
          </w:p>
        </w:tc>
        <w:tc>
          <w:tcPr>
            <w:tcW w:w="384" w:type="pct"/>
            <w:tcBorders>
              <w:top w:val="single" w:sz="2" w:space="0" w:color="auto"/>
              <w:left w:val="single" w:sz="2" w:space="0" w:color="auto"/>
              <w:bottom w:val="single" w:sz="2" w:space="0" w:color="auto"/>
              <w:right w:val="single" w:sz="2" w:space="0" w:color="auto"/>
            </w:tcBorders>
            <w:vAlign w:val="center"/>
          </w:tcPr>
          <w:p w14:paraId="4A4D6D68"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11,990,959.18</w:t>
            </w:r>
          </w:p>
        </w:tc>
        <w:tc>
          <w:tcPr>
            <w:tcW w:w="386" w:type="pct"/>
            <w:tcBorders>
              <w:top w:val="single" w:sz="2" w:space="0" w:color="auto"/>
              <w:left w:val="single" w:sz="2" w:space="0" w:color="auto"/>
              <w:bottom w:val="single" w:sz="2" w:space="0" w:color="auto"/>
              <w:right w:val="single" w:sz="2" w:space="0" w:color="auto"/>
            </w:tcBorders>
            <w:vAlign w:val="center"/>
          </w:tcPr>
          <w:p w14:paraId="176B0361" w14:textId="77777777" w:rsidR="00A46BF1" w:rsidRPr="00117985" w:rsidRDefault="00A46BF1" w:rsidP="00117985">
            <w:pPr>
              <w:spacing w:line="360" w:lineRule="auto"/>
              <w:jc w:val="right"/>
              <w:rPr>
                <w:rFonts w:ascii="宋体" w:eastAsia="宋体" w:hAnsi="宋体" w:cs="宋体"/>
                <w:sz w:val="13"/>
                <w:szCs w:val="13"/>
              </w:rPr>
            </w:pPr>
            <w:r w:rsidRPr="00117985">
              <w:rPr>
                <w:rFonts w:ascii="宋体" w:eastAsia="宋体" w:hAnsi="宋体" w:cs="宋体"/>
                <w:sz w:val="13"/>
                <w:szCs w:val="13"/>
              </w:rPr>
              <w:t>1,013,117,099.26</w:t>
            </w:r>
          </w:p>
        </w:tc>
      </w:tr>
    </w:tbl>
    <w:p w14:paraId="209BC05F"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4A0" w:firstRow="1" w:lastRow="0" w:firstColumn="1" w:lastColumn="0" w:noHBand="0" w:noVBand="1"/>
      </w:tblPr>
      <w:tblGrid>
        <w:gridCol w:w="1558"/>
        <w:gridCol w:w="1558"/>
        <w:gridCol w:w="1558"/>
        <w:gridCol w:w="1559"/>
        <w:gridCol w:w="1559"/>
        <w:gridCol w:w="1559"/>
        <w:gridCol w:w="1559"/>
        <w:gridCol w:w="1559"/>
        <w:gridCol w:w="1547"/>
      </w:tblGrid>
      <w:tr w:rsidR="00095F6F" w14:paraId="39DDF158" w14:textId="77777777" w:rsidTr="00117985">
        <w:trPr>
          <w:trHeight w:val="240"/>
        </w:trPr>
        <w:tc>
          <w:tcPr>
            <w:tcW w:w="55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22FB097"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子公司名称</w:t>
            </w:r>
          </w:p>
        </w:tc>
        <w:tc>
          <w:tcPr>
            <w:tcW w:w="2222" w:type="pct"/>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4A964D8C"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本期发生额</w:t>
            </w:r>
          </w:p>
        </w:tc>
        <w:tc>
          <w:tcPr>
            <w:tcW w:w="2222" w:type="pct"/>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329D2A6"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上期发生额</w:t>
            </w:r>
          </w:p>
        </w:tc>
      </w:tr>
      <w:tr w:rsidR="00095F6F" w14:paraId="68B95C4C" w14:textId="77777777" w:rsidTr="00117985">
        <w:trPr>
          <w:trHeight w:val="240"/>
        </w:trPr>
        <w:tc>
          <w:tcPr>
            <w:tcW w:w="55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14388235" w14:textId="77777777" w:rsidR="00A46BF1" w:rsidRPr="00FF1AAC" w:rsidRDefault="00A46BF1" w:rsidP="00117985">
            <w:pPr>
              <w:spacing w:line="360" w:lineRule="auto"/>
              <w:rPr>
                <w:rFonts w:ascii="Times New Roman" w:hAnsi="Times New Roman" w:cs="Times New Roman"/>
              </w:rPr>
            </w:pP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56E7DC7B"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营业收入</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1802417D"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净利润</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299713FB"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综合收益总额</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23E6472C"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经营活动现金流量</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5445254C"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营业收入</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7BB4A4EE"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净利润</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5C2833DF"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综合收益总额</w:t>
            </w:r>
          </w:p>
        </w:tc>
        <w:tc>
          <w:tcPr>
            <w:tcW w:w="556" w:type="pct"/>
            <w:tcBorders>
              <w:top w:val="single" w:sz="2" w:space="0" w:color="auto"/>
              <w:left w:val="single" w:sz="2" w:space="0" w:color="auto"/>
              <w:bottom w:val="single" w:sz="2" w:space="0" w:color="auto"/>
              <w:right w:val="single" w:sz="2" w:space="0" w:color="auto"/>
            </w:tcBorders>
            <w:shd w:val="clear" w:color="auto" w:fill="D3D3D3"/>
            <w:vAlign w:val="center"/>
          </w:tcPr>
          <w:p w14:paraId="0D5AE422" w14:textId="77777777" w:rsidR="00A46BF1" w:rsidRPr="00FF1AAC" w:rsidRDefault="00A46BF1" w:rsidP="00117985">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经营活动现金流量</w:t>
            </w:r>
          </w:p>
        </w:tc>
      </w:tr>
      <w:tr w:rsidR="00095F6F" w14:paraId="44B41853" w14:textId="77777777" w:rsidTr="00117985">
        <w:trPr>
          <w:trHeight w:val="240"/>
        </w:trPr>
        <w:tc>
          <w:tcPr>
            <w:tcW w:w="556" w:type="pct"/>
            <w:tcBorders>
              <w:top w:val="single" w:sz="2" w:space="0" w:color="auto"/>
              <w:left w:val="single" w:sz="2" w:space="0" w:color="auto"/>
              <w:bottom w:val="single" w:sz="2" w:space="0" w:color="auto"/>
              <w:right w:val="single" w:sz="2" w:space="0" w:color="auto"/>
            </w:tcBorders>
            <w:vAlign w:val="center"/>
          </w:tcPr>
          <w:p w14:paraId="4562919D" w14:textId="77777777" w:rsidR="00A46BF1" w:rsidRPr="00FF1AAC" w:rsidRDefault="00A46BF1" w:rsidP="00117985">
            <w:pPr>
              <w:spacing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长沙心诺健康产业投资有限公司</w:t>
            </w:r>
          </w:p>
        </w:tc>
        <w:tc>
          <w:tcPr>
            <w:tcW w:w="556" w:type="pct"/>
            <w:tcBorders>
              <w:top w:val="single" w:sz="2" w:space="0" w:color="auto"/>
              <w:left w:val="single" w:sz="2" w:space="0" w:color="auto"/>
              <w:bottom w:val="single" w:sz="2" w:space="0" w:color="auto"/>
              <w:right w:val="single" w:sz="2" w:space="0" w:color="auto"/>
            </w:tcBorders>
            <w:vAlign w:val="center"/>
          </w:tcPr>
          <w:p w14:paraId="717908A0"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1,215,052,427.26</w:t>
            </w:r>
          </w:p>
        </w:tc>
        <w:tc>
          <w:tcPr>
            <w:tcW w:w="556" w:type="pct"/>
            <w:tcBorders>
              <w:top w:val="single" w:sz="2" w:space="0" w:color="auto"/>
              <w:left w:val="single" w:sz="2" w:space="0" w:color="auto"/>
              <w:bottom w:val="single" w:sz="2" w:space="0" w:color="auto"/>
              <w:right w:val="single" w:sz="2" w:space="0" w:color="auto"/>
            </w:tcBorders>
            <w:vAlign w:val="center"/>
          </w:tcPr>
          <w:p w14:paraId="4B4CE519"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-149,591,437.19</w:t>
            </w:r>
          </w:p>
        </w:tc>
        <w:tc>
          <w:tcPr>
            <w:tcW w:w="556" w:type="pct"/>
            <w:tcBorders>
              <w:top w:val="single" w:sz="2" w:space="0" w:color="auto"/>
              <w:left w:val="single" w:sz="2" w:space="0" w:color="auto"/>
              <w:bottom w:val="single" w:sz="2" w:space="0" w:color="auto"/>
              <w:right w:val="single" w:sz="2" w:space="0" w:color="auto"/>
            </w:tcBorders>
            <w:vAlign w:val="center"/>
          </w:tcPr>
          <w:p w14:paraId="5FFDDD67"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-167,301,683.60</w:t>
            </w:r>
          </w:p>
        </w:tc>
        <w:tc>
          <w:tcPr>
            <w:tcW w:w="556" w:type="pct"/>
            <w:tcBorders>
              <w:top w:val="single" w:sz="2" w:space="0" w:color="auto"/>
              <w:left w:val="single" w:sz="2" w:space="0" w:color="auto"/>
              <w:bottom w:val="single" w:sz="2" w:space="0" w:color="auto"/>
              <w:right w:val="single" w:sz="2" w:space="0" w:color="auto"/>
            </w:tcBorders>
            <w:vAlign w:val="center"/>
          </w:tcPr>
          <w:p w14:paraId="292392C9"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34,362,420.10</w:t>
            </w:r>
          </w:p>
        </w:tc>
        <w:tc>
          <w:tcPr>
            <w:tcW w:w="556" w:type="pct"/>
            <w:tcBorders>
              <w:top w:val="single" w:sz="2" w:space="0" w:color="auto"/>
              <w:left w:val="single" w:sz="2" w:space="0" w:color="auto"/>
              <w:bottom w:val="single" w:sz="2" w:space="0" w:color="auto"/>
              <w:right w:val="single" w:sz="2" w:space="0" w:color="auto"/>
            </w:tcBorders>
            <w:vAlign w:val="center"/>
          </w:tcPr>
          <w:p w14:paraId="54C2DEBE"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1,109,325,991.97</w:t>
            </w:r>
          </w:p>
        </w:tc>
        <w:tc>
          <w:tcPr>
            <w:tcW w:w="556" w:type="pct"/>
            <w:tcBorders>
              <w:top w:val="single" w:sz="2" w:space="0" w:color="auto"/>
              <w:left w:val="single" w:sz="2" w:space="0" w:color="auto"/>
              <w:bottom w:val="single" w:sz="2" w:space="0" w:color="auto"/>
              <w:right w:val="single" w:sz="2" w:space="0" w:color="auto"/>
            </w:tcBorders>
            <w:vAlign w:val="center"/>
          </w:tcPr>
          <w:p w14:paraId="52E801EE"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57,814,893.23</w:t>
            </w:r>
          </w:p>
        </w:tc>
        <w:tc>
          <w:tcPr>
            <w:tcW w:w="556" w:type="pct"/>
            <w:tcBorders>
              <w:top w:val="single" w:sz="2" w:space="0" w:color="auto"/>
              <w:left w:val="single" w:sz="2" w:space="0" w:color="auto"/>
              <w:bottom w:val="single" w:sz="2" w:space="0" w:color="auto"/>
              <w:right w:val="single" w:sz="2" w:space="0" w:color="auto"/>
            </w:tcBorders>
            <w:vAlign w:val="center"/>
          </w:tcPr>
          <w:p w14:paraId="299ED84F"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58,350,060.06</w:t>
            </w:r>
          </w:p>
        </w:tc>
        <w:tc>
          <w:tcPr>
            <w:tcW w:w="556" w:type="pct"/>
            <w:tcBorders>
              <w:top w:val="single" w:sz="2" w:space="0" w:color="auto"/>
              <w:left w:val="single" w:sz="2" w:space="0" w:color="auto"/>
              <w:bottom w:val="single" w:sz="2" w:space="0" w:color="auto"/>
              <w:right w:val="single" w:sz="2" w:space="0" w:color="auto"/>
            </w:tcBorders>
            <w:vAlign w:val="center"/>
          </w:tcPr>
          <w:p w14:paraId="4DDD282A" w14:textId="77777777" w:rsidR="00A46BF1" w:rsidRPr="00FF1AAC" w:rsidRDefault="00A46BF1" w:rsidP="00117985">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164,105,609.50</w:t>
            </w:r>
          </w:p>
        </w:tc>
      </w:tr>
    </w:tbl>
    <w:p w14:paraId="08FD31C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46B4547" w14:textId="77777777" w:rsidR="00A46BF1" w:rsidRPr="00FF1AAC" w:rsidRDefault="00A46BF1" w:rsidP="00FF1AAC">
      <w:pPr>
        <w:spacing w:before="100" w:after="100" w:line="240" w:lineRule="exact"/>
        <w:rPr>
          <w:rFonts w:ascii="宋体" w:eastAsia="宋体" w:hAnsi="宋体" w:cs="宋体"/>
          <w:sz w:val="18"/>
          <w:szCs w:val="18"/>
        </w:rPr>
      </w:pPr>
      <w:r w:rsidRPr="00FF1AAC">
        <w:rPr>
          <w:rFonts w:ascii="宋体" w:eastAsia="宋体" w:hAnsi="宋体" w:cs="宋体" w:hint="eastAsia"/>
          <w:sz w:val="18"/>
          <w:szCs w:val="18"/>
        </w:rPr>
        <w:t>无</w:t>
      </w:r>
    </w:p>
    <w:p w14:paraId="7C5809C4" w14:textId="77777777" w:rsidR="00117985" w:rsidRDefault="00117985" w:rsidP="00A46BF1">
      <w:pPr>
        <w:pStyle w:val="3"/>
        <w:spacing w:line="280" w:lineRule="exact"/>
        <w:jc w:val="left"/>
        <w:rPr>
          <w:rFonts w:ascii="宋体" w:hAnsi="宋体" w:cs="宋体"/>
          <w:b/>
          <w:bCs/>
        </w:rPr>
        <w:sectPr w:rsidR="00117985" w:rsidSect="00117985">
          <w:pgSz w:w="16840" w:h="11905" w:orient="landscape"/>
          <w:pgMar w:top="1134" w:right="1440" w:bottom="1134" w:left="1440" w:header="850" w:footer="992" w:gutter="0"/>
          <w:cols w:space="720"/>
          <w:docGrid w:type="linesAndChars" w:linePitch="312"/>
        </w:sectPr>
      </w:pPr>
    </w:p>
    <w:p w14:paraId="524DB884" w14:textId="6E6D90C7" w:rsidR="00A46BF1" w:rsidRDefault="00A46BF1" w:rsidP="00A46BF1">
      <w:pPr>
        <w:pStyle w:val="3"/>
        <w:spacing w:line="280" w:lineRule="exact"/>
        <w:jc w:val="left"/>
        <w:rPr>
          <w:rFonts w:ascii="宋体" w:hAnsi="宋体" w:cs="宋体"/>
          <w:b/>
          <w:bCs/>
        </w:rPr>
      </w:pPr>
      <w:r>
        <w:rPr>
          <w:rFonts w:ascii="宋体" w:hAnsi="宋体" w:cs="宋体"/>
          <w:b/>
          <w:bCs/>
        </w:rPr>
        <w:t>2、在子公司的所有者权益份额发生变化且仍控制子公司的交易</w:t>
      </w:r>
    </w:p>
    <w:p w14:paraId="0AAC8662"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在子公司所有者权益份额发生变化的情况说明</w:t>
      </w:r>
    </w:p>
    <w:p w14:paraId="17AC1CB2"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本集团本年不存在在子公司的所有者权益份额发生变化且仍控制子公司的情况。</w:t>
      </w:r>
    </w:p>
    <w:p w14:paraId="40D589E4" w14:textId="77777777" w:rsidR="00A46BF1" w:rsidRDefault="00A46BF1" w:rsidP="00A46BF1">
      <w:pPr>
        <w:pStyle w:val="3"/>
        <w:spacing w:line="280" w:lineRule="exact"/>
        <w:jc w:val="left"/>
        <w:rPr>
          <w:rFonts w:ascii="宋体" w:hAnsi="宋体" w:cs="宋体"/>
          <w:b/>
          <w:bCs/>
        </w:rPr>
      </w:pPr>
      <w:r>
        <w:rPr>
          <w:rFonts w:ascii="宋体" w:hAnsi="宋体" w:cs="宋体"/>
          <w:b/>
          <w:bCs/>
        </w:rPr>
        <w:t>3、在合营企业或联营企业中的权益</w:t>
      </w:r>
    </w:p>
    <w:p w14:paraId="5B17D6A1"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不重要的合营企业和联营企业的汇总财务信息</w:t>
      </w:r>
    </w:p>
    <w:p w14:paraId="3C91C06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500ABC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E8FB238" w14:textId="77777777" w:rsidR="00A46BF1" w:rsidRPr="00FF1AAC" w:rsidRDefault="00A46BF1" w:rsidP="00FF1AAC">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9B4F705"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期末余额</w:t>
            </w:r>
            <w:r w:rsidRPr="00FF1AAC">
              <w:rPr>
                <w:rFonts w:ascii="Times New Roman" w:eastAsia="宋体" w:hAnsi="Times New Roman" w:cs="Times New Roman"/>
                <w:sz w:val="18"/>
                <w:szCs w:val="18"/>
              </w:rPr>
              <w:t>/</w:t>
            </w:r>
            <w:r w:rsidRPr="00FF1AA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E754B24"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期初余额</w:t>
            </w:r>
            <w:r w:rsidRPr="00FF1AAC">
              <w:rPr>
                <w:rFonts w:ascii="Times New Roman" w:eastAsia="宋体" w:hAnsi="Times New Roman" w:cs="Times New Roman"/>
                <w:sz w:val="18"/>
                <w:szCs w:val="18"/>
              </w:rPr>
              <w:t>/</w:t>
            </w:r>
            <w:r w:rsidRPr="00FF1AAC">
              <w:rPr>
                <w:rFonts w:ascii="Times New Roman" w:eastAsia="宋体" w:hAnsi="Times New Roman" w:cs="Times New Roman"/>
                <w:sz w:val="18"/>
                <w:szCs w:val="18"/>
              </w:rPr>
              <w:t>上期发生额</w:t>
            </w:r>
          </w:p>
        </w:tc>
      </w:tr>
      <w:tr w:rsidR="00095F6F" w14:paraId="78A2139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BDD84AB"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合营企业：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C375922" w14:textId="77777777" w:rsidR="00A46BF1" w:rsidRPr="00FF1AAC" w:rsidRDefault="00A46BF1" w:rsidP="00FF1AAC">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2632BFF" w14:textId="77777777" w:rsidR="00A46BF1" w:rsidRPr="00FF1AAC" w:rsidRDefault="00A46BF1" w:rsidP="00FF1AAC">
            <w:pPr>
              <w:spacing w:line="360" w:lineRule="auto"/>
              <w:rPr>
                <w:rFonts w:ascii="Times New Roman" w:hAnsi="Times New Roman" w:cs="Times New Roman"/>
              </w:rPr>
            </w:pPr>
          </w:p>
        </w:tc>
      </w:tr>
      <w:tr w:rsidR="00095F6F" w14:paraId="2AF5036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60D7909"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投资账面价值合计</w:t>
            </w:r>
          </w:p>
        </w:tc>
        <w:tc>
          <w:tcPr>
            <w:tcW w:w="3213" w:type="dxa"/>
            <w:tcBorders>
              <w:top w:val="single" w:sz="2" w:space="0" w:color="auto"/>
              <w:left w:val="single" w:sz="2" w:space="0" w:color="auto"/>
              <w:bottom w:val="single" w:sz="2" w:space="0" w:color="auto"/>
              <w:right w:val="single" w:sz="2" w:space="0" w:color="auto"/>
            </w:tcBorders>
            <w:vAlign w:val="center"/>
          </w:tcPr>
          <w:p w14:paraId="0DE92DF5"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9,481,848.60</w:t>
            </w:r>
          </w:p>
        </w:tc>
        <w:tc>
          <w:tcPr>
            <w:tcW w:w="3213" w:type="dxa"/>
            <w:tcBorders>
              <w:top w:val="single" w:sz="2" w:space="0" w:color="auto"/>
              <w:left w:val="single" w:sz="2" w:space="0" w:color="auto"/>
              <w:bottom w:val="single" w:sz="2" w:space="0" w:color="auto"/>
              <w:right w:val="single" w:sz="2" w:space="0" w:color="auto"/>
            </w:tcBorders>
            <w:vAlign w:val="center"/>
          </w:tcPr>
          <w:p w14:paraId="4594CD38"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14,875,560.06</w:t>
            </w:r>
          </w:p>
        </w:tc>
      </w:tr>
      <w:tr w:rsidR="00095F6F" w14:paraId="62B4FB9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B7A9D3D"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9EEDF6F" w14:textId="77777777" w:rsidR="00A46BF1" w:rsidRPr="00FF1AAC" w:rsidRDefault="00A46BF1" w:rsidP="00FF1AAC">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FEA0F4" w14:textId="77777777" w:rsidR="00A46BF1" w:rsidRPr="00FF1AAC" w:rsidRDefault="00A46BF1" w:rsidP="00FF1AAC">
            <w:pPr>
              <w:spacing w:line="360" w:lineRule="auto"/>
              <w:rPr>
                <w:rFonts w:ascii="Times New Roman" w:hAnsi="Times New Roman" w:cs="Times New Roman"/>
              </w:rPr>
            </w:pPr>
          </w:p>
        </w:tc>
      </w:tr>
      <w:tr w:rsidR="00095F6F" w14:paraId="4D757BA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CF0B347"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w:t>
            </w:r>
            <w:r w:rsidRPr="00FF1AAC">
              <w:rPr>
                <w:rFonts w:ascii="Times New Roman" w:eastAsia="宋体" w:hAnsi="Times New Roman" w:cs="Times New Roman"/>
                <w:sz w:val="18"/>
                <w:szCs w:val="18"/>
              </w:rPr>
              <w:t>净利润</w:t>
            </w:r>
          </w:p>
        </w:tc>
        <w:tc>
          <w:tcPr>
            <w:tcW w:w="3213" w:type="dxa"/>
            <w:tcBorders>
              <w:top w:val="single" w:sz="2" w:space="0" w:color="auto"/>
              <w:left w:val="single" w:sz="2" w:space="0" w:color="auto"/>
              <w:bottom w:val="single" w:sz="2" w:space="0" w:color="auto"/>
              <w:right w:val="single" w:sz="2" w:space="0" w:color="auto"/>
            </w:tcBorders>
            <w:vAlign w:val="center"/>
          </w:tcPr>
          <w:p w14:paraId="691AA6A6"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-308,588.70</w:t>
            </w:r>
          </w:p>
        </w:tc>
        <w:tc>
          <w:tcPr>
            <w:tcW w:w="3213" w:type="dxa"/>
            <w:tcBorders>
              <w:top w:val="single" w:sz="2" w:space="0" w:color="auto"/>
              <w:left w:val="single" w:sz="2" w:space="0" w:color="auto"/>
              <w:bottom w:val="single" w:sz="2" w:space="0" w:color="auto"/>
              <w:right w:val="single" w:sz="2" w:space="0" w:color="auto"/>
            </w:tcBorders>
            <w:vAlign w:val="center"/>
          </w:tcPr>
          <w:p w14:paraId="3E7811E3"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-2,731,326.61</w:t>
            </w:r>
          </w:p>
        </w:tc>
      </w:tr>
      <w:tr w:rsidR="00095F6F" w14:paraId="4ADE1D1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C7308B6"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联营企业：</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42206AE" w14:textId="77777777" w:rsidR="00A46BF1" w:rsidRPr="00FF1AAC" w:rsidRDefault="00A46BF1" w:rsidP="00FF1AAC">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6735E0" w14:textId="77777777" w:rsidR="00A46BF1" w:rsidRPr="00FF1AAC" w:rsidRDefault="00A46BF1" w:rsidP="00FF1AAC">
            <w:pPr>
              <w:spacing w:line="360" w:lineRule="auto"/>
              <w:rPr>
                <w:rFonts w:ascii="Times New Roman" w:hAnsi="Times New Roman" w:cs="Times New Roman"/>
              </w:rPr>
            </w:pPr>
          </w:p>
        </w:tc>
      </w:tr>
      <w:tr w:rsidR="00095F6F" w14:paraId="30FEB5AC"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3EF57D0"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下列各项按持股比例计算的合计数</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0087D57" w14:textId="77777777" w:rsidR="00A46BF1" w:rsidRPr="00FF1AAC" w:rsidRDefault="00A46BF1" w:rsidP="00FF1AAC">
            <w:pPr>
              <w:spacing w:line="360" w:lineRule="auto"/>
              <w:rPr>
                <w:rFonts w:ascii="Times New Roman" w:hAnsi="Times New Roman" w:cs="Times New Roman"/>
              </w:rPr>
            </w:pP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BD1D9E" w14:textId="77777777" w:rsidR="00A46BF1" w:rsidRPr="00FF1AAC" w:rsidRDefault="00A46BF1" w:rsidP="00FF1AAC">
            <w:pPr>
              <w:spacing w:line="360" w:lineRule="auto"/>
              <w:rPr>
                <w:rFonts w:ascii="Times New Roman" w:hAnsi="Times New Roman" w:cs="Times New Roman"/>
              </w:rPr>
            </w:pPr>
          </w:p>
        </w:tc>
      </w:tr>
      <w:tr w:rsidR="00095F6F" w14:paraId="3F87A0F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50B36B7"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w:t>
            </w:r>
            <w:r w:rsidRPr="00FF1AAC">
              <w:rPr>
                <w:rFonts w:ascii="Times New Roman" w:eastAsia="宋体" w:hAnsi="Times New Roman" w:cs="Times New Roman"/>
                <w:sz w:val="18"/>
                <w:szCs w:val="18"/>
              </w:rPr>
              <w:t>综合收益总额</w:t>
            </w:r>
          </w:p>
        </w:tc>
        <w:tc>
          <w:tcPr>
            <w:tcW w:w="3213" w:type="dxa"/>
            <w:tcBorders>
              <w:top w:val="single" w:sz="2" w:space="0" w:color="auto"/>
              <w:left w:val="single" w:sz="2" w:space="0" w:color="auto"/>
              <w:bottom w:val="single" w:sz="2" w:space="0" w:color="auto"/>
              <w:right w:val="single" w:sz="2" w:space="0" w:color="auto"/>
            </w:tcBorders>
            <w:vAlign w:val="center"/>
          </w:tcPr>
          <w:p w14:paraId="7A3EFB18"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-308,588.70</w:t>
            </w:r>
          </w:p>
        </w:tc>
        <w:tc>
          <w:tcPr>
            <w:tcW w:w="3213" w:type="dxa"/>
            <w:tcBorders>
              <w:top w:val="single" w:sz="2" w:space="0" w:color="auto"/>
              <w:left w:val="single" w:sz="2" w:space="0" w:color="auto"/>
              <w:bottom w:val="single" w:sz="2" w:space="0" w:color="auto"/>
              <w:right w:val="single" w:sz="2" w:space="0" w:color="auto"/>
            </w:tcBorders>
            <w:vAlign w:val="center"/>
          </w:tcPr>
          <w:p w14:paraId="5D33C825"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-2,731,326.61</w:t>
            </w:r>
          </w:p>
        </w:tc>
      </w:tr>
    </w:tbl>
    <w:p w14:paraId="4E02BE95"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A564799" w14:textId="77777777" w:rsidR="00A46BF1" w:rsidRPr="00FF1AAC" w:rsidRDefault="00A46BF1" w:rsidP="00FF1AAC">
      <w:pPr>
        <w:spacing w:before="100" w:after="100" w:line="240" w:lineRule="exact"/>
        <w:rPr>
          <w:rFonts w:ascii="宋体" w:eastAsia="宋体" w:hAnsi="宋体" w:cs="宋体"/>
          <w:sz w:val="18"/>
          <w:szCs w:val="18"/>
        </w:rPr>
      </w:pPr>
      <w:r w:rsidRPr="00FF1AAC">
        <w:rPr>
          <w:rFonts w:ascii="宋体" w:eastAsia="宋体" w:hAnsi="宋体" w:cs="宋体" w:hint="eastAsia"/>
          <w:sz w:val="18"/>
          <w:szCs w:val="18"/>
        </w:rPr>
        <w:t>无</w:t>
      </w:r>
    </w:p>
    <w:p w14:paraId="3B05A0E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合营企业或联营企业向本公司转移资金的能力存在重大限制的说明</w:t>
      </w:r>
    </w:p>
    <w:p w14:paraId="61F9D1F2"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本集团的联营企业向公司转移资金能力不存在重大限制。</w:t>
      </w:r>
      <w:r w:rsidRPr="00952ED6">
        <w:rPr>
          <w:rFonts w:ascii="Times New Roman" w:hAnsi="Times New Roman" w:cs="Times New Roman" w:hint="eastAsia"/>
          <w:sz w:val="21"/>
          <w:szCs w:val="21"/>
        </w:rPr>
        <w:t xml:space="preserve"> </w:t>
      </w:r>
    </w:p>
    <w:p w14:paraId="47F81492"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合营企业或联营企业发生的超额亏损</w:t>
      </w:r>
    </w:p>
    <w:p w14:paraId="1339EED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47AA44B1"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308CAB1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合营企业或联营企业名称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F8C43E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累积未确认前期累计的损失</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316F29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本期未确认的损失（或本期分享的净利润）</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265E26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本期末累积未确认的损失</w:t>
            </w:r>
          </w:p>
        </w:tc>
      </w:tr>
    </w:tbl>
    <w:p w14:paraId="7F201B2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DBF0E53"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本集团的联营企业未发生超额亏损。</w:t>
      </w:r>
      <w:r w:rsidRPr="00952ED6">
        <w:rPr>
          <w:rFonts w:ascii="Times New Roman" w:hAnsi="Times New Roman" w:cs="Times New Roman" w:hint="eastAsia"/>
          <w:sz w:val="21"/>
          <w:szCs w:val="21"/>
        </w:rPr>
        <w:t xml:space="preserve"> </w:t>
      </w:r>
    </w:p>
    <w:p w14:paraId="7595479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与合营企业或联营企业投资相关的或有负债</w:t>
      </w:r>
    </w:p>
    <w:p w14:paraId="7AE74F1A"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本集团本年不存在与联营企业投资相关的或有负债。</w:t>
      </w:r>
      <w:r w:rsidRPr="00952ED6">
        <w:rPr>
          <w:rFonts w:ascii="Times New Roman" w:hAnsi="Times New Roman" w:cs="Times New Roman" w:hint="eastAsia"/>
          <w:sz w:val="21"/>
          <w:szCs w:val="21"/>
        </w:rPr>
        <w:t xml:space="preserve"> </w:t>
      </w:r>
    </w:p>
    <w:p w14:paraId="16D298F3" w14:textId="77777777" w:rsidR="00A46BF1" w:rsidRDefault="00A46BF1" w:rsidP="00A46BF1">
      <w:pPr>
        <w:pStyle w:val="3"/>
        <w:spacing w:line="280" w:lineRule="exact"/>
        <w:jc w:val="left"/>
        <w:rPr>
          <w:rFonts w:ascii="宋体" w:hAnsi="宋体" w:cs="宋体"/>
          <w:b/>
          <w:bCs/>
        </w:rPr>
      </w:pPr>
      <w:r>
        <w:rPr>
          <w:rFonts w:ascii="宋体" w:hAnsi="宋体" w:cs="宋体"/>
          <w:b/>
          <w:bCs/>
        </w:rPr>
        <w:t>4、其他</w:t>
      </w:r>
    </w:p>
    <w:p w14:paraId="28426989"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本集团本年不存在共同经营。</w:t>
      </w:r>
    </w:p>
    <w:p w14:paraId="16D77CA5"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本集团本年度不存在未纳入合并财务报表范围的结构化主体。</w:t>
      </w:r>
    </w:p>
    <w:p w14:paraId="63D5918B"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十一、政府补助</w:t>
      </w:r>
    </w:p>
    <w:p w14:paraId="133D65E7" w14:textId="77777777" w:rsidR="00A46BF1" w:rsidRDefault="00A46BF1" w:rsidP="00A46BF1">
      <w:pPr>
        <w:pStyle w:val="3"/>
        <w:spacing w:line="280" w:lineRule="exact"/>
        <w:jc w:val="left"/>
        <w:rPr>
          <w:rFonts w:ascii="宋体" w:hAnsi="宋体" w:cs="宋体"/>
          <w:b/>
          <w:bCs/>
        </w:rPr>
      </w:pPr>
      <w:r>
        <w:rPr>
          <w:rFonts w:ascii="宋体" w:hAnsi="宋体" w:cs="宋体"/>
          <w:b/>
          <w:bCs/>
        </w:rPr>
        <w:t>1、报告期末按应收金额确认的政府补助</w:t>
      </w:r>
    </w:p>
    <w:p w14:paraId="357B11A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D6213FB"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未能在预计时点收到预计金额的政府补助的原因</w:t>
      </w:r>
    </w:p>
    <w:p w14:paraId="46A560D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518218F0" w14:textId="77777777" w:rsidR="00A46BF1" w:rsidRDefault="00A46BF1" w:rsidP="00A46BF1">
      <w:pPr>
        <w:pStyle w:val="3"/>
        <w:spacing w:line="280" w:lineRule="exact"/>
        <w:jc w:val="left"/>
        <w:rPr>
          <w:rFonts w:ascii="宋体" w:hAnsi="宋体" w:cs="宋体"/>
          <w:b/>
          <w:bCs/>
        </w:rPr>
      </w:pPr>
      <w:r>
        <w:rPr>
          <w:rFonts w:ascii="宋体" w:hAnsi="宋体" w:cs="宋体"/>
          <w:b/>
          <w:bCs/>
        </w:rPr>
        <w:t>2、涉及政府补助的负债项目</w:t>
      </w:r>
    </w:p>
    <w:p w14:paraId="0703856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2D22A96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1204"/>
        <w:gridCol w:w="1205"/>
        <w:gridCol w:w="1205"/>
        <w:gridCol w:w="1205"/>
        <w:gridCol w:w="1205"/>
        <w:gridCol w:w="842"/>
        <w:gridCol w:w="1276"/>
        <w:gridCol w:w="1497"/>
      </w:tblGrid>
      <w:tr w:rsidR="00095F6F" w14:paraId="04C0038C" w14:textId="77777777" w:rsidTr="00FF1AAC">
        <w:trPr>
          <w:trHeight w:val="240"/>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25CA739F"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会计科目</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2C25701"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期初余额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54909CB3"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本期新增补助金额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4AD868FA"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本期计入营业外收入金额</w:t>
            </w:r>
          </w:p>
        </w:tc>
        <w:tc>
          <w:tcPr>
            <w:tcW w:w="1205" w:type="dxa"/>
            <w:tcBorders>
              <w:top w:val="single" w:sz="2" w:space="0" w:color="auto"/>
              <w:left w:val="single" w:sz="2" w:space="0" w:color="auto"/>
              <w:bottom w:val="single" w:sz="2" w:space="0" w:color="auto"/>
              <w:right w:val="single" w:sz="2" w:space="0" w:color="auto"/>
            </w:tcBorders>
            <w:shd w:val="clear" w:color="auto" w:fill="D3D3D3"/>
            <w:vAlign w:val="center"/>
          </w:tcPr>
          <w:p w14:paraId="6B401283"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本期转入其他收益金额</w:t>
            </w:r>
          </w:p>
        </w:tc>
        <w:tc>
          <w:tcPr>
            <w:tcW w:w="842" w:type="dxa"/>
            <w:tcBorders>
              <w:top w:val="single" w:sz="2" w:space="0" w:color="auto"/>
              <w:left w:val="single" w:sz="2" w:space="0" w:color="auto"/>
              <w:bottom w:val="single" w:sz="2" w:space="0" w:color="auto"/>
              <w:right w:val="single" w:sz="2" w:space="0" w:color="auto"/>
            </w:tcBorders>
            <w:shd w:val="clear" w:color="auto" w:fill="D3D3D3"/>
            <w:vAlign w:val="center"/>
          </w:tcPr>
          <w:p w14:paraId="141327AD"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本期其他变动</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3DE5C388"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期末余额</w:t>
            </w:r>
          </w:p>
        </w:tc>
        <w:tc>
          <w:tcPr>
            <w:tcW w:w="1497" w:type="dxa"/>
            <w:tcBorders>
              <w:top w:val="single" w:sz="2" w:space="0" w:color="auto"/>
              <w:left w:val="single" w:sz="2" w:space="0" w:color="auto"/>
              <w:bottom w:val="single" w:sz="2" w:space="0" w:color="auto"/>
              <w:right w:val="single" w:sz="2" w:space="0" w:color="auto"/>
            </w:tcBorders>
            <w:shd w:val="clear" w:color="auto" w:fill="D3D3D3"/>
            <w:vAlign w:val="center"/>
          </w:tcPr>
          <w:p w14:paraId="328B0E46"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与资产</w:t>
            </w:r>
            <w:r w:rsidRPr="00FF1AAC">
              <w:rPr>
                <w:rFonts w:ascii="Times New Roman" w:eastAsia="宋体" w:hAnsi="Times New Roman" w:cs="Times New Roman"/>
                <w:sz w:val="18"/>
                <w:szCs w:val="18"/>
              </w:rPr>
              <w:t>/</w:t>
            </w:r>
            <w:r w:rsidRPr="00FF1AAC">
              <w:rPr>
                <w:rFonts w:ascii="Times New Roman" w:eastAsia="宋体" w:hAnsi="Times New Roman" w:cs="Times New Roman"/>
                <w:sz w:val="18"/>
                <w:szCs w:val="18"/>
              </w:rPr>
              <w:t>收益相关</w:t>
            </w:r>
          </w:p>
        </w:tc>
      </w:tr>
      <w:tr w:rsidR="00095F6F" w14:paraId="31D27284" w14:textId="77777777" w:rsidTr="00FF1AAC">
        <w:trPr>
          <w:trHeight w:val="240"/>
        </w:trPr>
        <w:tc>
          <w:tcPr>
            <w:tcW w:w="1204" w:type="dxa"/>
            <w:tcBorders>
              <w:top w:val="single" w:sz="2" w:space="0" w:color="auto"/>
              <w:left w:val="single" w:sz="2" w:space="0" w:color="auto"/>
              <w:bottom w:val="single" w:sz="2" w:space="0" w:color="auto"/>
              <w:right w:val="single" w:sz="2" w:space="0" w:color="auto"/>
            </w:tcBorders>
            <w:shd w:val="clear" w:color="auto" w:fill="D3D3D3"/>
            <w:vAlign w:val="center"/>
          </w:tcPr>
          <w:p w14:paraId="34EB7722"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递延收益</w:t>
            </w:r>
          </w:p>
        </w:tc>
        <w:tc>
          <w:tcPr>
            <w:tcW w:w="1205" w:type="dxa"/>
            <w:tcBorders>
              <w:top w:val="single" w:sz="2" w:space="0" w:color="auto"/>
              <w:left w:val="single" w:sz="2" w:space="0" w:color="auto"/>
              <w:bottom w:val="single" w:sz="2" w:space="0" w:color="auto"/>
              <w:right w:val="single" w:sz="2" w:space="0" w:color="auto"/>
            </w:tcBorders>
            <w:vAlign w:val="center"/>
          </w:tcPr>
          <w:p w14:paraId="48463415"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131,032,966.20</w:t>
            </w:r>
          </w:p>
        </w:tc>
        <w:tc>
          <w:tcPr>
            <w:tcW w:w="1205" w:type="dxa"/>
            <w:tcBorders>
              <w:top w:val="single" w:sz="2" w:space="0" w:color="auto"/>
              <w:left w:val="single" w:sz="2" w:space="0" w:color="auto"/>
              <w:bottom w:val="single" w:sz="2" w:space="0" w:color="auto"/>
              <w:right w:val="single" w:sz="2" w:space="0" w:color="auto"/>
            </w:tcBorders>
            <w:vAlign w:val="center"/>
          </w:tcPr>
          <w:p w14:paraId="4848F693"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10,530,000.00</w:t>
            </w:r>
          </w:p>
        </w:tc>
        <w:tc>
          <w:tcPr>
            <w:tcW w:w="1205" w:type="dxa"/>
            <w:tcBorders>
              <w:top w:val="single" w:sz="2" w:space="0" w:color="auto"/>
              <w:left w:val="single" w:sz="2" w:space="0" w:color="auto"/>
              <w:bottom w:val="single" w:sz="2" w:space="0" w:color="auto"/>
              <w:right w:val="single" w:sz="2" w:space="0" w:color="auto"/>
            </w:tcBorders>
            <w:vAlign w:val="center"/>
          </w:tcPr>
          <w:p w14:paraId="3228434A"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4DAA3836"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12,504,635.07</w:t>
            </w:r>
          </w:p>
        </w:tc>
        <w:tc>
          <w:tcPr>
            <w:tcW w:w="842" w:type="dxa"/>
            <w:tcBorders>
              <w:top w:val="single" w:sz="2" w:space="0" w:color="auto"/>
              <w:left w:val="single" w:sz="2" w:space="0" w:color="auto"/>
              <w:bottom w:val="single" w:sz="2" w:space="0" w:color="auto"/>
              <w:right w:val="single" w:sz="2" w:space="0" w:color="auto"/>
            </w:tcBorders>
            <w:vAlign w:val="center"/>
          </w:tcPr>
          <w:p w14:paraId="163B50A7"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7C91D2C2"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129,058,331.13</w:t>
            </w:r>
          </w:p>
        </w:tc>
        <w:tc>
          <w:tcPr>
            <w:tcW w:w="1497" w:type="dxa"/>
            <w:tcBorders>
              <w:top w:val="single" w:sz="2" w:space="0" w:color="auto"/>
              <w:left w:val="single" w:sz="2" w:space="0" w:color="auto"/>
              <w:bottom w:val="single" w:sz="2" w:space="0" w:color="auto"/>
              <w:right w:val="single" w:sz="2" w:space="0" w:color="auto"/>
            </w:tcBorders>
            <w:vAlign w:val="center"/>
          </w:tcPr>
          <w:p w14:paraId="014F503F" w14:textId="77777777" w:rsidR="00A46BF1" w:rsidRPr="00FF1AAC" w:rsidRDefault="00A46BF1" w:rsidP="00FF1AAC">
            <w:pPr>
              <w:spacing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与资产相关</w:t>
            </w:r>
          </w:p>
        </w:tc>
      </w:tr>
      <w:tr w:rsidR="00095F6F" w14:paraId="579944B2" w14:textId="77777777" w:rsidTr="00FF1AAC">
        <w:trPr>
          <w:trHeight w:val="240"/>
        </w:trPr>
        <w:tc>
          <w:tcPr>
            <w:tcW w:w="1204" w:type="dxa"/>
            <w:tcBorders>
              <w:top w:val="single" w:sz="2" w:space="0" w:color="auto"/>
              <w:left w:val="single" w:sz="2" w:space="0" w:color="auto"/>
              <w:bottom w:val="single" w:sz="2" w:space="0" w:color="auto"/>
              <w:right w:val="single" w:sz="2" w:space="0" w:color="auto"/>
            </w:tcBorders>
            <w:vAlign w:val="center"/>
          </w:tcPr>
          <w:p w14:paraId="7EBCFD82" w14:textId="77777777" w:rsidR="00A46BF1" w:rsidRPr="00FF1AAC" w:rsidRDefault="00A46BF1" w:rsidP="00FF1AAC">
            <w:pPr>
              <w:spacing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递延收益</w:t>
            </w:r>
          </w:p>
        </w:tc>
        <w:tc>
          <w:tcPr>
            <w:tcW w:w="1205" w:type="dxa"/>
            <w:tcBorders>
              <w:top w:val="single" w:sz="2" w:space="0" w:color="auto"/>
              <w:left w:val="single" w:sz="2" w:space="0" w:color="auto"/>
              <w:bottom w:val="single" w:sz="2" w:space="0" w:color="auto"/>
              <w:right w:val="single" w:sz="2" w:space="0" w:color="auto"/>
            </w:tcBorders>
            <w:vAlign w:val="center"/>
          </w:tcPr>
          <w:p w14:paraId="33566EB2"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1,434,500.00</w:t>
            </w:r>
          </w:p>
        </w:tc>
        <w:tc>
          <w:tcPr>
            <w:tcW w:w="1205" w:type="dxa"/>
            <w:tcBorders>
              <w:top w:val="single" w:sz="2" w:space="0" w:color="auto"/>
              <w:left w:val="single" w:sz="2" w:space="0" w:color="auto"/>
              <w:bottom w:val="single" w:sz="2" w:space="0" w:color="auto"/>
              <w:right w:val="single" w:sz="2" w:space="0" w:color="auto"/>
            </w:tcBorders>
            <w:vAlign w:val="center"/>
          </w:tcPr>
          <w:p w14:paraId="15E16FEB"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1,583,500.00</w:t>
            </w:r>
          </w:p>
        </w:tc>
        <w:tc>
          <w:tcPr>
            <w:tcW w:w="1205" w:type="dxa"/>
            <w:tcBorders>
              <w:top w:val="single" w:sz="2" w:space="0" w:color="auto"/>
              <w:left w:val="single" w:sz="2" w:space="0" w:color="auto"/>
              <w:bottom w:val="single" w:sz="2" w:space="0" w:color="auto"/>
              <w:right w:val="single" w:sz="2" w:space="0" w:color="auto"/>
            </w:tcBorders>
            <w:vAlign w:val="center"/>
          </w:tcPr>
          <w:p w14:paraId="048F4844"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205" w:type="dxa"/>
            <w:tcBorders>
              <w:top w:val="single" w:sz="2" w:space="0" w:color="auto"/>
              <w:left w:val="single" w:sz="2" w:space="0" w:color="auto"/>
              <w:bottom w:val="single" w:sz="2" w:space="0" w:color="auto"/>
              <w:right w:val="single" w:sz="2" w:space="0" w:color="auto"/>
            </w:tcBorders>
            <w:vAlign w:val="center"/>
          </w:tcPr>
          <w:p w14:paraId="07D40D88"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990,000.00</w:t>
            </w:r>
          </w:p>
        </w:tc>
        <w:tc>
          <w:tcPr>
            <w:tcW w:w="842" w:type="dxa"/>
            <w:tcBorders>
              <w:top w:val="single" w:sz="2" w:space="0" w:color="auto"/>
              <w:left w:val="single" w:sz="2" w:space="0" w:color="auto"/>
              <w:bottom w:val="single" w:sz="2" w:space="0" w:color="auto"/>
              <w:right w:val="single" w:sz="2" w:space="0" w:color="auto"/>
            </w:tcBorders>
            <w:vAlign w:val="center"/>
          </w:tcPr>
          <w:p w14:paraId="6D17D00D"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276" w:type="dxa"/>
            <w:tcBorders>
              <w:top w:val="single" w:sz="2" w:space="0" w:color="auto"/>
              <w:left w:val="single" w:sz="2" w:space="0" w:color="auto"/>
              <w:bottom w:val="single" w:sz="2" w:space="0" w:color="auto"/>
              <w:right w:val="single" w:sz="2" w:space="0" w:color="auto"/>
            </w:tcBorders>
            <w:vAlign w:val="center"/>
          </w:tcPr>
          <w:p w14:paraId="45958506"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2,028,000.00</w:t>
            </w:r>
          </w:p>
        </w:tc>
        <w:tc>
          <w:tcPr>
            <w:tcW w:w="1497" w:type="dxa"/>
            <w:tcBorders>
              <w:top w:val="single" w:sz="2" w:space="0" w:color="auto"/>
              <w:left w:val="single" w:sz="2" w:space="0" w:color="auto"/>
              <w:bottom w:val="single" w:sz="2" w:space="0" w:color="auto"/>
              <w:right w:val="single" w:sz="2" w:space="0" w:color="auto"/>
            </w:tcBorders>
            <w:vAlign w:val="center"/>
          </w:tcPr>
          <w:p w14:paraId="141D0C3A" w14:textId="77777777" w:rsidR="00A46BF1" w:rsidRPr="00FF1AAC" w:rsidRDefault="00A46BF1" w:rsidP="00FF1AAC">
            <w:pPr>
              <w:spacing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与收益相关</w:t>
            </w:r>
          </w:p>
        </w:tc>
      </w:tr>
    </w:tbl>
    <w:p w14:paraId="505821CC" w14:textId="77777777" w:rsidR="00A46BF1" w:rsidRDefault="00A46BF1" w:rsidP="00A46BF1">
      <w:pPr>
        <w:pStyle w:val="3"/>
        <w:spacing w:line="280" w:lineRule="exact"/>
        <w:jc w:val="left"/>
        <w:rPr>
          <w:rFonts w:ascii="宋体" w:hAnsi="宋体" w:cs="宋体"/>
          <w:b/>
          <w:bCs/>
        </w:rPr>
      </w:pPr>
      <w:r>
        <w:rPr>
          <w:rFonts w:ascii="宋体" w:hAnsi="宋体" w:cs="宋体"/>
          <w:b/>
          <w:bCs/>
        </w:rPr>
        <w:t>3、计入当期损益的政府补助</w:t>
      </w:r>
    </w:p>
    <w:p w14:paraId="60156BB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0D25F2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026C15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199A8A0"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会计科目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EE6B7D9"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27E2BE"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上期发生额</w:t>
            </w:r>
          </w:p>
        </w:tc>
      </w:tr>
      <w:tr w:rsidR="00095F6F" w14:paraId="7591DA5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76E7DB0" w14:textId="77777777" w:rsidR="00A46BF1" w:rsidRPr="00FF1AAC" w:rsidRDefault="00A46BF1" w:rsidP="00FF1AAC">
            <w:pPr>
              <w:spacing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其他收益</w:t>
            </w:r>
          </w:p>
        </w:tc>
        <w:tc>
          <w:tcPr>
            <w:tcW w:w="3213" w:type="dxa"/>
            <w:tcBorders>
              <w:top w:val="single" w:sz="2" w:space="0" w:color="auto"/>
              <w:left w:val="single" w:sz="2" w:space="0" w:color="auto"/>
              <w:bottom w:val="single" w:sz="2" w:space="0" w:color="auto"/>
              <w:right w:val="single" w:sz="2" w:space="0" w:color="auto"/>
            </w:tcBorders>
            <w:vAlign w:val="center"/>
          </w:tcPr>
          <w:p w14:paraId="14D8C47F"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57,464,502.98</w:t>
            </w:r>
          </w:p>
        </w:tc>
        <w:tc>
          <w:tcPr>
            <w:tcW w:w="3213" w:type="dxa"/>
            <w:tcBorders>
              <w:top w:val="single" w:sz="2" w:space="0" w:color="auto"/>
              <w:left w:val="single" w:sz="2" w:space="0" w:color="auto"/>
              <w:bottom w:val="single" w:sz="2" w:space="0" w:color="auto"/>
              <w:right w:val="single" w:sz="2" w:space="0" w:color="auto"/>
            </w:tcBorders>
            <w:vAlign w:val="center"/>
          </w:tcPr>
          <w:p w14:paraId="5AF703C4"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100,507,784.20</w:t>
            </w:r>
          </w:p>
        </w:tc>
      </w:tr>
    </w:tbl>
    <w:p w14:paraId="47BDDCB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9C9D836" w14:textId="77777777" w:rsidR="00A46BF1" w:rsidRPr="00FF1AAC" w:rsidRDefault="00A46BF1" w:rsidP="00FF1AAC">
      <w:pPr>
        <w:spacing w:before="100" w:after="100" w:line="240" w:lineRule="exact"/>
        <w:rPr>
          <w:rFonts w:ascii="宋体" w:eastAsia="宋体" w:hAnsi="宋体" w:cs="宋体"/>
          <w:sz w:val="18"/>
          <w:szCs w:val="18"/>
        </w:rPr>
      </w:pPr>
      <w:r w:rsidRPr="00FF1AAC">
        <w:rPr>
          <w:rFonts w:ascii="宋体" w:eastAsia="宋体" w:hAnsi="宋体" w:cs="宋体" w:hint="eastAsia"/>
          <w:sz w:val="18"/>
          <w:szCs w:val="18"/>
        </w:rPr>
        <w:t>无</w:t>
      </w:r>
    </w:p>
    <w:p w14:paraId="2F786723"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十二、与金融工具相关的风险</w:t>
      </w:r>
    </w:p>
    <w:p w14:paraId="39196330" w14:textId="77777777" w:rsidR="00A46BF1" w:rsidRDefault="00A46BF1" w:rsidP="00A46BF1">
      <w:pPr>
        <w:pStyle w:val="3"/>
        <w:spacing w:line="280" w:lineRule="exact"/>
        <w:jc w:val="left"/>
        <w:rPr>
          <w:rFonts w:ascii="宋体" w:hAnsi="宋体" w:cs="宋体"/>
          <w:b/>
          <w:bCs/>
        </w:rPr>
      </w:pPr>
      <w:r>
        <w:rPr>
          <w:rFonts w:ascii="宋体" w:hAnsi="宋体" w:cs="宋体"/>
          <w:b/>
          <w:bCs/>
        </w:rPr>
        <w:t>1、金融工具产生的各类风险</w:t>
      </w:r>
    </w:p>
    <w:p w14:paraId="1DFEE821" w14:textId="38827A80"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本集团在日常活动中面临各种金融工具风险，主要包括应收款项、交易性金融资产、其他权益工具投资、借款、应付款项等，各项金融工具的详细情况说明见本附注</w:t>
      </w:r>
      <w:r w:rsidR="008C04E7" w:rsidRPr="00952ED6">
        <w:rPr>
          <w:rFonts w:ascii="Times New Roman" w:hAnsi="Times New Roman" w:cs="Times New Roman" w:hint="eastAsia"/>
          <w:sz w:val="21"/>
          <w:szCs w:val="21"/>
        </w:rPr>
        <w:t>七</w:t>
      </w:r>
      <w:r w:rsidRPr="00952ED6">
        <w:rPr>
          <w:rFonts w:ascii="Times New Roman" w:hAnsi="Times New Roman" w:cs="Times New Roman" w:hint="eastAsia"/>
          <w:sz w:val="21"/>
          <w:szCs w:val="21"/>
        </w:rPr>
        <w:t>。与这些金融工具有关的风险，以及本公司为降低这些风险所采取的风险管理政策如下所述。本集团管理层对这些风险敞口进行管理和监控以确保将上述风险控制在限定的范围之内。</w:t>
      </w:r>
    </w:p>
    <w:p w14:paraId="571BFC99" w14:textId="0A9EC0FF" w:rsidR="00A46BF1" w:rsidRPr="00952ED6" w:rsidRDefault="00A83985"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1</w:t>
      </w:r>
      <w:r>
        <w:rPr>
          <w:rFonts w:ascii="Times New Roman" w:hAnsi="Times New Roman" w:cs="Times New Roman" w:hint="eastAsia"/>
          <w:sz w:val="21"/>
          <w:szCs w:val="21"/>
        </w:rPr>
        <w:t>）</w:t>
      </w:r>
      <w:r w:rsidR="00A46BF1" w:rsidRPr="00952ED6">
        <w:rPr>
          <w:rFonts w:ascii="Times New Roman" w:hAnsi="Times New Roman" w:cs="Times New Roman" w:hint="eastAsia"/>
          <w:sz w:val="21"/>
          <w:szCs w:val="21"/>
        </w:rPr>
        <w:t>各类风险管理目标和政策</w:t>
      </w:r>
    </w:p>
    <w:p w14:paraId="67B665C7"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5B6B6838" w14:textId="5E4CB531"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sz w:val="21"/>
          <w:szCs w:val="21"/>
        </w:rPr>
        <w:t>1</w:t>
      </w:r>
      <w:r w:rsidRPr="00952ED6">
        <w:rPr>
          <w:rFonts w:ascii="Times New Roman" w:hAnsi="Times New Roman" w:cs="Times New Roman" w:hint="eastAsia"/>
          <w:sz w:val="21"/>
          <w:szCs w:val="21"/>
        </w:rPr>
        <w:t>）市场风险</w:t>
      </w:r>
    </w:p>
    <w:p w14:paraId="428A1FE2" w14:textId="2F8FC5CC" w:rsidR="00A46BF1" w:rsidRPr="00952ED6" w:rsidRDefault="00A83985"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cs="Times New Roman" w:hint="eastAsia"/>
          <w:sz w:val="21"/>
          <w:szCs w:val="21"/>
        </w:rPr>
        <w:t>①</w:t>
      </w:r>
      <w:r w:rsidR="00A46BF1" w:rsidRPr="00952ED6">
        <w:rPr>
          <w:rFonts w:ascii="Times New Roman" w:hAnsi="Times New Roman" w:cs="Times New Roman" w:hint="eastAsia"/>
          <w:sz w:val="21"/>
          <w:szCs w:val="21"/>
        </w:rPr>
        <w:t>汇率风险</w:t>
      </w:r>
    </w:p>
    <w:p w14:paraId="47F5FE63" w14:textId="53E8EBD0"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承受汇率风险主要与美元、港币、欧元、印度卢比、印尼卢比、英镑、新加坡元、加元、日元、墨西哥元、菲律宾比索有关，除本公司的部分下属子公司以前述外币进行采购和销售以及本公司采用上述外币进行出口业务结算外，本集团的其它主要业务活动以人民币计价结算。其中外币货币性项目见本附注</w:t>
      </w:r>
      <w:r w:rsidR="008C04E7" w:rsidRPr="00952ED6">
        <w:rPr>
          <w:rFonts w:ascii="Times New Roman" w:hAnsi="Times New Roman" w:cs="Times New Roman" w:hint="eastAsia"/>
          <w:sz w:val="21"/>
          <w:szCs w:val="21"/>
        </w:rPr>
        <w:t>七</w:t>
      </w:r>
      <w:r w:rsidRPr="00952ED6">
        <w:rPr>
          <w:rFonts w:ascii="Times New Roman" w:hAnsi="Times New Roman" w:cs="Times New Roman" w:hint="eastAsia"/>
          <w:sz w:val="21"/>
          <w:szCs w:val="21"/>
        </w:rPr>
        <w:t>、</w:t>
      </w:r>
      <w:r w:rsidR="00424B75" w:rsidRPr="00952ED6">
        <w:rPr>
          <w:rFonts w:ascii="Times New Roman" w:hAnsi="Times New Roman" w:cs="Times New Roman"/>
          <w:sz w:val="21"/>
          <w:szCs w:val="21"/>
        </w:rPr>
        <w:t>6</w:t>
      </w:r>
      <w:r w:rsidR="00424B75">
        <w:rPr>
          <w:rFonts w:ascii="Times New Roman" w:hAnsi="Times New Roman" w:cs="Times New Roman"/>
          <w:sz w:val="21"/>
          <w:szCs w:val="21"/>
        </w:rPr>
        <w:t>4</w:t>
      </w:r>
      <w:r w:rsidRPr="00952ED6">
        <w:rPr>
          <w:rFonts w:ascii="Times New Roman" w:hAnsi="Times New Roman" w:cs="Times New Roman" w:hint="eastAsia"/>
          <w:sz w:val="21"/>
          <w:szCs w:val="21"/>
        </w:rPr>
        <w:t>（</w:t>
      </w:r>
      <w:r w:rsidRPr="00952ED6">
        <w:rPr>
          <w:rFonts w:ascii="Times New Roman" w:hAnsi="Times New Roman" w:cs="Times New Roman"/>
          <w:sz w:val="21"/>
          <w:szCs w:val="21"/>
        </w:rPr>
        <w:t>1</w:t>
      </w:r>
      <w:r w:rsidRPr="00952ED6">
        <w:rPr>
          <w:rFonts w:ascii="Times New Roman" w:hAnsi="Times New Roman" w:cs="Times New Roman" w:hint="eastAsia"/>
          <w:sz w:val="21"/>
          <w:szCs w:val="21"/>
        </w:rPr>
        <w:t>）。本集团外币资产和负债产生的汇率风险可能对本集团的经营业绩产生影响。本集团密切关注汇率变动对本集团的影响。</w:t>
      </w:r>
    </w:p>
    <w:p w14:paraId="432CFB46" w14:textId="60A13D4B" w:rsidR="00A46BF1" w:rsidRPr="00952ED6" w:rsidRDefault="00A83985"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cs="Times New Roman" w:hint="eastAsia"/>
          <w:sz w:val="21"/>
          <w:szCs w:val="21"/>
        </w:rPr>
        <w:t>②</w:t>
      </w:r>
      <w:r w:rsidR="00A46BF1" w:rsidRPr="00952ED6">
        <w:rPr>
          <w:rFonts w:ascii="Times New Roman" w:hAnsi="Times New Roman" w:cs="Times New Roman" w:hint="eastAsia"/>
          <w:sz w:val="21"/>
          <w:szCs w:val="21"/>
        </w:rPr>
        <w:t>利率风险</w:t>
      </w:r>
    </w:p>
    <w:p w14:paraId="2FB08811"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本集团的利率风险产生于银行借款带息债务。</w:t>
      </w: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12</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31</w:t>
      </w:r>
      <w:r w:rsidRPr="00952ED6">
        <w:rPr>
          <w:rFonts w:ascii="Times New Roman" w:hAnsi="Times New Roman" w:cs="Times New Roman" w:hint="eastAsia"/>
          <w:sz w:val="21"/>
          <w:szCs w:val="21"/>
        </w:rPr>
        <w:t>日，本集团的带息债务主要包括人民币币种计价的浮动利率借款，金额合计为</w:t>
      </w:r>
      <w:r w:rsidRPr="00952ED6">
        <w:rPr>
          <w:rFonts w:ascii="Times New Roman" w:hAnsi="Times New Roman" w:cs="Times New Roman"/>
          <w:sz w:val="21"/>
          <w:szCs w:val="21"/>
        </w:rPr>
        <w:t>225,800,000.00</w:t>
      </w:r>
      <w:r w:rsidRPr="00952ED6">
        <w:rPr>
          <w:rFonts w:ascii="Times New Roman" w:hAnsi="Times New Roman" w:cs="Times New Roman" w:hint="eastAsia"/>
          <w:sz w:val="21"/>
          <w:szCs w:val="21"/>
        </w:rPr>
        <w:t>元。浮动利率的金融负债使本集团面临现金流量利率风险，固定利率的金融负债使本集团面临公允价值利率风险。本集团根据当时的市场环境来决定固定利率及浮动利率合同的相对比例，但这些风险对于本集团并不重大。</w:t>
      </w:r>
    </w:p>
    <w:p w14:paraId="2260D3A3" w14:textId="27F1AAB3" w:rsidR="00A46BF1" w:rsidRPr="00952ED6" w:rsidRDefault="00A83985"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cs="Times New Roman" w:hint="eastAsia"/>
          <w:sz w:val="21"/>
          <w:szCs w:val="21"/>
        </w:rPr>
        <w:t>③</w:t>
      </w:r>
      <w:r w:rsidR="00A46BF1" w:rsidRPr="00952ED6">
        <w:rPr>
          <w:rFonts w:ascii="Times New Roman" w:hAnsi="Times New Roman" w:cs="Times New Roman" w:hint="eastAsia"/>
          <w:sz w:val="21"/>
          <w:szCs w:val="21"/>
        </w:rPr>
        <w:t>价格风险</w:t>
      </w:r>
    </w:p>
    <w:p w14:paraId="77A3D76C"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本集团主要产品属于医疗器械行业，受市场价格波动影响较小。</w:t>
      </w:r>
    </w:p>
    <w:p w14:paraId="638C47D0" w14:textId="6F4CA563"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sz w:val="21"/>
          <w:szCs w:val="21"/>
        </w:rPr>
        <w:t>2</w:t>
      </w:r>
      <w:r w:rsidRPr="00952ED6">
        <w:rPr>
          <w:rFonts w:ascii="Times New Roman" w:hAnsi="Times New Roman" w:cs="Times New Roman" w:hint="eastAsia"/>
          <w:sz w:val="21"/>
          <w:szCs w:val="21"/>
        </w:rPr>
        <w:t>）信用风险</w:t>
      </w:r>
    </w:p>
    <w:p w14:paraId="17ABE0E3"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12</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31</w:t>
      </w:r>
      <w:r w:rsidRPr="00952ED6">
        <w:rPr>
          <w:rFonts w:ascii="Times New Roman" w:hAnsi="Times New Roman" w:cs="Times New Roman" w:hint="eastAsia"/>
          <w:sz w:val="21"/>
          <w:szCs w:val="21"/>
        </w:rPr>
        <w:t>日，可能引起本集团财务损失的最大信用风险敞口主要来自于合同另一方未能履行义务而导致本公司金融资产产生的损失，主要为合并资产负债表中已确认的金融资产的账面金额。</w:t>
      </w:r>
    </w:p>
    <w:p w14:paraId="37DF34A4"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为降低信用风险，本集团成立专门部门确定信用额度</w:t>
      </w:r>
      <w:r w:rsidRPr="00952ED6">
        <w:rPr>
          <w:rFonts w:ascii="Times New Roman" w:hAnsi="Times New Roman" w:cs="Times New Roman"/>
          <w:sz w:val="21"/>
          <w:szCs w:val="21"/>
        </w:rPr>
        <w:t>,</w:t>
      </w:r>
      <w:r w:rsidRPr="00952ED6">
        <w:rPr>
          <w:rFonts w:ascii="Times New Roman" w:hAnsi="Times New Roman" w:cs="Times New Roman" w:hint="eastAsia"/>
          <w:sz w:val="21"/>
          <w:szCs w:val="21"/>
        </w:rPr>
        <w:t>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08F338B2"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本集团的流动资金存放在信用评级较高的银行，故流动资金的信用风险较低。</w:t>
      </w:r>
    </w:p>
    <w:p w14:paraId="75D2B238"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本集团采用了必要的政策确保所有销售客户均具有良好的信用记录。除应收账款金额前五名外，本集团无其他重大信用集中风险。</w:t>
      </w:r>
    </w:p>
    <w:p w14:paraId="2F0BF8F8"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本集团应收账款中，前五名金额合计：</w:t>
      </w:r>
      <w:r w:rsidRPr="00952ED6">
        <w:rPr>
          <w:rFonts w:ascii="Times New Roman" w:hAnsi="Times New Roman" w:cs="Times New Roman"/>
          <w:sz w:val="21"/>
          <w:szCs w:val="21"/>
        </w:rPr>
        <w:t>404,317,109.38</w:t>
      </w:r>
      <w:r w:rsidRPr="00952ED6">
        <w:rPr>
          <w:rFonts w:ascii="Times New Roman" w:hAnsi="Times New Roman" w:cs="Times New Roman" w:hint="eastAsia"/>
          <w:sz w:val="21"/>
          <w:szCs w:val="21"/>
        </w:rPr>
        <w:t>元，占本公司应收账款总额的</w:t>
      </w:r>
      <w:r w:rsidRPr="00952ED6">
        <w:rPr>
          <w:rFonts w:ascii="Times New Roman" w:hAnsi="Times New Roman" w:cs="Times New Roman"/>
          <w:sz w:val="21"/>
          <w:szCs w:val="21"/>
        </w:rPr>
        <w:t>56.38%</w:t>
      </w:r>
      <w:r w:rsidRPr="00952ED6">
        <w:rPr>
          <w:rFonts w:ascii="Times New Roman" w:hAnsi="Times New Roman" w:cs="Times New Roman" w:hint="eastAsia"/>
          <w:sz w:val="21"/>
          <w:szCs w:val="21"/>
        </w:rPr>
        <w:t>。</w:t>
      </w:r>
    </w:p>
    <w:p w14:paraId="795B07D9" w14:textId="72BD3D7C"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sz w:val="21"/>
          <w:szCs w:val="21"/>
        </w:rPr>
        <w:t>3</w:t>
      </w:r>
      <w:r w:rsidRPr="00952ED6">
        <w:rPr>
          <w:rFonts w:ascii="Times New Roman" w:hAnsi="Times New Roman" w:cs="Times New Roman" w:hint="eastAsia"/>
          <w:sz w:val="21"/>
          <w:szCs w:val="21"/>
        </w:rPr>
        <w:t>）流动风险</w:t>
      </w:r>
    </w:p>
    <w:p w14:paraId="34491428"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hint="eastAsia"/>
          <w:sz w:val="21"/>
          <w:szCs w:val="21"/>
        </w:rPr>
        <w:t>流动风险为本集团在到期日无法履行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14:paraId="729713FA" w14:textId="4E00BBE7" w:rsidR="00A46BF1" w:rsidRPr="00952ED6" w:rsidRDefault="00A83985"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cs="Times New Roman" w:hint="eastAsia"/>
          <w:sz w:val="21"/>
          <w:szCs w:val="21"/>
        </w:rPr>
        <w:t>①</w:t>
      </w:r>
      <w:r w:rsidR="00A46BF1" w:rsidRPr="00952ED6">
        <w:rPr>
          <w:rFonts w:ascii="Times New Roman" w:hAnsi="Times New Roman" w:cs="Times New Roman" w:hint="eastAsia"/>
          <w:sz w:val="21"/>
          <w:szCs w:val="21"/>
        </w:rPr>
        <w:t>本集团持有的金融资产和金融负债按未折现剩余合同义务的到期期限分析如下：</w:t>
      </w:r>
    </w:p>
    <w:p w14:paraId="28E648AB" w14:textId="77777777" w:rsidR="00A46BF1" w:rsidRPr="00952ED6" w:rsidRDefault="00A46BF1" w:rsidP="00952ED6">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952ED6">
        <w:rPr>
          <w:rFonts w:ascii="Times New Roman" w:hAnsi="Times New Roman" w:cs="Times New Roman"/>
          <w:sz w:val="21"/>
          <w:szCs w:val="21"/>
        </w:rPr>
        <w:t>2025</w:t>
      </w:r>
      <w:r w:rsidRPr="00952ED6">
        <w:rPr>
          <w:rFonts w:ascii="Times New Roman" w:hAnsi="Times New Roman" w:cs="Times New Roman" w:hint="eastAsia"/>
          <w:sz w:val="21"/>
          <w:szCs w:val="21"/>
        </w:rPr>
        <w:t>年</w:t>
      </w:r>
      <w:r w:rsidRPr="00952ED6">
        <w:rPr>
          <w:rFonts w:ascii="Times New Roman" w:hAnsi="Times New Roman" w:cs="Times New Roman"/>
          <w:sz w:val="21"/>
          <w:szCs w:val="21"/>
        </w:rPr>
        <w:t>12</w:t>
      </w:r>
      <w:r w:rsidRPr="00952ED6">
        <w:rPr>
          <w:rFonts w:ascii="Times New Roman" w:hAnsi="Times New Roman" w:cs="Times New Roman" w:hint="eastAsia"/>
          <w:sz w:val="21"/>
          <w:szCs w:val="21"/>
        </w:rPr>
        <w:t>月</w:t>
      </w:r>
      <w:r w:rsidRPr="00952ED6">
        <w:rPr>
          <w:rFonts w:ascii="Times New Roman" w:hAnsi="Times New Roman" w:cs="Times New Roman"/>
          <w:sz w:val="21"/>
          <w:szCs w:val="21"/>
        </w:rPr>
        <w:t>31</w:t>
      </w:r>
      <w:r w:rsidRPr="00952ED6">
        <w:rPr>
          <w:rFonts w:ascii="Times New Roman" w:hAnsi="Times New Roman" w:cs="Times New Roman" w:hint="eastAsia"/>
          <w:sz w:val="21"/>
          <w:szCs w:val="21"/>
        </w:rPr>
        <w:t>日金额：</w:t>
      </w:r>
    </w:p>
    <w:tbl>
      <w:tblPr>
        <w:tblW w:w="5000" w:type="pct"/>
        <w:jc w:val="center"/>
        <w:tblCellMar>
          <w:left w:w="0" w:type="dxa"/>
          <w:right w:w="0" w:type="dxa"/>
        </w:tblCellMar>
        <w:tblLook w:val="04A0" w:firstRow="1" w:lastRow="0" w:firstColumn="1" w:lastColumn="0" w:noHBand="0" w:noVBand="1"/>
      </w:tblPr>
      <w:tblGrid>
        <w:gridCol w:w="2660"/>
        <w:gridCol w:w="1843"/>
        <w:gridCol w:w="1417"/>
        <w:gridCol w:w="1419"/>
        <w:gridCol w:w="991"/>
        <w:gridCol w:w="1523"/>
      </w:tblGrid>
      <w:tr w:rsidR="00A46BF1" w14:paraId="2A8FBB20" w14:textId="77777777" w:rsidTr="00FF1AAC">
        <w:trPr>
          <w:trHeight w:val="340"/>
          <w:tblHeader/>
          <w:jc w:val="center"/>
        </w:trPr>
        <w:tc>
          <w:tcPr>
            <w:tcW w:w="13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EA2DC"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Style w:val="aa"/>
                <w:rFonts w:ascii="Times New Roman" w:hAnsi="Times New Roman" w:cs="Times New Roman"/>
                <w:sz w:val="18"/>
                <w:szCs w:val="18"/>
              </w:rPr>
              <w:t>项目</w:t>
            </w:r>
          </w:p>
        </w:tc>
        <w:tc>
          <w:tcPr>
            <w:tcW w:w="9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3AAA7E" w14:textId="77777777" w:rsidR="00A46BF1" w:rsidRPr="00FF1AAC" w:rsidRDefault="00A46BF1" w:rsidP="00FF1AAC">
            <w:pPr>
              <w:pStyle w:val="a9"/>
              <w:spacing w:before="0" w:beforeAutospacing="0" w:after="0"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1</w:t>
            </w:r>
            <w:r w:rsidRPr="00FF1AAC">
              <w:rPr>
                <w:rStyle w:val="aa"/>
                <w:rFonts w:ascii="Times New Roman" w:hAnsi="Times New Roman" w:cs="Times New Roman"/>
                <w:sz w:val="18"/>
                <w:szCs w:val="18"/>
              </w:rPr>
              <w:t>年以内</w:t>
            </w:r>
          </w:p>
        </w:tc>
        <w:tc>
          <w:tcPr>
            <w:tcW w:w="71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AB4BB7" w14:textId="77777777" w:rsidR="00A46BF1" w:rsidRPr="00FF1AAC" w:rsidRDefault="00A46BF1" w:rsidP="00FF1AAC">
            <w:pPr>
              <w:pStyle w:val="a9"/>
              <w:spacing w:before="0" w:beforeAutospacing="0" w:after="0"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1</w:t>
            </w:r>
            <w:r w:rsidRPr="00FF1AAC">
              <w:rPr>
                <w:rStyle w:val="aa"/>
                <w:rFonts w:ascii="Times New Roman" w:hAnsi="Times New Roman" w:cs="Times New Roman"/>
                <w:sz w:val="18"/>
                <w:szCs w:val="18"/>
              </w:rPr>
              <w:t>到</w:t>
            </w:r>
            <w:r w:rsidRPr="00FF1AAC">
              <w:rPr>
                <w:rStyle w:val="aa"/>
                <w:rFonts w:ascii="Times New Roman" w:hAnsi="Times New Roman" w:cs="Times New Roman"/>
                <w:sz w:val="18"/>
                <w:szCs w:val="18"/>
              </w:rPr>
              <w:t>2</w:t>
            </w:r>
            <w:r w:rsidRPr="00FF1AAC">
              <w:rPr>
                <w:rStyle w:val="aa"/>
                <w:rFonts w:ascii="Times New Roman" w:hAnsi="Times New Roman" w:cs="Times New Roman"/>
                <w:sz w:val="18"/>
                <w:szCs w:val="18"/>
              </w:rPr>
              <w:t>年</w:t>
            </w:r>
          </w:p>
        </w:tc>
        <w:tc>
          <w:tcPr>
            <w:tcW w:w="72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8457D7" w14:textId="77777777" w:rsidR="00A46BF1" w:rsidRPr="00FF1AAC" w:rsidRDefault="00A46BF1" w:rsidP="00FF1AAC">
            <w:pPr>
              <w:pStyle w:val="a9"/>
              <w:spacing w:before="0" w:beforeAutospacing="0" w:after="0"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2</w:t>
            </w:r>
            <w:r w:rsidRPr="00FF1AAC">
              <w:rPr>
                <w:rStyle w:val="aa"/>
                <w:rFonts w:ascii="Times New Roman" w:hAnsi="Times New Roman" w:cs="Times New Roman"/>
                <w:sz w:val="18"/>
                <w:szCs w:val="18"/>
              </w:rPr>
              <w:t>到</w:t>
            </w:r>
            <w:r w:rsidRPr="00FF1AAC">
              <w:rPr>
                <w:rStyle w:val="aa"/>
                <w:rFonts w:ascii="Times New Roman" w:hAnsi="Times New Roman" w:cs="Times New Roman"/>
                <w:sz w:val="18"/>
                <w:szCs w:val="18"/>
              </w:rPr>
              <w:t>5</w:t>
            </w:r>
            <w:r w:rsidRPr="00FF1AAC">
              <w:rPr>
                <w:rStyle w:val="aa"/>
                <w:rFonts w:ascii="Times New Roman" w:hAnsi="Times New Roman" w:cs="Times New Roman"/>
                <w:sz w:val="18"/>
                <w:szCs w:val="18"/>
              </w:rPr>
              <w:t>年</w:t>
            </w:r>
          </w:p>
        </w:tc>
        <w:tc>
          <w:tcPr>
            <w:tcW w:w="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2A9AF6" w14:textId="77777777" w:rsidR="00A46BF1" w:rsidRPr="00FF1AAC" w:rsidRDefault="00A46BF1" w:rsidP="00FF1AAC">
            <w:pPr>
              <w:pStyle w:val="a9"/>
              <w:spacing w:before="0" w:beforeAutospacing="0" w:after="0"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5</w:t>
            </w:r>
            <w:r w:rsidRPr="00FF1AAC">
              <w:rPr>
                <w:rStyle w:val="aa"/>
                <w:rFonts w:ascii="Times New Roman" w:hAnsi="Times New Roman" w:cs="Times New Roman"/>
                <w:sz w:val="18"/>
                <w:szCs w:val="18"/>
              </w:rPr>
              <w:t>年以上</w:t>
            </w:r>
          </w:p>
        </w:tc>
        <w:tc>
          <w:tcPr>
            <w:tcW w:w="7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87B0A1" w14:textId="77777777" w:rsidR="00A46BF1" w:rsidRPr="00FF1AAC" w:rsidRDefault="00A46BF1" w:rsidP="00FF1AAC">
            <w:pPr>
              <w:pStyle w:val="a9"/>
              <w:spacing w:before="0" w:beforeAutospacing="0" w:after="0"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合计</w:t>
            </w:r>
          </w:p>
        </w:tc>
      </w:tr>
      <w:tr w:rsidR="00A46BF1" w14:paraId="791D0104"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A7BAA"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Style w:val="aa"/>
                <w:rFonts w:ascii="Times New Roman" w:hAnsi="Times New Roman" w:cs="Times New Roman"/>
                <w:sz w:val="18"/>
                <w:szCs w:val="18"/>
              </w:rPr>
              <w:t>金融负债</w:t>
            </w:r>
          </w:p>
        </w:tc>
        <w:tc>
          <w:tcPr>
            <w:tcW w:w="935" w:type="pct"/>
            <w:tcBorders>
              <w:top w:val="nil"/>
              <w:left w:val="nil"/>
              <w:bottom w:val="single" w:sz="8" w:space="0" w:color="auto"/>
              <w:right w:val="single" w:sz="8" w:space="0" w:color="auto"/>
            </w:tcBorders>
            <w:tcMar>
              <w:top w:w="0" w:type="dxa"/>
              <w:left w:w="108" w:type="dxa"/>
              <w:bottom w:w="0" w:type="dxa"/>
              <w:right w:w="108" w:type="dxa"/>
            </w:tcMar>
            <w:hideMark/>
          </w:tcPr>
          <w:p w14:paraId="18370CB7" w14:textId="74A612DA"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Style w:val="aa"/>
                <w:rFonts w:ascii="Times New Roman" w:hAnsi="Times New Roman" w:cs="Times New Roman"/>
                <w:color w:val="000000"/>
                <w:sz w:val="18"/>
                <w:szCs w:val="18"/>
              </w:rPr>
              <w:t>1,426,257,034.20</w:t>
            </w:r>
          </w:p>
        </w:tc>
        <w:tc>
          <w:tcPr>
            <w:tcW w:w="719" w:type="pct"/>
            <w:tcBorders>
              <w:top w:val="nil"/>
              <w:left w:val="nil"/>
              <w:bottom w:val="single" w:sz="8" w:space="0" w:color="auto"/>
              <w:right w:val="single" w:sz="8" w:space="0" w:color="auto"/>
            </w:tcBorders>
            <w:tcMar>
              <w:top w:w="0" w:type="dxa"/>
              <w:left w:w="108" w:type="dxa"/>
              <w:bottom w:w="0" w:type="dxa"/>
              <w:right w:w="108" w:type="dxa"/>
            </w:tcMar>
            <w:hideMark/>
          </w:tcPr>
          <w:p w14:paraId="12EF87CC" w14:textId="62DFFA76"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Style w:val="aa"/>
                <w:rFonts w:ascii="Times New Roman" w:hAnsi="Times New Roman" w:cs="Times New Roman"/>
                <w:color w:val="000000"/>
                <w:sz w:val="18"/>
                <w:szCs w:val="18"/>
              </w:rPr>
              <w:t>33,058,160.85</w:t>
            </w:r>
          </w:p>
        </w:tc>
        <w:tc>
          <w:tcPr>
            <w:tcW w:w="720" w:type="pct"/>
            <w:tcBorders>
              <w:top w:val="nil"/>
              <w:left w:val="nil"/>
              <w:bottom w:val="single" w:sz="8" w:space="0" w:color="auto"/>
              <w:right w:val="single" w:sz="8" w:space="0" w:color="auto"/>
            </w:tcBorders>
            <w:tcMar>
              <w:top w:w="0" w:type="dxa"/>
              <w:left w:w="108" w:type="dxa"/>
              <w:bottom w:w="0" w:type="dxa"/>
              <w:right w:w="108" w:type="dxa"/>
            </w:tcMar>
            <w:hideMark/>
          </w:tcPr>
          <w:p w14:paraId="0A39633F" w14:textId="02BCADD5"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Style w:val="aa"/>
                <w:rFonts w:ascii="Times New Roman" w:hAnsi="Times New Roman" w:cs="Times New Roman"/>
                <w:color w:val="000000"/>
                <w:sz w:val="18"/>
                <w:szCs w:val="18"/>
              </w:rPr>
              <w:t>173,890,590.00</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14:paraId="56A11BF6" w14:textId="1B6579BB"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hideMark/>
          </w:tcPr>
          <w:p w14:paraId="7DBA8F6B" w14:textId="3A41C518"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Style w:val="aa"/>
                <w:rFonts w:ascii="Times New Roman" w:hAnsi="Times New Roman" w:cs="Times New Roman"/>
                <w:color w:val="000000"/>
                <w:sz w:val="18"/>
                <w:szCs w:val="18"/>
              </w:rPr>
              <w:t>1,633,205,785.05</w:t>
            </w:r>
          </w:p>
        </w:tc>
      </w:tr>
      <w:tr w:rsidR="00A46BF1" w14:paraId="6D204FF3"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BCEE1D"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短期借款</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07AB86" w14:textId="266A4A2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112,327,085.86</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BF71D" w14:textId="56AB75A9"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3FFA9" w14:textId="0ACDB6C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3ADFE" w14:textId="10E9B6BB"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B6BA92" w14:textId="1FC039E4"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112,327,085.86</w:t>
            </w:r>
          </w:p>
        </w:tc>
      </w:tr>
      <w:tr w:rsidR="00A46BF1" w14:paraId="0CB8DF9F"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8001C"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应付票据</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18FC20" w14:textId="5011DDA0"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6,907,681.66</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8D3C2E" w14:textId="5870317E"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4A8168" w14:textId="63279DF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5364AD" w14:textId="01E3FBDA"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9F7EC" w14:textId="4A09D875"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6,907,681.66</w:t>
            </w:r>
          </w:p>
        </w:tc>
      </w:tr>
      <w:tr w:rsidR="00A46BF1" w14:paraId="1DF98AEC" w14:textId="77777777" w:rsidTr="00FF1AAC">
        <w:trPr>
          <w:trHeight w:val="9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783CC"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应付账款</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7E2F4" w14:textId="0649AEFD"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354,495,976.86</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0A8D2C" w14:textId="53CAD82E"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D6A55B" w14:textId="27D4465D"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25BC4" w14:textId="159C159C"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74186" w14:textId="320D8F24"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354,495,976.86</w:t>
            </w:r>
          </w:p>
        </w:tc>
      </w:tr>
      <w:tr w:rsidR="00A46BF1" w14:paraId="0A33EF05"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534007"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应交税费</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BFA2C" w14:textId="220126CD"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47,909,105.72</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95B94" w14:textId="213A4C9C"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AFE53" w14:textId="5499B0BF"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0BB3E2" w14:textId="271E7272"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00C289" w14:textId="207FDDF7"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47,909,105.72</w:t>
            </w:r>
          </w:p>
        </w:tc>
      </w:tr>
      <w:tr w:rsidR="00A46BF1" w14:paraId="61FEA877"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654001"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其他应付款</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507C9" w14:textId="30060770"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139,167,306.63</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185DF3" w14:textId="72581D30"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8E208" w14:textId="3964C1E9"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6433F0" w14:textId="696FCAB4"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29285F" w14:textId="6C0B6478"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139,167,306.63</w:t>
            </w:r>
          </w:p>
        </w:tc>
      </w:tr>
      <w:tr w:rsidR="00A46BF1" w14:paraId="1B96D02D"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91C2EA"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应付职工薪酬</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F2AC7" w14:textId="66E4944B"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218,145,587.95</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8EEBC" w14:textId="6A19FD53"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B6A73" w14:textId="02185191"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2FBAE8" w14:textId="79FDD72D"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23D4E" w14:textId="7976944A"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218,145,587.95</w:t>
            </w:r>
          </w:p>
        </w:tc>
      </w:tr>
      <w:tr w:rsidR="00A46BF1" w14:paraId="58F3ACA5"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BD0520"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一年内到期的非流动负债</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A47A3" w14:textId="77777777"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547,304,289.52</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AF5BB" w14:textId="5523D8E9"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1E5A6" w14:textId="5B455090"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E3B532" w14:textId="0D309010"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AB193A" w14:textId="77777777"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547,304,289.52</w:t>
            </w:r>
          </w:p>
        </w:tc>
      </w:tr>
      <w:tr w:rsidR="00A46BF1" w14:paraId="722E0772"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332955"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长期借款</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C5713B" w14:textId="1B1370EF"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95A59F" w14:textId="5D120AD2"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31,120,883.74</w:t>
            </w: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F9FA6" w14:textId="6CDFD9BF"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173,890,590.00</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C89CF" w14:textId="62B16EF8"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5F9042" w14:textId="77448CA1"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205,011,473.74</w:t>
            </w:r>
          </w:p>
        </w:tc>
      </w:tr>
      <w:tr w:rsidR="00A46BF1" w14:paraId="324D7E5D" w14:textId="77777777" w:rsidTr="00FF1AAC">
        <w:trPr>
          <w:trHeight w:val="340"/>
          <w:jc w:val="center"/>
        </w:trPr>
        <w:tc>
          <w:tcPr>
            <w:tcW w:w="135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E08797" w14:textId="77777777" w:rsidR="00A46BF1" w:rsidRPr="00FF1AAC" w:rsidRDefault="00A46BF1" w:rsidP="00FF1AAC">
            <w:pPr>
              <w:pStyle w:val="a9"/>
              <w:spacing w:before="0" w:beforeAutospacing="0" w:after="0"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租赁负债</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E8A57" w14:textId="1BD3FB58"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E0765" w14:textId="77777777"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1,937,277.11</w:t>
            </w:r>
          </w:p>
        </w:tc>
        <w:tc>
          <w:tcPr>
            <w:tcW w:w="7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E74B9" w14:textId="2E5E2660"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D0BE8A" w14:textId="6CF30EAF" w:rsidR="00A46BF1" w:rsidRPr="00FF1AAC" w:rsidRDefault="00A46BF1" w:rsidP="00FF1AAC">
            <w:pPr>
              <w:pStyle w:val="a9"/>
              <w:spacing w:before="0" w:beforeAutospacing="0" w:after="0" w:afterAutospacing="0" w:line="360" w:lineRule="auto"/>
              <w:jc w:val="right"/>
              <w:rPr>
                <w:rFonts w:ascii="Times New Roman" w:hAnsi="Times New Roman" w:cs="Times New Roman"/>
                <w:sz w:val="18"/>
                <w:szCs w:val="18"/>
              </w:rPr>
            </w:pPr>
          </w:p>
        </w:tc>
        <w:tc>
          <w:tcPr>
            <w:tcW w:w="7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2A8C1A" w14:textId="77777777"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1,937,277.11</w:t>
            </w:r>
          </w:p>
        </w:tc>
      </w:tr>
    </w:tbl>
    <w:p w14:paraId="61F5831C" w14:textId="452A98D1"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w:t>
      </w:r>
      <w:r w:rsidRPr="00A83985">
        <w:rPr>
          <w:rFonts w:ascii="Times New Roman" w:hAnsi="Times New Roman" w:cs="Times New Roman" w:hint="eastAsia"/>
          <w:sz w:val="21"/>
          <w:szCs w:val="21"/>
        </w:rPr>
        <w:t>2</w:t>
      </w:r>
      <w:r w:rsidRPr="00A83985">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敏感性分析</w:t>
      </w:r>
    </w:p>
    <w:p w14:paraId="22B3B465"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本集团采用敏感性分析技术分析风险变量的合理、可能变化对当期损益或股东权益可能产生的影响。由于任何风险变量很少孤立的发生变化，而变量之间存在的相关性对某一风险变量变化的最终影响金额将产生重大作用，因此下述内容是在假设每一变量的变化是独立的情况下进行的。</w:t>
      </w:r>
    </w:p>
    <w:p w14:paraId="631C5DC2" w14:textId="692747C6"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1</w:t>
      </w:r>
      <w:r w:rsidRPr="00A83985">
        <w:rPr>
          <w:rFonts w:ascii="Times New Roman" w:hAnsi="Times New Roman" w:cs="Times New Roman" w:hint="eastAsia"/>
          <w:sz w:val="21"/>
          <w:szCs w:val="21"/>
        </w:rPr>
        <w:t>）外汇风险敏感性分析</w:t>
      </w:r>
    </w:p>
    <w:p w14:paraId="5245B7DD"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外汇风险敏感性分析假设：所有境外经营净投资套期及现金流量套期均高度有效。</w:t>
      </w:r>
    </w:p>
    <w:p w14:paraId="57AB71B3"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在上述假设的基础上，在其它变量不变的情况下，汇率可能发生的合理变动对当期损益和权益的税后影响如下：</w:t>
      </w:r>
    </w:p>
    <w:tbl>
      <w:tblPr>
        <w:tblW w:w="5000" w:type="pct"/>
        <w:tblCellMar>
          <w:left w:w="0" w:type="dxa"/>
          <w:right w:w="0" w:type="dxa"/>
        </w:tblCellMar>
        <w:tblLook w:val="04A0" w:firstRow="1" w:lastRow="0" w:firstColumn="1" w:lastColumn="0" w:noHBand="0" w:noVBand="1"/>
      </w:tblPr>
      <w:tblGrid>
        <w:gridCol w:w="1219"/>
        <w:gridCol w:w="1724"/>
        <w:gridCol w:w="1701"/>
        <w:gridCol w:w="1843"/>
        <w:gridCol w:w="1559"/>
        <w:gridCol w:w="1807"/>
      </w:tblGrid>
      <w:tr w:rsidR="00A46BF1" w:rsidRPr="00FF1AAC" w14:paraId="6FCA1268" w14:textId="77777777" w:rsidTr="00FF1AAC">
        <w:tc>
          <w:tcPr>
            <w:tcW w:w="61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35C6C1" w14:textId="77777777" w:rsidR="00A46BF1" w:rsidRPr="00FF1AAC" w:rsidRDefault="00A46BF1" w:rsidP="00FF1AAC">
            <w:pPr>
              <w:pStyle w:val="a9"/>
              <w:spacing w:before="48" w:beforeAutospacing="0" w:after="48" w:afterAutospacing="0" w:line="360" w:lineRule="auto"/>
              <w:rPr>
                <w:rFonts w:ascii="Times New Roman" w:hAnsi="Times New Roman" w:cs="Times New Roman"/>
                <w:sz w:val="18"/>
                <w:szCs w:val="18"/>
              </w:rPr>
            </w:pPr>
            <w:r w:rsidRPr="00FF1AAC">
              <w:rPr>
                <w:rStyle w:val="aa"/>
                <w:rFonts w:ascii="Times New Roman" w:hAnsi="Times New Roman" w:cs="Times New Roman"/>
                <w:sz w:val="18"/>
                <w:szCs w:val="18"/>
              </w:rPr>
              <w:t>项目</w:t>
            </w:r>
          </w:p>
        </w:tc>
        <w:tc>
          <w:tcPr>
            <w:tcW w:w="87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16B514"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汇率变动</w:t>
            </w:r>
          </w:p>
        </w:tc>
        <w:tc>
          <w:tcPr>
            <w:tcW w:w="179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2D8760"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2025</w:t>
            </w:r>
            <w:r w:rsidRPr="00FF1AAC">
              <w:rPr>
                <w:rStyle w:val="aa"/>
                <w:rFonts w:ascii="Times New Roman" w:hAnsi="Times New Roman" w:cs="Times New Roman"/>
                <w:sz w:val="18"/>
                <w:szCs w:val="18"/>
              </w:rPr>
              <w:t>年度</w:t>
            </w:r>
          </w:p>
        </w:tc>
        <w:tc>
          <w:tcPr>
            <w:tcW w:w="1708"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AF2FD0"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2024</w:t>
            </w:r>
            <w:r w:rsidRPr="00FF1AAC">
              <w:rPr>
                <w:rStyle w:val="aa"/>
                <w:rFonts w:ascii="Times New Roman" w:hAnsi="Times New Roman" w:cs="Times New Roman"/>
                <w:sz w:val="18"/>
                <w:szCs w:val="18"/>
              </w:rPr>
              <w:t>年度</w:t>
            </w:r>
          </w:p>
        </w:tc>
      </w:tr>
      <w:tr w:rsidR="00A46BF1" w:rsidRPr="00FF1AAC" w14:paraId="0EABB5B0" w14:textId="77777777" w:rsidTr="00FF1AAC">
        <w:tc>
          <w:tcPr>
            <w:tcW w:w="619" w:type="pct"/>
            <w:vMerge/>
            <w:tcBorders>
              <w:top w:val="single" w:sz="8" w:space="0" w:color="auto"/>
              <w:left w:val="single" w:sz="8" w:space="0" w:color="auto"/>
              <w:bottom w:val="single" w:sz="8" w:space="0" w:color="auto"/>
              <w:right w:val="single" w:sz="8" w:space="0" w:color="auto"/>
            </w:tcBorders>
            <w:vAlign w:val="center"/>
            <w:hideMark/>
          </w:tcPr>
          <w:p w14:paraId="36310370" w14:textId="77777777" w:rsidR="00A46BF1" w:rsidRPr="00FF1AAC" w:rsidRDefault="00A46BF1" w:rsidP="00FF1AAC">
            <w:pPr>
              <w:spacing w:line="360" w:lineRule="auto"/>
              <w:rPr>
                <w:rFonts w:ascii="Times New Roman" w:eastAsia="宋体" w:hAnsi="Times New Roman" w:cs="Times New Roman"/>
                <w:sz w:val="18"/>
                <w:szCs w:val="18"/>
              </w:rPr>
            </w:pPr>
          </w:p>
        </w:tc>
        <w:tc>
          <w:tcPr>
            <w:tcW w:w="875" w:type="pct"/>
            <w:vMerge/>
            <w:tcBorders>
              <w:top w:val="single" w:sz="8" w:space="0" w:color="auto"/>
              <w:left w:val="nil"/>
              <w:bottom w:val="single" w:sz="8" w:space="0" w:color="auto"/>
              <w:right w:val="single" w:sz="8" w:space="0" w:color="auto"/>
            </w:tcBorders>
            <w:vAlign w:val="center"/>
            <w:hideMark/>
          </w:tcPr>
          <w:p w14:paraId="115DA9A5" w14:textId="77777777" w:rsidR="00A46BF1" w:rsidRPr="00FF1AAC" w:rsidRDefault="00A46BF1" w:rsidP="00FF1AAC">
            <w:pPr>
              <w:spacing w:line="360" w:lineRule="auto"/>
              <w:rPr>
                <w:rFonts w:ascii="Times New Roman" w:eastAsia="宋体" w:hAnsi="Times New Roman" w:cs="Times New Roman"/>
                <w:sz w:val="18"/>
                <w:szCs w:val="18"/>
              </w:rPr>
            </w:pPr>
          </w:p>
        </w:tc>
        <w:tc>
          <w:tcPr>
            <w:tcW w:w="8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CD320C" w14:textId="240F1FF7" w:rsidR="00A46BF1" w:rsidRPr="00FF1AAC" w:rsidRDefault="00A46BF1" w:rsidP="00FF1AAC">
            <w:pPr>
              <w:pStyle w:val="a9"/>
              <w:spacing w:before="0" w:beforeAutospacing="0" w:after="0"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对净利润的影响</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5E840"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对股东权益的影响</w:t>
            </w:r>
          </w:p>
        </w:tc>
        <w:tc>
          <w:tcPr>
            <w:tcW w:w="7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ABBCB0"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对净利润的影响</w:t>
            </w: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272D2"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对股东权益的影响</w:t>
            </w:r>
          </w:p>
        </w:tc>
      </w:tr>
      <w:tr w:rsidR="00A46BF1" w:rsidRPr="00FF1AAC" w14:paraId="35F18B19" w14:textId="77777777" w:rsidTr="00FF1AAC">
        <w:tc>
          <w:tcPr>
            <w:tcW w:w="61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65DAC8" w14:textId="77777777" w:rsidR="00A46BF1" w:rsidRPr="00FF1AAC" w:rsidRDefault="00A46BF1" w:rsidP="00FF1AAC">
            <w:pPr>
              <w:pStyle w:val="a9"/>
              <w:spacing w:before="48" w:beforeAutospacing="0" w:after="48"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所有外币</w:t>
            </w:r>
          </w:p>
        </w:tc>
        <w:tc>
          <w:tcPr>
            <w:tcW w:w="8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70D31" w14:textId="77777777" w:rsidR="00A46BF1" w:rsidRPr="00FF1AAC" w:rsidRDefault="00A46BF1" w:rsidP="00FF1AAC">
            <w:pPr>
              <w:pStyle w:val="a9"/>
              <w:spacing w:before="48" w:beforeAutospacing="0" w:after="48" w:afterAutospacing="0" w:line="360" w:lineRule="auto"/>
              <w:ind w:right="-86"/>
              <w:jc w:val="both"/>
              <w:rPr>
                <w:rFonts w:ascii="Times New Roman" w:hAnsi="Times New Roman" w:cs="Times New Roman"/>
                <w:sz w:val="18"/>
                <w:szCs w:val="18"/>
              </w:rPr>
            </w:pPr>
            <w:r w:rsidRPr="00FF1AAC">
              <w:rPr>
                <w:rFonts w:ascii="Times New Roman" w:hAnsi="Times New Roman" w:cs="Times New Roman"/>
                <w:sz w:val="18"/>
                <w:szCs w:val="18"/>
              </w:rPr>
              <w:t>对人民币升值</w:t>
            </w:r>
            <w:r w:rsidRPr="00FF1AAC">
              <w:rPr>
                <w:rFonts w:ascii="Times New Roman" w:hAnsi="Times New Roman" w:cs="Times New Roman"/>
                <w:sz w:val="18"/>
                <w:szCs w:val="18"/>
              </w:rPr>
              <w:t>5%</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11BEE2" w14:textId="634FC3BE"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8,623,048.94</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D4B2C7" w14:textId="78B3E9C2"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82,164,863.71</w:t>
            </w:r>
          </w:p>
        </w:tc>
        <w:tc>
          <w:tcPr>
            <w:tcW w:w="7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DB4B7D" w14:textId="280358B8"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6,505,372.70</w:t>
            </w: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EBFA63" w14:textId="7777777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 xml:space="preserve"> 32,753,073.52 </w:t>
            </w:r>
          </w:p>
        </w:tc>
      </w:tr>
      <w:tr w:rsidR="00A46BF1" w:rsidRPr="00FF1AAC" w14:paraId="0E6BE784" w14:textId="77777777" w:rsidTr="00FF1AAC">
        <w:tc>
          <w:tcPr>
            <w:tcW w:w="61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71FD7A" w14:textId="77777777" w:rsidR="00A46BF1" w:rsidRPr="00FF1AAC" w:rsidRDefault="00A46BF1" w:rsidP="00FF1AAC">
            <w:pPr>
              <w:pStyle w:val="a9"/>
              <w:spacing w:before="48" w:beforeAutospacing="0" w:after="48" w:afterAutospacing="0" w:line="360" w:lineRule="auto"/>
              <w:jc w:val="both"/>
              <w:rPr>
                <w:rFonts w:ascii="Times New Roman" w:hAnsi="Times New Roman" w:cs="Times New Roman"/>
                <w:sz w:val="18"/>
                <w:szCs w:val="18"/>
              </w:rPr>
            </w:pPr>
            <w:r w:rsidRPr="00FF1AAC">
              <w:rPr>
                <w:rFonts w:ascii="Times New Roman" w:hAnsi="Times New Roman" w:cs="Times New Roman"/>
                <w:sz w:val="18"/>
                <w:szCs w:val="18"/>
              </w:rPr>
              <w:t>所有外币</w:t>
            </w:r>
          </w:p>
        </w:tc>
        <w:tc>
          <w:tcPr>
            <w:tcW w:w="87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5D80F" w14:textId="77777777" w:rsidR="00A46BF1" w:rsidRPr="00FF1AAC" w:rsidRDefault="00A46BF1" w:rsidP="00FF1AAC">
            <w:pPr>
              <w:pStyle w:val="a9"/>
              <w:spacing w:before="48" w:beforeAutospacing="0" w:after="48" w:afterAutospacing="0" w:line="360" w:lineRule="auto"/>
              <w:ind w:right="-86"/>
              <w:jc w:val="both"/>
              <w:rPr>
                <w:rFonts w:ascii="Times New Roman" w:hAnsi="Times New Roman" w:cs="Times New Roman"/>
                <w:sz w:val="18"/>
                <w:szCs w:val="18"/>
              </w:rPr>
            </w:pPr>
            <w:r w:rsidRPr="00FF1AAC">
              <w:rPr>
                <w:rFonts w:ascii="Times New Roman" w:hAnsi="Times New Roman" w:cs="Times New Roman"/>
                <w:sz w:val="18"/>
                <w:szCs w:val="18"/>
              </w:rPr>
              <w:t>对人民币贬值</w:t>
            </w:r>
            <w:r w:rsidRPr="00FF1AAC">
              <w:rPr>
                <w:rFonts w:ascii="Times New Roman" w:hAnsi="Times New Roman" w:cs="Times New Roman"/>
                <w:sz w:val="18"/>
                <w:szCs w:val="18"/>
              </w:rPr>
              <w:t>5%</w:t>
            </w:r>
          </w:p>
        </w:tc>
        <w:tc>
          <w:tcPr>
            <w:tcW w:w="8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E8DC4" w14:textId="7E99B73E"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-8,623,048.94</w:t>
            </w:r>
          </w:p>
        </w:tc>
        <w:tc>
          <w:tcPr>
            <w:tcW w:w="9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BA1" w14:textId="2A2C4339"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-82,164,863.71</w:t>
            </w:r>
          </w:p>
        </w:tc>
        <w:tc>
          <w:tcPr>
            <w:tcW w:w="7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D0D11D" w14:textId="6267848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-6,505,372.70</w:t>
            </w:r>
          </w:p>
        </w:tc>
        <w:tc>
          <w:tcPr>
            <w:tcW w:w="9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328AA" w14:textId="7777777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color w:val="000000"/>
                <w:sz w:val="18"/>
                <w:szCs w:val="18"/>
              </w:rPr>
              <w:t xml:space="preserve"> -32,753,073.52 </w:t>
            </w:r>
          </w:p>
        </w:tc>
      </w:tr>
    </w:tbl>
    <w:p w14:paraId="5C9D59B1" w14:textId="4A052B20"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w:t>
      </w:r>
      <w:r w:rsidRPr="00A83985">
        <w:rPr>
          <w:rFonts w:ascii="Times New Roman" w:hAnsi="Times New Roman" w:cs="Times New Roman"/>
          <w:sz w:val="21"/>
          <w:szCs w:val="21"/>
        </w:rPr>
        <w:t>）利率风险敏感性分析</w:t>
      </w:r>
    </w:p>
    <w:p w14:paraId="1B86B19F"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利率风险敏感性分析基于下述假设：</w:t>
      </w:r>
    </w:p>
    <w:p w14:paraId="1958DDD5"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市场利率变化影响可变利率金融工具的利息收入或费用；</w:t>
      </w:r>
    </w:p>
    <w:p w14:paraId="0142E948"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对于以公允价值计量的固定利率金融工具，市场利率变化仅仅影响其利息收入或费用；</w:t>
      </w:r>
    </w:p>
    <w:p w14:paraId="7EFC2BC5"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以资产负债表日市场利率采用现金流量折现法计算衍生金融工具及其它金融资产和负债的公允价值变化。</w:t>
      </w:r>
    </w:p>
    <w:p w14:paraId="2B2822C0" w14:textId="77777777" w:rsidR="00A46BF1" w:rsidRPr="00A83985" w:rsidRDefault="00A46BF1" w:rsidP="00A83985">
      <w:pPr>
        <w:pStyle w:val="a9"/>
        <w:spacing w:before="0" w:beforeAutospacing="0" w:after="0" w:afterAutospacing="0" w:line="360" w:lineRule="auto"/>
        <w:ind w:firstLineChars="200" w:firstLine="420"/>
        <w:jc w:val="both"/>
        <w:rPr>
          <w:rFonts w:cs="Times New Roman"/>
          <w:sz w:val="21"/>
          <w:szCs w:val="21"/>
        </w:rPr>
      </w:pPr>
      <w:r w:rsidRPr="00A83985">
        <w:rPr>
          <w:rFonts w:cs="Times New Roman" w:hint="eastAsia"/>
          <w:sz w:val="21"/>
          <w:szCs w:val="21"/>
        </w:rPr>
        <w:t>在上述假设的基础上，在其它变量不变的情况下，利率可能发生的合理变动对当期损益和权益的税后影响如下：</w:t>
      </w:r>
    </w:p>
    <w:tbl>
      <w:tblPr>
        <w:tblW w:w="5000" w:type="pct"/>
        <w:tblCellMar>
          <w:left w:w="0" w:type="dxa"/>
          <w:right w:w="0" w:type="dxa"/>
        </w:tblCellMar>
        <w:tblLook w:val="04A0" w:firstRow="1" w:lastRow="0" w:firstColumn="1" w:lastColumn="0" w:noHBand="0" w:noVBand="1"/>
      </w:tblPr>
      <w:tblGrid>
        <w:gridCol w:w="1759"/>
        <w:gridCol w:w="1473"/>
        <w:gridCol w:w="1638"/>
        <w:gridCol w:w="1640"/>
        <w:gridCol w:w="1638"/>
        <w:gridCol w:w="1705"/>
      </w:tblGrid>
      <w:tr w:rsidR="00A46BF1" w:rsidRPr="00FF1AAC" w14:paraId="29652BBD" w14:textId="77777777" w:rsidTr="00FF1AAC">
        <w:tc>
          <w:tcPr>
            <w:tcW w:w="893"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C9DA45" w14:textId="77777777" w:rsidR="00A46BF1" w:rsidRPr="00FF1AAC" w:rsidRDefault="00A46BF1" w:rsidP="00FF1AAC">
            <w:pPr>
              <w:pStyle w:val="a9"/>
              <w:spacing w:before="48" w:beforeAutospacing="0" w:after="48" w:afterAutospacing="0" w:line="360" w:lineRule="auto"/>
              <w:jc w:val="both"/>
              <w:rPr>
                <w:rFonts w:ascii="Times New Roman" w:hAnsi="Times New Roman" w:cs="Times New Roman"/>
                <w:sz w:val="18"/>
                <w:szCs w:val="18"/>
              </w:rPr>
            </w:pPr>
            <w:r w:rsidRPr="00FF1AAC">
              <w:rPr>
                <w:rStyle w:val="aa"/>
                <w:rFonts w:ascii="Times New Roman" w:hAnsi="Times New Roman" w:cs="Times New Roman"/>
                <w:sz w:val="18"/>
                <w:szCs w:val="18"/>
              </w:rPr>
              <w:t>项目</w:t>
            </w:r>
          </w:p>
        </w:tc>
        <w:tc>
          <w:tcPr>
            <w:tcW w:w="74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C75D97"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利率变动</w:t>
            </w:r>
          </w:p>
        </w:tc>
        <w:tc>
          <w:tcPr>
            <w:tcW w:w="166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5E1923"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2025</w:t>
            </w:r>
            <w:r w:rsidRPr="00FF1AAC">
              <w:rPr>
                <w:rStyle w:val="aa"/>
                <w:rFonts w:ascii="Times New Roman" w:hAnsi="Times New Roman" w:cs="Times New Roman"/>
                <w:sz w:val="18"/>
                <w:szCs w:val="18"/>
              </w:rPr>
              <w:t>年度</w:t>
            </w:r>
          </w:p>
        </w:tc>
        <w:tc>
          <w:tcPr>
            <w:tcW w:w="1696"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F71ECB"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2024</w:t>
            </w:r>
            <w:r w:rsidRPr="00FF1AAC">
              <w:rPr>
                <w:rStyle w:val="aa"/>
                <w:rFonts w:ascii="Times New Roman" w:hAnsi="Times New Roman" w:cs="Times New Roman"/>
                <w:sz w:val="18"/>
                <w:szCs w:val="18"/>
              </w:rPr>
              <w:t>年度</w:t>
            </w:r>
          </w:p>
        </w:tc>
      </w:tr>
      <w:tr w:rsidR="00A46BF1" w:rsidRPr="00FF1AAC" w14:paraId="5ECF648E" w14:textId="77777777" w:rsidTr="00FF1AAC">
        <w:tc>
          <w:tcPr>
            <w:tcW w:w="893" w:type="pct"/>
            <w:vMerge/>
            <w:tcBorders>
              <w:top w:val="single" w:sz="8" w:space="0" w:color="auto"/>
              <w:left w:val="single" w:sz="8" w:space="0" w:color="auto"/>
              <w:bottom w:val="single" w:sz="8" w:space="0" w:color="auto"/>
              <w:right w:val="single" w:sz="8" w:space="0" w:color="auto"/>
            </w:tcBorders>
            <w:vAlign w:val="center"/>
            <w:hideMark/>
          </w:tcPr>
          <w:p w14:paraId="294BAAE8" w14:textId="77777777" w:rsidR="00A46BF1" w:rsidRPr="00FF1AAC" w:rsidRDefault="00A46BF1" w:rsidP="00FF1AAC">
            <w:pPr>
              <w:spacing w:line="360" w:lineRule="auto"/>
              <w:rPr>
                <w:rFonts w:ascii="Times New Roman" w:eastAsia="宋体" w:hAnsi="Times New Roman" w:cs="Times New Roman"/>
                <w:sz w:val="18"/>
                <w:szCs w:val="18"/>
              </w:rPr>
            </w:pPr>
          </w:p>
        </w:tc>
        <w:tc>
          <w:tcPr>
            <w:tcW w:w="748" w:type="pct"/>
            <w:vMerge/>
            <w:tcBorders>
              <w:top w:val="single" w:sz="8" w:space="0" w:color="auto"/>
              <w:left w:val="nil"/>
              <w:bottom w:val="single" w:sz="8" w:space="0" w:color="auto"/>
              <w:right w:val="single" w:sz="8" w:space="0" w:color="auto"/>
            </w:tcBorders>
            <w:vAlign w:val="center"/>
            <w:hideMark/>
          </w:tcPr>
          <w:p w14:paraId="56E8576D" w14:textId="77777777" w:rsidR="00A46BF1" w:rsidRPr="00FF1AAC" w:rsidRDefault="00A46BF1" w:rsidP="00FF1AAC">
            <w:pPr>
              <w:spacing w:line="360" w:lineRule="auto"/>
              <w:rPr>
                <w:rFonts w:ascii="Times New Roman" w:eastAsia="宋体" w:hAnsi="Times New Roman" w:cs="Times New Roman"/>
                <w:sz w:val="18"/>
                <w:szCs w:val="18"/>
              </w:rPr>
            </w:pPr>
          </w:p>
        </w:tc>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6EE5F0" w14:textId="77777777" w:rsidR="00A46BF1" w:rsidRPr="00FF1AAC" w:rsidRDefault="00A46BF1" w:rsidP="00FF1AAC">
            <w:pPr>
              <w:pStyle w:val="a9"/>
              <w:spacing w:before="48" w:beforeAutospacing="0" w:after="48" w:afterAutospacing="0" w:line="360" w:lineRule="auto"/>
              <w:ind w:left="-100" w:right="-100"/>
              <w:jc w:val="center"/>
              <w:rPr>
                <w:rFonts w:ascii="Times New Roman" w:hAnsi="Times New Roman" w:cs="Times New Roman"/>
                <w:sz w:val="18"/>
                <w:szCs w:val="18"/>
              </w:rPr>
            </w:pPr>
            <w:r w:rsidRPr="00FF1AAC">
              <w:rPr>
                <w:rStyle w:val="aa"/>
                <w:rFonts w:ascii="Times New Roman" w:hAnsi="Times New Roman" w:cs="Times New Roman"/>
                <w:sz w:val="18"/>
                <w:szCs w:val="18"/>
              </w:rPr>
              <w:t>对净利润的影响</w:t>
            </w:r>
          </w:p>
        </w:tc>
        <w:tc>
          <w:tcPr>
            <w:tcW w:w="8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7ECE5" w14:textId="77777777" w:rsidR="00A46BF1" w:rsidRPr="00FF1AAC" w:rsidRDefault="00A46BF1" w:rsidP="00FF1AAC">
            <w:pPr>
              <w:pStyle w:val="a9"/>
              <w:spacing w:before="48" w:beforeAutospacing="0" w:after="48" w:afterAutospacing="0" w:line="360" w:lineRule="auto"/>
              <w:ind w:left="-100" w:right="-100"/>
              <w:jc w:val="center"/>
              <w:rPr>
                <w:rFonts w:ascii="Times New Roman" w:hAnsi="Times New Roman" w:cs="Times New Roman"/>
                <w:sz w:val="18"/>
                <w:szCs w:val="18"/>
              </w:rPr>
            </w:pPr>
            <w:r w:rsidRPr="00FF1AAC">
              <w:rPr>
                <w:rStyle w:val="aa"/>
                <w:rFonts w:ascii="Times New Roman" w:hAnsi="Times New Roman" w:cs="Times New Roman"/>
                <w:sz w:val="18"/>
                <w:szCs w:val="18"/>
              </w:rPr>
              <w:t>对股东权益的影响</w:t>
            </w:r>
          </w:p>
        </w:tc>
        <w:tc>
          <w:tcPr>
            <w:tcW w:w="8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C7FCAF" w14:textId="77777777" w:rsidR="00A46BF1" w:rsidRPr="00FF1AAC" w:rsidRDefault="00A46BF1" w:rsidP="00FF1AAC">
            <w:pPr>
              <w:pStyle w:val="a9"/>
              <w:spacing w:before="48" w:beforeAutospacing="0" w:after="48" w:afterAutospacing="0" w:line="360" w:lineRule="auto"/>
              <w:ind w:left="-100" w:right="-100"/>
              <w:jc w:val="center"/>
              <w:rPr>
                <w:rFonts w:ascii="Times New Roman" w:hAnsi="Times New Roman" w:cs="Times New Roman"/>
                <w:sz w:val="18"/>
                <w:szCs w:val="18"/>
              </w:rPr>
            </w:pPr>
            <w:r w:rsidRPr="00FF1AAC">
              <w:rPr>
                <w:rStyle w:val="aa"/>
                <w:rFonts w:ascii="Times New Roman" w:hAnsi="Times New Roman" w:cs="Times New Roman"/>
                <w:sz w:val="18"/>
                <w:szCs w:val="18"/>
              </w:rPr>
              <w:t>对净利润的影响</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5AA35" w14:textId="77777777" w:rsidR="00A46BF1" w:rsidRPr="00FF1AAC" w:rsidRDefault="00A46BF1" w:rsidP="00FF1AAC">
            <w:pPr>
              <w:pStyle w:val="a9"/>
              <w:spacing w:before="48" w:beforeAutospacing="0" w:after="48" w:afterAutospacing="0" w:line="360" w:lineRule="auto"/>
              <w:ind w:left="-100" w:right="-100"/>
              <w:jc w:val="center"/>
              <w:rPr>
                <w:rFonts w:ascii="Times New Roman" w:hAnsi="Times New Roman" w:cs="Times New Roman"/>
                <w:sz w:val="18"/>
                <w:szCs w:val="18"/>
              </w:rPr>
            </w:pPr>
            <w:r w:rsidRPr="00FF1AAC">
              <w:rPr>
                <w:rStyle w:val="aa"/>
                <w:rFonts w:ascii="Times New Roman" w:hAnsi="Times New Roman" w:cs="Times New Roman"/>
                <w:sz w:val="18"/>
                <w:szCs w:val="18"/>
              </w:rPr>
              <w:t>对股东权益的影响</w:t>
            </w:r>
          </w:p>
        </w:tc>
      </w:tr>
      <w:tr w:rsidR="00A46BF1" w:rsidRPr="00FF1AAC" w14:paraId="716398D8" w14:textId="77777777" w:rsidTr="00FF1AAC">
        <w:tc>
          <w:tcPr>
            <w:tcW w:w="8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51895B" w14:textId="77777777" w:rsidR="00A46BF1" w:rsidRPr="00FF1AAC" w:rsidRDefault="00A46BF1" w:rsidP="00FF1AAC">
            <w:pPr>
              <w:pStyle w:val="a9"/>
              <w:spacing w:before="48" w:beforeAutospacing="0" w:after="48" w:afterAutospacing="0" w:line="360" w:lineRule="auto"/>
              <w:ind w:left="-100" w:right="-100"/>
              <w:jc w:val="both"/>
              <w:rPr>
                <w:rFonts w:ascii="Times New Roman" w:hAnsi="Times New Roman" w:cs="Times New Roman"/>
                <w:sz w:val="18"/>
                <w:szCs w:val="18"/>
              </w:rPr>
            </w:pPr>
            <w:r w:rsidRPr="00FF1AAC">
              <w:rPr>
                <w:rFonts w:ascii="Times New Roman" w:hAnsi="Times New Roman" w:cs="Times New Roman"/>
                <w:sz w:val="18"/>
                <w:szCs w:val="18"/>
              </w:rPr>
              <w:t>浮动利率借款</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F45DF" w14:textId="77777777" w:rsidR="00A46BF1" w:rsidRPr="00FF1AAC" w:rsidRDefault="00A46BF1" w:rsidP="00FF1AAC">
            <w:pPr>
              <w:pStyle w:val="a9"/>
              <w:spacing w:before="48" w:beforeAutospacing="0" w:after="48" w:afterAutospacing="0" w:line="360" w:lineRule="auto"/>
              <w:ind w:left="-100" w:right="-100"/>
              <w:jc w:val="center"/>
              <w:rPr>
                <w:rFonts w:ascii="Times New Roman" w:hAnsi="Times New Roman" w:cs="Times New Roman"/>
                <w:sz w:val="18"/>
                <w:szCs w:val="18"/>
              </w:rPr>
            </w:pPr>
            <w:r w:rsidRPr="00FF1AAC">
              <w:rPr>
                <w:rFonts w:ascii="Times New Roman" w:hAnsi="Times New Roman" w:cs="Times New Roman"/>
                <w:sz w:val="18"/>
                <w:szCs w:val="18"/>
              </w:rPr>
              <w:t>增加</w:t>
            </w:r>
            <w:r w:rsidRPr="00FF1AAC">
              <w:rPr>
                <w:rFonts w:ascii="Times New Roman" w:hAnsi="Times New Roman" w:cs="Times New Roman"/>
                <w:sz w:val="18"/>
                <w:szCs w:val="18"/>
              </w:rPr>
              <w:t>1%</w:t>
            </w:r>
          </w:p>
        </w:tc>
        <w:tc>
          <w:tcPr>
            <w:tcW w:w="8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83F5F" w14:textId="59F4523E"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-33,533.44</w:t>
            </w:r>
          </w:p>
        </w:tc>
        <w:tc>
          <w:tcPr>
            <w:tcW w:w="8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404A9" w14:textId="6ADF1753"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-33,533.44</w:t>
            </w:r>
          </w:p>
        </w:tc>
        <w:tc>
          <w:tcPr>
            <w:tcW w:w="8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53CFD8" w14:textId="7777777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-2,396,935.77</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593C1A" w14:textId="7777777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-2,396,935.77</w:t>
            </w:r>
          </w:p>
        </w:tc>
      </w:tr>
      <w:tr w:rsidR="00A46BF1" w:rsidRPr="00FF1AAC" w14:paraId="0F11A763" w14:textId="77777777" w:rsidTr="00FF1AAC">
        <w:tc>
          <w:tcPr>
            <w:tcW w:w="89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B89C9" w14:textId="77777777" w:rsidR="00A46BF1" w:rsidRPr="00FF1AAC" w:rsidRDefault="00A46BF1" w:rsidP="00FF1AAC">
            <w:pPr>
              <w:pStyle w:val="a9"/>
              <w:spacing w:before="48" w:beforeAutospacing="0" w:after="48" w:afterAutospacing="0" w:line="360" w:lineRule="auto"/>
              <w:ind w:left="-100" w:right="-100"/>
              <w:jc w:val="both"/>
              <w:rPr>
                <w:rFonts w:ascii="Times New Roman" w:hAnsi="Times New Roman" w:cs="Times New Roman"/>
                <w:sz w:val="18"/>
                <w:szCs w:val="18"/>
              </w:rPr>
            </w:pPr>
            <w:r w:rsidRPr="00FF1AAC">
              <w:rPr>
                <w:rFonts w:ascii="Times New Roman" w:hAnsi="Times New Roman" w:cs="Times New Roman"/>
                <w:sz w:val="18"/>
                <w:szCs w:val="18"/>
              </w:rPr>
              <w:t>浮动利率借款</w:t>
            </w:r>
          </w:p>
        </w:tc>
        <w:tc>
          <w:tcPr>
            <w:tcW w:w="7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11AC7A" w14:textId="77777777" w:rsidR="00A46BF1" w:rsidRPr="00FF1AAC" w:rsidRDefault="00A46BF1" w:rsidP="00FF1AAC">
            <w:pPr>
              <w:pStyle w:val="a9"/>
              <w:spacing w:before="48" w:beforeAutospacing="0" w:after="48" w:afterAutospacing="0" w:line="360" w:lineRule="auto"/>
              <w:ind w:left="-100" w:right="-100"/>
              <w:jc w:val="center"/>
              <w:rPr>
                <w:rFonts w:ascii="Times New Roman" w:hAnsi="Times New Roman" w:cs="Times New Roman"/>
                <w:sz w:val="18"/>
                <w:szCs w:val="18"/>
              </w:rPr>
            </w:pPr>
            <w:r w:rsidRPr="00FF1AAC">
              <w:rPr>
                <w:rFonts w:ascii="Times New Roman" w:hAnsi="Times New Roman" w:cs="Times New Roman"/>
                <w:sz w:val="18"/>
                <w:szCs w:val="18"/>
              </w:rPr>
              <w:t>减少</w:t>
            </w:r>
            <w:r w:rsidRPr="00FF1AAC">
              <w:rPr>
                <w:rFonts w:ascii="Times New Roman" w:hAnsi="Times New Roman" w:cs="Times New Roman"/>
                <w:sz w:val="18"/>
                <w:szCs w:val="18"/>
              </w:rPr>
              <w:t>1%</w:t>
            </w:r>
          </w:p>
        </w:tc>
        <w:tc>
          <w:tcPr>
            <w:tcW w:w="8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129098" w14:textId="7F6CDBC4"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33,533.44</w:t>
            </w:r>
          </w:p>
        </w:tc>
        <w:tc>
          <w:tcPr>
            <w:tcW w:w="8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213F9" w14:textId="123503F1"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33,533.44</w:t>
            </w:r>
          </w:p>
        </w:tc>
        <w:tc>
          <w:tcPr>
            <w:tcW w:w="8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0521DB" w14:textId="7777777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2,396,935.77</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F0A5B4" w14:textId="77777777" w:rsidR="00A46BF1" w:rsidRPr="00FF1AAC" w:rsidRDefault="00A46BF1" w:rsidP="00FF1AAC">
            <w:pPr>
              <w:pStyle w:val="a9"/>
              <w:spacing w:before="48" w:beforeAutospacing="0" w:after="48" w:afterAutospacing="0" w:line="360" w:lineRule="auto"/>
              <w:jc w:val="right"/>
              <w:rPr>
                <w:rFonts w:ascii="Times New Roman" w:hAnsi="Times New Roman" w:cs="Times New Roman"/>
                <w:sz w:val="18"/>
                <w:szCs w:val="18"/>
              </w:rPr>
            </w:pPr>
            <w:r w:rsidRPr="00FF1AAC">
              <w:rPr>
                <w:rFonts w:ascii="Times New Roman" w:hAnsi="Times New Roman" w:cs="Times New Roman"/>
                <w:sz w:val="18"/>
                <w:szCs w:val="18"/>
              </w:rPr>
              <w:t>2,396,935.77</w:t>
            </w:r>
          </w:p>
        </w:tc>
      </w:tr>
    </w:tbl>
    <w:p w14:paraId="7FC6EE4A"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十三、公允价值的披露</w:t>
      </w:r>
    </w:p>
    <w:p w14:paraId="0DB08AB1" w14:textId="77777777" w:rsidR="00A46BF1" w:rsidRDefault="00A46BF1" w:rsidP="00A46BF1">
      <w:pPr>
        <w:pStyle w:val="3"/>
        <w:spacing w:line="280" w:lineRule="exact"/>
        <w:jc w:val="left"/>
        <w:rPr>
          <w:rFonts w:ascii="宋体" w:hAnsi="宋体" w:cs="宋体"/>
          <w:b/>
          <w:bCs/>
        </w:rPr>
      </w:pPr>
      <w:r>
        <w:rPr>
          <w:rFonts w:ascii="宋体" w:hAnsi="宋体" w:cs="宋体"/>
          <w:b/>
          <w:bCs/>
        </w:rPr>
        <w:t>1、以公允价值计量的资产和负债的期末公允价值</w:t>
      </w:r>
    </w:p>
    <w:p w14:paraId="48C55AE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0" w:type="dxa"/>
          <w:right w:w="0" w:type="dxa"/>
        </w:tblCellMar>
        <w:tblLook w:val="04A0" w:firstRow="1" w:lastRow="0" w:firstColumn="1" w:lastColumn="0" w:noHBand="0" w:noVBand="1"/>
      </w:tblPr>
      <w:tblGrid>
        <w:gridCol w:w="2589"/>
        <w:gridCol w:w="1945"/>
        <w:gridCol w:w="1945"/>
        <w:gridCol w:w="1946"/>
        <w:gridCol w:w="1214"/>
      </w:tblGrid>
      <w:tr w:rsidR="00095F6F" w14:paraId="649DFC09" w14:textId="77777777" w:rsidTr="00FF1AAC">
        <w:trPr>
          <w:trHeight w:val="240"/>
        </w:trPr>
        <w:tc>
          <w:tcPr>
            <w:tcW w:w="2589"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63C3484"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项目</w:t>
            </w:r>
          </w:p>
        </w:tc>
        <w:tc>
          <w:tcPr>
            <w:tcW w:w="705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EB7906E"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期末公允价值</w:t>
            </w:r>
          </w:p>
        </w:tc>
      </w:tr>
      <w:tr w:rsidR="00095F6F" w14:paraId="344F4AE9" w14:textId="77777777" w:rsidTr="00FF1AAC">
        <w:trPr>
          <w:trHeight w:val="240"/>
        </w:trPr>
        <w:tc>
          <w:tcPr>
            <w:tcW w:w="2589"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63734BD" w14:textId="77777777" w:rsidR="00A46BF1" w:rsidRPr="00FF1AAC" w:rsidRDefault="00A46BF1" w:rsidP="00FF1AAC">
            <w:pPr>
              <w:spacing w:line="360" w:lineRule="auto"/>
              <w:rPr>
                <w:rFonts w:ascii="Times New Roman" w:hAnsi="Times New Roman" w:cs="Times New Roman"/>
              </w:rPr>
            </w:pPr>
          </w:p>
        </w:tc>
        <w:tc>
          <w:tcPr>
            <w:tcW w:w="1945" w:type="dxa"/>
            <w:tcBorders>
              <w:top w:val="single" w:sz="2" w:space="0" w:color="auto"/>
              <w:left w:val="single" w:sz="2" w:space="0" w:color="auto"/>
              <w:bottom w:val="single" w:sz="2" w:space="0" w:color="auto"/>
              <w:right w:val="single" w:sz="2" w:space="0" w:color="auto"/>
            </w:tcBorders>
            <w:shd w:val="clear" w:color="auto" w:fill="D3D3D3"/>
            <w:vAlign w:val="center"/>
          </w:tcPr>
          <w:p w14:paraId="2EEEED5C"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第一层次公允价值计量</w:t>
            </w:r>
          </w:p>
        </w:tc>
        <w:tc>
          <w:tcPr>
            <w:tcW w:w="1945" w:type="dxa"/>
            <w:tcBorders>
              <w:top w:val="single" w:sz="2" w:space="0" w:color="auto"/>
              <w:left w:val="single" w:sz="2" w:space="0" w:color="auto"/>
              <w:bottom w:val="single" w:sz="2" w:space="0" w:color="auto"/>
              <w:right w:val="single" w:sz="2" w:space="0" w:color="auto"/>
            </w:tcBorders>
            <w:shd w:val="clear" w:color="auto" w:fill="D3D3D3"/>
            <w:vAlign w:val="center"/>
          </w:tcPr>
          <w:p w14:paraId="1F14ACD4"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第二层次公允价值计量</w:t>
            </w:r>
          </w:p>
        </w:tc>
        <w:tc>
          <w:tcPr>
            <w:tcW w:w="1946" w:type="dxa"/>
            <w:tcBorders>
              <w:top w:val="single" w:sz="2" w:space="0" w:color="auto"/>
              <w:left w:val="single" w:sz="2" w:space="0" w:color="auto"/>
              <w:bottom w:val="single" w:sz="2" w:space="0" w:color="auto"/>
              <w:right w:val="single" w:sz="2" w:space="0" w:color="auto"/>
            </w:tcBorders>
            <w:shd w:val="clear" w:color="auto" w:fill="D3D3D3"/>
            <w:vAlign w:val="center"/>
          </w:tcPr>
          <w:p w14:paraId="773702A6"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第三层次公允价值计量</w:t>
            </w:r>
          </w:p>
        </w:tc>
        <w:tc>
          <w:tcPr>
            <w:tcW w:w="1214" w:type="dxa"/>
            <w:tcBorders>
              <w:top w:val="single" w:sz="2" w:space="0" w:color="auto"/>
              <w:left w:val="single" w:sz="2" w:space="0" w:color="auto"/>
              <w:bottom w:val="single" w:sz="2" w:space="0" w:color="auto"/>
              <w:right w:val="single" w:sz="2" w:space="0" w:color="auto"/>
            </w:tcBorders>
            <w:shd w:val="clear" w:color="auto" w:fill="D3D3D3"/>
            <w:vAlign w:val="center"/>
          </w:tcPr>
          <w:p w14:paraId="146D9F01"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合计</w:t>
            </w:r>
          </w:p>
        </w:tc>
      </w:tr>
      <w:tr w:rsidR="00095F6F" w14:paraId="633882F1" w14:textId="77777777" w:rsidTr="00FF1AAC">
        <w:trPr>
          <w:trHeight w:val="240"/>
        </w:trPr>
        <w:tc>
          <w:tcPr>
            <w:tcW w:w="2589" w:type="dxa"/>
            <w:tcBorders>
              <w:top w:val="single" w:sz="2" w:space="0" w:color="auto"/>
              <w:left w:val="single" w:sz="2" w:space="0" w:color="auto"/>
              <w:bottom w:val="single" w:sz="2" w:space="0" w:color="auto"/>
              <w:right w:val="single" w:sz="2" w:space="0" w:color="auto"/>
            </w:tcBorders>
            <w:shd w:val="clear" w:color="auto" w:fill="D3D3D3"/>
            <w:vAlign w:val="center"/>
          </w:tcPr>
          <w:p w14:paraId="74768840"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一、持续的公允价值计量</w:t>
            </w:r>
          </w:p>
        </w:tc>
        <w:tc>
          <w:tcPr>
            <w:tcW w:w="1945" w:type="dxa"/>
            <w:tcBorders>
              <w:top w:val="single" w:sz="2" w:space="0" w:color="auto"/>
              <w:left w:val="single" w:sz="2" w:space="0" w:color="auto"/>
              <w:bottom w:val="single" w:sz="2" w:space="0" w:color="auto"/>
              <w:right w:val="single" w:sz="2" w:space="0" w:color="auto"/>
            </w:tcBorders>
            <w:shd w:val="clear" w:color="auto" w:fill="D3D3D3"/>
            <w:vAlign w:val="center"/>
          </w:tcPr>
          <w:p w14:paraId="02560633"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c>
          <w:tcPr>
            <w:tcW w:w="1945" w:type="dxa"/>
            <w:tcBorders>
              <w:top w:val="single" w:sz="2" w:space="0" w:color="auto"/>
              <w:left w:val="single" w:sz="2" w:space="0" w:color="auto"/>
              <w:bottom w:val="single" w:sz="2" w:space="0" w:color="auto"/>
              <w:right w:val="single" w:sz="2" w:space="0" w:color="auto"/>
            </w:tcBorders>
            <w:shd w:val="clear" w:color="auto" w:fill="D3D3D3"/>
            <w:vAlign w:val="center"/>
          </w:tcPr>
          <w:p w14:paraId="39388B40"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c>
          <w:tcPr>
            <w:tcW w:w="1946" w:type="dxa"/>
            <w:tcBorders>
              <w:top w:val="single" w:sz="2" w:space="0" w:color="auto"/>
              <w:left w:val="single" w:sz="2" w:space="0" w:color="auto"/>
              <w:bottom w:val="single" w:sz="2" w:space="0" w:color="auto"/>
              <w:right w:val="single" w:sz="2" w:space="0" w:color="auto"/>
            </w:tcBorders>
            <w:shd w:val="clear" w:color="auto" w:fill="D3D3D3"/>
            <w:vAlign w:val="center"/>
          </w:tcPr>
          <w:p w14:paraId="4942DCFC"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c>
          <w:tcPr>
            <w:tcW w:w="1214" w:type="dxa"/>
            <w:tcBorders>
              <w:top w:val="single" w:sz="2" w:space="0" w:color="auto"/>
              <w:left w:val="single" w:sz="2" w:space="0" w:color="auto"/>
              <w:bottom w:val="single" w:sz="2" w:space="0" w:color="auto"/>
              <w:right w:val="single" w:sz="2" w:space="0" w:color="auto"/>
            </w:tcBorders>
            <w:shd w:val="clear" w:color="auto" w:fill="D3D3D3"/>
            <w:vAlign w:val="center"/>
          </w:tcPr>
          <w:p w14:paraId="25248C03"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r>
      <w:tr w:rsidR="00095F6F" w14:paraId="6287E5B7" w14:textId="77777777" w:rsidTr="00FF1AAC">
        <w:trPr>
          <w:trHeight w:val="240"/>
        </w:trPr>
        <w:tc>
          <w:tcPr>
            <w:tcW w:w="2589" w:type="dxa"/>
            <w:tcBorders>
              <w:top w:val="single" w:sz="2" w:space="0" w:color="auto"/>
              <w:left w:val="single" w:sz="2" w:space="0" w:color="auto"/>
              <w:bottom w:val="single" w:sz="2" w:space="0" w:color="auto"/>
              <w:right w:val="single" w:sz="2" w:space="0" w:color="auto"/>
            </w:tcBorders>
            <w:shd w:val="clear" w:color="auto" w:fill="D3D3D3"/>
            <w:vAlign w:val="center"/>
          </w:tcPr>
          <w:p w14:paraId="7C6FFCC6"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（一）交易性金融资产</w:t>
            </w:r>
          </w:p>
        </w:tc>
        <w:tc>
          <w:tcPr>
            <w:tcW w:w="1945" w:type="dxa"/>
            <w:tcBorders>
              <w:top w:val="single" w:sz="2" w:space="0" w:color="auto"/>
              <w:left w:val="single" w:sz="2" w:space="0" w:color="auto"/>
              <w:bottom w:val="single" w:sz="2" w:space="0" w:color="auto"/>
              <w:right w:val="single" w:sz="2" w:space="0" w:color="auto"/>
            </w:tcBorders>
            <w:vAlign w:val="center"/>
          </w:tcPr>
          <w:p w14:paraId="6F4139A1"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945" w:type="dxa"/>
            <w:tcBorders>
              <w:top w:val="single" w:sz="2" w:space="0" w:color="auto"/>
              <w:left w:val="single" w:sz="2" w:space="0" w:color="auto"/>
              <w:bottom w:val="single" w:sz="2" w:space="0" w:color="auto"/>
              <w:right w:val="single" w:sz="2" w:space="0" w:color="auto"/>
            </w:tcBorders>
            <w:vAlign w:val="center"/>
          </w:tcPr>
          <w:p w14:paraId="344CBF83"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946" w:type="dxa"/>
            <w:tcBorders>
              <w:top w:val="single" w:sz="2" w:space="0" w:color="auto"/>
              <w:left w:val="single" w:sz="2" w:space="0" w:color="auto"/>
              <w:bottom w:val="single" w:sz="2" w:space="0" w:color="auto"/>
              <w:right w:val="single" w:sz="2" w:space="0" w:color="auto"/>
            </w:tcBorders>
            <w:vAlign w:val="center"/>
          </w:tcPr>
          <w:p w14:paraId="7F5BDF53"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244,345,429.99</w:t>
            </w:r>
          </w:p>
        </w:tc>
        <w:tc>
          <w:tcPr>
            <w:tcW w:w="1214" w:type="dxa"/>
            <w:tcBorders>
              <w:top w:val="single" w:sz="2" w:space="0" w:color="auto"/>
              <w:left w:val="single" w:sz="2" w:space="0" w:color="auto"/>
              <w:bottom w:val="single" w:sz="2" w:space="0" w:color="auto"/>
              <w:right w:val="single" w:sz="2" w:space="0" w:color="auto"/>
            </w:tcBorders>
            <w:vAlign w:val="center"/>
          </w:tcPr>
          <w:p w14:paraId="02937216"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244,345,429.99</w:t>
            </w:r>
          </w:p>
        </w:tc>
      </w:tr>
      <w:tr w:rsidR="00095F6F" w14:paraId="03156619" w14:textId="77777777" w:rsidTr="00FF1AAC">
        <w:trPr>
          <w:trHeight w:val="240"/>
        </w:trPr>
        <w:tc>
          <w:tcPr>
            <w:tcW w:w="2589" w:type="dxa"/>
            <w:tcBorders>
              <w:top w:val="single" w:sz="2" w:space="0" w:color="auto"/>
              <w:left w:val="single" w:sz="2" w:space="0" w:color="auto"/>
              <w:bottom w:val="single" w:sz="2" w:space="0" w:color="auto"/>
              <w:right w:val="single" w:sz="2" w:space="0" w:color="auto"/>
            </w:tcBorders>
            <w:shd w:val="clear" w:color="auto" w:fill="D3D3D3"/>
            <w:vAlign w:val="center"/>
          </w:tcPr>
          <w:p w14:paraId="3D0205ED"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1.</w:t>
            </w:r>
            <w:r w:rsidRPr="00FF1AAC">
              <w:rPr>
                <w:rFonts w:ascii="Times New Roman" w:eastAsia="宋体" w:hAnsi="Times New Roman" w:cs="Times New Roman"/>
                <w:sz w:val="18"/>
                <w:szCs w:val="18"/>
              </w:rPr>
              <w:t>以公允价值计量且其变动计入当期损益的金融资产</w:t>
            </w:r>
          </w:p>
        </w:tc>
        <w:tc>
          <w:tcPr>
            <w:tcW w:w="1945" w:type="dxa"/>
            <w:tcBorders>
              <w:top w:val="single" w:sz="2" w:space="0" w:color="auto"/>
              <w:left w:val="single" w:sz="2" w:space="0" w:color="auto"/>
              <w:bottom w:val="single" w:sz="2" w:space="0" w:color="auto"/>
              <w:right w:val="single" w:sz="2" w:space="0" w:color="auto"/>
            </w:tcBorders>
            <w:vAlign w:val="center"/>
          </w:tcPr>
          <w:p w14:paraId="11AA2BCB"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945" w:type="dxa"/>
            <w:tcBorders>
              <w:top w:val="single" w:sz="2" w:space="0" w:color="auto"/>
              <w:left w:val="single" w:sz="2" w:space="0" w:color="auto"/>
              <w:bottom w:val="single" w:sz="2" w:space="0" w:color="auto"/>
              <w:right w:val="single" w:sz="2" w:space="0" w:color="auto"/>
            </w:tcBorders>
            <w:vAlign w:val="center"/>
          </w:tcPr>
          <w:p w14:paraId="485EC44A"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946" w:type="dxa"/>
            <w:tcBorders>
              <w:top w:val="single" w:sz="2" w:space="0" w:color="auto"/>
              <w:left w:val="single" w:sz="2" w:space="0" w:color="auto"/>
              <w:bottom w:val="single" w:sz="2" w:space="0" w:color="auto"/>
              <w:right w:val="single" w:sz="2" w:space="0" w:color="auto"/>
            </w:tcBorders>
            <w:vAlign w:val="center"/>
          </w:tcPr>
          <w:p w14:paraId="769D37E7"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244,345,429.99</w:t>
            </w:r>
          </w:p>
        </w:tc>
        <w:tc>
          <w:tcPr>
            <w:tcW w:w="1214" w:type="dxa"/>
            <w:tcBorders>
              <w:top w:val="single" w:sz="2" w:space="0" w:color="auto"/>
              <w:left w:val="single" w:sz="2" w:space="0" w:color="auto"/>
              <w:bottom w:val="single" w:sz="2" w:space="0" w:color="auto"/>
              <w:right w:val="single" w:sz="2" w:space="0" w:color="auto"/>
            </w:tcBorders>
            <w:vAlign w:val="center"/>
          </w:tcPr>
          <w:p w14:paraId="08767DC6"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244,345,429.99</w:t>
            </w:r>
          </w:p>
        </w:tc>
      </w:tr>
      <w:tr w:rsidR="00095F6F" w14:paraId="320ECC0A" w14:textId="77777777" w:rsidTr="00FF1AAC">
        <w:trPr>
          <w:trHeight w:val="240"/>
        </w:trPr>
        <w:tc>
          <w:tcPr>
            <w:tcW w:w="2589" w:type="dxa"/>
            <w:tcBorders>
              <w:top w:val="single" w:sz="2" w:space="0" w:color="auto"/>
              <w:left w:val="single" w:sz="2" w:space="0" w:color="auto"/>
              <w:bottom w:val="single" w:sz="2" w:space="0" w:color="auto"/>
              <w:right w:val="single" w:sz="2" w:space="0" w:color="auto"/>
            </w:tcBorders>
            <w:shd w:val="clear" w:color="auto" w:fill="D3D3D3"/>
            <w:vAlign w:val="center"/>
          </w:tcPr>
          <w:p w14:paraId="28C06EDD"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持续以公允价值计量的资产总额</w:t>
            </w:r>
          </w:p>
        </w:tc>
        <w:tc>
          <w:tcPr>
            <w:tcW w:w="1945" w:type="dxa"/>
            <w:tcBorders>
              <w:top w:val="single" w:sz="2" w:space="0" w:color="auto"/>
              <w:left w:val="single" w:sz="2" w:space="0" w:color="auto"/>
              <w:bottom w:val="single" w:sz="2" w:space="0" w:color="auto"/>
              <w:right w:val="single" w:sz="2" w:space="0" w:color="auto"/>
            </w:tcBorders>
            <w:vAlign w:val="center"/>
          </w:tcPr>
          <w:p w14:paraId="7969EAF9" w14:textId="77777777" w:rsidR="00A46BF1" w:rsidRPr="00FF1AAC" w:rsidRDefault="00A46BF1" w:rsidP="00FF1AAC">
            <w:pPr>
              <w:spacing w:line="360" w:lineRule="auto"/>
              <w:jc w:val="right"/>
              <w:rPr>
                <w:rFonts w:ascii="Times New Roman" w:eastAsia="宋体" w:hAnsi="Times New Roman" w:cs="Times New Roman"/>
                <w:sz w:val="18"/>
                <w:szCs w:val="18"/>
              </w:rPr>
            </w:pPr>
          </w:p>
        </w:tc>
        <w:tc>
          <w:tcPr>
            <w:tcW w:w="1945" w:type="dxa"/>
            <w:tcBorders>
              <w:top w:val="single" w:sz="2" w:space="0" w:color="auto"/>
              <w:left w:val="single" w:sz="2" w:space="0" w:color="auto"/>
              <w:bottom w:val="single" w:sz="2" w:space="0" w:color="auto"/>
              <w:right w:val="single" w:sz="2" w:space="0" w:color="auto"/>
            </w:tcBorders>
            <w:vAlign w:val="center"/>
          </w:tcPr>
          <w:p w14:paraId="6F6858BA"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71,199,703.58</w:t>
            </w:r>
          </w:p>
        </w:tc>
        <w:tc>
          <w:tcPr>
            <w:tcW w:w="1946" w:type="dxa"/>
            <w:tcBorders>
              <w:top w:val="single" w:sz="2" w:space="0" w:color="auto"/>
              <w:left w:val="single" w:sz="2" w:space="0" w:color="auto"/>
              <w:bottom w:val="single" w:sz="2" w:space="0" w:color="auto"/>
              <w:right w:val="single" w:sz="2" w:space="0" w:color="auto"/>
            </w:tcBorders>
            <w:vAlign w:val="center"/>
          </w:tcPr>
          <w:p w14:paraId="1120C498"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462,977,477.92</w:t>
            </w:r>
          </w:p>
        </w:tc>
        <w:tc>
          <w:tcPr>
            <w:tcW w:w="1214" w:type="dxa"/>
            <w:tcBorders>
              <w:top w:val="single" w:sz="2" w:space="0" w:color="auto"/>
              <w:left w:val="single" w:sz="2" w:space="0" w:color="auto"/>
              <w:bottom w:val="single" w:sz="2" w:space="0" w:color="auto"/>
              <w:right w:val="single" w:sz="2" w:space="0" w:color="auto"/>
            </w:tcBorders>
            <w:vAlign w:val="center"/>
          </w:tcPr>
          <w:p w14:paraId="3122B9C9" w14:textId="77777777" w:rsidR="00A46BF1" w:rsidRPr="00FF1AAC" w:rsidRDefault="00A46BF1" w:rsidP="00FF1AAC">
            <w:pPr>
              <w:spacing w:line="360" w:lineRule="auto"/>
              <w:jc w:val="right"/>
              <w:rPr>
                <w:rFonts w:ascii="Times New Roman" w:eastAsia="宋体" w:hAnsi="Times New Roman" w:cs="Times New Roman"/>
                <w:sz w:val="18"/>
                <w:szCs w:val="18"/>
              </w:rPr>
            </w:pPr>
            <w:r w:rsidRPr="00FF1AAC">
              <w:rPr>
                <w:rFonts w:ascii="Times New Roman" w:eastAsia="宋体" w:hAnsi="Times New Roman" w:cs="Times New Roman"/>
                <w:sz w:val="18"/>
                <w:szCs w:val="18"/>
              </w:rPr>
              <w:t>534,177,181.50</w:t>
            </w:r>
          </w:p>
        </w:tc>
      </w:tr>
      <w:tr w:rsidR="00095F6F" w14:paraId="7E32DB39" w14:textId="77777777" w:rsidTr="00FF1AAC">
        <w:trPr>
          <w:trHeight w:val="240"/>
        </w:trPr>
        <w:tc>
          <w:tcPr>
            <w:tcW w:w="2589" w:type="dxa"/>
            <w:tcBorders>
              <w:top w:val="single" w:sz="2" w:space="0" w:color="auto"/>
              <w:left w:val="single" w:sz="2" w:space="0" w:color="auto"/>
              <w:bottom w:val="single" w:sz="2" w:space="0" w:color="auto"/>
              <w:right w:val="single" w:sz="2" w:space="0" w:color="auto"/>
            </w:tcBorders>
            <w:shd w:val="clear" w:color="auto" w:fill="D3D3D3"/>
            <w:vAlign w:val="center"/>
          </w:tcPr>
          <w:p w14:paraId="168C5874" w14:textId="77777777" w:rsidR="00A46BF1" w:rsidRPr="00FF1AAC" w:rsidRDefault="00A46BF1" w:rsidP="00FF1AAC">
            <w:pPr>
              <w:spacing w:before="40" w:after="40" w:line="360" w:lineRule="auto"/>
              <w:rPr>
                <w:rFonts w:ascii="Times New Roman" w:eastAsia="宋体" w:hAnsi="Times New Roman" w:cs="Times New Roman"/>
                <w:sz w:val="18"/>
                <w:szCs w:val="18"/>
              </w:rPr>
            </w:pPr>
            <w:r w:rsidRPr="00FF1AAC">
              <w:rPr>
                <w:rFonts w:ascii="Times New Roman" w:eastAsia="宋体" w:hAnsi="Times New Roman" w:cs="Times New Roman"/>
                <w:sz w:val="18"/>
                <w:szCs w:val="18"/>
              </w:rPr>
              <w:t>二、非持续的公允价值计量</w:t>
            </w:r>
          </w:p>
        </w:tc>
        <w:tc>
          <w:tcPr>
            <w:tcW w:w="1945" w:type="dxa"/>
            <w:tcBorders>
              <w:top w:val="single" w:sz="2" w:space="0" w:color="auto"/>
              <w:left w:val="single" w:sz="2" w:space="0" w:color="auto"/>
              <w:bottom w:val="single" w:sz="2" w:space="0" w:color="auto"/>
              <w:right w:val="single" w:sz="2" w:space="0" w:color="auto"/>
            </w:tcBorders>
            <w:shd w:val="clear" w:color="auto" w:fill="D3D3D3"/>
            <w:vAlign w:val="center"/>
          </w:tcPr>
          <w:p w14:paraId="212A1317"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c>
          <w:tcPr>
            <w:tcW w:w="1945" w:type="dxa"/>
            <w:tcBorders>
              <w:top w:val="single" w:sz="2" w:space="0" w:color="auto"/>
              <w:left w:val="single" w:sz="2" w:space="0" w:color="auto"/>
              <w:bottom w:val="single" w:sz="2" w:space="0" w:color="auto"/>
              <w:right w:val="single" w:sz="2" w:space="0" w:color="auto"/>
            </w:tcBorders>
            <w:shd w:val="clear" w:color="auto" w:fill="D3D3D3"/>
            <w:vAlign w:val="center"/>
          </w:tcPr>
          <w:p w14:paraId="662B0EA1"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c>
          <w:tcPr>
            <w:tcW w:w="1946" w:type="dxa"/>
            <w:tcBorders>
              <w:top w:val="single" w:sz="2" w:space="0" w:color="auto"/>
              <w:left w:val="single" w:sz="2" w:space="0" w:color="auto"/>
              <w:bottom w:val="single" w:sz="2" w:space="0" w:color="auto"/>
              <w:right w:val="single" w:sz="2" w:space="0" w:color="auto"/>
            </w:tcBorders>
            <w:shd w:val="clear" w:color="auto" w:fill="D3D3D3"/>
            <w:vAlign w:val="center"/>
          </w:tcPr>
          <w:p w14:paraId="1CDD15F3"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c>
          <w:tcPr>
            <w:tcW w:w="1214" w:type="dxa"/>
            <w:tcBorders>
              <w:top w:val="single" w:sz="2" w:space="0" w:color="auto"/>
              <w:left w:val="single" w:sz="2" w:space="0" w:color="auto"/>
              <w:bottom w:val="single" w:sz="2" w:space="0" w:color="auto"/>
              <w:right w:val="single" w:sz="2" w:space="0" w:color="auto"/>
            </w:tcBorders>
            <w:shd w:val="clear" w:color="auto" w:fill="D3D3D3"/>
            <w:vAlign w:val="center"/>
          </w:tcPr>
          <w:p w14:paraId="689FCE7C" w14:textId="77777777" w:rsidR="00A46BF1" w:rsidRPr="00FF1AAC" w:rsidRDefault="00A46BF1" w:rsidP="00FF1AAC">
            <w:pPr>
              <w:spacing w:before="40" w:after="40" w:line="360" w:lineRule="auto"/>
              <w:jc w:val="center"/>
              <w:rPr>
                <w:rFonts w:ascii="Times New Roman" w:eastAsia="宋体" w:hAnsi="Times New Roman" w:cs="Times New Roman"/>
                <w:sz w:val="18"/>
                <w:szCs w:val="18"/>
              </w:rPr>
            </w:pPr>
            <w:r w:rsidRPr="00FF1AAC">
              <w:rPr>
                <w:rFonts w:ascii="Times New Roman" w:eastAsia="宋体" w:hAnsi="Times New Roman" w:cs="Times New Roman"/>
                <w:sz w:val="18"/>
                <w:szCs w:val="18"/>
              </w:rPr>
              <w:t>--</w:t>
            </w:r>
          </w:p>
        </w:tc>
      </w:tr>
    </w:tbl>
    <w:p w14:paraId="77D7AC72" w14:textId="77777777" w:rsidR="00A46BF1" w:rsidRDefault="00A46BF1" w:rsidP="00A46BF1">
      <w:pPr>
        <w:pStyle w:val="3"/>
        <w:spacing w:line="280" w:lineRule="exact"/>
        <w:jc w:val="left"/>
        <w:rPr>
          <w:rFonts w:ascii="宋体" w:hAnsi="宋体" w:cs="宋体"/>
          <w:b/>
          <w:bCs/>
        </w:rPr>
      </w:pPr>
      <w:r>
        <w:rPr>
          <w:rFonts w:ascii="宋体" w:hAnsi="宋体" w:cs="宋体"/>
          <w:b/>
          <w:bCs/>
        </w:rPr>
        <w:t>2、持续和非持续第一层次公允价值计量项目市价的确定依据</w:t>
      </w:r>
    </w:p>
    <w:p w14:paraId="27FF87F4"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其他权益工具投资的市价系以权益工具投资于</w:t>
      </w: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年最后一个工作日在公开证券交易场所的收盘价确定。</w:t>
      </w:r>
    </w:p>
    <w:p w14:paraId="110F5CE8" w14:textId="77777777" w:rsidR="00A46BF1" w:rsidRDefault="00A46BF1" w:rsidP="00A46BF1">
      <w:pPr>
        <w:pStyle w:val="3"/>
        <w:spacing w:line="280" w:lineRule="exact"/>
        <w:jc w:val="left"/>
        <w:rPr>
          <w:rFonts w:ascii="宋体" w:hAnsi="宋体" w:cs="宋体"/>
          <w:b/>
          <w:bCs/>
        </w:rPr>
      </w:pPr>
      <w:r>
        <w:rPr>
          <w:rFonts w:ascii="宋体" w:hAnsi="宋体" w:cs="宋体"/>
          <w:b/>
          <w:bCs/>
        </w:rPr>
        <w:t>3、持续和非持续第二层次公允价值计量项目，采用的估值技术和重要参数的定性及定量信息</w:t>
      </w:r>
    </w:p>
    <w:p w14:paraId="156BEBC7"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其他权益工具投资公允价值以近期成交价推算确定。</w:t>
      </w:r>
    </w:p>
    <w:p w14:paraId="6840ED4F" w14:textId="77777777" w:rsidR="00A46BF1" w:rsidRDefault="00A46BF1" w:rsidP="00A46BF1">
      <w:pPr>
        <w:pStyle w:val="3"/>
        <w:spacing w:line="280" w:lineRule="exact"/>
        <w:jc w:val="left"/>
        <w:rPr>
          <w:rFonts w:ascii="宋体" w:hAnsi="宋体" w:cs="宋体"/>
          <w:b/>
          <w:bCs/>
        </w:rPr>
      </w:pPr>
      <w:r>
        <w:rPr>
          <w:rFonts w:ascii="宋体" w:hAnsi="宋体" w:cs="宋体"/>
          <w:b/>
          <w:bCs/>
        </w:rPr>
        <w:t>4、持续和非持续第三层次公允价值计量项目，采用的估值技术和重要参数的定性及定量信息</w:t>
      </w:r>
    </w:p>
    <w:p w14:paraId="1DDCDC7F"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第三层次公允价值计量的量化信息如下：</w:t>
      </w:r>
    </w:p>
    <w:tbl>
      <w:tblPr>
        <w:tblW w:w="5000" w:type="pct"/>
        <w:tblCellMar>
          <w:left w:w="0" w:type="dxa"/>
          <w:right w:w="0" w:type="dxa"/>
        </w:tblCellMar>
        <w:tblLook w:val="04A0" w:firstRow="1" w:lastRow="0" w:firstColumn="1" w:lastColumn="0" w:noHBand="0" w:noVBand="1"/>
      </w:tblPr>
      <w:tblGrid>
        <w:gridCol w:w="2755"/>
        <w:gridCol w:w="2816"/>
        <w:gridCol w:w="2447"/>
        <w:gridCol w:w="1835"/>
      </w:tblGrid>
      <w:tr w:rsidR="00A46BF1" w14:paraId="39A00118" w14:textId="77777777" w:rsidTr="00A46BF1">
        <w:tc>
          <w:tcPr>
            <w:tcW w:w="139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03C416"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项目</w:t>
            </w:r>
          </w:p>
        </w:tc>
        <w:tc>
          <w:tcPr>
            <w:tcW w:w="142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865290"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2025-12-31</w:t>
            </w:r>
            <w:r w:rsidRPr="00FF1AAC">
              <w:rPr>
                <w:rStyle w:val="aa"/>
                <w:rFonts w:ascii="Times New Roman" w:hAnsi="Times New Roman" w:cs="Times New Roman"/>
                <w:sz w:val="18"/>
                <w:szCs w:val="18"/>
              </w:rPr>
              <w:t>公允价值</w:t>
            </w:r>
          </w:p>
        </w:tc>
        <w:tc>
          <w:tcPr>
            <w:tcW w:w="12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1A3E98"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估值技术</w:t>
            </w:r>
          </w:p>
        </w:tc>
        <w:tc>
          <w:tcPr>
            <w:tcW w:w="93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E036B8" w14:textId="77777777" w:rsidR="00A46BF1" w:rsidRPr="00FF1AAC" w:rsidRDefault="00A46BF1" w:rsidP="00FF1AAC">
            <w:pPr>
              <w:pStyle w:val="a9"/>
              <w:spacing w:before="48" w:beforeAutospacing="0" w:after="48" w:afterAutospacing="0" w:line="360" w:lineRule="auto"/>
              <w:jc w:val="center"/>
              <w:rPr>
                <w:rFonts w:ascii="Times New Roman" w:hAnsi="Times New Roman" w:cs="Times New Roman"/>
                <w:sz w:val="18"/>
                <w:szCs w:val="18"/>
              </w:rPr>
            </w:pPr>
            <w:r w:rsidRPr="00FF1AAC">
              <w:rPr>
                <w:rStyle w:val="aa"/>
                <w:rFonts w:ascii="Times New Roman" w:hAnsi="Times New Roman" w:cs="Times New Roman"/>
                <w:sz w:val="18"/>
                <w:szCs w:val="18"/>
              </w:rPr>
              <w:t>输入值</w:t>
            </w:r>
          </w:p>
        </w:tc>
      </w:tr>
      <w:tr w:rsidR="00A46BF1" w14:paraId="3D2EE8FE" w14:textId="77777777" w:rsidTr="00A46BF1">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56BDCD" w14:textId="74C07789" w:rsidR="00A46BF1" w:rsidRPr="00FF1AAC" w:rsidRDefault="00A46BF1" w:rsidP="00FF1AAC">
            <w:pPr>
              <w:pStyle w:val="a9"/>
              <w:spacing w:before="0" w:beforeAutospacing="0" w:after="0" w:afterAutospacing="0" w:line="360" w:lineRule="auto"/>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交易性金融资产</w:t>
            </w:r>
          </w:p>
        </w:tc>
        <w:tc>
          <w:tcPr>
            <w:tcW w:w="2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C3145" w14:textId="78CAC596"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244,345,429.99</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BB0F10" w14:textId="3E2EBB9E"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现金流量折现法</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3DC156" w14:textId="3D555A9D"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预期收益率</w:t>
            </w:r>
          </w:p>
        </w:tc>
      </w:tr>
      <w:tr w:rsidR="00A46BF1" w14:paraId="40A748FA" w14:textId="77777777" w:rsidTr="00A46BF1">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D2F91" w14:textId="2F574A55" w:rsidR="00A46BF1" w:rsidRPr="00FF1AAC" w:rsidRDefault="00A46BF1" w:rsidP="00FF1AAC">
            <w:pPr>
              <w:pStyle w:val="a9"/>
              <w:spacing w:before="0" w:beforeAutospacing="0" w:after="0" w:afterAutospacing="0" w:line="360" w:lineRule="auto"/>
              <w:textAlignment w:val="center"/>
              <w:rPr>
                <w:rFonts w:ascii="Times New Roman" w:hAnsi="Times New Roman" w:cs="Times New Roman"/>
                <w:sz w:val="18"/>
                <w:szCs w:val="18"/>
              </w:rPr>
            </w:pPr>
            <w:r w:rsidRPr="00FF1AAC">
              <w:rPr>
                <w:rFonts w:ascii="Times New Roman" w:hAnsi="Times New Roman" w:cs="Times New Roman"/>
                <w:sz w:val="18"/>
                <w:szCs w:val="18"/>
              </w:rPr>
              <w:t>应收款项融资</w:t>
            </w:r>
          </w:p>
        </w:tc>
        <w:tc>
          <w:tcPr>
            <w:tcW w:w="2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6989B" w14:textId="11592E3D"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34,732,047.93</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193E5C" w14:textId="76476B69"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现金流量折现法</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A3745" w14:textId="26B80951"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贴现率</w:t>
            </w:r>
          </w:p>
        </w:tc>
      </w:tr>
      <w:tr w:rsidR="00A46BF1" w14:paraId="6554AC3F" w14:textId="77777777" w:rsidTr="00A46BF1">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A782C6" w14:textId="240B25D1" w:rsidR="00A46BF1" w:rsidRPr="00FF1AAC" w:rsidRDefault="00A46BF1" w:rsidP="00FF1AAC">
            <w:pPr>
              <w:pStyle w:val="a9"/>
              <w:spacing w:before="0" w:beforeAutospacing="0" w:after="0" w:afterAutospacing="0" w:line="360" w:lineRule="auto"/>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其他权益工具投资</w:t>
            </w:r>
          </w:p>
        </w:tc>
        <w:tc>
          <w:tcPr>
            <w:tcW w:w="2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0CB9B" w14:textId="29B1A800"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3,900,000.00</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9FE5E1" w14:textId="102079FE"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上市公司比较法</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2CA38" w14:textId="72688C80"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市盈率</w:t>
            </w:r>
          </w:p>
        </w:tc>
      </w:tr>
      <w:tr w:rsidR="00A46BF1" w14:paraId="0625AC3D" w14:textId="77777777" w:rsidTr="00A46BF1">
        <w:tc>
          <w:tcPr>
            <w:tcW w:w="2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60C7EC" w14:textId="34076E2C" w:rsidR="00A46BF1" w:rsidRPr="00FF1AAC" w:rsidRDefault="00A46BF1" w:rsidP="00FF1AAC">
            <w:pPr>
              <w:pStyle w:val="a9"/>
              <w:spacing w:before="0" w:beforeAutospacing="0" w:after="0" w:afterAutospacing="0" w:line="360" w:lineRule="auto"/>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其他权益工具投资</w:t>
            </w:r>
          </w:p>
        </w:tc>
        <w:tc>
          <w:tcPr>
            <w:tcW w:w="2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E29D2D" w14:textId="3C38F963" w:rsidR="00A46BF1" w:rsidRPr="00FF1AAC" w:rsidRDefault="00A46BF1" w:rsidP="00FF1AAC">
            <w:pPr>
              <w:pStyle w:val="a9"/>
              <w:spacing w:before="0" w:beforeAutospacing="0" w:after="0" w:afterAutospacing="0" w:line="360" w:lineRule="auto"/>
              <w:jc w:val="right"/>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180,000,000.00</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48550" w14:textId="2C2FCDC4"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上市公司比较法</w:t>
            </w:r>
          </w:p>
        </w:tc>
        <w:tc>
          <w:tcPr>
            <w:tcW w:w="15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B3039" w14:textId="2877D2D0" w:rsidR="00A46BF1" w:rsidRPr="00FF1AAC" w:rsidRDefault="00A46BF1" w:rsidP="00FF1AAC">
            <w:pPr>
              <w:pStyle w:val="a9"/>
              <w:spacing w:before="0" w:beforeAutospacing="0" w:after="0" w:afterAutospacing="0" w:line="360" w:lineRule="auto"/>
              <w:jc w:val="center"/>
              <w:textAlignment w:val="center"/>
              <w:rPr>
                <w:rFonts w:ascii="Times New Roman" w:hAnsi="Times New Roman" w:cs="Times New Roman"/>
                <w:sz w:val="18"/>
                <w:szCs w:val="18"/>
              </w:rPr>
            </w:pPr>
            <w:r w:rsidRPr="00FF1AAC">
              <w:rPr>
                <w:rFonts w:ascii="Times New Roman" w:hAnsi="Times New Roman" w:cs="Times New Roman"/>
                <w:color w:val="000000"/>
                <w:sz w:val="18"/>
                <w:szCs w:val="18"/>
              </w:rPr>
              <w:t>市售率</w:t>
            </w:r>
          </w:p>
        </w:tc>
      </w:tr>
    </w:tbl>
    <w:p w14:paraId="67396C58"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十四、关联方及关联交易</w:t>
      </w:r>
    </w:p>
    <w:p w14:paraId="20FE58D7" w14:textId="77777777" w:rsidR="00A46BF1" w:rsidRDefault="00A46BF1" w:rsidP="00A46BF1">
      <w:pPr>
        <w:pStyle w:val="3"/>
        <w:spacing w:line="280" w:lineRule="exact"/>
        <w:jc w:val="left"/>
        <w:rPr>
          <w:rFonts w:ascii="宋体" w:hAnsi="宋体" w:cs="宋体"/>
          <w:b/>
          <w:bCs/>
        </w:rPr>
      </w:pPr>
      <w:r>
        <w:rPr>
          <w:rFonts w:ascii="宋体" w:hAnsi="宋体" w:cs="宋体"/>
          <w:b/>
          <w:bCs/>
        </w:rPr>
        <w:t>1、本企业的母公司情况</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280DF492"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8A30705"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1513FA2"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注册地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502E426"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业务性质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AF7456B"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注册资本</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B2F0760"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母公司对本企业的持股比例</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563AECE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母公司对本企业的表决权比例</w:t>
            </w:r>
          </w:p>
        </w:tc>
      </w:tr>
    </w:tbl>
    <w:p w14:paraId="2C66803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本企业的母公司情况的说明</w:t>
      </w:r>
    </w:p>
    <w:p w14:paraId="7350E8A2" w14:textId="337B0679"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1</w:t>
      </w:r>
      <w:r w:rsidR="00A46BF1" w:rsidRPr="00A83985">
        <w:rPr>
          <w:rFonts w:ascii="Times New Roman" w:hAnsi="Times New Roman" w:cs="Times New Roman" w:hint="eastAsia"/>
          <w:sz w:val="21"/>
          <w:szCs w:val="21"/>
        </w:rPr>
        <w:t>）控股股东及最终控制方</w:t>
      </w:r>
    </w:p>
    <w:tbl>
      <w:tblPr>
        <w:tblW w:w="5000" w:type="pct"/>
        <w:jc w:val="center"/>
        <w:tblCellMar>
          <w:left w:w="0" w:type="dxa"/>
          <w:right w:w="0" w:type="dxa"/>
        </w:tblCellMar>
        <w:tblLook w:val="04A0" w:firstRow="1" w:lastRow="0" w:firstColumn="1" w:lastColumn="0" w:noHBand="0" w:noVBand="1"/>
      </w:tblPr>
      <w:tblGrid>
        <w:gridCol w:w="3461"/>
        <w:gridCol w:w="3083"/>
        <w:gridCol w:w="3309"/>
      </w:tblGrid>
      <w:tr w:rsidR="00A46BF1" w14:paraId="2457E970" w14:textId="77777777" w:rsidTr="00A46BF1">
        <w:trPr>
          <w:trHeight w:val="526"/>
          <w:tblHeader/>
          <w:jc w:val="center"/>
        </w:trPr>
        <w:tc>
          <w:tcPr>
            <w:tcW w:w="17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F99354" w14:textId="77777777"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r w:rsidRPr="00F66B29">
              <w:rPr>
                <w:rStyle w:val="aa"/>
                <w:rFonts w:ascii="Times New Roman" w:hAnsi="Times New Roman" w:cs="Times New Roman"/>
                <w:color w:val="000000"/>
                <w:sz w:val="18"/>
                <w:szCs w:val="18"/>
              </w:rPr>
              <w:t>控股股东及最终控制方名称</w:t>
            </w:r>
          </w:p>
        </w:tc>
        <w:tc>
          <w:tcPr>
            <w:tcW w:w="156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95B662"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对本公司的持股比例</w:t>
            </w:r>
            <w:r w:rsidRPr="00F66B29">
              <w:rPr>
                <w:rStyle w:val="aa"/>
                <w:rFonts w:ascii="Times New Roman" w:hAnsi="Times New Roman" w:cs="Times New Roman"/>
                <w:sz w:val="18"/>
                <w:szCs w:val="18"/>
              </w:rPr>
              <w:t>(%)</w:t>
            </w:r>
          </w:p>
        </w:tc>
        <w:tc>
          <w:tcPr>
            <w:tcW w:w="167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082C8A3"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对本公司的表决权比例</w:t>
            </w:r>
            <w:r w:rsidRPr="00F66B29">
              <w:rPr>
                <w:rStyle w:val="aa"/>
                <w:rFonts w:ascii="Times New Roman" w:hAnsi="Times New Roman" w:cs="Times New Roman"/>
                <w:sz w:val="18"/>
                <w:szCs w:val="18"/>
              </w:rPr>
              <w:t>(%)</w:t>
            </w:r>
          </w:p>
        </w:tc>
      </w:tr>
      <w:tr w:rsidR="00A46BF1" w14:paraId="74EE0273" w14:textId="77777777" w:rsidTr="00A46BF1">
        <w:trPr>
          <w:trHeight w:val="454"/>
          <w:jc w:val="center"/>
        </w:trPr>
        <w:tc>
          <w:tcPr>
            <w:tcW w:w="175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A32775" w14:textId="77777777"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r w:rsidRPr="00F66B29">
              <w:rPr>
                <w:rFonts w:ascii="Times New Roman" w:hAnsi="Times New Roman" w:cs="Times New Roman"/>
                <w:sz w:val="18"/>
                <w:szCs w:val="18"/>
              </w:rPr>
              <w:t>李少波</w:t>
            </w:r>
          </w:p>
        </w:tc>
        <w:tc>
          <w:tcPr>
            <w:tcW w:w="15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2D8F12"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25.47</w:t>
            </w:r>
          </w:p>
        </w:tc>
        <w:tc>
          <w:tcPr>
            <w:tcW w:w="16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D657AA"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25.47</w:t>
            </w:r>
          </w:p>
        </w:tc>
      </w:tr>
    </w:tbl>
    <w:p w14:paraId="69E0F2FB" w14:textId="736F1F9B"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2</w:t>
      </w:r>
      <w:r w:rsidR="00A46BF1" w:rsidRPr="00A83985">
        <w:rPr>
          <w:rFonts w:ascii="Times New Roman" w:hAnsi="Times New Roman" w:cs="Times New Roman" w:hint="eastAsia"/>
          <w:sz w:val="21"/>
          <w:szCs w:val="21"/>
        </w:rPr>
        <w:t>）控股股东的所持股份或权益及其变化</w:t>
      </w:r>
    </w:p>
    <w:tbl>
      <w:tblPr>
        <w:tblW w:w="5000" w:type="pct"/>
        <w:jc w:val="center"/>
        <w:tblCellMar>
          <w:left w:w="0" w:type="dxa"/>
          <w:right w:w="0" w:type="dxa"/>
        </w:tblCellMar>
        <w:tblLook w:val="04A0" w:firstRow="1" w:lastRow="0" w:firstColumn="1" w:lastColumn="0" w:noHBand="0" w:noVBand="1"/>
      </w:tblPr>
      <w:tblGrid>
        <w:gridCol w:w="1705"/>
        <w:gridCol w:w="2367"/>
        <w:gridCol w:w="2367"/>
        <w:gridCol w:w="1705"/>
        <w:gridCol w:w="1709"/>
      </w:tblGrid>
      <w:tr w:rsidR="00A46BF1" w14:paraId="530586CD" w14:textId="77777777" w:rsidTr="00A46BF1">
        <w:trPr>
          <w:trHeight w:val="443"/>
          <w:tblHeader/>
          <w:jc w:val="center"/>
        </w:trPr>
        <w:tc>
          <w:tcPr>
            <w:tcW w:w="865"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D6751A" w14:textId="77777777"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r w:rsidRPr="00F66B29">
              <w:rPr>
                <w:rStyle w:val="aa"/>
                <w:rFonts w:ascii="Times New Roman" w:hAnsi="Times New Roman" w:cs="Times New Roman"/>
                <w:color w:val="000000"/>
                <w:sz w:val="18"/>
                <w:szCs w:val="18"/>
              </w:rPr>
              <w:t>控股股东</w:t>
            </w:r>
          </w:p>
        </w:tc>
        <w:tc>
          <w:tcPr>
            <w:tcW w:w="240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575231"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持股金额</w:t>
            </w:r>
          </w:p>
        </w:tc>
        <w:tc>
          <w:tcPr>
            <w:tcW w:w="173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F9036F"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持股比例（</w:t>
            </w:r>
            <w:r w:rsidRPr="00F66B29">
              <w:rPr>
                <w:rStyle w:val="aa"/>
                <w:rFonts w:ascii="Times New Roman" w:hAnsi="Times New Roman" w:cs="Times New Roman"/>
                <w:sz w:val="18"/>
                <w:szCs w:val="18"/>
              </w:rPr>
              <w:t>%</w:t>
            </w:r>
            <w:r w:rsidRPr="00F66B29">
              <w:rPr>
                <w:rStyle w:val="aa"/>
                <w:rFonts w:ascii="Times New Roman" w:hAnsi="Times New Roman" w:cs="Times New Roman"/>
                <w:sz w:val="18"/>
                <w:szCs w:val="18"/>
              </w:rPr>
              <w:t>）</w:t>
            </w:r>
          </w:p>
        </w:tc>
      </w:tr>
      <w:tr w:rsidR="00A46BF1" w14:paraId="67686D9A" w14:textId="77777777" w:rsidTr="00A46BF1">
        <w:trPr>
          <w:trHeight w:val="396"/>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113945" w14:textId="77777777" w:rsidR="00A46BF1" w:rsidRPr="00F66B29" w:rsidRDefault="00A46BF1" w:rsidP="00F66B29">
            <w:pPr>
              <w:spacing w:line="360" w:lineRule="auto"/>
              <w:rPr>
                <w:rFonts w:ascii="Times New Roman" w:eastAsia="宋体" w:hAnsi="Times New Roman" w:cs="Times New Roman"/>
                <w:sz w:val="18"/>
                <w:szCs w:val="18"/>
              </w:rPr>
            </w:pPr>
          </w:p>
        </w:tc>
        <w:tc>
          <w:tcPr>
            <w:tcW w:w="120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CEDAE4"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color w:val="000000"/>
                <w:sz w:val="18"/>
                <w:szCs w:val="18"/>
              </w:rPr>
              <w:t>年末余额</w:t>
            </w:r>
          </w:p>
        </w:tc>
        <w:tc>
          <w:tcPr>
            <w:tcW w:w="12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039F6"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color w:val="000000"/>
                <w:sz w:val="18"/>
                <w:szCs w:val="18"/>
              </w:rPr>
              <w:t>年初余额</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C8A1A"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color w:val="000000"/>
                <w:sz w:val="18"/>
                <w:szCs w:val="18"/>
              </w:rPr>
              <w:t>年末</w:t>
            </w:r>
            <w:r w:rsidRPr="00F66B29">
              <w:rPr>
                <w:rStyle w:val="aa"/>
                <w:rFonts w:ascii="Times New Roman" w:hAnsi="Times New Roman" w:cs="Times New Roman"/>
                <w:sz w:val="18"/>
                <w:szCs w:val="18"/>
              </w:rPr>
              <w:t>比例</w:t>
            </w:r>
          </w:p>
        </w:tc>
        <w:tc>
          <w:tcPr>
            <w:tcW w:w="8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AEB79"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color w:val="000000"/>
                <w:sz w:val="18"/>
                <w:szCs w:val="18"/>
              </w:rPr>
              <w:t>年初</w:t>
            </w:r>
            <w:r w:rsidRPr="00F66B29">
              <w:rPr>
                <w:rStyle w:val="aa"/>
                <w:rFonts w:ascii="Times New Roman" w:hAnsi="Times New Roman" w:cs="Times New Roman"/>
                <w:sz w:val="18"/>
                <w:szCs w:val="18"/>
              </w:rPr>
              <w:t>比例</w:t>
            </w:r>
          </w:p>
        </w:tc>
      </w:tr>
      <w:tr w:rsidR="00A46BF1" w14:paraId="666476D3" w14:textId="77777777" w:rsidTr="00A46BF1">
        <w:trPr>
          <w:trHeight w:val="454"/>
          <w:jc w:val="center"/>
        </w:trPr>
        <w:tc>
          <w:tcPr>
            <w:tcW w:w="8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419552" w14:textId="77777777"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r w:rsidRPr="00F66B29">
              <w:rPr>
                <w:rFonts w:ascii="Times New Roman" w:hAnsi="Times New Roman" w:cs="Times New Roman"/>
                <w:sz w:val="18"/>
                <w:szCs w:val="18"/>
              </w:rPr>
              <w:t>李少波</w:t>
            </w:r>
          </w:p>
        </w:tc>
        <w:tc>
          <w:tcPr>
            <w:tcW w:w="12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0A459A"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142,685,648.00</w:t>
            </w:r>
          </w:p>
        </w:tc>
        <w:tc>
          <w:tcPr>
            <w:tcW w:w="120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1D047C"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142,685,648.00</w:t>
            </w:r>
          </w:p>
        </w:tc>
        <w:tc>
          <w:tcPr>
            <w:tcW w:w="86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1ACEF"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25.47</w:t>
            </w:r>
          </w:p>
        </w:tc>
        <w:tc>
          <w:tcPr>
            <w:tcW w:w="86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944D41"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25.29</w:t>
            </w:r>
          </w:p>
        </w:tc>
      </w:tr>
    </w:tbl>
    <w:p w14:paraId="31EA2559"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本企业最终控制方是李少波。</w:t>
      </w:r>
    </w:p>
    <w:p w14:paraId="7EA7888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C2D3133" w14:textId="77777777" w:rsidR="00A46BF1" w:rsidRPr="00F66B29" w:rsidRDefault="00A46BF1" w:rsidP="00F66B29">
      <w:pPr>
        <w:spacing w:before="100" w:after="100" w:line="240" w:lineRule="exact"/>
        <w:rPr>
          <w:rFonts w:ascii="宋体" w:eastAsia="宋体" w:hAnsi="宋体" w:cs="宋体"/>
          <w:sz w:val="18"/>
          <w:szCs w:val="18"/>
        </w:rPr>
      </w:pPr>
      <w:r w:rsidRPr="00F66B29">
        <w:rPr>
          <w:rFonts w:ascii="宋体" w:eastAsia="宋体" w:hAnsi="宋体" w:cs="宋体" w:hint="eastAsia"/>
          <w:sz w:val="18"/>
          <w:szCs w:val="18"/>
        </w:rPr>
        <w:t>无</w:t>
      </w:r>
    </w:p>
    <w:p w14:paraId="6CC57E77" w14:textId="77777777" w:rsidR="00A46BF1" w:rsidRDefault="00A46BF1" w:rsidP="00A46BF1">
      <w:pPr>
        <w:pStyle w:val="3"/>
        <w:spacing w:line="280" w:lineRule="exact"/>
        <w:jc w:val="left"/>
        <w:rPr>
          <w:rFonts w:ascii="宋体" w:hAnsi="宋体" w:cs="宋体"/>
          <w:b/>
          <w:bCs/>
        </w:rPr>
      </w:pPr>
      <w:r>
        <w:rPr>
          <w:rFonts w:ascii="宋体" w:hAnsi="宋体" w:cs="宋体"/>
          <w:b/>
          <w:bCs/>
        </w:rPr>
        <w:t>2、本企业的子公司情况</w:t>
      </w:r>
    </w:p>
    <w:p w14:paraId="6F918EB1"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本企业子公司的情况详见附注“十、1.（1）企业集团的构成”相关内容。</w:t>
      </w:r>
    </w:p>
    <w:p w14:paraId="3E1C190F" w14:textId="77777777" w:rsidR="00A46BF1" w:rsidRDefault="00A46BF1" w:rsidP="00A46BF1">
      <w:pPr>
        <w:pStyle w:val="3"/>
        <w:spacing w:line="280" w:lineRule="exact"/>
        <w:jc w:val="left"/>
        <w:rPr>
          <w:rFonts w:ascii="宋体" w:hAnsi="宋体" w:cs="宋体"/>
          <w:b/>
          <w:bCs/>
        </w:rPr>
      </w:pPr>
      <w:r>
        <w:rPr>
          <w:rFonts w:ascii="宋体" w:hAnsi="宋体" w:cs="宋体"/>
          <w:b/>
          <w:bCs/>
        </w:rPr>
        <w:t>3、本企业合营和联营企业情况</w:t>
      </w:r>
    </w:p>
    <w:p w14:paraId="56FA188F"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本企业重要的合营或联营企业详见附注不适用。</w:t>
      </w:r>
    </w:p>
    <w:p w14:paraId="538D040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本期与本公司发生关联方交易，或前期与本公司发生关联方交易形成余额的其他合营或联营企业情况如下：</w:t>
      </w:r>
    </w:p>
    <w:tbl>
      <w:tblPr>
        <w:tblW w:w="9639" w:type="dxa"/>
        <w:tblInd w:w="108" w:type="dxa"/>
        <w:tblLayout w:type="fixed"/>
        <w:tblLook w:val="04A0" w:firstRow="1" w:lastRow="0" w:firstColumn="1" w:lastColumn="0" w:noHBand="0" w:noVBand="1"/>
      </w:tblPr>
      <w:tblGrid>
        <w:gridCol w:w="4820"/>
        <w:gridCol w:w="4819"/>
      </w:tblGrid>
      <w:tr w:rsidR="00095F6F" w14:paraId="66FD0586"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63E192AE" w14:textId="77777777" w:rsidR="00A46BF1" w:rsidRDefault="00A46BF1" w:rsidP="00F66B29">
            <w:pPr>
              <w:spacing w:before="40" w:after="40" w:line="360" w:lineRule="auto"/>
              <w:jc w:val="center"/>
              <w:rPr>
                <w:rFonts w:ascii="宋体" w:eastAsia="宋体" w:hAnsi="宋体" w:cs="宋体"/>
                <w:sz w:val="18"/>
                <w:szCs w:val="18"/>
              </w:rPr>
            </w:pPr>
            <w:r>
              <w:rPr>
                <w:rFonts w:ascii="宋体" w:eastAsia="宋体" w:hAnsi="宋体" w:cs="宋体"/>
                <w:sz w:val="18"/>
                <w:szCs w:val="18"/>
              </w:rPr>
              <w:t>合营或联营企业名称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5FC5183E" w14:textId="77777777" w:rsidR="00A46BF1" w:rsidRDefault="00A46BF1" w:rsidP="00F66B29">
            <w:pPr>
              <w:spacing w:before="40" w:after="40" w:line="360" w:lineRule="auto"/>
              <w:jc w:val="center"/>
              <w:rPr>
                <w:rFonts w:ascii="宋体" w:eastAsia="宋体" w:hAnsi="宋体" w:cs="宋体"/>
                <w:sz w:val="18"/>
                <w:szCs w:val="18"/>
              </w:rPr>
            </w:pPr>
            <w:r>
              <w:rPr>
                <w:rFonts w:ascii="宋体" w:eastAsia="宋体" w:hAnsi="宋体" w:cs="宋体"/>
                <w:sz w:val="18"/>
                <w:szCs w:val="18"/>
              </w:rPr>
              <w:t>与本企业关系</w:t>
            </w:r>
          </w:p>
        </w:tc>
      </w:tr>
      <w:tr w:rsidR="00095F6F" w14:paraId="419F16A1"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596B5CA5" w14:textId="77777777" w:rsidR="00A46BF1" w:rsidRDefault="00A46BF1" w:rsidP="00F66B29">
            <w:pPr>
              <w:spacing w:line="360" w:lineRule="auto"/>
              <w:rPr>
                <w:rFonts w:ascii="宋体" w:eastAsia="宋体" w:hAnsi="宋体" w:cs="宋体"/>
                <w:sz w:val="18"/>
                <w:szCs w:val="18"/>
              </w:rPr>
            </w:pPr>
            <w:r>
              <w:rPr>
                <w:rFonts w:ascii="宋体" w:eastAsia="宋体" w:hAnsi="宋体" w:cs="宋体"/>
                <w:sz w:val="18"/>
                <w:szCs w:val="18"/>
              </w:rPr>
              <w:t>北京糖护科技有限公司</w:t>
            </w:r>
          </w:p>
        </w:tc>
        <w:tc>
          <w:tcPr>
            <w:tcW w:w="4820" w:type="dxa"/>
            <w:tcBorders>
              <w:top w:val="single" w:sz="2" w:space="0" w:color="auto"/>
              <w:left w:val="single" w:sz="2" w:space="0" w:color="auto"/>
              <w:bottom w:val="single" w:sz="2" w:space="0" w:color="auto"/>
              <w:right w:val="single" w:sz="2" w:space="0" w:color="auto"/>
            </w:tcBorders>
            <w:vAlign w:val="center"/>
          </w:tcPr>
          <w:p w14:paraId="06CE00AF" w14:textId="77777777" w:rsidR="00A46BF1" w:rsidRDefault="00A46BF1" w:rsidP="00F66B29">
            <w:pPr>
              <w:spacing w:line="360" w:lineRule="auto"/>
              <w:rPr>
                <w:rFonts w:ascii="宋体" w:eastAsia="宋体" w:hAnsi="宋体" w:cs="宋体"/>
                <w:sz w:val="18"/>
                <w:szCs w:val="18"/>
              </w:rPr>
            </w:pPr>
            <w:r>
              <w:rPr>
                <w:rFonts w:ascii="宋体" w:eastAsia="宋体" w:hAnsi="宋体" w:cs="宋体"/>
                <w:sz w:val="18"/>
                <w:szCs w:val="18"/>
              </w:rPr>
              <w:t>联营企业</w:t>
            </w:r>
          </w:p>
        </w:tc>
      </w:tr>
    </w:tbl>
    <w:p w14:paraId="2CEDFF9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1733CF1" w14:textId="77777777" w:rsidR="00A46BF1" w:rsidRPr="00F66B29" w:rsidRDefault="00A46BF1" w:rsidP="00F66B29">
      <w:pPr>
        <w:spacing w:before="100" w:after="100" w:line="240" w:lineRule="exact"/>
        <w:rPr>
          <w:rFonts w:ascii="宋体" w:eastAsia="宋体" w:hAnsi="宋体" w:cs="宋体"/>
          <w:sz w:val="18"/>
          <w:szCs w:val="18"/>
        </w:rPr>
      </w:pPr>
      <w:r w:rsidRPr="00F66B29">
        <w:rPr>
          <w:rFonts w:ascii="宋体" w:eastAsia="宋体" w:hAnsi="宋体" w:cs="宋体" w:hint="eastAsia"/>
          <w:sz w:val="18"/>
          <w:szCs w:val="18"/>
        </w:rPr>
        <w:t>无</w:t>
      </w:r>
    </w:p>
    <w:p w14:paraId="7CF5B167" w14:textId="77777777" w:rsidR="00A46BF1" w:rsidRDefault="00A46BF1" w:rsidP="00A46BF1">
      <w:pPr>
        <w:pStyle w:val="3"/>
        <w:spacing w:line="280" w:lineRule="exact"/>
        <w:jc w:val="left"/>
        <w:rPr>
          <w:rFonts w:ascii="宋体" w:hAnsi="宋体" w:cs="宋体"/>
          <w:b/>
          <w:bCs/>
        </w:rPr>
      </w:pPr>
      <w:r>
        <w:rPr>
          <w:rFonts w:ascii="宋体" w:hAnsi="宋体" w:cs="宋体"/>
          <w:b/>
          <w:bCs/>
        </w:rPr>
        <w:t>4、其他关联方情况</w:t>
      </w:r>
    </w:p>
    <w:tbl>
      <w:tblPr>
        <w:tblW w:w="9639" w:type="dxa"/>
        <w:tblInd w:w="108" w:type="dxa"/>
        <w:tblLayout w:type="fixed"/>
        <w:tblLook w:val="04A0" w:firstRow="1" w:lastRow="0" w:firstColumn="1" w:lastColumn="0" w:noHBand="0" w:noVBand="1"/>
      </w:tblPr>
      <w:tblGrid>
        <w:gridCol w:w="4820"/>
        <w:gridCol w:w="4819"/>
      </w:tblGrid>
      <w:tr w:rsidR="00095F6F" w14:paraId="589C56BF"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78A3C409"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其他关联方名称</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DA484C8"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其他关联方与本企业关系</w:t>
            </w:r>
          </w:p>
        </w:tc>
      </w:tr>
      <w:tr w:rsidR="00095F6F" w14:paraId="4A31940B"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vAlign w:val="center"/>
          </w:tcPr>
          <w:p w14:paraId="2ADBDA6F"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湖南省三诺糖尿病公益基金会</w:t>
            </w:r>
          </w:p>
        </w:tc>
        <w:tc>
          <w:tcPr>
            <w:tcW w:w="4820" w:type="dxa"/>
            <w:tcBorders>
              <w:top w:val="single" w:sz="2" w:space="0" w:color="auto"/>
              <w:left w:val="single" w:sz="2" w:space="0" w:color="auto"/>
              <w:bottom w:val="single" w:sz="2" w:space="0" w:color="auto"/>
              <w:right w:val="single" w:sz="2" w:space="0" w:color="auto"/>
            </w:tcBorders>
            <w:vAlign w:val="center"/>
          </w:tcPr>
          <w:p w14:paraId="4F57997C"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公司副董事长、总经理李心一担任理事长的非营利性组织</w:t>
            </w:r>
          </w:p>
        </w:tc>
      </w:tr>
    </w:tbl>
    <w:p w14:paraId="3CAD240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594BFA88" w14:textId="77777777" w:rsidR="00A46BF1" w:rsidRPr="00F66B29" w:rsidRDefault="00A46BF1" w:rsidP="00F66B29">
      <w:pPr>
        <w:spacing w:before="100" w:after="100" w:line="240" w:lineRule="exact"/>
        <w:rPr>
          <w:rFonts w:ascii="宋体" w:eastAsia="宋体" w:hAnsi="宋体" w:cs="宋体"/>
          <w:sz w:val="18"/>
          <w:szCs w:val="18"/>
        </w:rPr>
      </w:pPr>
      <w:r w:rsidRPr="00F66B29">
        <w:rPr>
          <w:rFonts w:ascii="宋体" w:eastAsia="宋体" w:hAnsi="宋体" w:cs="宋体" w:hint="eastAsia"/>
          <w:sz w:val="18"/>
          <w:szCs w:val="18"/>
        </w:rPr>
        <w:t>无</w:t>
      </w:r>
    </w:p>
    <w:p w14:paraId="52D71304" w14:textId="77777777" w:rsidR="00A46BF1" w:rsidRDefault="00A46BF1" w:rsidP="00A46BF1">
      <w:pPr>
        <w:pStyle w:val="3"/>
        <w:spacing w:line="280" w:lineRule="exact"/>
        <w:jc w:val="left"/>
        <w:rPr>
          <w:rFonts w:ascii="宋体" w:hAnsi="宋体" w:cs="宋体"/>
          <w:b/>
          <w:bCs/>
        </w:rPr>
      </w:pPr>
      <w:r>
        <w:rPr>
          <w:rFonts w:ascii="宋体" w:hAnsi="宋体" w:cs="宋体"/>
          <w:b/>
          <w:bCs/>
        </w:rPr>
        <w:t>5、关联交易情况</w:t>
      </w:r>
    </w:p>
    <w:p w14:paraId="2001519A"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购销商品、提供和接受劳务的关联交易</w:t>
      </w:r>
    </w:p>
    <w:p w14:paraId="6DA44FEB"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采购商品/接受劳务情况表</w:t>
      </w:r>
    </w:p>
    <w:p w14:paraId="539AD571"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10"/>
        <w:gridCol w:w="1701"/>
        <w:gridCol w:w="1134"/>
        <w:gridCol w:w="1559"/>
        <w:gridCol w:w="1701"/>
        <w:gridCol w:w="1134"/>
      </w:tblGrid>
      <w:tr w:rsidR="00095F6F" w14:paraId="5D17AA67" w14:textId="77777777" w:rsidTr="00F66B29">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5FB3F9E"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关联方</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42C47BFF"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关联交易内容</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06D5B930"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本期发生额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502E07DB"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获批的交易额度</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10F036DA"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是否超过交易额度</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6A74F7F3"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上期发生额</w:t>
            </w:r>
          </w:p>
        </w:tc>
      </w:tr>
      <w:tr w:rsidR="00095F6F" w14:paraId="106310F5" w14:textId="77777777" w:rsidTr="00F66B29">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739DCD0"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北京糖护科技有限公司</w:t>
            </w:r>
          </w:p>
        </w:tc>
        <w:tc>
          <w:tcPr>
            <w:tcW w:w="1701" w:type="dxa"/>
            <w:tcBorders>
              <w:top w:val="single" w:sz="2" w:space="0" w:color="auto"/>
              <w:left w:val="single" w:sz="2" w:space="0" w:color="auto"/>
              <w:bottom w:val="single" w:sz="2" w:space="0" w:color="auto"/>
              <w:right w:val="single" w:sz="2" w:space="0" w:color="auto"/>
            </w:tcBorders>
            <w:vAlign w:val="center"/>
          </w:tcPr>
          <w:p w14:paraId="51D8CE2F"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采购商品</w:t>
            </w:r>
          </w:p>
        </w:tc>
        <w:tc>
          <w:tcPr>
            <w:tcW w:w="1134" w:type="dxa"/>
            <w:tcBorders>
              <w:top w:val="single" w:sz="2" w:space="0" w:color="auto"/>
              <w:left w:val="single" w:sz="2" w:space="0" w:color="auto"/>
              <w:bottom w:val="single" w:sz="2" w:space="0" w:color="auto"/>
              <w:right w:val="single" w:sz="2" w:space="0" w:color="auto"/>
            </w:tcBorders>
            <w:vAlign w:val="center"/>
          </w:tcPr>
          <w:p w14:paraId="056ACAE0"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0.00</w:t>
            </w:r>
          </w:p>
        </w:tc>
        <w:tc>
          <w:tcPr>
            <w:tcW w:w="1559" w:type="dxa"/>
            <w:tcBorders>
              <w:top w:val="single" w:sz="2" w:space="0" w:color="auto"/>
              <w:left w:val="single" w:sz="2" w:space="0" w:color="auto"/>
              <w:bottom w:val="single" w:sz="2" w:space="0" w:color="auto"/>
              <w:right w:val="single" w:sz="2" w:space="0" w:color="auto"/>
            </w:tcBorders>
            <w:vAlign w:val="center"/>
          </w:tcPr>
          <w:p w14:paraId="6CF5B921"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0.00</w:t>
            </w:r>
          </w:p>
        </w:tc>
        <w:tc>
          <w:tcPr>
            <w:tcW w:w="1701" w:type="dxa"/>
            <w:tcBorders>
              <w:top w:val="single" w:sz="2" w:space="0" w:color="auto"/>
              <w:left w:val="single" w:sz="2" w:space="0" w:color="auto"/>
              <w:bottom w:val="single" w:sz="2" w:space="0" w:color="auto"/>
              <w:right w:val="single" w:sz="2" w:space="0" w:color="auto"/>
            </w:tcBorders>
            <w:vAlign w:val="center"/>
          </w:tcPr>
          <w:p w14:paraId="29CC2B50"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否</w:t>
            </w:r>
          </w:p>
        </w:tc>
        <w:tc>
          <w:tcPr>
            <w:tcW w:w="1134" w:type="dxa"/>
            <w:tcBorders>
              <w:top w:val="single" w:sz="2" w:space="0" w:color="auto"/>
              <w:left w:val="single" w:sz="2" w:space="0" w:color="auto"/>
              <w:bottom w:val="single" w:sz="2" w:space="0" w:color="auto"/>
              <w:right w:val="single" w:sz="2" w:space="0" w:color="auto"/>
            </w:tcBorders>
            <w:vAlign w:val="center"/>
          </w:tcPr>
          <w:p w14:paraId="18A66D83"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74,336.28</w:t>
            </w:r>
          </w:p>
        </w:tc>
      </w:tr>
    </w:tbl>
    <w:p w14:paraId="511D567D"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t>出售商品/提供劳务情况表</w:t>
      </w:r>
    </w:p>
    <w:p w14:paraId="6D8BEA66"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44603B98"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BAC47F6"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B517A6B"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关联交易内容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FD20A60"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本期发生额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7E4E4DC"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上期发生额</w:t>
            </w:r>
          </w:p>
        </w:tc>
      </w:tr>
      <w:tr w:rsidR="00095F6F" w14:paraId="017C9BB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10B7097"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北京糖护科技有限公司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3EEB3DCD"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血糖测试系统</w:t>
            </w:r>
          </w:p>
        </w:tc>
        <w:tc>
          <w:tcPr>
            <w:tcW w:w="2410" w:type="dxa"/>
            <w:tcBorders>
              <w:top w:val="single" w:sz="2" w:space="0" w:color="auto"/>
              <w:left w:val="single" w:sz="2" w:space="0" w:color="auto"/>
              <w:bottom w:val="single" w:sz="2" w:space="0" w:color="auto"/>
              <w:right w:val="single" w:sz="2" w:space="0" w:color="auto"/>
            </w:tcBorders>
            <w:vAlign w:val="center"/>
          </w:tcPr>
          <w:p w14:paraId="61AEBF5B"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16,589,394.11</w:t>
            </w:r>
          </w:p>
        </w:tc>
        <w:tc>
          <w:tcPr>
            <w:tcW w:w="2410" w:type="dxa"/>
            <w:tcBorders>
              <w:top w:val="single" w:sz="2" w:space="0" w:color="auto"/>
              <w:left w:val="single" w:sz="2" w:space="0" w:color="auto"/>
              <w:bottom w:val="single" w:sz="2" w:space="0" w:color="auto"/>
              <w:right w:val="single" w:sz="2" w:space="0" w:color="auto"/>
            </w:tcBorders>
            <w:vAlign w:val="center"/>
          </w:tcPr>
          <w:p w14:paraId="07EFF6C1"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6,521,186.91</w:t>
            </w:r>
          </w:p>
        </w:tc>
      </w:tr>
      <w:tr w:rsidR="00095F6F" w14:paraId="1BE26C6A"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5F64F1D"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北京糖护科技有限公司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2545D8F0"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服务费</w:t>
            </w:r>
          </w:p>
        </w:tc>
        <w:tc>
          <w:tcPr>
            <w:tcW w:w="2410" w:type="dxa"/>
            <w:tcBorders>
              <w:top w:val="single" w:sz="2" w:space="0" w:color="auto"/>
              <w:left w:val="single" w:sz="2" w:space="0" w:color="auto"/>
              <w:bottom w:val="single" w:sz="2" w:space="0" w:color="auto"/>
              <w:right w:val="single" w:sz="2" w:space="0" w:color="auto"/>
            </w:tcBorders>
            <w:vAlign w:val="center"/>
          </w:tcPr>
          <w:p w14:paraId="03A03B05"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496,046.23</w:t>
            </w:r>
          </w:p>
        </w:tc>
        <w:tc>
          <w:tcPr>
            <w:tcW w:w="2410" w:type="dxa"/>
            <w:tcBorders>
              <w:top w:val="single" w:sz="2" w:space="0" w:color="auto"/>
              <w:left w:val="single" w:sz="2" w:space="0" w:color="auto"/>
              <w:bottom w:val="single" w:sz="2" w:space="0" w:color="auto"/>
              <w:right w:val="single" w:sz="2" w:space="0" w:color="auto"/>
            </w:tcBorders>
            <w:vAlign w:val="center"/>
          </w:tcPr>
          <w:p w14:paraId="3504DB66"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126,054.62</w:t>
            </w:r>
          </w:p>
        </w:tc>
      </w:tr>
      <w:tr w:rsidR="00095F6F" w14:paraId="55A70D1C"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D628AD2"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08746C6A" w14:textId="77777777" w:rsidR="00A46BF1" w:rsidRPr="00F66B29" w:rsidRDefault="00A46BF1" w:rsidP="00F66B29">
            <w:pPr>
              <w:spacing w:line="360" w:lineRule="auto"/>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756FD4FA"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17,085,440.34</w:t>
            </w:r>
          </w:p>
        </w:tc>
        <w:tc>
          <w:tcPr>
            <w:tcW w:w="2410" w:type="dxa"/>
            <w:tcBorders>
              <w:top w:val="single" w:sz="2" w:space="0" w:color="auto"/>
              <w:left w:val="single" w:sz="2" w:space="0" w:color="auto"/>
              <w:bottom w:val="single" w:sz="2" w:space="0" w:color="auto"/>
              <w:right w:val="single" w:sz="2" w:space="0" w:color="auto"/>
            </w:tcBorders>
            <w:vAlign w:val="center"/>
          </w:tcPr>
          <w:p w14:paraId="5E4A7D0B"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6,647,241.53</w:t>
            </w:r>
          </w:p>
        </w:tc>
      </w:tr>
    </w:tbl>
    <w:p w14:paraId="640F7D5F"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购销商品、提供和接受劳务的关联交易说明</w:t>
      </w:r>
    </w:p>
    <w:p w14:paraId="41499BF9" w14:textId="77777777" w:rsidR="00A46BF1" w:rsidRPr="00F66B29" w:rsidRDefault="00A46BF1" w:rsidP="00F66B29">
      <w:pPr>
        <w:spacing w:before="100" w:after="100" w:line="240" w:lineRule="exact"/>
        <w:rPr>
          <w:rFonts w:ascii="宋体" w:eastAsia="宋体" w:hAnsi="宋体" w:cs="宋体"/>
          <w:sz w:val="18"/>
          <w:szCs w:val="18"/>
        </w:rPr>
      </w:pPr>
      <w:r w:rsidRPr="00F66B29">
        <w:rPr>
          <w:rFonts w:ascii="宋体" w:eastAsia="宋体" w:hAnsi="宋体" w:cs="宋体" w:hint="eastAsia"/>
          <w:sz w:val="18"/>
          <w:szCs w:val="18"/>
        </w:rPr>
        <w:t>无</w:t>
      </w:r>
    </w:p>
    <w:p w14:paraId="3FF17FF7"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关键管理人员报酬</w:t>
      </w:r>
    </w:p>
    <w:p w14:paraId="2EC6FEC6"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4130259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328B5D1"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BD3DC21"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本期发生额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9B0C996" w14:textId="77777777" w:rsidR="00A46BF1" w:rsidRPr="00F66B29" w:rsidRDefault="00A46BF1" w:rsidP="00F66B29">
            <w:pPr>
              <w:spacing w:before="40" w:after="40" w:line="360" w:lineRule="auto"/>
              <w:jc w:val="center"/>
              <w:rPr>
                <w:rFonts w:ascii="Times New Roman" w:eastAsia="宋体" w:hAnsi="Times New Roman" w:cs="Times New Roman"/>
                <w:sz w:val="18"/>
                <w:szCs w:val="18"/>
              </w:rPr>
            </w:pPr>
            <w:r w:rsidRPr="00F66B29">
              <w:rPr>
                <w:rFonts w:ascii="Times New Roman" w:eastAsia="宋体" w:hAnsi="Times New Roman" w:cs="Times New Roman"/>
                <w:sz w:val="18"/>
                <w:szCs w:val="18"/>
              </w:rPr>
              <w:t>上期发生额</w:t>
            </w:r>
          </w:p>
        </w:tc>
      </w:tr>
      <w:tr w:rsidR="00095F6F" w14:paraId="193D960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7BA86E69"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董事</w:t>
            </w:r>
          </w:p>
        </w:tc>
        <w:tc>
          <w:tcPr>
            <w:tcW w:w="3213" w:type="dxa"/>
            <w:tcBorders>
              <w:top w:val="single" w:sz="2" w:space="0" w:color="auto"/>
              <w:left w:val="single" w:sz="2" w:space="0" w:color="auto"/>
              <w:bottom w:val="single" w:sz="2" w:space="0" w:color="auto"/>
              <w:right w:val="single" w:sz="2" w:space="0" w:color="auto"/>
            </w:tcBorders>
            <w:vAlign w:val="center"/>
          </w:tcPr>
          <w:p w14:paraId="07A0B2CD"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151.07</w:t>
            </w:r>
          </w:p>
        </w:tc>
        <w:tc>
          <w:tcPr>
            <w:tcW w:w="3213" w:type="dxa"/>
            <w:tcBorders>
              <w:top w:val="single" w:sz="2" w:space="0" w:color="auto"/>
              <w:left w:val="single" w:sz="2" w:space="0" w:color="auto"/>
              <w:bottom w:val="single" w:sz="2" w:space="0" w:color="auto"/>
              <w:right w:val="single" w:sz="2" w:space="0" w:color="auto"/>
            </w:tcBorders>
            <w:vAlign w:val="center"/>
          </w:tcPr>
          <w:p w14:paraId="3AF8114E"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151.01</w:t>
            </w:r>
          </w:p>
        </w:tc>
      </w:tr>
      <w:tr w:rsidR="00095F6F" w14:paraId="10D217F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5118A72"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监事</w:t>
            </w:r>
          </w:p>
        </w:tc>
        <w:tc>
          <w:tcPr>
            <w:tcW w:w="3213" w:type="dxa"/>
            <w:tcBorders>
              <w:top w:val="single" w:sz="2" w:space="0" w:color="auto"/>
              <w:left w:val="single" w:sz="2" w:space="0" w:color="auto"/>
              <w:bottom w:val="single" w:sz="2" w:space="0" w:color="auto"/>
              <w:right w:val="single" w:sz="2" w:space="0" w:color="auto"/>
            </w:tcBorders>
            <w:vAlign w:val="center"/>
          </w:tcPr>
          <w:p w14:paraId="7CF914C5"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166.76</w:t>
            </w:r>
          </w:p>
        </w:tc>
        <w:tc>
          <w:tcPr>
            <w:tcW w:w="3213" w:type="dxa"/>
            <w:tcBorders>
              <w:top w:val="single" w:sz="2" w:space="0" w:color="auto"/>
              <w:left w:val="single" w:sz="2" w:space="0" w:color="auto"/>
              <w:bottom w:val="single" w:sz="2" w:space="0" w:color="auto"/>
              <w:right w:val="single" w:sz="2" w:space="0" w:color="auto"/>
            </w:tcBorders>
            <w:vAlign w:val="center"/>
          </w:tcPr>
          <w:p w14:paraId="7A9ED634"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160.89</w:t>
            </w:r>
          </w:p>
        </w:tc>
      </w:tr>
      <w:tr w:rsidR="00095F6F" w14:paraId="5186033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3C1DF359"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高级管理人员</w:t>
            </w:r>
          </w:p>
        </w:tc>
        <w:tc>
          <w:tcPr>
            <w:tcW w:w="3213" w:type="dxa"/>
            <w:tcBorders>
              <w:top w:val="single" w:sz="2" w:space="0" w:color="auto"/>
              <w:left w:val="single" w:sz="2" w:space="0" w:color="auto"/>
              <w:bottom w:val="single" w:sz="2" w:space="0" w:color="auto"/>
              <w:right w:val="single" w:sz="2" w:space="0" w:color="auto"/>
            </w:tcBorders>
            <w:vAlign w:val="center"/>
          </w:tcPr>
          <w:p w14:paraId="640D5FDE"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407.41</w:t>
            </w:r>
          </w:p>
        </w:tc>
        <w:tc>
          <w:tcPr>
            <w:tcW w:w="3213" w:type="dxa"/>
            <w:tcBorders>
              <w:top w:val="single" w:sz="2" w:space="0" w:color="auto"/>
              <w:left w:val="single" w:sz="2" w:space="0" w:color="auto"/>
              <w:bottom w:val="single" w:sz="2" w:space="0" w:color="auto"/>
              <w:right w:val="single" w:sz="2" w:space="0" w:color="auto"/>
            </w:tcBorders>
            <w:vAlign w:val="center"/>
          </w:tcPr>
          <w:p w14:paraId="7023ACE0"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413.33</w:t>
            </w:r>
          </w:p>
        </w:tc>
      </w:tr>
      <w:tr w:rsidR="00095F6F" w14:paraId="6B88697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719808D" w14:textId="77777777" w:rsidR="00A46BF1" w:rsidRPr="00F66B29" w:rsidRDefault="00A46BF1" w:rsidP="00F66B29">
            <w:pPr>
              <w:spacing w:line="360" w:lineRule="auto"/>
              <w:rPr>
                <w:rFonts w:ascii="Times New Roman" w:eastAsia="宋体" w:hAnsi="Times New Roman" w:cs="Times New Roman"/>
                <w:sz w:val="18"/>
                <w:szCs w:val="18"/>
              </w:rPr>
            </w:pPr>
            <w:r w:rsidRPr="00F66B29">
              <w:rPr>
                <w:rFonts w:ascii="Times New Roman" w:eastAsia="宋体" w:hAnsi="Times New Roman" w:cs="Times New Roman"/>
                <w:sz w:val="18"/>
                <w:szCs w:val="18"/>
              </w:rPr>
              <w:t>薪酬合计</w:t>
            </w:r>
          </w:p>
        </w:tc>
        <w:tc>
          <w:tcPr>
            <w:tcW w:w="3213" w:type="dxa"/>
            <w:tcBorders>
              <w:top w:val="single" w:sz="2" w:space="0" w:color="auto"/>
              <w:left w:val="single" w:sz="2" w:space="0" w:color="auto"/>
              <w:bottom w:val="single" w:sz="2" w:space="0" w:color="auto"/>
              <w:right w:val="single" w:sz="2" w:space="0" w:color="auto"/>
            </w:tcBorders>
            <w:vAlign w:val="center"/>
          </w:tcPr>
          <w:p w14:paraId="4865699A"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725.24</w:t>
            </w:r>
          </w:p>
        </w:tc>
        <w:tc>
          <w:tcPr>
            <w:tcW w:w="3213" w:type="dxa"/>
            <w:tcBorders>
              <w:top w:val="single" w:sz="2" w:space="0" w:color="auto"/>
              <w:left w:val="single" w:sz="2" w:space="0" w:color="auto"/>
              <w:bottom w:val="single" w:sz="2" w:space="0" w:color="auto"/>
              <w:right w:val="single" w:sz="2" w:space="0" w:color="auto"/>
            </w:tcBorders>
            <w:vAlign w:val="center"/>
          </w:tcPr>
          <w:p w14:paraId="7591249D" w14:textId="77777777" w:rsidR="00A46BF1" w:rsidRPr="00F66B29" w:rsidRDefault="00A46BF1" w:rsidP="00F66B29">
            <w:pPr>
              <w:spacing w:line="360" w:lineRule="auto"/>
              <w:jc w:val="right"/>
              <w:rPr>
                <w:rFonts w:ascii="Times New Roman" w:eastAsia="宋体" w:hAnsi="Times New Roman" w:cs="Times New Roman"/>
                <w:sz w:val="18"/>
                <w:szCs w:val="18"/>
              </w:rPr>
            </w:pPr>
            <w:r w:rsidRPr="00F66B29">
              <w:rPr>
                <w:rFonts w:ascii="Times New Roman" w:eastAsia="宋体" w:hAnsi="Times New Roman" w:cs="Times New Roman"/>
                <w:sz w:val="18"/>
                <w:szCs w:val="18"/>
              </w:rPr>
              <w:t>725.23</w:t>
            </w:r>
          </w:p>
        </w:tc>
      </w:tr>
    </w:tbl>
    <w:p w14:paraId="360823AB"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其他关联交易</w:t>
      </w:r>
    </w:p>
    <w:tbl>
      <w:tblPr>
        <w:tblW w:w="4950" w:type="pct"/>
        <w:jc w:val="center"/>
        <w:tblCellMar>
          <w:left w:w="0" w:type="dxa"/>
          <w:right w:w="0" w:type="dxa"/>
        </w:tblCellMar>
        <w:tblLook w:val="04A0" w:firstRow="1" w:lastRow="0" w:firstColumn="1" w:lastColumn="0" w:noHBand="0" w:noVBand="1"/>
      </w:tblPr>
      <w:tblGrid>
        <w:gridCol w:w="4191"/>
        <w:gridCol w:w="1879"/>
        <w:gridCol w:w="1814"/>
        <w:gridCol w:w="1870"/>
      </w:tblGrid>
      <w:tr w:rsidR="00A46BF1" w14:paraId="0FFBEC7D" w14:textId="77777777" w:rsidTr="00A46BF1">
        <w:trPr>
          <w:trHeight w:val="397"/>
          <w:tblHeader/>
          <w:jc w:val="center"/>
        </w:trPr>
        <w:tc>
          <w:tcPr>
            <w:tcW w:w="36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4D31C8" w14:textId="77777777" w:rsidR="00A46BF1" w:rsidRPr="00F66B29" w:rsidRDefault="00A46BF1" w:rsidP="00550AE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关联方名称</w:t>
            </w:r>
          </w:p>
        </w:tc>
        <w:tc>
          <w:tcPr>
            <w:tcW w:w="16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7BBD9E"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关联交易内容</w:t>
            </w:r>
          </w:p>
        </w:tc>
        <w:tc>
          <w:tcPr>
            <w:tcW w:w="15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2628E5"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本年发生额</w:t>
            </w:r>
          </w:p>
        </w:tc>
        <w:tc>
          <w:tcPr>
            <w:tcW w:w="16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FBB281"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Style w:val="aa"/>
                <w:rFonts w:ascii="Times New Roman" w:hAnsi="Times New Roman" w:cs="Times New Roman"/>
                <w:sz w:val="18"/>
                <w:szCs w:val="18"/>
              </w:rPr>
              <w:t>上年发生额</w:t>
            </w:r>
          </w:p>
        </w:tc>
      </w:tr>
      <w:tr w:rsidR="00A46BF1" w14:paraId="4474C2F2" w14:textId="77777777" w:rsidTr="00A46BF1">
        <w:trPr>
          <w:trHeight w:val="397"/>
          <w:jc w:val="center"/>
        </w:trPr>
        <w:tc>
          <w:tcPr>
            <w:tcW w:w="36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AC20EB" w14:textId="77777777"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r w:rsidRPr="00F66B29">
              <w:rPr>
                <w:rFonts w:ascii="Times New Roman" w:hAnsi="Times New Roman" w:cs="Times New Roman"/>
                <w:sz w:val="18"/>
                <w:szCs w:val="18"/>
              </w:rPr>
              <w:t>湖南省三诺糖尿病公益基金会</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7C956" w14:textId="77777777" w:rsidR="00A46BF1" w:rsidRPr="00F66B29" w:rsidRDefault="00A46BF1" w:rsidP="00F66B29">
            <w:pPr>
              <w:pStyle w:val="a9"/>
              <w:spacing w:before="0" w:beforeAutospacing="0" w:after="0" w:afterAutospacing="0" w:line="360" w:lineRule="auto"/>
              <w:jc w:val="center"/>
              <w:rPr>
                <w:rFonts w:ascii="Times New Roman" w:hAnsi="Times New Roman" w:cs="Times New Roman"/>
                <w:sz w:val="18"/>
                <w:szCs w:val="18"/>
              </w:rPr>
            </w:pPr>
            <w:r w:rsidRPr="00F66B29">
              <w:rPr>
                <w:rFonts w:ascii="Times New Roman" w:hAnsi="Times New Roman" w:cs="Times New Roman"/>
                <w:sz w:val="18"/>
                <w:szCs w:val="18"/>
              </w:rPr>
              <w:t>捐赠</w:t>
            </w:r>
          </w:p>
        </w:tc>
        <w:tc>
          <w:tcPr>
            <w:tcW w:w="15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3CCA5"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Fonts w:ascii="Times New Roman" w:hAnsi="Times New Roman" w:cs="Times New Roman"/>
                <w:sz w:val="18"/>
                <w:szCs w:val="18"/>
              </w:rPr>
              <w:t>810,480.65</w:t>
            </w:r>
          </w:p>
        </w:tc>
        <w:tc>
          <w:tcPr>
            <w:tcW w:w="1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7EBF11" w14:textId="322562A9"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p>
        </w:tc>
      </w:tr>
      <w:tr w:rsidR="00A46BF1" w14:paraId="3D78B228" w14:textId="77777777" w:rsidTr="00A46BF1">
        <w:trPr>
          <w:trHeight w:val="397"/>
          <w:jc w:val="center"/>
        </w:trPr>
        <w:tc>
          <w:tcPr>
            <w:tcW w:w="36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679A9A" w14:textId="77777777"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r w:rsidRPr="00F66B29">
              <w:rPr>
                <w:rStyle w:val="aa"/>
                <w:rFonts w:ascii="Times New Roman" w:hAnsi="Times New Roman" w:cs="Times New Roman"/>
                <w:sz w:val="18"/>
                <w:szCs w:val="18"/>
              </w:rPr>
              <w:t>合计</w:t>
            </w:r>
          </w:p>
        </w:tc>
        <w:tc>
          <w:tcPr>
            <w:tcW w:w="16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A2D3DE" w14:textId="75701824" w:rsidR="00A46BF1" w:rsidRPr="00F66B29" w:rsidRDefault="00A46BF1" w:rsidP="00F66B29">
            <w:pPr>
              <w:pStyle w:val="a9"/>
              <w:spacing w:before="0" w:beforeAutospacing="0" w:after="0" w:afterAutospacing="0" w:line="360" w:lineRule="auto"/>
              <w:jc w:val="both"/>
              <w:rPr>
                <w:rFonts w:ascii="Times New Roman" w:hAnsi="Times New Roman" w:cs="Times New Roman"/>
                <w:sz w:val="18"/>
                <w:szCs w:val="18"/>
              </w:rPr>
            </w:pPr>
          </w:p>
        </w:tc>
        <w:tc>
          <w:tcPr>
            <w:tcW w:w="15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A6E841" w14:textId="77777777"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r w:rsidRPr="00F66B29">
              <w:rPr>
                <w:rStyle w:val="aa"/>
                <w:rFonts w:ascii="Times New Roman" w:hAnsi="Times New Roman" w:cs="Times New Roman"/>
                <w:sz w:val="18"/>
                <w:szCs w:val="18"/>
              </w:rPr>
              <w:t>810,480.65</w:t>
            </w:r>
          </w:p>
        </w:tc>
        <w:tc>
          <w:tcPr>
            <w:tcW w:w="1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28E226" w14:textId="71687590" w:rsidR="00A46BF1" w:rsidRPr="00F66B29" w:rsidRDefault="00A46BF1" w:rsidP="00F66B29">
            <w:pPr>
              <w:pStyle w:val="a9"/>
              <w:spacing w:before="0" w:beforeAutospacing="0" w:after="0" w:afterAutospacing="0" w:line="360" w:lineRule="auto"/>
              <w:jc w:val="right"/>
              <w:rPr>
                <w:rFonts w:ascii="Times New Roman" w:hAnsi="Times New Roman" w:cs="Times New Roman"/>
                <w:sz w:val="18"/>
                <w:szCs w:val="18"/>
              </w:rPr>
            </w:pPr>
          </w:p>
        </w:tc>
      </w:tr>
    </w:tbl>
    <w:p w14:paraId="5A578704" w14:textId="77777777" w:rsidR="00A46BF1" w:rsidRDefault="00A46BF1" w:rsidP="00A46BF1"/>
    <w:p w14:paraId="6AE3802A" w14:textId="77777777" w:rsidR="00A46BF1" w:rsidRDefault="00A46BF1" w:rsidP="00A46BF1">
      <w:pPr>
        <w:pStyle w:val="3"/>
        <w:spacing w:line="280" w:lineRule="exact"/>
        <w:jc w:val="left"/>
        <w:rPr>
          <w:rFonts w:ascii="宋体" w:hAnsi="宋体" w:cs="宋体"/>
          <w:b/>
          <w:bCs/>
        </w:rPr>
      </w:pPr>
      <w:r>
        <w:rPr>
          <w:rFonts w:ascii="宋体" w:hAnsi="宋体" w:cs="宋体"/>
          <w:b/>
          <w:bCs/>
        </w:rPr>
        <w:t>6、关联方应收应付款项</w:t>
      </w:r>
    </w:p>
    <w:p w14:paraId="34B8B1B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应付项目</w:t>
      </w:r>
    </w:p>
    <w:p w14:paraId="2C856C1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0A61F77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5910002"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项目名称</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6BA090A"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关联方</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9F9CD4D"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期末账面余额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F45E8CC"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期初账面余额</w:t>
            </w:r>
          </w:p>
        </w:tc>
      </w:tr>
      <w:tr w:rsidR="00095F6F" w14:paraId="23279CD0"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2E6AAB1"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合同负债</w:t>
            </w:r>
          </w:p>
        </w:tc>
        <w:tc>
          <w:tcPr>
            <w:tcW w:w="2410" w:type="dxa"/>
            <w:tcBorders>
              <w:top w:val="single" w:sz="2" w:space="0" w:color="auto"/>
              <w:left w:val="single" w:sz="2" w:space="0" w:color="auto"/>
              <w:bottom w:val="single" w:sz="2" w:space="0" w:color="auto"/>
              <w:right w:val="single" w:sz="2" w:space="0" w:color="auto"/>
            </w:tcBorders>
            <w:vAlign w:val="center"/>
          </w:tcPr>
          <w:p w14:paraId="162F2C1C"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北京糖护科技有限公司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2ABBDF8D"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81,205.31</w:t>
            </w:r>
          </w:p>
        </w:tc>
        <w:tc>
          <w:tcPr>
            <w:tcW w:w="2410" w:type="dxa"/>
            <w:tcBorders>
              <w:top w:val="single" w:sz="2" w:space="0" w:color="auto"/>
              <w:left w:val="single" w:sz="2" w:space="0" w:color="auto"/>
              <w:bottom w:val="single" w:sz="2" w:space="0" w:color="auto"/>
              <w:right w:val="single" w:sz="2" w:space="0" w:color="auto"/>
            </w:tcBorders>
            <w:vAlign w:val="center"/>
          </w:tcPr>
          <w:p w14:paraId="047BF29A"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73,604.08</w:t>
            </w:r>
          </w:p>
        </w:tc>
      </w:tr>
      <w:tr w:rsidR="00095F6F" w14:paraId="3D8B203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B9B8E2A"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其他流动负债</w:t>
            </w:r>
          </w:p>
        </w:tc>
        <w:tc>
          <w:tcPr>
            <w:tcW w:w="2410" w:type="dxa"/>
            <w:tcBorders>
              <w:top w:val="single" w:sz="2" w:space="0" w:color="auto"/>
              <w:left w:val="single" w:sz="2" w:space="0" w:color="auto"/>
              <w:bottom w:val="single" w:sz="2" w:space="0" w:color="auto"/>
              <w:right w:val="single" w:sz="2" w:space="0" w:color="auto"/>
            </w:tcBorders>
            <w:vAlign w:val="center"/>
          </w:tcPr>
          <w:p w14:paraId="79A9C2E3"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北京糖护科技有限公司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00A6724F"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10,556.69</w:t>
            </w:r>
          </w:p>
        </w:tc>
        <w:tc>
          <w:tcPr>
            <w:tcW w:w="2410" w:type="dxa"/>
            <w:tcBorders>
              <w:top w:val="single" w:sz="2" w:space="0" w:color="auto"/>
              <w:left w:val="single" w:sz="2" w:space="0" w:color="auto"/>
              <w:bottom w:val="single" w:sz="2" w:space="0" w:color="auto"/>
              <w:right w:val="single" w:sz="2" w:space="0" w:color="auto"/>
            </w:tcBorders>
            <w:vAlign w:val="center"/>
          </w:tcPr>
          <w:p w14:paraId="0C7BED49"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9,568.54</w:t>
            </w:r>
          </w:p>
        </w:tc>
      </w:tr>
      <w:tr w:rsidR="00095F6F" w14:paraId="5F854E39"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3B17AC5"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其他应付款</w:t>
            </w:r>
          </w:p>
        </w:tc>
        <w:tc>
          <w:tcPr>
            <w:tcW w:w="2410" w:type="dxa"/>
            <w:tcBorders>
              <w:top w:val="single" w:sz="2" w:space="0" w:color="auto"/>
              <w:left w:val="single" w:sz="2" w:space="0" w:color="auto"/>
              <w:bottom w:val="single" w:sz="2" w:space="0" w:color="auto"/>
              <w:right w:val="single" w:sz="2" w:space="0" w:color="auto"/>
            </w:tcBorders>
            <w:vAlign w:val="center"/>
          </w:tcPr>
          <w:p w14:paraId="1ABF91FA"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北京糖护科技有限公司</w:t>
            </w:r>
          </w:p>
        </w:tc>
        <w:tc>
          <w:tcPr>
            <w:tcW w:w="2410" w:type="dxa"/>
            <w:tcBorders>
              <w:top w:val="single" w:sz="2" w:space="0" w:color="auto"/>
              <w:left w:val="single" w:sz="2" w:space="0" w:color="auto"/>
              <w:bottom w:val="single" w:sz="2" w:space="0" w:color="auto"/>
              <w:right w:val="single" w:sz="2" w:space="0" w:color="auto"/>
            </w:tcBorders>
            <w:vAlign w:val="center"/>
          </w:tcPr>
          <w:p w14:paraId="424FDAB5"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100,000.00</w:t>
            </w:r>
          </w:p>
        </w:tc>
        <w:tc>
          <w:tcPr>
            <w:tcW w:w="2410" w:type="dxa"/>
            <w:tcBorders>
              <w:top w:val="single" w:sz="2" w:space="0" w:color="auto"/>
              <w:left w:val="single" w:sz="2" w:space="0" w:color="auto"/>
              <w:bottom w:val="single" w:sz="2" w:space="0" w:color="auto"/>
              <w:right w:val="single" w:sz="2" w:space="0" w:color="auto"/>
            </w:tcBorders>
            <w:vAlign w:val="center"/>
          </w:tcPr>
          <w:p w14:paraId="0C861A66"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200,000.00</w:t>
            </w:r>
          </w:p>
        </w:tc>
      </w:tr>
    </w:tbl>
    <w:p w14:paraId="5BA2A160"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十五、股份支付</w:t>
      </w:r>
    </w:p>
    <w:p w14:paraId="0915BA18" w14:textId="77777777" w:rsidR="00A46BF1" w:rsidRDefault="00A46BF1" w:rsidP="00A46BF1">
      <w:pPr>
        <w:pStyle w:val="3"/>
        <w:spacing w:line="280" w:lineRule="exact"/>
        <w:jc w:val="left"/>
        <w:rPr>
          <w:rFonts w:ascii="宋体" w:hAnsi="宋体" w:cs="宋体"/>
          <w:b/>
          <w:bCs/>
        </w:rPr>
      </w:pPr>
      <w:r>
        <w:rPr>
          <w:rFonts w:ascii="宋体" w:hAnsi="宋体" w:cs="宋体"/>
          <w:b/>
          <w:bCs/>
        </w:rPr>
        <w:t>1、股份支付总体情况</w:t>
      </w:r>
    </w:p>
    <w:p w14:paraId="2190D282"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BE88A03"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85"/>
        <w:gridCol w:w="1134"/>
        <w:gridCol w:w="992"/>
        <w:gridCol w:w="992"/>
        <w:gridCol w:w="851"/>
        <w:gridCol w:w="992"/>
        <w:gridCol w:w="1276"/>
        <w:gridCol w:w="709"/>
        <w:gridCol w:w="708"/>
      </w:tblGrid>
      <w:tr w:rsidR="00095F6F" w14:paraId="3DC83E75" w14:textId="77777777" w:rsidTr="002A5345">
        <w:trPr>
          <w:trHeight w:val="240"/>
        </w:trPr>
        <w:tc>
          <w:tcPr>
            <w:tcW w:w="198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3036530"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授予对象类别</w:t>
            </w:r>
          </w:p>
        </w:tc>
        <w:tc>
          <w:tcPr>
            <w:tcW w:w="212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244DC2F2"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本期授予</w:t>
            </w:r>
          </w:p>
        </w:tc>
        <w:tc>
          <w:tcPr>
            <w:tcW w:w="184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3C95F4"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本期行权</w:t>
            </w:r>
          </w:p>
        </w:tc>
        <w:tc>
          <w:tcPr>
            <w:tcW w:w="2268"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D519BE3"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本期解锁</w:t>
            </w:r>
          </w:p>
        </w:tc>
        <w:tc>
          <w:tcPr>
            <w:tcW w:w="1417"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ED64308"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本期失效</w:t>
            </w:r>
          </w:p>
        </w:tc>
      </w:tr>
      <w:tr w:rsidR="00095F6F" w14:paraId="13ADF2A0" w14:textId="77777777" w:rsidTr="002A5345">
        <w:trPr>
          <w:trHeight w:val="240"/>
        </w:trPr>
        <w:tc>
          <w:tcPr>
            <w:tcW w:w="198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A69895B" w14:textId="77777777" w:rsidR="00A46BF1" w:rsidRPr="002A5345" w:rsidRDefault="00A46BF1" w:rsidP="002A5345">
            <w:pPr>
              <w:spacing w:line="360" w:lineRule="auto"/>
              <w:rPr>
                <w:rFonts w:ascii="Times New Roman" w:hAnsi="Times New Roman" w:cs="Times New Roman"/>
              </w:rPr>
            </w:pP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DC732AF"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数量</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5DF0607A"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69B220BA"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数量</w:t>
            </w:r>
          </w:p>
        </w:tc>
        <w:tc>
          <w:tcPr>
            <w:tcW w:w="851" w:type="dxa"/>
            <w:tcBorders>
              <w:top w:val="single" w:sz="2" w:space="0" w:color="auto"/>
              <w:left w:val="single" w:sz="2" w:space="0" w:color="auto"/>
              <w:bottom w:val="single" w:sz="2" w:space="0" w:color="auto"/>
              <w:right w:val="single" w:sz="2" w:space="0" w:color="auto"/>
            </w:tcBorders>
            <w:shd w:val="clear" w:color="auto" w:fill="D3D3D3"/>
            <w:vAlign w:val="center"/>
          </w:tcPr>
          <w:p w14:paraId="719E7BCC"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金额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68004774"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数量</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6DC22134"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金额</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4B80AF97"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数量</w:t>
            </w:r>
          </w:p>
        </w:tc>
        <w:tc>
          <w:tcPr>
            <w:tcW w:w="708" w:type="dxa"/>
            <w:tcBorders>
              <w:top w:val="single" w:sz="2" w:space="0" w:color="auto"/>
              <w:left w:val="single" w:sz="2" w:space="0" w:color="auto"/>
              <w:bottom w:val="single" w:sz="2" w:space="0" w:color="auto"/>
              <w:right w:val="single" w:sz="2" w:space="0" w:color="auto"/>
            </w:tcBorders>
            <w:shd w:val="clear" w:color="auto" w:fill="D3D3D3"/>
            <w:vAlign w:val="center"/>
          </w:tcPr>
          <w:p w14:paraId="22DD1CAF"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金额</w:t>
            </w:r>
          </w:p>
        </w:tc>
      </w:tr>
      <w:tr w:rsidR="00095F6F" w14:paraId="559E4969" w14:textId="77777777" w:rsidTr="002A5345">
        <w:trPr>
          <w:trHeight w:val="240"/>
        </w:trPr>
        <w:tc>
          <w:tcPr>
            <w:tcW w:w="1985" w:type="dxa"/>
            <w:tcBorders>
              <w:top w:val="single" w:sz="2" w:space="0" w:color="auto"/>
              <w:left w:val="single" w:sz="2" w:space="0" w:color="auto"/>
              <w:bottom w:val="single" w:sz="2" w:space="0" w:color="auto"/>
              <w:right w:val="single" w:sz="2" w:space="0" w:color="auto"/>
            </w:tcBorders>
            <w:vAlign w:val="center"/>
          </w:tcPr>
          <w:p w14:paraId="415171C4"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销售人员</w:t>
            </w:r>
          </w:p>
        </w:tc>
        <w:tc>
          <w:tcPr>
            <w:tcW w:w="1134" w:type="dxa"/>
            <w:tcBorders>
              <w:top w:val="single" w:sz="2" w:space="0" w:color="auto"/>
              <w:left w:val="single" w:sz="2" w:space="0" w:color="auto"/>
              <w:bottom w:val="single" w:sz="2" w:space="0" w:color="auto"/>
              <w:right w:val="single" w:sz="2" w:space="0" w:color="auto"/>
            </w:tcBorders>
            <w:vAlign w:val="center"/>
          </w:tcPr>
          <w:p w14:paraId="6C8638A1"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4375CD0"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AF0A029"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4C3CFD77"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AD49D63"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211,848</w:t>
            </w:r>
          </w:p>
        </w:tc>
        <w:tc>
          <w:tcPr>
            <w:tcW w:w="1276" w:type="dxa"/>
            <w:tcBorders>
              <w:top w:val="single" w:sz="2" w:space="0" w:color="auto"/>
              <w:left w:val="single" w:sz="2" w:space="0" w:color="auto"/>
              <w:bottom w:val="single" w:sz="2" w:space="0" w:color="auto"/>
              <w:right w:val="single" w:sz="2" w:space="0" w:color="auto"/>
            </w:tcBorders>
            <w:vAlign w:val="center"/>
          </w:tcPr>
          <w:p w14:paraId="29A6D308"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3,919,188.00</w:t>
            </w:r>
          </w:p>
        </w:tc>
        <w:tc>
          <w:tcPr>
            <w:tcW w:w="709" w:type="dxa"/>
            <w:tcBorders>
              <w:top w:val="single" w:sz="2" w:space="0" w:color="auto"/>
              <w:left w:val="single" w:sz="2" w:space="0" w:color="auto"/>
              <w:bottom w:val="single" w:sz="2" w:space="0" w:color="auto"/>
              <w:right w:val="single" w:sz="2" w:space="0" w:color="auto"/>
            </w:tcBorders>
            <w:vAlign w:val="center"/>
          </w:tcPr>
          <w:p w14:paraId="7FFA9B3D"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4C228259" w14:textId="77777777" w:rsidR="00A46BF1" w:rsidRPr="002A5345" w:rsidRDefault="00A46BF1" w:rsidP="002A5345">
            <w:pPr>
              <w:spacing w:line="360" w:lineRule="auto"/>
              <w:jc w:val="right"/>
              <w:rPr>
                <w:rFonts w:ascii="Times New Roman" w:eastAsia="宋体" w:hAnsi="Times New Roman" w:cs="Times New Roman"/>
                <w:sz w:val="18"/>
                <w:szCs w:val="18"/>
              </w:rPr>
            </w:pPr>
          </w:p>
        </w:tc>
      </w:tr>
      <w:tr w:rsidR="00095F6F" w14:paraId="408E33D2" w14:textId="77777777" w:rsidTr="002A5345">
        <w:trPr>
          <w:trHeight w:val="240"/>
        </w:trPr>
        <w:tc>
          <w:tcPr>
            <w:tcW w:w="1985" w:type="dxa"/>
            <w:tcBorders>
              <w:top w:val="single" w:sz="2" w:space="0" w:color="auto"/>
              <w:left w:val="single" w:sz="2" w:space="0" w:color="auto"/>
              <w:bottom w:val="single" w:sz="2" w:space="0" w:color="auto"/>
              <w:right w:val="single" w:sz="2" w:space="0" w:color="auto"/>
            </w:tcBorders>
            <w:vAlign w:val="center"/>
          </w:tcPr>
          <w:p w14:paraId="167563E6"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管理人员</w:t>
            </w:r>
          </w:p>
        </w:tc>
        <w:tc>
          <w:tcPr>
            <w:tcW w:w="1134" w:type="dxa"/>
            <w:tcBorders>
              <w:top w:val="single" w:sz="2" w:space="0" w:color="auto"/>
              <w:left w:val="single" w:sz="2" w:space="0" w:color="auto"/>
              <w:bottom w:val="single" w:sz="2" w:space="0" w:color="auto"/>
              <w:right w:val="single" w:sz="2" w:space="0" w:color="auto"/>
            </w:tcBorders>
            <w:vAlign w:val="center"/>
          </w:tcPr>
          <w:p w14:paraId="308636DD"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7F37AA1"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2B42AC2"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14D93E21"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D312FCF"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269,447</w:t>
            </w:r>
          </w:p>
        </w:tc>
        <w:tc>
          <w:tcPr>
            <w:tcW w:w="1276" w:type="dxa"/>
            <w:tcBorders>
              <w:top w:val="single" w:sz="2" w:space="0" w:color="auto"/>
              <w:left w:val="single" w:sz="2" w:space="0" w:color="auto"/>
              <w:bottom w:val="single" w:sz="2" w:space="0" w:color="auto"/>
              <w:right w:val="single" w:sz="2" w:space="0" w:color="auto"/>
            </w:tcBorders>
            <w:vAlign w:val="center"/>
          </w:tcPr>
          <w:p w14:paraId="1303FE68"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4,766,586.16</w:t>
            </w:r>
          </w:p>
        </w:tc>
        <w:tc>
          <w:tcPr>
            <w:tcW w:w="709" w:type="dxa"/>
            <w:tcBorders>
              <w:top w:val="single" w:sz="2" w:space="0" w:color="auto"/>
              <w:left w:val="single" w:sz="2" w:space="0" w:color="auto"/>
              <w:bottom w:val="single" w:sz="2" w:space="0" w:color="auto"/>
              <w:right w:val="single" w:sz="2" w:space="0" w:color="auto"/>
            </w:tcBorders>
            <w:vAlign w:val="center"/>
          </w:tcPr>
          <w:p w14:paraId="1B4385F8"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087738B0" w14:textId="77777777" w:rsidR="00A46BF1" w:rsidRPr="002A5345" w:rsidRDefault="00A46BF1" w:rsidP="002A5345">
            <w:pPr>
              <w:spacing w:line="360" w:lineRule="auto"/>
              <w:jc w:val="right"/>
              <w:rPr>
                <w:rFonts w:ascii="Times New Roman" w:eastAsia="宋体" w:hAnsi="Times New Roman" w:cs="Times New Roman"/>
                <w:sz w:val="18"/>
                <w:szCs w:val="18"/>
              </w:rPr>
            </w:pPr>
          </w:p>
        </w:tc>
      </w:tr>
      <w:tr w:rsidR="00095F6F" w14:paraId="45ECA0F0" w14:textId="77777777" w:rsidTr="002A5345">
        <w:trPr>
          <w:trHeight w:val="240"/>
        </w:trPr>
        <w:tc>
          <w:tcPr>
            <w:tcW w:w="1985" w:type="dxa"/>
            <w:tcBorders>
              <w:top w:val="single" w:sz="2" w:space="0" w:color="auto"/>
              <w:left w:val="single" w:sz="2" w:space="0" w:color="auto"/>
              <w:bottom w:val="single" w:sz="2" w:space="0" w:color="auto"/>
              <w:right w:val="single" w:sz="2" w:space="0" w:color="auto"/>
            </w:tcBorders>
            <w:vAlign w:val="center"/>
          </w:tcPr>
          <w:p w14:paraId="38D9BEBF"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研发人员</w:t>
            </w:r>
          </w:p>
        </w:tc>
        <w:tc>
          <w:tcPr>
            <w:tcW w:w="1134" w:type="dxa"/>
            <w:tcBorders>
              <w:top w:val="single" w:sz="2" w:space="0" w:color="auto"/>
              <w:left w:val="single" w:sz="2" w:space="0" w:color="auto"/>
              <w:bottom w:val="single" w:sz="2" w:space="0" w:color="auto"/>
              <w:right w:val="single" w:sz="2" w:space="0" w:color="auto"/>
            </w:tcBorders>
            <w:vAlign w:val="center"/>
          </w:tcPr>
          <w:p w14:paraId="14777FD4"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76FA4B5"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210E928A"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4718895B"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135A3E01"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462,915</w:t>
            </w:r>
          </w:p>
        </w:tc>
        <w:tc>
          <w:tcPr>
            <w:tcW w:w="1276" w:type="dxa"/>
            <w:tcBorders>
              <w:top w:val="single" w:sz="2" w:space="0" w:color="auto"/>
              <w:left w:val="single" w:sz="2" w:space="0" w:color="auto"/>
              <w:bottom w:val="single" w:sz="2" w:space="0" w:color="auto"/>
              <w:right w:val="single" w:sz="2" w:space="0" w:color="auto"/>
            </w:tcBorders>
            <w:vAlign w:val="center"/>
          </w:tcPr>
          <w:p w14:paraId="08096CF5"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2,069,610.84</w:t>
            </w:r>
          </w:p>
        </w:tc>
        <w:tc>
          <w:tcPr>
            <w:tcW w:w="709" w:type="dxa"/>
            <w:tcBorders>
              <w:top w:val="single" w:sz="2" w:space="0" w:color="auto"/>
              <w:left w:val="single" w:sz="2" w:space="0" w:color="auto"/>
              <w:bottom w:val="single" w:sz="2" w:space="0" w:color="auto"/>
              <w:right w:val="single" w:sz="2" w:space="0" w:color="auto"/>
            </w:tcBorders>
            <w:vAlign w:val="center"/>
          </w:tcPr>
          <w:p w14:paraId="6CA59625"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277DEA8D" w14:textId="77777777" w:rsidR="00A46BF1" w:rsidRPr="002A5345" w:rsidRDefault="00A46BF1" w:rsidP="002A5345">
            <w:pPr>
              <w:spacing w:line="360" w:lineRule="auto"/>
              <w:jc w:val="right"/>
              <w:rPr>
                <w:rFonts w:ascii="Times New Roman" w:eastAsia="宋体" w:hAnsi="Times New Roman" w:cs="Times New Roman"/>
                <w:sz w:val="18"/>
                <w:szCs w:val="18"/>
              </w:rPr>
            </w:pPr>
          </w:p>
        </w:tc>
      </w:tr>
      <w:tr w:rsidR="00095F6F" w14:paraId="32F03445" w14:textId="77777777" w:rsidTr="002A5345">
        <w:trPr>
          <w:trHeight w:val="240"/>
        </w:trPr>
        <w:tc>
          <w:tcPr>
            <w:tcW w:w="1985" w:type="dxa"/>
            <w:tcBorders>
              <w:top w:val="single" w:sz="2" w:space="0" w:color="auto"/>
              <w:left w:val="single" w:sz="2" w:space="0" w:color="auto"/>
              <w:bottom w:val="single" w:sz="2" w:space="0" w:color="auto"/>
              <w:right w:val="single" w:sz="2" w:space="0" w:color="auto"/>
            </w:tcBorders>
            <w:vAlign w:val="center"/>
          </w:tcPr>
          <w:p w14:paraId="0BDE47CE" w14:textId="77777777" w:rsidR="00A46BF1" w:rsidRPr="002A5345" w:rsidRDefault="00A46BF1" w:rsidP="002A5345">
            <w:pPr>
              <w:spacing w:line="360" w:lineRule="auto"/>
              <w:rPr>
                <w:rFonts w:ascii="Times New Roman" w:eastAsia="宋体" w:hAnsi="Times New Roman" w:cs="Times New Roman"/>
                <w:sz w:val="18"/>
                <w:szCs w:val="18"/>
              </w:rPr>
            </w:pPr>
            <w:r w:rsidRPr="002A5345">
              <w:rPr>
                <w:rFonts w:ascii="Times New Roman" w:eastAsia="宋体" w:hAnsi="Times New Roman" w:cs="Times New Roman"/>
                <w:sz w:val="18"/>
                <w:szCs w:val="18"/>
              </w:rPr>
              <w:t>生产管理人员</w:t>
            </w:r>
          </w:p>
        </w:tc>
        <w:tc>
          <w:tcPr>
            <w:tcW w:w="1134" w:type="dxa"/>
            <w:tcBorders>
              <w:top w:val="single" w:sz="2" w:space="0" w:color="auto"/>
              <w:left w:val="single" w:sz="2" w:space="0" w:color="auto"/>
              <w:bottom w:val="single" w:sz="2" w:space="0" w:color="auto"/>
              <w:right w:val="single" w:sz="2" w:space="0" w:color="auto"/>
            </w:tcBorders>
            <w:vAlign w:val="center"/>
          </w:tcPr>
          <w:p w14:paraId="69754FAC"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547E6F45"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117F9897"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670D8942"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0D578FDB"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20,952</w:t>
            </w:r>
          </w:p>
        </w:tc>
        <w:tc>
          <w:tcPr>
            <w:tcW w:w="1276" w:type="dxa"/>
            <w:tcBorders>
              <w:top w:val="single" w:sz="2" w:space="0" w:color="auto"/>
              <w:left w:val="single" w:sz="2" w:space="0" w:color="auto"/>
              <w:bottom w:val="single" w:sz="2" w:space="0" w:color="auto"/>
              <w:right w:val="single" w:sz="2" w:space="0" w:color="auto"/>
            </w:tcBorders>
            <w:vAlign w:val="center"/>
          </w:tcPr>
          <w:p w14:paraId="73368718"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387,612.00</w:t>
            </w:r>
          </w:p>
        </w:tc>
        <w:tc>
          <w:tcPr>
            <w:tcW w:w="709" w:type="dxa"/>
            <w:tcBorders>
              <w:top w:val="single" w:sz="2" w:space="0" w:color="auto"/>
              <w:left w:val="single" w:sz="2" w:space="0" w:color="auto"/>
              <w:bottom w:val="single" w:sz="2" w:space="0" w:color="auto"/>
              <w:right w:val="single" w:sz="2" w:space="0" w:color="auto"/>
            </w:tcBorders>
            <w:vAlign w:val="center"/>
          </w:tcPr>
          <w:p w14:paraId="0DE988F3"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5337950A" w14:textId="77777777" w:rsidR="00A46BF1" w:rsidRPr="002A5345" w:rsidRDefault="00A46BF1" w:rsidP="002A5345">
            <w:pPr>
              <w:spacing w:line="360" w:lineRule="auto"/>
              <w:jc w:val="right"/>
              <w:rPr>
                <w:rFonts w:ascii="Times New Roman" w:eastAsia="宋体" w:hAnsi="Times New Roman" w:cs="Times New Roman"/>
                <w:sz w:val="18"/>
                <w:szCs w:val="18"/>
              </w:rPr>
            </w:pPr>
          </w:p>
        </w:tc>
      </w:tr>
      <w:tr w:rsidR="00095F6F" w14:paraId="01E47A8C" w14:textId="77777777" w:rsidTr="002A5345">
        <w:trPr>
          <w:trHeight w:val="240"/>
        </w:trPr>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1A47701B" w14:textId="77777777" w:rsidR="00A46BF1" w:rsidRPr="002A5345" w:rsidRDefault="00A46BF1" w:rsidP="002A5345">
            <w:pPr>
              <w:spacing w:before="40" w:after="40" w:line="360" w:lineRule="auto"/>
              <w:jc w:val="center"/>
              <w:rPr>
                <w:rFonts w:ascii="Times New Roman" w:eastAsia="宋体" w:hAnsi="Times New Roman" w:cs="Times New Roman"/>
                <w:sz w:val="18"/>
                <w:szCs w:val="18"/>
              </w:rPr>
            </w:pPr>
            <w:r w:rsidRPr="002A5345">
              <w:rPr>
                <w:rFonts w:ascii="Times New Roman" w:eastAsia="宋体" w:hAnsi="Times New Roman" w:cs="Times New Roman"/>
                <w:sz w:val="18"/>
                <w:szCs w:val="18"/>
              </w:rPr>
              <w:t>合计</w:t>
            </w:r>
          </w:p>
        </w:tc>
        <w:tc>
          <w:tcPr>
            <w:tcW w:w="1134" w:type="dxa"/>
            <w:tcBorders>
              <w:top w:val="single" w:sz="2" w:space="0" w:color="auto"/>
              <w:left w:val="single" w:sz="2" w:space="0" w:color="auto"/>
              <w:bottom w:val="single" w:sz="2" w:space="0" w:color="auto"/>
              <w:right w:val="single" w:sz="2" w:space="0" w:color="auto"/>
            </w:tcBorders>
            <w:vAlign w:val="center"/>
          </w:tcPr>
          <w:p w14:paraId="41A489BC"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044C78A"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49A7D598"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851" w:type="dxa"/>
            <w:tcBorders>
              <w:top w:val="single" w:sz="2" w:space="0" w:color="auto"/>
              <w:left w:val="single" w:sz="2" w:space="0" w:color="auto"/>
              <w:bottom w:val="single" w:sz="2" w:space="0" w:color="auto"/>
              <w:right w:val="single" w:sz="2" w:space="0" w:color="auto"/>
            </w:tcBorders>
            <w:vAlign w:val="center"/>
          </w:tcPr>
          <w:p w14:paraId="46BA079A"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69C2818C"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965,162</w:t>
            </w:r>
          </w:p>
        </w:tc>
        <w:tc>
          <w:tcPr>
            <w:tcW w:w="1276" w:type="dxa"/>
            <w:tcBorders>
              <w:top w:val="single" w:sz="2" w:space="0" w:color="auto"/>
              <w:left w:val="single" w:sz="2" w:space="0" w:color="auto"/>
              <w:bottom w:val="single" w:sz="2" w:space="0" w:color="auto"/>
              <w:right w:val="single" w:sz="2" w:space="0" w:color="auto"/>
            </w:tcBorders>
            <w:vAlign w:val="center"/>
          </w:tcPr>
          <w:p w14:paraId="65F0D98F" w14:textId="77777777" w:rsidR="00A46BF1" w:rsidRPr="002A5345" w:rsidRDefault="00A46BF1" w:rsidP="002A5345">
            <w:pPr>
              <w:spacing w:line="360" w:lineRule="auto"/>
              <w:jc w:val="right"/>
              <w:rPr>
                <w:rFonts w:ascii="Times New Roman" w:eastAsia="宋体" w:hAnsi="Times New Roman" w:cs="Times New Roman"/>
                <w:sz w:val="18"/>
                <w:szCs w:val="18"/>
              </w:rPr>
            </w:pPr>
            <w:r w:rsidRPr="002A5345">
              <w:rPr>
                <w:rFonts w:ascii="Times New Roman" w:eastAsia="宋体" w:hAnsi="Times New Roman" w:cs="Times New Roman"/>
                <w:sz w:val="18"/>
                <w:szCs w:val="18"/>
              </w:rPr>
              <w:t>11,142,997.00</w:t>
            </w:r>
          </w:p>
        </w:tc>
        <w:tc>
          <w:tcPr>
            <w:tcW w:w="709" w:type="dxa"/>
            <w:tcBorders>
              <w:top w:val="single" w:sz="2" w:space="0" w:color="auto"/>
              <w:left w:val="single" w:sz="2" w:space="0" w:color="auto"/>
              <w:bottom w:val="single" w:sz="2" w:space="0" w:color="auto"/>
              <w:right w:val="single" w:sz="2" w:space="0" w:color="auto"/>
            </w:tcBorders>
            <w:vAlign w:val="center"/>
          </w:tcPr>
          <w:p w14:paraId="63D72CE5" w14:textId="77777777" w:rsidR="00A46BF1" w:rsidRPr="002A5345" w:rsidRDefault="00A46BF1" w:rsidP="002A5345">
            <w:pPr>
              <w:spacing w:line="360" w:lineRule="auto"/>
              <w:jc w:val="right"/>
              <w:rPr>
                <w:rFonts w:ascii="Times New Roman" w:eastAsia="宋体" w:hAnsi="Times New Roman" w:cs="Times New Roman"/>
                <w:sz w:val="18"/>
                <w:szCs w:val="18"/>
              </w:rPr>
            </w:pPr>
          </w:p>
        </w:tc>
        <w:tc>
          <w:tcPr>
            <w:tcW w:w="708" w:type="dxa"/>
            <w:tcBorders>
              <w:top w:val="single" w:sz="2" w:space="0" w:color="auto"/>
              <w:left w:val="single" w:sz="2" w:space="0" w:color="auto"/>
              <w:bottom w:val="single" w:sz="2" w:space="0" w:color="auto"/>
              <w:right w:val="single" w:sz="2" w:space="0" w:color="auto"/>
            </w:tcBorders>
            <w:vAlign w:val="center"/>
          </w:tcPr>
          <w:p w14:paraId="50E24740" w14:textId="77777777" w:rsidR="00A46BF1" w:rsidRPr="002A5345" w:rsidRDefault="00A46BF1" w:rsidP="002A5345">
            <w:pPr>
              <w:spacing w:line="360" w:lineRule="auto"/>
              <w:jc w:val="right"/>
              <w:rPr>
                <w:rFonts w:ascii="Times New Roman" w:eastAsia="宋体" w:hAnsi="Times New Roman" w:cs="Times New Roman"/>
                <w:sz w:val="18"/>
                <w:szCs w:val="18"/>
              </w:rPr>
            </w:pPr>
          </w:p>
        </w:tc>
      </w:tr>
    </w:tbl>
    <w:p w14:paraId="4F73F72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期末发行在外的股票期权或其他权益工具</w:t>
      </w:r>
    </w:p>
    <w:p w14:paraId="2EDCF5F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DD424E5"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7E98592D"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w:t>
      </w:r>
      <w:r w:rsidRPr="00A83985">
        <w:rPr>
          <w:rFonts w:ascii="Times New Roman" w:hAnsi="Times New Roman" w:cs="Times New Roman"/>
          <w:sz w:val="21"/>
          <w:szCs w:val="21"/>
        </w:rPr>
        <w:t>1</w:t>
      </w:r>
      <w:r w:rsidRPr="00A83985">
        <w:rPr>
          <w:rFonts w:ascii="Times New Roman" w:hAnsi="Times New Roman" w:cs="Times New Roman" w:hint="eastAsia"/>
          <w:sz w:val="21"/>
          <w:szCs w:val="21"/>
        </w:rPr>
        <w:t>）第二期员工持股计划</w:t>
      </w:r>
    </w:p>
    <w:p w14:paraId="35A21A72"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2021</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4</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15</w:t>
      </w:r>
      <w:r w:rsidRPr="00A83985">
        <w:rPr>
          <w:rFonts w:ascii="Times New Roman" w:hAnsi="Times New Roman" w:cs="Times New Roman" w:hint="eastAsia"/>
          <w:sz w:val="21"/>
          <w:szCs w:val="21"/>
        </w:rPr>
        <w:t>日，公司第四届董事会第十四次会议审议通过了《关于</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三诺生物传感股份有限公司第二期员工持股计划（草案）</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及其摘要的议案》与《关于</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三诺生物传感股份有限公司第二期员工持股计划管理办法</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的议案》等相关议案，议案约定：员工持股计划的参与对象为公司员工，其中：参加本员工持股计划的公司监事和高级管理人员共计</w:t>
      </w:r>
      <w:r w:rsidRPr="00A83985">
        <w:rPr>
          <w:rFonts w:ascii="Times New Roman" w:hAnsi="Times New Roman" w:cs="Times New Roman"/>
          <w:sz w:val="21"/>
          <w:szCs w:val="21"/>
        </w:rPr>
        <w:t>4</w:t>
      </w:r>
      <w:r w:rsidRPr="00A83985">
        <w:rPr>
          <w:rFonts w:ascii="Times New Roman" w:hAnsi="Times New Roman" w:cs="Times New Roman" w:hint="eastAsia"/>
          <w:sz w:val="21"/>
          <w:szCs w:val="21"/>
        </w:rPr>
        <w:t>人，认购总份额为</w:t>
      </w:r>
      <w:r w:rsidRPr="00A83985">
        <w:rPr>
          <w:rFonts w:ascii="Times New Roman" w:hAnsi="Times New Roman" w:cs="Times New Roman"/>
          <w:sz w:val="21"/>
          <w:szCs w:val="21"/>
        </w:rPr>
        <w:t>920</w:t>
      </w:r>
      <w:r w:rsidRPr="00A83985">
        <w:rPr>
          <w:rFonts w:ascii="Times New Roman" w:hAnsi="Times New Roman" w:cs="Times New Roman" w:hint="eastAsia"/>
          <w:sz w:val="21"/>
          <w:szCs w:val="21"/>
        </w:rPr>
        <w:t>万份，占员工持股计划总份额的比例为</w:t>
      </w:r>
      <w:r w:rsidRPr="00A83985">
        <w:rPr>
          <w:rFonts w:ascii="Times New Roman" w:hAnsi="Times New Roman" w:cs="Times New Roman"/>
          <w:sz w:val="21"/>
          <w:szCs w:val="21"/>
        </w:rPr>
        <w:t>12.10%</w:t>
      </w:r>
      <w:r w:rsidRPr="00A83985">
        <w:rPr>
          <w:rFonts w:ascii="Times New Roman" w:hAnsi="Times New Roman" w:cs="Times New Roman" w:hint="eastAsia"/>
          <w:sz w:val="21"/>
          <w:szCs w:val="21"/>
        </w:rPr>
        <w:t>；其他员工预计不超过</w:t>
      </w:r>
      <w:r w:rsidRPr="00A83985">
        <w:rPr>
          <w:rFonts w:ascii="Times New Roman" w:hAnsi="Times New Roman" w:cs="Times New Roman"/>
          <w:sz w:val="21"/>
          <w:szCs w:val="21"/>
        </w:rPr>
        <w:t>46</w:t>
      </w:r>
      <w:r w:rsidRPr="00A83985">
        <w:rPr>
          <w:rFonts w:ascii="Times New Roman" w:hAnsi="Times New Roman" w:cs="Times New Roman" w:hint="eastAsia"/>
          <w:sz w:val="21"/>
          <w:szCs w:val="21"/>
        </w:rPr>
        <w:t>人，认购总份额预计不超过</w:t>
      </w:r>
      <w:r w:rsidRPr="00A83985">
        <w:rPr>
          <w:rFonts w:ascii="Times New Roman" w:hAnsi="Times New Roman" w:cs="Times New Roman"/>
          <w:sz w:val="21"/>
          <w:szCs w:val="21"/>
        </w:rPr>
        <w:t>6,685.17</w:t>
      </w:r>
      <w:r w:rsidRPr="00A83985">
        <w:rPr>
          <w:rFonts w:ascii="Times New Roman" w:hAnsi="Times New Roman" w:cs="Times New Roman" w:hint="eastAsia"/>
          <w:sz w:val="21"/>
          <w:szCs w:val="21"/>
        </w:rPr>
        <w:t>万份，占员工持股计划总份额的比例预计为</w:t>
      </w:r>
      <w:r w:rsidRPr="00A83985">
        <w:rPr>
          <w:rFonts w:ascii="Times New Roman" w:hAnsi="Times New Roman" w:cs="Times New Roman"/>
          <w:sz w:val="21"/>
          <w:szCs w:val="21"/>
        </w:rPr>
        <w:t>87.90%</w:t>
      </w:r>
      <w:r w:rsidRPr="00A83985">
        <w:rPr>
          <w:rFonts w:ascii="Times New Roman" w:hAnsi="Times New Roman" w:cs="Times New Roman" w:hint="eastAsia"/>
          <w:sz w:val="21"/>
          <w:szCs w:val="21"/>
        </w:rPr>
        <w:t>。公司持股</w:t>
      </w:r>
      <w:r w:rsidRPr="00A83985">
        <w:rPr>
          <w:rFonts w:ascii="Times New Roman" w:hAnsi="Times New Roman" w:cs="Times New Roman"/>
          <w:sz w:val="21"/>
          <w:szCs w:val="21"/>
        </w:rPr>
        <w:t>5%</w:t>
      </w:r>
      <w:r w:rsidRPr="00A83985">
        <w:rPr>
          <w:rFonts w:ascii="Times New Roman" w:hAnsi="Times New Roman" w:cs="Times New Roman" w:hint="eastAsia"/>
          <w:sz w:val="21"/>
          <w:szCs w:val="21"/>
        </w:rPr>
        <w:t>以上股东、实际控制人未参与本计划。持股计划拟受让公司回购股票的价格为</w:t>
      </w:r>
      <w:r w:rsidRPr="00A83985">
        <w:rPr>
          <w:rFonts w:ascii="Times New Roman" w:hAnsi="Times New Roman" w:cs="Times New Roman"/>
          <w:sz w:val="21"/>
          <w:szCs w:val="21"/>
        </w:rPr>
        <w:t>12.89</w:t>
      </w:r>
      <w:r w:rsidRPr="00A83985">
        <w:rPr>
          <w:rFonts w:ascii="Times New Roman" w:hAnsi="Times New Roman" w:cs="Times New Roman" w:hint="eastAsia"/>
          <w:sz w:val="21"/>
          <w:szCs w:val="21"/>
        </w:rPr>
        <w:t>元</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股，授予股份数为</w:t>
      </w:r>
      <w:r w:rsidRPr="00A83985">
        <w:rPr>
          <w:rFonts w:ascii="Times New Roman" w:hAnsi="Times New Roman" w:cs="Times New Roman"/>
          <w:sz w:val="21"/>
          <w:szCs w:val="21"/>
        </w:rPr>
        <w:t>590.1628</w:t>
      </w:r>
      <w:r w:rsidRPr="00A83985">
        <w:rPr>
          <w:rFonts w:ascii="Times New Roman" w:hAnsi="Times New Roman" w:cs="Times New Roman" w:hint="eastAsia"/>
          <w:sz w:val="21"/>
          <w:szCs w:val="21"/>
        </w:rPr>
        <w:t>万份。</w:t>
      </w:r>
    </w:p>
    <w:p w14:paraId="26DD4E13"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本期员工持股计划的存续期为不超过</w:t>
      </w:r>
      <w:r w:rsidRPr="00A83985">
        <w:rPr>
          <w:rFonts w:ascii="Times New Roman" w:hAnsi="Times New Roman" w:cs="Times New Roman"/>
          <w:sz w:val="21"/>
          <w:szCs w:val="21"/>
        </w:rPr>
        <w:t xml:space="preserve"> 150 </w:t>
      </w:r>
      <w:r w:rsidRPr="00A83985">
        <w:rPr>
          <w:rFonts w:ascii="Times New Roman" w:hAnsi="Times New Roman" w:cs="Times New Roman" w:hint="eastAsia"/>
          <w:sz w:val="21"/>
          <w:szCs w:val="21"/>
        </w:rPr>
        <w:t>个月，自公司公告最后一笔标的股票过户至本期员工持股计划名下之日起算。本员工持股计划通过非交易过户的方式获得的标的股票的锁定期最长为</w:t>
      </w:r>
      <w:r w:rsidRPr="00A83985">
        <w:rPr>
          <w:rFonts w:ascii="Times New Roman" w:hAnsi="Times New Roman" w:cs="Times New Roman"/>
          <w:sz w:val="21"/>
          <w:szCs w:val="21"/>
        </w:rPr>
        <w:t xml:space="preserve"> 120 </w:t>
      </w:r>
      <w:r w:rsidRPr="00A83985">
        <w:rPr>
          <w:rFonts w:ascii="Times New Roman" w:hAnsi="Times New Roman" w:cs="Times New Roman" w:hint="eastAsia"/>
          <w:sz w:val="21"/>
          <w:szCs w:val="21"/>
        </w:rPr>
        <w:t>个月，自公司公告最后一笔标的股票买入过户至公司第二期员工持股计划指定的证券账户名下之日起计算，自公司公告最后一笔标的股票过户至本持股计划名下之日起算每满</w:t>
      </w:r>
      <w:r w:rsidRPr="00A83985">
        <w:rPr>
          <w:rFonts w:ascii="Times New Roman" w:hAnsi="Times New Roman" w:cs="Times New Roman"/>
          <w:sz w:val="21"/>
          <w:szCs w:val="21"/>
        </w:rPr>
        <w:t xml:space="preserve"> 12 </w:t>
      </w:r>
      <w:r w:rsidRPr="00A83985">
        <w:rPr>
          <w:rFonts w:ascii="Times New Roman" w:hAnsi="Times New Roman" w:cs="Times New Roman" w:hint="eastAsia"/>
          <w:sz w:val="21"/>
          <w:szCs w:val="21"/>
        </w:rPr>
        <w:t>个月，解锁本次持股计划总数的</w:t>
      </w:r>
      <w:r w:rsidRPr="00A83985">
        <w:rPr>
          <w:rFonts w:ascii="Times New Roman" w:hAnsi="Times New Roman" w:cs="Times New Roman"/>
          <w:sz w:val="21"/>
          <w:szCs w:val="21"/>
        </w:rPr>
        <w:t xml:space="preserve"> 10%</w:t>
      </w:r>
      <w:r w:rsidRPr="00A83985">
        <w:rPr>
          <w:rFonts w:ascii="Times New Roman" w:hAnsi="Times New Roman" w:cs="Times New Roman" w:hint="eastAsia"/>
          <w:sz w:val="21"/>
          <w:szCs w:val="21"/>
        </w:rPr>
        <w:t>的股份。</w:t>
      </w:r>
    </w:p>
    <w:p w14:paraId="1308ED65"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w:t>
      </w:r>
      <w:r w:rsidRPr="00A83985">
        <w:rPr>
          <w:rFonts w:ascii="Times New Roman" w:hAnsi="Times New Roman" w:cs="Times New Roman"/>
          <w:sz w:val="21"/>
          <w:szCs w:val="21"/>
        </w:rPr>
        <w:t>2</w:t>
      </w:r>
      <w:r w:rsidRPr="00A83985">
        <w:rPr>
          <w:rFonts w:ascii="Times New Roman" w:hAnsi="Times New Roman" w:cs="Times New Roman" w:hint="eastAsia"/>
          <w:sz w:val="21"/>
          <w:szCs w:val="21"/>
        </w:rPr>
        <w:t>）第三期员工持股计划</w:t>
      </w:r>
    </w:p>
    <w:p w14:paraId="588801E6" w14:textId="642EC2A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2024</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1</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2</w:t>
      </w:r>
      <w:r w:rsidRPr="00A83985">
        <w:rPr>
          <w:rFonts w:ascii="Times New Roman" w:hAnsi="Times New Roman" w:cs="Times New Roman" w:hint="eastAsia"/>
          <w:sz w:val="21"/>
          <w:szCs w:val="21"/>
        </w:rPr>
        <w:t>日，公司第五届董事会第八次会议审议通过了《关于</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三诺生物传感股份有限公司第三期员工持股计划（草案）</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及其摘要的议案》与《关于</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三诺生物传感股份有限公司第三期员工持股计划管理办法</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的议案》等相关议案，议案约定：参加本次持股计划的总人数不超过</w:t>
      </w:r>
      <w:r w:rsidRPr="00A83985">
        <w:rPr>
          <w:rFonts w:ascii="Times New Roman" w:hAnsi="Times New Roman" w:cs="Times New Roman"/>
          <w:sz w:val="21"/>
          <w:szCs w:val="21"/>
        </w:rPr>
        <w:t>18</w:t>
      </w:r>
      <w:r w:rsidRPr="00A83985">
        <w:rPr>
          <w:rFonts w:ascii="Times New Roman" w:hAnsi="Times New Roman" w:cs="Times New Roman" w:hint="eastAsia"/>
          <w:sz w:val="21"/>
          <w:szCs w:val="21"/>
        </w:rPr>
        <w:t>人，其中高级管理人员为</w:t>
      </w:r>
      <w:r w:rsidRPr="00A83985">
        <w:rPr>
          <w:rFonts w:ascii="Times New Roman" w:hAnsi="Times New Roman" w:cs="Times New Roman"/>
          <w:sz w:val="21"/>
          <w:szCs w:val="21"/>
        </w:rPr>
        <w:t>1</w:t>
      </w:r>
      <w:r w:rsidRPr="00A83985">
        <w:rPr>
          <w:rFonts w:ascii="Times New Roman" w:hAnsi="Times New Roman" w:cs="Times New Roman" w:hint="eastAsia"/>
          <w:sz w:val="21"/>
          <w:szCs w:val="21"/>
        </w:rPr>
        <w:t>人，其他员工预计不超过</w:t>
      </w:r>
      <w:r w:rsidRPr="00A83985">
        <w:rPr>
          <w:rFonts w:ascii="Times New Roman" w:hAnsi="Times New Roman" w:cs="Times New Roman"/>
          <w:sz w:val="21"/>
          <w:szCs w:val="21"/>
        </w:rPr>
        <w:t xml:space="preserve"> 17</w:t>
      </w:r>
      <w:r w:rsidRPr="00A83985">
        <w:rPr>
          <w:rFonts w:ascii="Times New Roman" w:hAnsi="Times New Roman" w:cs="Times New Roman" w:hint="eastAsia"/>
          <w:sz w:val="21"/>
          <w:szCs w:val="21"/>
        </w:rPr>
        <w:t>人，本期员工持股计划受让的股份总数不超过</w:t>
      </w:r>
      <w:r w:rsidRPr="00A83985">
        <w:rPr>
          <w:rFonts w:ascii="Times New Roman" w:hAnsi="Times New Roman" w:cs="Times New Roman"/>
          <w:sz w:val="21"/>
          <w:szCs w:val="21"/>
        </w:rPr>
        <w:t>300</w:t>
      </w:r>
      <w:r w:rsidRPr="00A83985">
        <w:rPr>
          <w:rFonts w:ascii="Times New Roman" w:hAnsi="Times New Roman" w:cs="Times New Roman" w:hint="eastAsia"/>
          <w:sz w:val="21"/>
          <w:szCs w:val="21"/>
        </w:rPr>
        <w:t>万股，占公司总股本</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不含公司已经回购股份</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比例为</w:t>
      </w:r>
      <w:r w:rsidRPr="00A83985">
        <w:rPr>
          <w:rFonts w:ascii="Times New Roman" w:hAnsi="Times New Roman" w:cs="Times New Roman"/>
          <w:sz w:val="21"/>
          <w:szCs w:val="21"/>
        </w:rPr>
        <w:t>0.54%</w:t>
      </w:r>
      <w:r w:rsidRPr="00A83985">
        <w:rPr>
          <w:rFonts w:ascii="Times New Roman" w:hAnsi="Times New Roman" w:cs="Times New Roman" w:hint="eastAsia"/>
          <w:sz w:val="21"/>
          <w:szCs w:val="21"/>
        </w:rPr>
        <w:t>，拟受让公司回购股票的价格为</w:t>
      </w:r>
      <w:r w:rsidRPr="00A83985">
        <w:rPr>
          <w:rFonts w:ascii="Times New Roman" w:hAnsi="Times New Roman" w:cs="Times New Roman"/>
          <w:sz w:val="21"/>
          <w:szCs w:val="21"/>
        </w:rPr>
        <w:t xml:space="preserve"> 25.69 </w:t>
      </w:r>
      <w:r w:rsidRPr="00A83985">
        <w:rPr>
          <w:rFonts w:ascii="Times New Roman" w:hAnsi="Times New Roman" w:cs="Times New Roman" w:hint="eastAsia"/>
          <w:sz w:val="21"/>
          <w:szCs w:val="21"/>
        </w:rPr>
        <w:t>元</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股，不低于公司回购股份均价</w:t>
      </w:r>
      <w:r w:rsidRPr="00A83985">
        <w:rPr>
          <w:rFonts w:ascii="Times New Roman" w:hAnsi="Times New Roman" w:cs="Times New Roman"/>
          <w:sz w:val="21"/>
          <w:szCs w:val="21"/>
        </w:rPr>
        <w:t xml:space="preserve">(24.09 </w:t>
      </w:r>
      <w:r w:rsidRPr="00A83985">
        <w:rPr>
          <w:rFonts w:ascii="Times New Roman" w:hAnsi="Times New Roman" w:cs="Times New Roman" w:hint="eastAsia"/>
          <w:sz w:val="21"/>
          <w:szCs w:val="21"/>
        </w:rPr>
        <w:t>元</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股</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与公司回购股份的资金成本</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以公司</w:t>
      </w:r>
      <w:r w:rsidRPr="00A83985">
        <w:rPr>
          <w:rFonts w:ascii="Times New Roman" w:hAnsi="Times New Roman" w:cs="Times New Roman"/>
          <w:sz w:val="21"/>
          <w:szCs w:val="21"/>
        </w:rPr>
        <w:t xml:space="preserve"> 2021</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7</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 xml:space="preserve">15 </w:t>
      </w:r>
      <w:r w:rsidRPr="00A83985">
        <w:rPr>
          <w:rFonts w:ascii="Times New Roman" w:hAnsi="Times New Roman" w:cs="Times New Roman" w:hint="eastAsia"/>
          <w:sz w:val="21"/>
          <w:szCs w:val="21"/>
        </w:rPr>
        <w:t>日至</w:t>
      </w:r>
      <w:r w:rsidR="00A83985">
        <w:rPr>
          <w:rFonts w:ascii="Times New Roman" w:hAnsi="Times New Roman" w:cs="Times New Roman"/>
          <w:sz w:val="21"/>
          <w:szCs w:val="21"/>
        </w:rPr>
        <w:t>2022</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7</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14</w:t>
      </w:r>
      <w:r w:rsidRPr="00A83985">
        <w:rPr>
          <w:rFonts w:ascii="Times New Roman" w:hAnsi="Times New Roman" w:cs="Times New Roman" w:hint="eastAsia"/>
          <w:sz w:val="21"/>
          <w:szCs w:val="21"/>
        </w:rPr>
        <w:t>日回购期内公司平均融资成本</w:t>
      </w:r>
      <w:r w:rsidRPr="00A83985">
        <w:rPr>
          <w:rFonts w:ascii="Times New Roman" w:hAnsi="Times New Roman" w:cs="Times New Roman"/>
          <w:sz w:val="21"/>
          <w:szCs w:val="21"/>
        </w:rPr>
        <w:t xml:space="preserve"> 3.70%</w:t>
      </w:r>
      <w:r w:rsidRPr="00A83985">
        <w:rPr>
          <w:rFonts w:ascii="Times New Roman" w:hAnsi="Times New Roman" w:cs="Times New Roman" w:hint="eastAsia"/>
          <w:sz w:val="21"/>
          <w:szCs w:val="21"/>
        </w:rPr>
        <w:t>计算至</w:t>
      </w:r>
      <w:r w:rsidRPr="00A83985">
        <w:rPr>
          <w:rFonts w:ascii="Times New Roman" w:hAnsi="Times New Roman" w:cs="Times New Roman"/>
          <w:sz w:val="21"/>
          <w:szCs w:val="21"/>
        </w:rPr>
        <w:t>2024</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1</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31</w:t>
      </w:r>
      <w:r w:rsidRPr="00A83985">
        <w:rPr>
          <w:rFonts w:ascii="Times New Roman" w:hAnsi="Times New Roman" w:cs="Times New Roman" w:hint="eastAsia"/>
          <w:sz w:val="21"/>
          <w:szCs w:val="21"/>
        </w:rPr>
        <w:t>日测算</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之和。</w:t>
      </w:r>
    </w:p>
    <w:p w14:paraId="74BDB5F5"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本期员工持股计划存续期不超过</w:t>
      </w:r>
      <w:r w:rsidRPr="00A83985">
        <w:rPr>
          <w:rFonts w:ascii="Times New Roman" w:hAnsi="Times New Roman" w:cs="Times New Roman"/>
          <w:sz w:val="21"/>
          <w:szCs w:val="21"/>
        </w:rPr>
        <w:t>120</w:t>
      </w:r>
      <w:r w:rsidRPr="00A83985">
        <w:rPr>
          <w:rFonts w:ascii="Times New Roman" w:hAnsi="Times New Roman" w:cs="Times New Roman" w:hint="eastAsia"/>
          <w:sz w:val="21"/>
          <w:szCs w:val="21"/>
        </w:rPr>
        <w:t>个月、最长锁定期为</w:t>
      </w:r>
      <w:r w:rsidRPr="00A83985">
        <w:rPr>
          <w:rFonts w:ascii="Times New Roman" w:hAnsi="Times New Roman" w:cs="Times New Roman"/>
          <w:sz w:val="21"/>
          <w:szCs w:val="21"/>
        </w:rPr>
        <w:t>96</w:t>
      </w:r>
      <w:r w:rsidRPr="00A83985">
        <w:rPr>
          <w:rFonts w:ascii="Times New Roman" w:hAnsi="Times New Roman" w:cs="Times New Roman" w:hint="eastAsia"/>
          <w:sz w:val="21"/>
          <w:szCs w:val="21"/>
        </w:rPr>
        <w:t>个月，自公司公告最后一笔标的股票过户至持股计划名下之日起算。本员工持股计划所获标的股票分</w:t>
      </w:r>
      <w:r w:rsidRPr="00A83985">
        <w:rPr>
          <w:rFonts w:ascii="Times New Roman" w:hAnsi="Times New Roman" w:cs="Times New Roman"/>
          <w:sz w:val="21"/>
          <w:szCs w:val="21"/>
        </w:rPr>
        <w:t>8</w:t>
      </w:r>
      <w:r w:rsidRPr="00A83985">
        <w:rPr>
          <w:rFonts w:ascii="Times New Roman" w:hAnsi="Times New Roman" w:cs="Times New Roman" w:hint="eastAsia"/>
          <w:sz w:val="21"/>
          <w:szCs w:val="21"/>
        </w:rPr>
        <w:t>期解锁，解锁时点分别为自公司公告最后一笔标的股票过户至本次员工持股计划名下之日起满每满</w:t>
      </w:r>
      <w:r w:rsidRPr="00A83985">
        <w:rPr>
          <w:rFonts w:ascii="Times New Roman" w:hAnsi="Times New Roman" w:cs="Times New Roman"/>
          <w:sz w:val="21"/>
          <w:szCs w:val="21"/>
        </w:rPr>
        <w:t>12</w:t>
      </w:r>
      <w:r w:rsidRPr="00A83985">
        <w:rPr>
          <w:rFonts w:ascii="Times New Roman" w:hAnsi="Times New Roman" w:cs="Times New Roman" w:hint="eastAsia"/>
          <w:sz w:val="21"/>
          <w:szCs w:val="21"/>
        </w:rPr>
        <w:t>个月，每期解锁的标的股票比例为</w:t>
      </w:r>
      <w:r w:rsidRPr="00A83985">
        <w:rPr>
          <w:rFonts w:ascii="Times New Roman" w:hAnsi="Times New Roman" w:cs="Times New Roman"/>
          <w:sz w:val="21"/>
          <w:szCs w:val="21"/>
        </w:rPr>
        <w:t>12.50%</w:t>
      </w:r>
      <w:r w:rsidRPr="00A83985">
        <w:rPr>
          <w:rFonts w:ascii="Times New Roman" w:hAnsi="Times New Roman" w:cs="Times New Roman" w:hint="eastAsia"/>
          <w:sz w:val="21"/>
          <w:szCs w:val="21"/>
        </w:rPr>
        <w:t>。</w:t>
      </w:r>
    </w:p>
    <w:p w14:paraId="2CFA7D4E" w14:textId="77777777" w:rsidR="00A46BF1" w:rsidRDefault="00A46BF1" w:rsidP="00A46BF1">
      <w:pPr>
        <w:pStyle w:val="3"/>
        <w:spacing w:line="280" w:lineRule="exact"/>
        <w:jc w:val="left"/>
        <w:rPr>
          <w:rFonts w:ascii="宋体" w:hAnsi="宋体" w:cs="宋体"/>
          <w:b/>
          <w:bCs/>
        </w:rPr>
      </w:pPr>
      <w:r>
        <w:rPr>
          <w:rFonts w:ascii="宋体" w:hAnsi="宋体" w:cs="宋体"/>
          <w:b/>
          <w:bCs/>
        </w:rPr>
        <w:t>2、以权益结算的股份支付情况</w:t>
      </w:r>
    </w:p>
    <w:p w14:paraId="20A5D235" w14:textId="77777777" w:rsidR="00A46BF1" w:rsidRDefault="00A46BF1" w:rsidP="00A46BF1">
      <w:pPr>
        <w:spacing w:before="40" w:after="4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147E0FED"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111"/>
        <w:gridCol w:w="5528"/>
      </w:tblGrid>
      <w:tr w:rsidR="00095F6F" w14:paraId="26F5F10A" w14:textId="77777777" w:rsidTr="00BB6282">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4335B450"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授予日权益工具公允价值的确定方法</w:t>
            </w:r>
          </w:p>
        </w:tc>
        <w:tc>
          <w:tcPr>
            <w:tcW w:w="5528" w:type="dxa"/>
            <w:tcBorders>
              <w:top w:val="single" w:sz="2" w:space="0" w:color="auto"/>
              <w:left w:val="single" w:sz="2" w:space="0" w:color="auto"/>
              <w:bottom w:val="single" w:sz="2" w:space="0" w:color="auto"/>
              <w:right w:val="single" w:sz="2" w:space="0" w:color="auto"/>
            </w:tcBorders>
            <w:vAlign w:val="center"/>
          </w:tcPr>
          <w:p w14:paraId="7E534A42"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员工持股计划理论值＝授予日收盘价－授予价格</w:t>
            </w:r>
          </w:p>
        </w:tc>
      </w:tr>
      <w:tr w:rsidR="00095F6F" w14:paraId="05EC4BAA" w14:textId="77777777" w:rsidTr="00BB6282">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3B6622E8"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授予日权益工具公允价值的重要参数</w:t>
            </w:r>
          </w:p>
        </w:tc>
        <w:tc>
          <w:tcPr>
            <w:tcW w:w="5528" w:type="dxa"/>
            <w:tcBorders>
              <w:top w:val="single" w:sz="2" w:space="0" w:color="auto"/>
              <w:left w:val="single" w:sz="2" w:space="0" w:color="auto"/>
              <w:bottom w:val="single" w:sz="2" w:space="0" w:color="auto"/>
              <w:right w:val="single" w:sz="2" w:space="0" w:color="auto"/>
            </w:tcBorders>
            <w:vAlign w:val="center"/>
          </w:tcPr>
          <w:p w14:paraId="5855F38C"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授予日收盘价</w:t>
            </w:r>
          </w:p>
        </w:tc>
      </w:tr>
      <w:tr w:rsidR="00095F6F" w14:paraId="30F57211" w14:textId="77777777" w:rsidTr="00BB6282">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1CDD04E3"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可行权权益工具数量的确定依据</w:t>
            </w:r>
          </w:p>
        </w:tc>
        <w:tc>
          <w:tcPr>
            <w:tcW w:w="5528" w:type="dxa"/>
            <w:tcBorders>
              <w:top w:val="single" w:sz="2" w:space="0" w:color="auto"/>
              <w:left w:val="single" w:sz="2" w:space="0" w:color="auto"/>
              <w:bottom w:val="single" w:sz="2" w:space="0" w:color="auto"/>
              <w:right w:val="single" w:sz="2" w:space="0" w:color="auto"/>
            </w:tcBorders>
            <w:vAlign w:val="center"/>
          </w:tcPr>
          <w:p w14:paraId="66112FD6"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在等待期内的每个资产负债表日，应当以对可行权权益工具数量的最佳估计为基础；完成等待期内的服务或达到规定业绩条件才可行权；在可行权日，最终预计可行权权益工具的数量与实际可行权工具的数量一致</w:t>
            </w:r>
          </w:p>
        </w:tc>
      </w:tr>
      <w:tr w:rsidR="00095F6F" w14:paraId="69993E6E" w14:textId="77777777" w:rsidTr="00BB6282">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0ADD7C6A"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本期估计与上期估计有重大差异的原因</w:t>
            </w:r>
          </w:p>
        </w:tc>
        <w:tc>
          <w:tcPr>
            <w:tcW w:w="5528" w:type="dxa"/>
            <w:tcBorders>
              <w:top w:val="single" w:sz="2" w:space="0" w:color="auto"/>
              <w:left w:val="single" w:sz="2" w:space="0" w:color="auto"/>
              <w:bottom w:val="single" w:sz="2" w:space="0" w:color="auto"/>
              <w:right w:val="single" w:sz="2" w:space="0" w:color="auto"/>
            </w:tcBorders>
            <w:vAlign w:val="center"/>
          </w:tcPr>
          <w:p w14:paraId="6DFAA9D9"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无</w:t>
            </w:r>
          </w:p>
        </w:tc>
      </w:tr>
      <w:tr w:rsidR="00095F6F" w14:paraId="1F57E453" w14:textId="77777777" w:rsidTr="00BB6282">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3B1A3654"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以权益结算的股份支付计入资本公积的累计金额</w:t>
            </w:r>
          </w:p>
        </w:tc>
        <w:tc>
          <w:tcPr>
            <w:tcW w:w="5528" w:type="dxa"/>
            <w:tcBorders>
              <w:top w:val="single" w:sz="2" w:space="0" w:color="auto"/>
              <w:left w:val="single" w:sz="2" w:space="0" w:color="auto"/>
              <w:bottom w:val="single" w:sz="2" w:space="0" w:color="auto"/>
              <w:right w:val="single" w:sz="2" w:space="0" w:color="auto"/>
            </w:tcBorders>
            <w:vAlign w:val="center"/>
          </w:tcPr>
          <w:p w14:paraId="77A30AAE"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87,433,693.86</w:t>
            </w:r>
          </w:p>
        </w:tc>
      </w:tr>
      <w:tr w:rsidR="00095F6F" w14:paraId="4DCB1F40" w14:textId="77777777" w:rsidTr="00BB6282">
        <w:trPr>
          <w:trHeight w:val="240"/>
        </w:trPr>
        <w:tc>
          <w:tcPr>
            <w:tcW w:w="4111" w:type="dxa"/>
            <w:tcBorders>
              <w:top w:val="single" w:sz="2" w:space="0" w:color="auto"/>
              <w:left w:val="single" w:sz="2" w:space="0" w:color="auto"/>
              <w:bottom w:val="single" w:sz="2" w:space="0" w:color="auto"/>
              <w:right w:val="single" w:sz="2" w:space="0" w:color="auto"/>
            </w:tcBorders>
            <w:shd w:val="clear" w:color="auto" w:fill="D3D3D3"/>
            <w:vAlign w:val="center"/>
          </w:tcPr>
          <w:p w14:paraId="07DEBCC2"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本期以权益结算的股份支付确认的费用总额</w:t>
            </w:r>
          </w:p>
        </w:tc>
        <w:tc>
          <w:tcPr>
            <w:tcW w:w="5528" w:type="dxa"/>
            <w:tcBorders>
              <w:top w:val="single" w:sz="2" w:space="0" w:color="auto"/>
              <w:left w:val="single" w:sz="2" w:space="0" w:color="auto"/>
              <w:bottom w:val="single" w:sz="2" w:space="0" w:color="auto"/>
              <w:right w:val="single" w:sz="2" w:space="0" w:color="auto"/>
            </w:tcBorders>
            <w:vAlign w:val="center"/>
          </w:tcPr>
          <w:p w14:paraId="06FC2151"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10,716,504.27</w:t>
            </w:r>
          </w:p>
        </w:tc>
      </w:tr>
    </w:tbl>
    <w:p w14:paraId="626E9509"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7586EEF" w14:textId="77777777" w:rsidR="00A46BF1" w:rsidRPr="00BB6282" w:rsidRDefault="00A46BF1" w:rsidP="00BB6282">
      <w:pPr>
        <w:spacing w:before="100" w:after="100" w:line="240" w:lineRule="exact"/>
        <w:rPr>
          <w:rFonts w:ascii="宋体" w:eastAsia="宋体" w:hAnsi="宋体" w:cs="宋体"/>
          <w:sz w:val="18"/>
          <w:szCs w:val="18"/>
        </w:rPr>
      </w:pPr>
      <w:r w:rsidRPr="00BB6282">
        <w:rPr>
          <w:rFonts w:ascii="宋体" w:eastAsia="宋体" w:hAnsi="宋体" w:cs="宋体" w:hint="eastAsia"/>
          <w:sz w:val="18"/>
          <w:szCs w:val="18"/>
        </w:rPr>
        <w:t>无</w:t>
      </w:r>
    </w:p>
    <w:p w14:paraId="26A4998C" w14:textId="77777777" w:rsidR="00A46BF1" w:rsidRDefault="00A46BF1" w:rsidP="00A46BF1">
      <w:pPr>
        <w:pStyle w:val="3"/>
        <w:spacing w:line="280" w:lineRule="exact"/>
        <w:jc w:val="left"/>
        <w:rPr>
          <w:rFonts w:ascii="宋体" w:hAnsi="宋体" w:cs="宋体"/>
          <w:b/>
          <w:bCs/>
        </w:rPr>
      </w:pPr>
      <w:r>
        <w:rPr>
          <w:rFonts w:ascii="宋体" w:hAnsi="宋体" w:cs="宋体"/>
          <w:b/>
          <w:bCs/>
        </w:rPr>
        <w:t>3、以现金结算的股份支付情况</w:t>
      </w:r>
    </w:p>
    <w:p w14:paraId="13A357B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7C68E8BC" w14:textId="77777777" w:rsidR="00A46BF1" w:rsidRDefault="00A46BF1" w:rsidP="00A46BF1">
      <w:pPr>
        <w:pStyle w:val="3"/>
        <w:spacing w:line="280" w:lineRule="exact"/>
        <w:jc w:val="left"/>
        <w:rPr>
          <w:rFonts w:ascii="宋体" w:hAnsi="宋体" w:cs="宋体"/>
          <w:b/>
          <w:bCs/>
        </w:rPr>
      </w:pPr>
      <w:r>
        <w:rPr>
          <w:rFonts w:ascii="宋体" w:hAnsi="宋体" w:cs="宋体"/>
          <w:b/>
          <w:bCs/>
        </w:rPr>
        <w:t>4、本期股份支付费用</w:t>
      </w:r>
    </w:p>
    <w:p w14:paraId="5FB56BA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4DEFF382"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18411B9"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95D9626"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授予对象类别</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655F410"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以权益结算的股份支付费用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A80F5DD"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以现金结算的股份支付费用</w:t>
            </w:r>
          </w:p>
        </w:tc>
      </w:tr>
      <w:tr w:rsidR="00095F6F" w14:paraId="54DE38FE"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689196E"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销售人员</w:t>
            </w:r>
          </w:p>
        </w:tc>
        <w:tc>
          <w:tcPr>
            <w:tcW w:w="3213" w:type="dxa"/>
            <w:tcBorders>
              <w:top w:val="single" w:sz="2" w:space="0" w:color="auto"/>
              <w:left w:val="single" w:sz="2" w:space="0" w:color="auto"/>
              <w:bottom w:val="single" w:sz="2" w:space="0" w:color="auto"/>
              <w:right w:val="single" w:sz="2" w:space="0" w:color="auto"/>
            </w:tcBorders>
            <w:vAlign w:val="center"/>
          </w:tcPr>
          <w:p w14:paraId="54A14722"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3,640,809.53</w:t>
            </w:r>
          </w:p>
        </w:tc>
        <w:tc>
          <w:tcPr>
            <w:tcW w:w="3213" w:type="dxa"/>
            <w:tcBorders>
              <w:top w:val="single" w:sz="2" w:space="0" w:color="auto"/>
              <w:left w:val="single" w:sz="2" w:space="0" w:color="auto"/>
              <w:bottom w:val="single" w:sz="2" w:space="0" w:color="auto"/>
              <w:right w:val="single" w:sz="2" w:space="0" w:color="auto"/>
            </w:tcBorders>
            <w:vAlign w:val="center"/>
          </w:tcPr>
          <w:p w14:paraId="4A32C9B4" w14:textId="77777777" w:rsidR="00A46BF1" w:rsidRPr="00BB6282" w:rsidRDefault="00A46BF1" w:rsidP="00BB6282">
            <w:pPr>
              <w:spacing w:line="360" w:lineRule="auto"/>
              <w:jc w:val="right"/>
              <w:rPr>
                <w:rFonts w:ascii="Times New Roman" w:eastAsia="宋体" w:hAnsi="Times New Roman" w:cs="Times New Roman"/>
                <w:sz w:val="18"/>
                <w:szCs w:val="18"/>
              </w:rPr>
            </w:pPr>
          </w:p>
        </w:tc>
      </w:tr>
      <w:tr w:rsidR="00095F6F" w14:paraId="0471ABF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19D65917"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管理人员</w:t>
            </w:r>
          </w:p>
        </w:tc>
        <w:tc>
          <w:tcPr>
            <w:tcW w:w="3213" w:type="dxa"/>
            <w:tcBorders>
              <w:top w:val="single" w:sz="2" w:space="0" w:color="auto"/>
              <w:left w:val="single" w:sz="2" w:space="0" w:color="auto"/>
              <w:bottom w:val="single" w:sz="2" w:space="0" w:color="auto"/>
              <w:right w:val="single" w:sz="2" w:space="0" w:color="auto"/>
            </w:tcBorders>
            <w:vAlign w:val="center"/>
          </w:tcPr>
          <w:p w14:paraId="4F24876B"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4,439,871.44</w:t>
            </w:r>
          </w:p>
        </w:tc>
        <w:tc>
          <w:tcPr>
            <w:tcW w:w="3213" w:type="dxa"/>
            <w:tcBorders>
              <w:top w:val="single" w:sz="2" w:space="0" w:color="auto"/>
              <w:left w:val="single" w:sz="2" w:space="0" w:color="auto"/>
              <w:bottom w:val="single" w:sz="2" w:space="0" w:color="auto"/>
              <w:right w:val="single" w:sz="2" w:space="0" w:color="auto"/>
            </w:tcBorders>
            <w:vAlign w:val="center"/>
          </w:tcPr>
          <w:p w14:paraId="476BF953" w14:textId="77777777" w:rsidR="00A46BF1" w:rsidRPr="00BB6282" w:rsidRDefault="00A46BF1" w:rsidP="00BB6282">
            <w:pPr>
              <w:spacing w:line="360" w:lineRule="auto"/>
              <w:jc w:val="right"/>
              <w:rPr>
                <w:rFonts w:ascii="Times New Roman" w:eastAsia="宋体" w:hAnsi="Times New Roman" w:cs="Times New Roman"/>
                <w:sz w:val="18"/>
                <w:szCs w:val="18"/>
              </w:rPr>
            </w:pPr>
          </w:p>
        </w:tc>
      </w:tr>
      <w:tr w:rsidR="00095F6F" w14:paraId="631021BD"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457DABD3"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研发人员</w:t>
            </w:r>
          </w:p>
        </w:tc>
        <w:tc>
          <w:tcPr>
            <w:tcW w:w="3213" w:type="dxa"/>
            <w:tcBorders>
              <w:top w:val="single" w:sz="2" w:space="0" w:color="auto"/>
              <w:left w:val="single" w:sz="2" w:space="0" w:color="auto"/>
              <w:bottom w:val="single" w:sz="2" w:space="0" w:color="auto"/>
              <w:right w:val="single" w:sz="2" w:space="0" w:color="auto"/>
            </w:tcBorders>
            <w:vAlign w:val="center"/>
          </w:tcPr>
          <w:p w14:paraId="01359F96"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2,275,743.24</w:t>
            </w:r>
          </w:p>
        </w:tc>
        <w:tc>
          <w:tcPr>
            <w:tcW w:w="3213" w:type="dxa"/>
            <w:tcBorders>
              <w:top w:val="single" w:sz="2" w:space="0" w:color="auto"/>
              <w:left w:val="single" w:sz="2" w:space="0" w:color="auto"/>
              <w:bottom w:val="single" w:sz="2" w:space="0" w:color="auto"/>
              <w:right w:val="single" w:sz="2" w:space="0" w:color="auto"/>
            </w:tcBorders>
            <w:vAlign w:val="center"/>
          </w:tcPr>
          <w:p w14:paraId="0138007B" w14:textId="77777777" w:rsidR="00A46BF1" w:rsidRPr="00BB6282" w:rsidRDefault="00A46BF1" w:rsidP="00BB6282">
            <w:pPr>
              <w:spacing w:line="360" w:lineRule="auto"/>
              <w:jc w:val="right"/>
              <w:rPr>
                <w:rFonts w:ascii="Times New Roman" w:eastAsia="宋体" w:hAnsi="Times New Roman" w:cs="Times New Roman"/>
                <w:sz w:val="18"/>
                <w:szCs w:val="18"/>
              </w:rPr>
            </w:pPr>
          </w:p>
        </w:tc>
      </w:tr>
      <w:tr w:rsidR="00095F6F" w14:paraId="69F667D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639F8275" w14:textId="77777777" w:rsidR="00A46BF1" w:rsidRPr="00BB6282" w:rsidRDefault="00A46BF1" w:rsidP="00BB6282">
            <w:pPr>
              <w:spacing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生产管理人员</w:t>
            </w:r>
          </w:p>
        </w:tc>
        <w:tc>
          <w:tcPr>
            <w:tcW w:w="3213" w:type="dxa"/>
            <w:tcBorders>
              <w:top w:val="single" w:sz="2" w:space="0" w:color="auto"/>
              <w:left w:val="single" w:sz="2" w:space="0" w:color="auto"/>
              <w:bottom w:val="single" w:sz="2" w:space="0" w:color="auto"/>
              <w:right w:val="single" w:sz="2" w:space="0" w:color="auto"/>
            </w:tcBorders>
            <w:vAlign w:val="center"/>
          </w:tcPr>
          <w:p w14:paraId="795CAF99"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360,080.06</w:t>
            </w:r>
          </w:p>
        </w:tc>
        <w:tc>
          <w:tcPr>
            <w:tcW w:w="3213" w:type="dxa"/>
            <w:tcBorders>
              <w:top w:val="single" w:sz="2" w:space="0" w:color="auto"/>
              <w:left w:val="single" w:sz="2" w:space="0" w:color="auto"/>
              <w:bottom w:val="single" w:sz="2" w:space="0" w:color="auto"/>
              <w:right w:val="single" w:sz="2" w:space="0" w:color="auto"/>
            </w:tcBorders>
            <w:vAlign w:val="center"/>
          </w:tcPr>
          <w:p w14:paraId="73C96C67" w14:textId="77777777" w:rsidR="00A46BF1" w:rsidRPr="00BB6282" w:rsidRDefault="00A46BF1" w:rsidP="00BB6282">
            <w:pPr>
              <w:spacing w:line="360" w:lineRule="auto"/>
              <w:jc w:val="right"/>
              <w:rPr>
                <w:rFonts w:ascii="Times New Roman" w:eastAsia="宋体" w:hAnsi="Times New Roman" w:cs="Times New Roman"/>
                <w:sz w:val="18"/>
                <w:szCs w:val="18"/>
              </w:rPr>
            </w:pPr>
          </w:p>
        </w:tc>
      </w:tr>
      <w:tr w:rsidR="00095F6F" w14:paraId="4EFD8B3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B486D60"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498DA24"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10,716,504.27</w:t>
            </w:r>
          </w:p>
        </w:tc>
        <w:tc>
          <w:tcPr>
            <w:tcW w:w="3213" w:type="dxa"/>
            <w:tcBorders>
              <w:top w:val="single" w:sz="2" w:space="0" w:color="auto"/>
              <w:left w:val="single" w:sz="2" w:space="0" w:color="auto"/>
              <w:bottom w:val="single" w:sz="2" w:space="0" w:color="auto"/>
              <w:right w:val="single" w:sz="2" w:space="0" w:color="auto"/>
            </w:tcBorders>
            <w:vAlign w:val="center"/>
          </w:tcPr>
          <w:p w14:paraId="76F53785" w14:textId="77777777" w:rsidR="00A46BF1" w:rsidRPr="00BB6282" w:rsidRDefault="00A46BF1" w:rsidP="00BB6282">
            <w:pPr>
              <w:spacing w:line="360" w:lineRule="auto"/>
              <w:jc w:val="right"/>
              <w:rPr>
                <w:rFonts w:ascii="Times New Roman" w:eastAsia="宋体" w:hAnsi="Times New Roman" w:cs="Times New Roman"/>
                <w:sz w:val="18"/>
                <w:szCs w:val="18"/>
              </w:rPr>
            </w:pPr>
          </w:p>
        </w:tc>
      </w:tr>
    </w:tbl>
    <w:p w14:paraId="508BDC2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20890CE0" w14:textId="77777777" w:rsidR="00A46BF1" w:rsidRPr="00BB6282" w:rsidRDefault="00A46BF1" w:rsidP="00BB6282">
      <w:pPr>
        <w:spacing w:before="100" w:after="100" w:line="240" w:lineRule="exact"/>
        <w:rPr>
          <w:rFonts w:ascii="宋体" w:eastAsia="宋体" w:hAnsi="宋体" w:cs="宋体"/>
          <w:sz w:val="18"/>
          <w:szCs w:val="18"/>
        </w:rPr>
      </w:pPr>
      <w:r w:rsidRPr="00BB6282">
        <w:rPr>
          <w:rFonts w:ascii="宋体" w:eastAsia="宋体" w:hAnsi="宋体" w:cs="宋体" w:hint="eastAsia"/>
          <w:sz w:val="18"/>
          <w:szCs w:val="18"/>
        </w:rPr>
        <w:t>无</w:t>
      </w:r>
    </w:p>
    <w:p w14:paraId="44BF9EE7" w14:textId="77777777" w:rsidR="00A46BF1" w:rsidRDefault="00A46BF1" w:rsidP="00A46BF1">
      <w:pPr>
        <w:pStyle w:val="3"/>
        <w:spacing w:line="280" w:lineRule="exact"/>
        <w:jc w:val="left"/>
        <w:rPr>
          <w:rFonts w:ascii="宋体" w:hAnsi="宋体" w:cs="宋体"/>
          <w:b/>
          <w:bCs/>
        </w:rPr>
      </w:pPr>
      <w:r>
        <w:rPr>
          <w:rFonts w:ascii="宋体" w:hAnsi="宋体" w:cs="宋体"/>
          <w:b/>
          <w:bCs/>
        </w:rPr>
        <w:t>5、股份支付的修改、终止情况</w:t>
      </w:r>
    </w:p>
    <w:p w14:paraId="063FE03C" w14:textId="77777777" w:rsidR="00A46BF1" w:rsidRPr="00BB6282" w:rsidRDefault="00A46BF1" w:rsidP="00BB6282">
      <w:pPr>
        <w:spacing w:before="100" w:after="100" w:line="240" w:lineRule="exact"/>
        <w:rPr>
          <w:rFonts w:ascii="宋体" w:eastAsia="宋体" w:hAnsi="宋体" w:cs="宋体"/>
          <w:sz w:val="18"/>
          <w:szCs w:val="18"/>
        </w:rPr>
      </w:pPr>
      <w:r w:rsidRPr="00BB6282">
        <w:rPr>
          <w:rFonts w:ascii="宋体" w:eastAsia="宋体" w:hAnsi="宋体" w:cs="宋体" w:hint="eastAsia"/>
          <w:sz w:val="18"/>
          <w:szCs w:val="18"/>
        </w:rPr>
        <w:t>无</w:t>
      </w:r>
    </w:p>
    <w:p w14:paraId="5B8A08E1"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十六、承诺及或有事项</w:t>
      </w:r>
    </w:p>
    <w:p w14:paraId="59838A96" w14:textId="77777777" w:rsidR="00A46BF1" w:rsidRDefault="00A46BF1" w:rsidP="00A46BF1">
      <w:pPr>
        <w:pStyle w:val="3"/>
        <w:spacing w:line="280" w:lineRule="exact"/>
        <w:jc w:val="left"/>
        <w:rPr>
          <w:rFonts w:ascii="宋体" w:hAnsi="宋体" w:cs="宋体"/>
          <w:b/>
          <w:bCs/>
        </w:rPr>
      </w:pPr>
      <w:r>
        <w:rPr>
          <w:rFonts w:ascii="宋体" w:hAnsi="宋体" w:cs="宋体"/>
          <w:b/>
          <w:bCs/>
        </w:rPr>
        <w:t>1、或有事项</w:t>
      </w:r>
    </w:p>
    <w:p w14:paraId="26687715"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资产负债表日存在的重要或有事项</w:t>
      </w:r>
    </w:p>
    <w:p w14:paraId="10AD2B43" w14:textId="7F4509F4"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1</w:t>
      </w:r>
      <w:r w:rsidR="00A83985">
        <w:rPr>
          <w:rFonts w:ascii="Times New Roman" w:hAnsi="Times New Roman" w:cs="Times New Roman" w:hint="eastAsia"/>
          <w:sz w:val="21"/>
          <w:szCs w:val="21"/>
        </w:rPr>
        <w:t>）</w:t>
      </w:r>
      <w:r w:rsidRPr="00A83985">
        <w:rPr>
          <w:rFonts w:ascii="Times New Roman" w:hAnsi="Times New Roman" w:cs="Times New Roman"/>
          <w:sz w:val="21"/>
          <w:szCs w:val="21"/>
        </w:rPr>
        <w:t>E-5</w:t>
      </w:r>
      <w:r w:rsidRPr="00A83985">
        <w:rPr>
          <w:rFonts w:ascii="Times New Roman" w:hAnsi="Times New Roman" w:cs="Times New Roman" w:hint="eastAsia"/>
          <w:sz w:val="21"/>
          <w:szCs w:val="21"/>
        </w:rPr>
        <w:t>召回事项</w:t>
      </w:r>
    </w:p>
    <w:p w14:paraId="5E615984"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2026</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2</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6</w:t>
      </w:r>
      <w:r w:rsidRPr="00A83985">
        <w:rPr>
          <w:rFonts w:ascii="Times New Roman" w:hAnsi="Times New Roman" w:cs="Times New Roman" w:hint="eastAsia"/>
          <w:sz w:val="21"/>
          <w:szCs w:val="21"/>
        </w:rPr>
        <w:t>日，本公司控股子公司</w:t>
      </w:r>
      <w:r w:rsidRPr="00A83985">
        <w:rPr>
          <w:rFonts w:ascii="Times New Roman" w:hAnsi="Times New Roman" w:cs="Times New Roman"/>
          <w:sz w:val="21"/>
          <w:szCs w:val="21"/>
        </w:rPr>
        <w:t>THI</w:t>
      </w:r>
      <w:r w:rsidRPr="00A83985">
        <w:rPr>
          <w:rFonts w:ascii="Times New Roman" w:hAnsi="Times New Roman" w:cs="Times New Roman" w:hint="eastAsia"/>
          <w:sz w:val="21"/>
          <w:szCs w:val="21"/>
        </w:rPr>
        <w:t>启动了一项“紧急医疗器械纠正”（</w:t>
      </w:r>
      <w:r w:rsidRPr="00A83985">
        <w:rPr>
          <w:rFonts w:ascii="Times New Roman" w:hAnsi="Times New Roman" w:cs="Times New Roman"/>
          <w:sz w:val="21"/>
          <w:szCs w:val="21"/>
        </w:rPr>
        <w:t>Urgent Medical Device Correction</w:t>
      </w:r>
      <w:r w:rsidRPr="00A83985">
        <w:rPr>
          <w:rFonts w:ascii="Times New Roman" w:hAnsi="Times New Roman" w:cs="Times New Roman" w:hint="eastAsia"/>
          <w:sz w:val="21"/>
          <w:szCs w:val="21"/>
        </w:rPr>
        <w:t>），涉及对所有</w:t>
      </w:r>
      <w:r w:rsidRPr="00A83985">
        <w:rPr>
          <w:rFonts w:ascii="Times New Roman" w:hAnsi="Times New Roman" w:cs="Times New Roman"/>
          <w:sz w:val="21"/>
          <w:szCs w:val="21"/>
        </w:rPr>
        <w:t xml:space="preserve">True Metrix® </w:t>
      </w:r>
      <w:r w:rsidRPr="00A83985">
        <w:rPr>
          <w:rFonts w:ascii="Times New Roman" w:hAnsi="Times New Roman" w:cs="Times New Roman" w:hint="eastAsia"/>
          <w:sz w:val="21"/>
          <w:szCs w:val="21"/>
        </w:rPr>
        <w:t>品牌血糖监测系统的标签进行更正。此次纠正涉及用户手册</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系统使用说明书以及在线标签和帮助指南中</w:t>
      </w:r>
      <w:r w:rsidRPr="00A83985">
        <w:rPr>
          <w:rFonts w:ascii="Times New Roman" w:hAnsi="Times New Roman" w:cs="Times New Roman"/>
          <w:sz w:val="21"/>
          <w:szCs w:val="21"/>
        </w:rPr>
        <w:t xml:space="preserve"> </w:t>
      </w:r>
      <w:r w:rsidRPr="00A83985">
        <w:rPr>
          <w:rFonts w:ascii="Times New Roman" w:hAnsi="Times New Roman" w:cs="Times New Roman" w:hint="eastAsia"/>
          <w:sz w:val="21"/>
          <w:szCs w:val="21"/>
        </w:rPr>
        <w:t>“信息”（</w:t>
      </w:r>
      <w:r w:rsidRPr="00A83985">
        <w:rPr>
          <w:rFonts w:ascii="Times New Roman" w:hAnsi="Times New Roman" w:cs="Times New Roman"/>
          <w:sz w:val="21"/>
          <w:szCs w:val="21"/>
        </w:rPr>
        <w:t>Message</w:t>
      </w:r>
      <w:r w:rsidRPr="00A83985">
        <w:rPr>
          <w:rFonts w:ascii="Times New Roman" w:hAnsi="Times New Roman" w:cs="Times New Roman" w:hint="eastAsia"/>
          <w:sz w:val="21"/>
          <w:szCs w:val="21"/>
        </w:rPr>
        <w:t>）部分的</w:t>
      </w:r>
      <w:r w:rsidRPr="00A83985">
        <w:rPr>
          <w:rFonts w:ascii="Times New Roman" w:hAnsi="Times New Roman" w:cs="Times New Roman"/>
          <w:sz w:val="21"/>
          <w:szCs w:val="21"/>
        </w:rPr>
        <w:t>E-5</w:t>
      </w:r>
      <w:r w:rsidRPr="00A83985">
        <w:rPr>
          <w:rFonts w:ascii="Times New Roman" w:hAnsi="Times New Roman" w:cs="Times New Roman" w:hint="eastAsia"/>
          <w:sz w:val="21"/>
          <w:szCs w:val="21"/>
        </w:rPr>
        <w:t>错误代码。</w:t>
      </w:r>
      <w:r w:rsidRPr="00A83985">
        <w:rPr>
          <w:rFonts w:ascii="Times New Roman" w:hAnsi="Times New Roman" w:cs="Times New Roman"/>
          <w:sz w:val="21"/>
          <w:szCs w:val="21"/>
        </w:rPr>
        <w:t>THI</w:t>
      </w:r>
      <w:r w:rsidRPr="00A83985">
        <w:rPr>
          <w:rFonts w:ascii="Times New Roman" w:hAnsi="Times New Roman" w:cs="Times New Roman" w:hint="eastAsia"/>
          <w:sz w:val="21"/>
          <w:szCs w:val="21"/>
        </w:rPr>
        <w:t>正在更新</w:t>
      </w:r>
      <w:r w:rsidRPr="00A83985">
        <w:rPr>
          <w:rFonts w:ascii="Times New Roman" w:hAnsi="Times New Roman" w:cs="Times New Roman"/>
          <w:sz w:val="21"/>
          <w:szCs w:val="21"/>
        </w:rPr>
        <w:t>E-5</w:t>
      </w:r>
      <w:r w:rsidRPr="00A83985">
        <w:rPr>
          <w:rFonts w:ascii="Times New Roman" w:hAnsi="Times New Roman" w:cs="Times New Roman" w:hint="eastAsia"/>
          <w:sz w:val="21"/>
          <w:szCs w:val="21"/>
        </w:rPr>
        <w:t>错误代码的处理说明，强调用户在收到</w:t>
      </w:r>
      <w:r w:rsidRPr="00A83985">
        <w:rPr>
          <w:rFonts w:ascii="Times New Roman" w:hAnsi="Times New Roman" w:cs="Times New Roman"/>
          <w:sz w:val="21"/>
          <w:szCs w:val="21"/>
        </w:rPr>
        <w:t>E-5</w:t>
      </w:r>
      <w:r w:rsidRPr="00A83985">
        <w:rPr>
          <w:rFonts w:ascii="Times New Roman" w:hAnsi="Times New Roman" w:cs="Times New Roman" w:hint="eastAsia"/>
          <w:sz w:val="21"/>
          <w:szCs w:val="21"/>
        </w:rPr>
        <w:t>错误代码且伴随高血糖症状时，必须立即就医。</w:t>
      </w:r>
    </w:p>
    <w:p w14:paraId="57B41549"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2026</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2</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17</w:t>
      </w:r>
      <w:r w:rsidRPr="00A83985">
        <w:rPr>
          <w:rFonts w:ascii="Times New Roman" w:hAnsi="Times New Roman" w:cs="Times New Roman" w:hint="eastAsia"/>
          <w:sz w:val="21"/>
          <w:szCs w:val="21"/>
        </w:rPr>
        <w:t>日，美国食品药品监督管理局（</w:t>
      </w:r>
      <w:r w:rsidRPr="00A83985">
        <w:rPr>
          <w:rFonts w:ascii="Times New Roman" w:hAnsi="Times New Roman" w:cs="Times New Roman"/>
          <w:sz w:val="21"/>
          <w:szCs w:val="21"/>
        </w:rPr>
        <w:t>FDA</w:t>
      </w:r>
      <w:r w:rsidRPr="00A83985">
        <w:rPr>
          <w:rFonts w:ascii="Times New Roman" w:hAnsi="Times New Roman" w:cs="Times New Roman" w:hint="eastAsia"/>
          <w:sz w:val="21"/>
          <w:szCs w:val="21"/>
        </w:rPr>
        <w:t>）发布了早期警示（</w:t>
      </w:r>
      <w:r w:rsidRPr="00A83985">
        <w:rPr>
          <w:rFonts w:ascii="Times New Roman" w:hAnsi="Times New Roman" w:cs="Times New Roman"/>
          <w:sz w:val="21"/>
          <w:szCs w:val="21"/>
        </w:rPr>
        <w:t>Early Alert</w:t>
      </w:r>
      <w:r w:rsidRPr="00A83985">
        <w:rPr>
          <w:rFonts w:ascii="Times New Roman" w:hAnsi="Times New Roman" w:cs="Times New Roman" w:hint="eastAsia"/>
          <w:sz w:val="21"/>
          <w:szCs w:val="21"/>
        </w:rPr>
        <w:t>），以向公众通报这一纠正措施。</w:t>
      </w:r>
    </w:p>
    <w:p w14:paraId="32A186C9"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2026</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3</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12</w:t>
      </w:r>
      <w:r w:rsidRPr="00A83985">
        <w:rPr>
          <w:rFonts w:ascii="Times New Roman" w:hAnsi="Times New Roman" w:cs="Times New Roman" w:hint="eastAsia"/>
          <w:sz w:val="21"/>
          <w:szCs w:val="21"/>
        </w:rPr>
        <w:t>日，</w:t>
      </w:r>
      <w:r w:rsidRPr="00A83985">
        <w:rPr>
          <w:rFonts w:ascii="Times New Roman" w:hAnsi="Times New Roman" w:cs="Times New Roman"/>
          <w:sz w:val="21"/>
          <w:szCs w:val="21"/>
        </w:rPr>
        <w:t>FDA</w:t>
      </w:r>
      <w:r w:rsidRPr="00A83985">
        <w:rPr>
          <w:rFonts w:ascii="Times New Roman" w:hAnsi="Times New Roman" w:cs="Times New Roman" w:hint="eastAsia"/>
          <w:sz w:val="21"/>
          <w:szCs w:val="21"/>
        </w:rPr>
        <w:t>将此“紧急医疗器械纠正”认定为一级（</w:t>
      </w:r>
      <w:r w:rsidRPr="00A83985">
        <w:rPr>
          <w:rFonts w:ascii="Times New Roman" w:hAnsi="Times New Roman" w:cs="Times New Roman"/>
          <w:sz w:val="21"/>
          <w:szCs w:val="21"/>
        </w:rPr>
        <w:t>Class I</w:t>
      </w:r>
      <w:r w:rsidRPr="00A83985">
        <w:rPr>
          <w:rFonts w:ascii="Times New Roman" w:hAnsi="Times New Roman" w:cs="Times New Roman" w:hint="eastAsia"/>
          <w:sz w:val="21"/>
          <w:szCs w:val="21"/>
        </w:rPr>
        <w:t>）医疗器械召回，其公布的处置措施与</w:t>
      </w:r>
      <w:r w:rsidRPr="00A83985">
        <w:rPr>
          <w:rFonts w:ascii="Times New Roman" w:hAnsi="Times New Roman" w:cs="Times New Roman"/>
          <w:sz w:val="21"/>
          <w:szCs w:val="21"/>
        </w:rPr>
        <w:t>THI</w:t>
      </w:r>
      <w:r w:rsidRPr="00A83985">
        <w:rPr>
          <w:rFonts w:ascii="Times New Roman" w:hAnsi="Times New Roman" w:cs="Times New Roman" w:hint="eastAsia"/>
          <w:sz w:val="21"/>
          <w:szCs w:val="21"/>
        </w:rPr>
        <w:t>于</w:t>
      </w:r>
      <w:r w:rsidRPr="00A83985">
        <w:rPr>
          <w:rFonts w:ascii="Times New Roman" w:hAnsi="Times New Roman" w:cs="Times New Roman"/>
          <w:sz w:val="21"/>
          <w:szCs w:val="21"/>
        </w:rPr>
        <w:t>2026</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2</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6</w:t>
      </w:r>
      <w:r w:rsidRPr="00A83985">
        <w:rPr>
          <w:rFonts w:ascii="Times New Roman" w:hAnsi="Times New Roman" w:cs="Times New Roman" w:hint="eastAsia"/>
          <w:sz w:val="21"/>
          <w:szCs w:val="21"/>
        </w:rPr>
        <w:t>日发布的纠正通知中所述的措施一致。</w:t>
      </w:r>
    </w:p>
    <w:p w14:paraId="79BC8AC2"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截止本报告日，</w:t>
      </w:r>
      <w:r w:rsidRPr="00A83985">
        <w:rPr>
          <w:rFonts w:ascii="Times New Roman" w:hAnsi="Times New Roman" w:cs="Times New Roman"/>
          <w:sz w:val="21"/>
          <w:szCs w:val="21"/>
        </w:rPr>
        <w:t>THI</w:t>
      </w:r>
      <w:r w:rsidRPr="00A83985">
        <w:rPr>
          <w:rFonts w:ascii="Times New Roman" w:hAnsi="Times New Roman" w:cs="Times New Roman" w:hint="eastAsia"/>
          <w:sz w:val="21"/>
          <w:szCs w:val="21"/>
        </w:rPr>
        <w:t>仍在与</w:t>
      </w:r>
      <w:r w:rsidRPr="00A83985">
        <w:rPr>
          <w:rFonts w:ascii="Times New Roman" w:hAnsi="Times New Roman" w:cs="Times New Roman"/>
          <w:sz w:val="21"/>
          <w:szCs w:val="21"/>
        </w:rPr>
        <w:t>FDA</w:t>
      </w:r>
      <w:r w:rsidRPr="00A83985">
        <w:rPr>
          <w:rFonts w:ascii="Times New Roman" w:hAnsi="Times New Roman" w:cs="Times New Roman" w:hint="eastAsia"/>
          <w:sz w:val="21"/>
          <w:szCs w:val="21"/>
        </w:rPr>
        <w:t>保持积极沟通。目前尚未确定潜在进一步措施的范围。基于当前情况，本公司管理层遵循谨慎性原则，根据最佳估计，在</w:t>
      </w: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财年对与召回相关的成本初步计提了</w:t>
      </w:r>
      <w:r w:rsidRPr="00A83985">
        <w:rPr>
          <w:rFonts w:ascii="Times New Roman" w:hAnsi="Times New Roman" w:cs="Times New Roman"/>
          <w:sz w:val="21"/>
          <w:szCs w:val="21"/>
        </w:rPr>
        <w:t>968</w:t>
      </w:r>
      <w:r w:rsidRPr="00A83985">
        <w:rPr>
          <w:rFonts w:ascii="Times New Roman" w:hAnsi="Times New Roman" w:cs="Times New Roman" w:hint="eastAsia"/>
          <w:sz w:val="21"/>
          <w:szCs w:val="21"/>
        </w:rPr>
        <w:t>万美元（折合人民币约为</w:t>
      </w:r>
      <w:r w:rsidRPr="00A83985">
        <w:rPr>
          <w:rFonts w:ascii="Times New Roman" w:hAnsi="Times New Roman" w:cs="Times New Roman"/>
          <w:sz w:val="21"/>
          <w:szCs w:val="21"/>
        </w:rPr>
        <w:t>6,805</w:t>
      </w:r>
      <w:r w:rsidRPr="00A83985">
        <w:rPr>
          <w:rFonts w:ascii="Times New Roman" w:hAnsi="Times New Roman" w:cs="Times New Roman" w:hint="eastAsia"/>
          <w:sz w:val="21"/>
          <w:szCs w:val="21"/>
        </w:rPr>
        <w:t>万元）。</w:t>
      </w:r>
    </w:p>
    <w:p w14:paraId="51242817" w14:textId="6795F6D2"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w:t>
      </w:r>
      <w:r w:rsidR="00A83985">
        <w:rPr>
          <w:rFonts w:ascii="Times New Roman" w:hAnsi="Times New Roman" w:cs="Times New Roman" w:hint="eastAsia"/>
          <w:sz w:val="21"/>
          <w:szCs w:val="21"/>
        </w:rPr>
        <w:t>）</w:t>
      </w:r>
      <w:r w:rsidRPr="00A83985">
        <w:rPr>
          <w:rFonts w:ascii="Times New Roman" w:hAnsi="Times New Roman" w:cs="Times New Roman" w:hint="eastAsia"/>
          <w:sz w:val="21"/>
          <w:szCs w:val="21"/>
        </w:rPr>
        <w:t>雅培诉讼</w:t>
      </w:r>
    </w:p>
    <w:p w14:paraId="7322DEAF"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7</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4</w:t>
      </w:r>
      <w:r w:rsidRPr="00A83985">
        <w:rPr>
          <w:rFonts w:ascii="Times New Roman" w:hAnsi="Times New Roman" w:cs="Times New Roman" w:hint="eastAsia"/>
          <w:sz w:val="21"/>
          <w:szCs w:val="21"/>
        </w:rPr>
        <w:t>日，</w:t>
      </w:r>
      <w:r w:rsidRPr="00A83985">
        <w:rPr>
          <w:rFonts w:ascii="Times New Roman" w:hAnsi="Times New Roman" w:cs="Times New Roman"/>
          <w:sz w:val="21"/>
          <w:szCs w:val="21"/>
        </w:rPr>
        <w:t>Abbott Diabetes Care Inc.</w:t>
      </w:r>
      <w:r w:rsidRPr="00A83985">
        <w:rPr>
          <w:rFonts w:ascii="Times New Roman" w:hAnsi="Times New Roman" w:cs="Times New Roman" w:hint="eastAsia"/>
          <w:sz w:val="21"/>
          <w:szCs w:val="21"/>
        </w:rPr>
        <w:t>（以下简称</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雅培</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）在海牙</w:t>
      </w:r>
      <w:r w:rsidRPr="00A83985">
        <w:rPr>
          <w:rFonts w:ascii="Times New Roman" w:hAnsi="Times New Roman" w:cs="Times New Roman"/>
          <w:sz w:val="21"/>
          <w:szCs w:val="21"/>
        </w:rPr>
        <w:t>UPC</w:t>
      </w:r>
      <w:r w:rsidRPr="00A83985">
        <w:rPr>
          <w:rFonts w:ascii="Times New Roman" w:hAnsi="Times New Roman" w:cs="Times New Roman" w:hint="eastAsia"/>
          <w:sz w:val="21"/>
          <w:szCs w:val="21"/>
        </w:rPr>
        <w:t>分院，就其欧洲</w:t>
      </w:r>
      <w:r w:rsidRPr="00A83985">
        <w:rPr>
          <w:rFonts w:ascii="Times New Roman" w:hAnsi="Times New Roman" w:cs="Times New Roman"/>
          <w:sz w:val="21"/>
          <w:szCs w:val="21"/>
        </w:rPr>
        <w:t>EPO</w:t>
      </w:r>
      <w:r w:rsidRPr="00A83985">
        <w:rPr>
          <w:rFonts w:ascii="Times New Roman" w:hAnsi="Times New Roman" w:cs="Times New Roman" w:hint="eastAsia"/>
          <w:sz w:val="21"/>
          <w:szCs w:val="21"/>
        </w:rPr>
        <w:t>专利</w:t>
      </w:r>
      <w:r w:rsidRPr="00A83985">
        <w:rPr>
          <w:rFonts w:ascii="Times New Roman" w:hAnsi="Times New Roman" w:cs="Times New Roman"/>
          <w:sz w:val="21"/>
          <w:szCs w:val="21"/>
        </w:rPr>
        <w:t>EP4344633</w:t>
      </w:r>
      <w:r w:rsidRPr="00A83985">
        <w:rPr>
          <w:rFonts w:ascii="Times New Roman" w:hAnsi="Times New Roman" w:cs="Times New Roman" w:hint="eastAsia"/>
          <w:sz w:val="21"/>
          <w:szCs w:val="21"/>
        </w:rPr>
        <w:t>针对</w:t>
      </w:r>
      <w:r w:rsidRPr="00A83985">
        <w:rPr>
          <w:rFonts w:ascii="Times New Roman" w:hAnsi="Times New Roman" w:cs="Times New Roman"/>
          <w:sz w:val="21"/>
          <w:szCs w:val="21"/>
        </w:rPr>
        <w:t>Sinocare Inc.</w:t>
      </w:r>
      <w:r w:rsidRPr="00A83985">
        <w:rPr>
          <w:rFonts w:ascii="Times New Roman" w:hAnsi="Times New Roman" w:cs="Times New Roman" w:hint="eastAsia"/>
          <w:sz w:val="21"/>
          <w:szCs w:val="21"/>
        </w:rPr>
        <w:t>（以下简称</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公司</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）和</w:t>
      </w:r>
      <w:r w:rsidRPr="00A83985">
        <w:rPr>
          <w:rFonts w:ascii="Times New Roman" w:hAnsi="Times New Roman" w:cs="Times New Roman"/>
          <w:sz w:val="21"/>
          <w:szCs w:val="21"/>
        </w:rPr>
        <w:t>A Menarini Diagnostics S.r.l.</w:t>
      </w:r>
      <w:r w:rsidRPr="00A83985">
        <w:rPr>
          <w:rFonts w:ascii="Times New Roman" w:hAnsi="Times New Roman" w:cs="Times New Roman" w:hint="eastAsia"/>
          <w:sz w:val="21"/>
          <w:szCs w:val="21"/>
        </w:rPr>
        <w:t>（以下简称</w:t>
      </w:r>
      <w:r w:rsidRPr="00A83985">
        <w:rPr>
          <w:rFonts w:ascii="Times New Roman" w:hAnsi="Times New Roman" w:cs="Times New Roman"/>
          <w:sz w:val="21"/>
          <w:szCs w:val="21"/>
        </w:rPr>
        <w:t>“Menarini</w:t>
      </w:r>
      <w:r w:rsidRPr="00A83985">
        <w:rPr>
          <w:rFonts w:ascii="Times New Roman" w:hAnsi="Times New Roman" w:cs="Times New Roman" w:hint="eastAsia"/>
          <w:sz w:val="21"/>
          <w:szCs w:val="21"/>
        </w:rPr>
        <w:t>公司</w:t>
      </w:r>
      <w:r w:rsidRPr="00A83985">
        <w:rPr>
          <w:rFonts w:ascii="Times New Roman" w:hAnsi="Times New Roman" w:cs="Times New Roman"/>
          <w:sz w:val="21"/>
          <w:szCs w:val="21"/>
        </w:rPr>
        <w:t>”</w:t>
      </w:r>
      <w:r w:rsidRPr="00A83985">
        <w:rPr>
          <w:rFonts w:ascii="Times New Roman" w:hAnsi="Times New Roman" w:cs="Times New Roman" w:hint="eastAsia"/>
          <w:sz w:val="21"/>
          <w:szCs w:val="21"/>
        </w:rPr>
        <w:t>）提起了临时禁令申请（</w:t>
      </w:r>
      <w:r w:rsidRPr="00A83985">
        <w:rPr>
          <w:rFonts w:ascii="Times New Roman" w:hAnsi="Times New Roman" w:cs="Times New Roman"/>
          <w:sz w:val="21"/>
          <w:szCs w:val="21"/>
        </w:rPr>
        <w:t>Preliminary Injunction, PI</w:t>
      </w:r>
      <w:r w:rsidRPr="00A83985">
        <w:rPr>
          <w:rFonts w:ascii="Times New Roman" w:hAnsi="Times New Roman" w:cs="Times New Roman" w:hint="eastAsia"/>
          <w:sz w:val="21"/>
          <w:szCs w:val="21"/>
        </w:rPr>
        <w:t>）。雅培宣称公司生产的</w:t>
      </w:r>
      <w:r w:rsidRPr="00A83985">
        <w:rPr>
          <w:rFonts w:ascii="Times New Roman" w:hAnsi="Times New Roman" w:cs="Times New Roman"/>
          <w:sz w:val="21"/>
          <w:szCs w:val="21"/>
        </w:rPr>
        <w:t>GlucoMen iCan CGM</w:t>
      </w:r>
      <w:r w:rsidRPr="00A83985">
        <w:rPr>
          <w:rFonts w:ascii="Times New Roman" w:hAnsi="Times New Roman" w:cs="Times New Roman" w:hint="eastAsia"/>
          <w:sz w:val="21"/>
          <w:szCs w:val="21"/>
        </w:rPr>
        <w:t>产品侵犯其专利权。</w:t>
      </w: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9</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3</w:t>
      </w:r>
      <w:r w:rsidRPr="00A83985">
        <w:rPr>
          <w:rFonts w:ascii="Times New Roman" w:hAnsi="Times New Roman" w:cs="Times New Roman" w:hint="eastAsia"/>
          <w:sz w:val="21"/>
          <w:szCs w:val="21"/>
        </w:rPr>
        <w:t>日，海牙</w:t>
      </w:r>
      <w:r w:rsidRPr="00A83985">
        <w:rPr>
          <w:rFonts w:ascii="Times New Roman" w:hAnsi="Times New Roman" w:cs="Times New Roman"/>
          <w:sz w:val="21"/>
          <w:szCs w:val="21"/>
        </w:rPr>
        <w:t>UPC</w:t>
      </w:r>
      <w:r w:rsidRPr="00A83985">
        <w:rPr>
          <w:rFonts w:ascii="Times New Roman" w:hAnsi="Times New Roman" w:cs="Times New Roman" w:hint="eastAsia"/>
          <w:sz w:val="21"/>
          <w:szCs w:val="21"/>
        </w:rPr>
        <w:t>分院开庭审理了申请。</w:t>
      </w: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10</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17</w:t>
      </w:r>
      <w:r w:rsidRPr="00A83985">
        <w:rPr>
          <w:rFonts w:ascii="Times New Roman" w:hAnsi="Times New Roman" w:cs="Times New Roman" w:hint="eastAsia"/>
          <w:sz w:val="21"/>
          <w:szCs w:val="21"/>
        </w:rPr>
        <w:t>日，海牙</w:t>
      </w:r>
      <w:r w:rsidRPr="00A83985">
        <w:rPr>
          <w:rFonts w:ascii="Times New Roman" w:hAnsi="Times New Roman" w:cs="Times New Roman"/>
          <w:sz w:val="21"/>
          <w:szCs w:val="21"/>
        </w:rPr>
        <w:t>UPC</w:t>
      </w:r>
      <w:r w:rsidRPr="00A83985">
        <w:rPr>
          <w:rFonts w:ascii="Times New Roman" w:hAnsi="Times New Roman" w:cs="Times New Roman" w:hint="eastAsia"/>
          <w:sz w:val="21"/>
          <w:szCs w:val="21"/>
        </w:rPr>
        <w:t>分院批准了雅培针对</w:t>
      </w:r>
      <w:r w:rsidRPr="00A83985">
        <w:rPr>
          <w:rFonts w:ascii="Times New Roman" w:hAnsi="Times New Roman" w:cs="Times New Roman"/>
          <w:sz w:val="21"/>
          <w:szCs w:val="21"/>
        </w:rPr>
        <w:t>EP4344633</w:t>
      </w:r>
      <w:r w:rsidRPr="00A83985">
        <w:rPr>
          <w:rFonts w:ascii="Times New Roman" w:hAnsi="Times New Roman" w:cs="Times New Roman" w:hint="eastAsia"/>
          <w:sz w:val="21"/>
          <w:szCs w:val="21"/>
        </w:rPr>
        <w:t>的临时禁令申请。公司提起了上诉。</w:t>
      </w:r>
      <w:r w:rsidRPr="00A83985">
        <w:rPr>
          <w:rFonts w:ascii="Times New Roman" w:hAnsi="Times New Roman" w:cs="Times New Roman"/>
          <w:sz w:val="21"/>
          <w:szCs w:val="21"/>
        </w:rPr>
        <w:t>2026</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3</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30</w:t>
      </w:r>
      <w:r w:rsidRPr="00A83985">
        <w:rPr>
          <w:rFonts w:ascii="Times New Roman" w:hAnsi="Times New Roman" w:cs="Times New Roman" w:hint="eastAsia"/>
          <w:sz w:val="21"/>
          <w:szCs w:val="21"/>
        </w:rPr>
        <w:t>日，</w:t>
      </w:r>
      <w:r w:rsidRPr="00A83985">
        <w:rPr>
          <w:rFonts w:ascii="Times New Roman" w:hAnsi="Times New Roman" w:cs="Times New Roman"/>
          <w:sz w:val="21"/>
          <w:szCs w:val="21"/>
        </w:rPr>
        <w:t>UPC</w:t>
      </w:r>
      <w:r w:rsidRPr="00A83985">
        <w:rPr>
          <w:rFonts w:ascii="Times New Roman" w:hAnsi="Times New Roman" w:cs="Times New Roman" w:hint="eastAsia"/>
          <w:sz w:val="21"/>
          <w:szCs w:val="21"/>
        </w:rPr>
        <w:t>上诉法院作出判决（案件编号：</w:t>
      </w:r>
      <w:r w:rsidRPr="00A83985">
        <w:rPr>
          <w:rFonts w:ascii="Times New Roman" w:hAnsi="Times New Roman" w:cs="Times New Roman"/>
          <w:sz w:val="21"/>
          <w:szCs w:val="21"/>
        </w:rPr>
        <w:t>UPC_CoA_899/2025</w:t>
      </w:r>
      <w:r w:rsidRPr="00A83985">
        <w:rPr>
          <w:rFonts w:ascii="Times New Roman" w:hAnsi="Times New Roman" w:cs="Times New Roman" w:hint="eastAsia"/>
          <w:sz w:val="21"/>
          <w:szCs w:val="21"/>
        </w:rPr>
        <w:t>），驳回公司及</w:t>
      </w:r>
      <w:r w:rsidRPr="00A83985">
        <w:rPr>
          <w:rFonts w:ascii="Times New Roman" w:hAnsi="Times New Roman" w:cs="Times New Roman"/>
          <w:sz w:val="21"/>
          <w:szCs w:val="21"/>
        </w:rPr>
        <w:t>Menarini</w:t>
      </w:r>
      <w:r w:rsidRPr="00A83985">
        <w:rPr>
          <w:rFonts w:ascii="Times New Roman" w:hAnsi="Times New Roman" w:cs="Times New Roman" w:hint="eastAsia"/>
          <w:sz w:val="21"/>
          <w:szCs w:val="21"/>
        </w:rPr>
        <w:t>公司的上诉请求，维持一审法院作出的临时禁令判决，禁止公司及</w:t>
      </w:r>
      <w:r w:rsidRPr="00A83985">
        <w:rPr>
          <w:rFonts w:ascii="Times New Roman" w:hAnsi="Times New Roman" w:cs="Times New Roman"/>
          <w:sz w:val="21"/>
          <w:szCs w:val="21"/>
        </w:rPr>
        <w:t>Menarini</w:t>
      </w:r>
      <w:r w:rsidRPr="00A83985">
        <w:rPr>
          <w:rFonts w:ascii="Times New Roman" w:hAnsi="Times New Roman" w:cs="Times New Roman" w:hint="eastAsia"/>
          <w:sz w:val="21"/>
          <w:szCs w:val="21"/>
        </w:rPr>
        <w:t>公司在</w:t>
      </w:r>
      <w:r w:rsidRPr="00A83985">
        <w:rPr>
          <w:rFonts w:ascii="Times New Roman" w:hAnsi="Times New Roman" w:cs="Times New Roman"/>
          <w:sz w:val="21"/>
          <w:szCs w:val="21"/>
        </w:rPr>
        <w:t>UPC</w:t>
      </w:r>
      <w:r w:rsidRPr="00A83985">
        <w:rPr>
          <w:rFonts w:ascii="Times New Roman" w:hAnsi="Times New Roman" w:cs="Times New Roman" w:hint="eastAsia"/>
          <w:sz w:val="21"/>
          <w:szCs w:val="21"/>
        </w:rPr>
        <w:t>管辖区域内制造、销售、进口或使用</w:t>
      </w:r>
      <w:r w:rsidRPr="00A83985">
        <w:rPr>
          <w:rFonts w:ascii="Times New Roman" w:hAnsi="Times New Roman" w:cs="Times New Roman"/>
          <w:sz w:val="21"/>
          <w:szCs w:val="21"/>
        </w:rPr>
        <w:t>GlucoMeniCan</w:t>
      </w:r>
      <w:r w:rsidRPr="00A83985">
        <w:rPr>
          <w:rFonts w:ascii="Times New Roman" w:hAnsi="Times New Roman" w:cs="Times New Roman" w:hint="eastAsia"/>
          <w:sz w:val="21"/>
          <w:szCs w:val="21"/>
        </w:rPr>
        <w:t>产品。</w:t>
      </w: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11</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17</w:t>
      </w:r>
      <w:r w:rsidRPr="00A83985">
        <w:rPr>
          <w:rFonts w:ascii="Times New Roman" w:hAnsi="Times New Roman" w:cs="Times New Roman" w:hint="eastAsia"/>
          <w:sz w:val="21"/>
          <w:szCs w:val="21"/>
        </w:rPr>
        <w:t>日，雅培在海牙</w:t>
      </w:r>
      <w:r w:rsidRPr="00A83985">
        <w:rPr>
          <w:rFonts w:ascii="Times New Roman" w:hAnsi="Times New Roman" w:cs="Times New Roman"/>
          <w:sz w:val="21"/>
          <w:szCs w:val="21"/>
        </w:rPr>
        <w:t>UPC</w:t>
      </w:r>
      <w:r w:rsidRPr="00A83985">
        <w:rPr>
          <w:rFonts w:ascii="Times New Roman" w:hAnsi="Times New Roman" w:cs="Times New Roman" w:hint="eastAsia"/>
          <w:sz w:val="21"/>
          <w:szCs w:val="21"/>
        </w:rPr>
        <w:t>分院提起了针对</w:t>
      </w:r>
      <w:r w:rsidRPr="00A83985">
        <w:rPr>
          <w:rFonts w:ascii="Times New Roman" w:hAnsi="Times New Roman" w:cs="Times New Roman"/>
          <w:sz w:val="21"/>
          <w:szCs w:val="21"/>
        </w:rPr>
        <w:t>EP4344633</w:t>
      </w:r>
      <w:r w:rsidRPr="00A83985">
        <w:rPr>
          <w:rFonts w:ascii="Times New Roman" w:hAnsi="Times New Roman" w:cs="Times New Roman" w:hint="eastAsia"/>
          <w:sz w:val="21"/>
          <w:szCs w:val="21"/>
        </w:rPr>
        <w:t>的主诉，目前该案件尚未开庭审理。</w:t>
      </w:r>
    </w:p>
    <w:p w14:paraId="1BC5C1BC"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7</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10</w:t>
      </w:r>
      <w:r w:rsidRPr="00A83985">
        <w:rPr>
          <w:rFonts w:ascii="Times New Roman" w:hAnsi="Times New Roman" w:cs="Times New Roman" w:hint="eastAsia"/>
          <w:sz w:val="21"/>
          <w:szCs w:val="21"/>
        </w:rPr>
        <w:t>日雅培在英国专利法院，就其</w:t>
      </w:r>
      <w:r w:rsidRPr="00A83985">
        <w:rPr>
          <w:rFonts w:ascii="Times New Roman" w:hAnsi="Times New Roman" w:cs="Times New Roman"/>
          <w:sz w:val="21"/>
          <w:szCs w:val="21"/>
        </w:rPr>
        <w:t>European Patent (UK) 4344633B1</w:t>
      </w:r>
      <w:r w:rsidRPr="00A83985">
        <w:rPr>
          <w:rFonts w:ascii="Times New Roman" w:hAnsi="Times New Roman" w:cs="Times New Roman" w:hint="eastAsia"/>
          <w:sz w:val="21"/>
          <w:szCs w:val="21"/>
        </w:rPr>
        <w:t>和</w:t>
      </w:r>
      <w:r w:rsidRPr="00A83985">
        <w:rPr>
          <w:rFonts w:ascii="Times New Roman" w:hAnsi="Times New Roman" w:cs="Times New Roman"/>
          <w:sz w:val="21"/>
          <w:szCs w:val="21"/>
        </w:rPr>
        <w:t>European Patent (UK) 3988471B1</w:t>
      </w:r>
      <w:r w:rsidRPr="00A83985">
        <w:rPr>
          <w:rFonts w:ascii="Times New Roman" w:hAnsi="Times New Roman" w:cs="Times New Roman" w:hint="eastAsia"/>
          <w:sz w:val="21"/>
          <w:szCs w:val="21"/>
        </w:rPr>
        <w:t>针对公司提起了诉讼，</w:t>
      </w:r>
      <w:r w:rsidRPr="00A83985">
        <w:rPr>
          <w:rFonts w:ascii="Times New Roman" w:hAnsi="Times New Roman" w:cs="Times New Roman"/>
          <w:sz w:val="21"/>
          <w:szCs w:val="21"/>
        </w:rPr>
        <w:t>2025</w:t>
      </w:r>
      <w:r w:rsidRPr="00A83985">
        <w:rPr>
          <w:rFonts w:ascii="Times New Roman" w:hAnsi="Times New Roman" w:cs="Times New Roman" w:hint="eastAsia"/>
          <w:sz w:val="21"/>
          <w:szCs w:val="21"/>
        </w:rPr>
        <w:t>年</w:t>
      </w:r>
      <w:r w:rsidRPr="00A83985">
        <w:rPr>
          <w:rFonts w:ascii="Times New Roman" w:hAnsi="Times New Roman" w:cs="Times New Roman"/>
          <w:sz w:val="21"/>
          <w:szCs w:val="21"/>
        </w:rPr>
        <w:t>9</w:t>
      </w:r>
      <w:r w:rsidRPr="00A83985">
        <w:rPr>
          <w:rFonts w:ascii="Times New Roman" w:hAnsi="Times New Roman" w:cs="Times New Roman" w:hint="eastAsia"/>
          <w:sz w:val="21"/>
          <w:szCs w:val="21"/>
        </w:rPr>
        <w:t>月</w:t>
      </w:r>
      <w:r w:rsidRPr="00A83985">
        <w:rPr>
          <w:rFonts w:ascii="Times New Roman" w:hAnsi="Times New Roman" w:cs="Times New Roman"/>
          <w:sz w:val="21"/>
          <w:szCs w:val="21"/>
        </w:rPr>
        <w:t>5</w:t>
      </w:r>
      <w:r w:rsidRPr="00A83985">
        <w:rPr>
          <w:rFonts w:ascii="Times New Roman" w:hAnsi="Times New Roman" w:cs="Times New Roman" w:hint="eastAsia"/>
          <w:sz w:val="21"/>
          <w:szCs w:val="21"/>
        </w:rPr>
        <w:t>日双方达成一致，雅培撤回了临时禁令申请，诉讼仍在进展中，目前该案件尚未开庭审理。</w:t>
      </w:r>
    </w:p>
    <w:p w14:paraId="0CA5FAFA"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十七、资产负债表日后事项</w:t>
      </w:r>
    </w:p>
    <w:p w14:paraId="569A0CB4" w14:textId="77777777" w:rsidR="00A46BF1" w:rsidRDefault="00A46BF1" w:rsidP="00A46BF1">
      <w:pPr>
        <w:pStyle w:val="3"/>
        <w:spacing w:line="280" w:lineRule="exact"/>
        <w:jc w:val="left"/>
        <w:rPr>
          <w:rFonts w:ascii="宋体" w:hAnsi="宋体" w:cs="宋体"/>
          <w:b/>
          <w:bCs/>
        </w:rPr>
      </w:pPr>
      <w:r>
        <w:rPr>
          <w:rFonts w:ascii="宋体" w:hAnsi="宋体" w:cs="宋体"/>
          <w:b/>
          <w:bCs/>
        </w:rPr>
        <w:t>1、其他资产负债表日后事项说明</w:t>
      </w:r>
    </w:p>
    <w:p w14:paraId="6EE644F5" w14:textId="77777777" w:rsidR="00A46BF1" w:rsidRPr="00BB6282" w:rsidRDefault="00A46BF1" w:rsidP="00BB6282">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BB6282">
        <w:rPr>
          <w:rFonts w:ascii="Times New Roman" w:hAnsi="Times New Roman" w:cs="Times New Roman" w:hint="eastAsia"/>
          <w:sz w:val="21"/>
          <w:szCs w:val="21"/>
        </w:rPr>
        <w:t>本集团本年无重要的资产负债表日后非调整事项。</w:t>
      </w:r>
    </w:p>
    <w:p w14:paraId="12F0569B"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十八、其他重要事项</w:t>
      </w:r>
    </w:p>
    <w:p w14:paraId="2937257E" w14:textId="77777777" w:rsidR="00A46BF1" w:rsidRDefault="00A46BF1" w:rsidP="00A46BF1">
      <w:pPr>
        <w:pStyle w:val="3"/>
        <w:spacing w:line="280" w:lineRule="exact"/>
        <w:jc w:val="left"/>
        <w:rPr>
          <w:rFonts w:ascii="宋体" w:hAnsi="宋体" w:cs="宋体"/>
          <w:b/>
          <w:bCs/>
        </w:rPr>
      </w:pPr>
      <w:r>
        <w:rPr>
          <w:rFonts w:ascii="宋体" w:hAnsi="宋体" w:cs="宋体"/>
          <w:b/>
          <w:bCs/>
        </w:rPr>
        <w:t>1、其他对投资者决策有影响的重要交易和事项</w:t>
      </w:r>
    </w:p>
    <w:p w14:paraId="43A61A8E" w14:textId="77777777" w:rsidR="00A46BF1" w:rsidRDefault="00A46BF1" w:rsidP="00A46BF1">
      <w:pPr>
        <w:pStyle w:val="3"/>
        <w:spacing w:line="280" w:lineRule="exact"/>
        <w:jc w:val="left"/>
        <w:rPr>
          <w:rFonts w:ascii="宋体" w:hAnsi="宋体" w:cs="宋体"/>
          <w:b/>
          <w:bCs/>
        </w:rPr>
      </w:pPr>
      <w:r>
        <w:rPr>
          <w:rFonts w:ascii="宋体" w:hAnsi="宋体" w:cs="宋体"/>
          <w:b/>
          <w:bCs/>
        </w:rPr>
        <w:t>2、其他</w:t>
      </w:r>
    </w:p>
    <w:p w14:paraId="565593E0" w14:textId="41403CCB"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1</w:t>
      </w:r>
      <w:r>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本集团本年度无前期差错更正事项</w:t>
      </w:r>
    </w:p>
    <w:p w14:paraId="2C16CD7F" w14:textId="759E8C1E"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2</w:t>
      </w:r>
      <w:r>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本集团本年度未发生债务重组</w:t>
      </w:r>
    </w:p>
    <w:p w14:paraId="01D641CE" w14:textId="673CA87C"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3</w:t>
      </w:r>
      <w:r>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本集团本年度未发生资产置换</w:t>
      </w:r>
    </w:p>
    <w:p w14:paraId="13A725F3" w14:textId="12C0163A"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4</w:t>
      </w:r>
      <w:r>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本集团本年度无年金计划</w:t>
      </w:r>
    </w:p>
    <w:p w14:paraId="0E6791E8" w14:textId="66094C90"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5</w:t>
      </w:r>
      <w:r>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本集团本年度未发生终止经营</w:t>
      </w:r>
    </w:p>
    <w:p w14:paraId="3655255B" w14:textId="08991005" w:rsidR="00A46BF1" w:rsidRPr="00A83985" w:rsidRDefault="00A83985"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sz w:val="21"/>
          <w:szCs w:val="21"/>
        </w:rPr>
        <w:t>6</w:t>
      </w:r>
      <w:r>
        <w:rPr>
          <w:rFonts w:ascii="Times New Roman" w:hAnsi="Times New Roman" w:cs="Times New Roman" w:hint="eastAsia"/>
          <w:sz w:val="21"/>
          <w:szCs w:val="21"/>
        </w:rPr>
        <w:t>）</w:t>
      </w:r>
      <w:r w:rsidR="00A46BF1" w:rsidRPr="00A83985">
        <w:rPr>
          <w:rFonts w:ascii="Times New Roman" w:hAnsi="Times New Roman" w:cs="Times New Roman" w:hint="eastAsia"/>
          <w:sz w:val="21"/>
          <w:szCs w:val="21"/>
        </w:rPr>
        <w:t>本集团本年度无其他对投资者决策有影响的重要交易和事项</w:t>
      </w:r>
    </w:p>
    <w:p w14:paraId="7B86F71C"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十九、母公司财务报表主要项目注释</w:t>
      </w:r>
    </w:p>
    <w:p w14:paraId="03C2F253" w14:textId="77777777" w:rsidR="00A46BF1" w:rsidRDefault="00A46BF1" w:rsidP="00A46BF1">
      <w:pPr>
        <w:pStyle w:val="3"/>
        <w:spacing w:line="280" w:lineRule="exact"/>
        <w:jc w:val="left"/>
        <w:rPr>
          <w:rFonts w:ascii="宋体" w:hAnsi="宋体" w:cs="宋体"/>
          <w:b/>
          <w:bCs/>
        </w:rPr>
      </w:pPr>
      <w:r>
        <w:rPr>
          <w:rFonts w:ascii="宋体" w:hAnsi="宋体" w:cs="宋体"/>
          <w:b/>
          <w:bCs/>
        </w:rPr>
        <w:t>1、应收账款</w:t>
      </w:r>
    </w:p>
    <w:p w14:paraId="68D70516"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按账龄披露</w:t>
      </w:r>
    </w:p>
    <w:p w14:paraId="1BEAF9E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77E3422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081F5C0"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4BD90A1"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7624E12" w14:textId="77777777" w:rsidR="00A46BF1" w:rsidRPr="00BB6282" w:rsidRDefault="00A46BF1" w:rsidP="00BB6282">
            <w:pPr>
              <w:spacing w:before="40" w:after="40" w:line="360" w:lineRule="auto"/>
              <w:jc w:val="center"/>
              <w:rPr>
                <w:rFonts w:ascii="Times New Roman" w:eastAsia="宋体" w:hAnsi="Times New Roman" w:cs="Times New Roman"/>
                <w:sz w:val="18"/>
                <w:szCs w:val="18"/>
              </w:rPr>
            </w:pPr>
            <w:r w:rsidRPr="00BB6282">
              <w:rPr>
                <w:rFonts w:ascii="Times New Roman" w:eastAsia="宋体" w:hAnsi="Times New Roman" w:cs="Times New Roman"/>
                <w:sz w:val="18"/>
                <w:szCs w:val="18"/>
              </w:rPr>
              <w:t>期初账面余额</w:t>
            </w:r>
          </w:p>
        </w:tc>
      </w:tr>
      <w:tr w:rsidR="00095F6F" w14:paraId="660F428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54D9B5C"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1</w:t>
            </w:r>
            <w:r w:rsidRPr="00BB6282">
              <w:rPr>
                <w:rFonts w:ascii="Times New Roman" w:eastAsia="宋体" w:hAnsi="Times New Roman" w:cs="Times New Roman"/>
                <w:sz w:val="18"/>
                <w:szCs w:val="18"/>
              </w:rPr>
              <w:t>年以内（含</w:t>
            </w:r>
            <w:r w:rsidRPr="00BB6282">
              <w:rPr>
                <w:rFonts w:ascii="Times New Roman" w:eastAsia="宋体" w:hAnsi="Times New Roman" w:cs="Times New Roman"/>
                <w:sz w:val="18"/>
                <w:szCs w:val="18"/>
              </w:rPr>
              <w:t>1</w:t>
            </w:r>
            <w:r w:rsidRPr="00BB6282">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D4DF960"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296,428,898.23</w:t>
            </w:r>
          </w:p>
        </w:tc>
        <w:tc>
          <w:tcPr>
            <w:tcW w:w="3213" w:type="dxa"/>
            <w:tcBorders>
              <w:top w:val="single" w:sz="2" w:space="0" w:color="auto"/>
              <w:left w:val="single" w:sz="2" w:space="0" w:color="auto"/>
              <w:bottom w:val="single" w:sz="2" w:space="0" w:color="auto"/>
              <w:right w:val="single" w:sz="2" w:space="0" w:color="auto"/>
            </w:tcBorders>
            <w:vAlign w:val="center"/>
          </w:tcPr>
          <w:p w14:paraId="3364D9BA"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436,112,167.00</w:t>
            </w:r>
          </w:p>
        </w:tc>
      </w:tr>
      <w:tr w:rsidR="00095F6F" w14:paraId="09549B6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884F20B"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1</w:t>
            </w:r>
            <w:r w:rsidRPr="00BB6282">
              <w:rPr>
                <w:rFonts w:ascii="Times New Roman" w:eastAsia="宋体" w:hAnsi="Times New Roman" w:cs="Times New Roman"/>
                <w:sz w:val="18"/>
                <w:szCs w:val="18"/>
              </w:rPr>
              <w:t>至</w:t>
            </w:r>
            <w:r w:rsidRPr="00BB6282">
              <w:rPr>
                <w:rFonts w:ascii="Times New Roman" w:eastAsia="宋体" w:hAnsi="Times New Roman" w:cs="Times New Roman"/>
                <w:sz w:val="18"/>
                <w:szCs w:val="18"/>
              </w:rPr>
              <w:t>2</w:t>
            </w:r>
            <w:r w:rsidRPr="00BB6282">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F466257"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9,740,541.41</w:t>
            </w:r>
          </w:p>
        </w:tc>
        <w:tc>
          <w:tcPr>
            <w:tcW w:w="3213" w:type="dxa"/>
            <w:tcBorders>
              <w:top w:val="single" w:sz="2" w:space="0" w:color="auto"/>
              <w:left w:val="single" w:sz="2" w:space="0" w:color="auto"/>
              <w:bottom w:val="single" w:sz="2" w:space="0" w:color="auto"/>
              <w:right w:val="single" w:sz="2" w:space="0" w:color="auto"/>
            </w:tcBorders>
            <w:vAlign w:val="center"/>
          </w:tcPr>
          <w:p w14:paraId="2A379559"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4,743,893.97</w:t>
            </w:r>
          </w:p>
        </w:tc>
      </w:tr>
      <w:tr w:rsidR="00095F6F" w14:paraId="22D71A7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ECF2881"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2</w:t>
            </w:r>
            <w:r w:rsidRPr="00BB6282">
              <w:rPr>
                <w:rFonts w:ascii="Times New Roman" w:eastAsia="宋体" w:hAnsi="Times New Roman" w:cs="Times New Roman"/>
                <w:sz w:val="18"/>
                <w:szCs w:val="18"/>
              </w:rPr>
              <w:t>至</w:t>
            </w:r>
            <w:r w:rsidRPr="00BB6282">
              <w:rPr>
                <w:rFonts w:ascii="Times New Roman" w:eastAsia="宋体" w:hAnsi="Times New Roman" w:cs="Times New Roman"/>
                <w:sz w:val="18"/>
                <w:szCs w:val="18"/>
              </w:rPr>
              <w:t>3</w:t>
            </w:r>
            <w:r w:rsidRPr="00BB6282">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5C51AF82"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1,024,643.91</w:t>
            </w:r>
          </w:p>
        </w:tc>
        <w:tc>
          <w:tcPr>
            <w:tcW w:w="3213" w:type="dxa"/>
            <w:tcBorders>
              <w:top w:val="single" w:sz="2" w:space="0" w:color="auto"/>
              <w:left w:val="single" w:sz="2" w:space="0" w:color="auto"/>
              <w:bottom w:val="single" w:sz="2" w:space="0" w:color="auto"/>
              <w:right w:val="single" w:sz="2" w:space="0" w:color="auto"/>
            </w:tcBorders>
            <w:vAlign w:val="center"/>
          </w:tcPr>
          <w:p w14:paraId="44C6F57A"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5,602,544.44</w:t>
            </w:r>
          </w:p>
        </w:tc>
      </w:tr>
      <w:tr w:rsidR="00095F6F" w14:paraId="22084BA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44059A6"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3</w:t>
            </w:r>
            <w:r w:rsidRPr="00BB6282">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73BC2039"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176,560,425.73</w:t>
            </w:r>
          </w:p>
        </w:tc>
        <w:tc>
          <w:tcPr>
            <w:tcW w:w="3213" w:type="dxa"/>
            <w:tcBorders>
              <w:top w:val="single" w:sz="2" w:space="0" w:color="auto"/>
              <w:left w:val="single" w:sz="2" w:space="0" w:color="auto"/>
              <w:bottom w:val="single" w:sz="2" w:space="0" w:color="auto"/>
              <w:right w:val="single" w:sz="2" w:space="0" w:color="auto"/>
            </w:tcBorders>
            <w:vAlign w:val="center"/>
          </w:tcPr>
          <w:p w14:paraId="132D32A1"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169,885,099.79</w:t>
            </w:r>
          </w:p>
        </w:tc>
      </w:tr>
      <w:tr w:rsidR="00095F6F" w14:paraId="4DFCCDA3"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C2A9D4C" w14:textId="77777777" w:rsidR="00A46BF1" w:rsidRPr="00BB6282" w:rsidRDefault="00A46BF1" w:rsidP="00BB6282">
            <w:pPr>
              <w:spacing w:before="40" w:after="40" w:line="360" w:lineRule="auto"/>
              <w:ind w:firstLineChars="200" w:firstLine="360"/>
              <w:rPr>
                <w:rFonts w:ascii="Times New Roman" w:eastAsia="宋体" w:hAnsi="Times New Roman" w:cs="Times New Roman"/>
                <w:sz w:val="18"/>
                <w:szCs w:val="18"/>
              </w:rPr>
            </w:pPr>
            <w:r w:rsidRPr="00BB6282">
              <w:rPr>
                <w:rFonts w:ascii="Times New Roman" w:eastAsia="宋体" w:hAnsi="Times New Roman" w:cs="Times New Roman"/>
                <w:sz w:val="18"/>
                <w:szCs w:val="18"/>
              </w:rPr>
              <w:t>3</w:t>
            </w:r>
            <w:r w:rsidRPr="00BB6282">
              <w:rPr>
                <w:rFonts w:ascii="Times New Roman" w:eastAsia="宋体" w:hAnsi="Times New Roman" w:cs="Times New Roman"/>
                <w:sz w:val="18"/>
                <w:szCs w:val="18"/>
              </w:rPr>
              <w:t>至</w:t>
            </w:r>
            <w:r w:rsidRPr="00BB6282">
              <w:rPr>
                <w:rFonts w:ascii="Times New Roman" w:eastAsia="宋体" w:hAnsi="Times New Roman" w:cs="Times New Roman"/>
                <w:sz w:val="18"/>
                <w:szCs w:val="18"/>
              </w:rPr>
              <w:t>4</w:t>
            </w:r>
            <w:r w:rsidRPr="00BB6282">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9E132D0"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4,666,857.22</w:t>
            </w:r>
          </w:p>
        </w:tc>
        <w:tc>
          <w:tcPr>
            <w:tcW w:w="3213" w:type="dxa"/>
            <w:tcBorders>
              <w:top w:val="single" w:sz="2" w:space="0" w:color="auto"/>
              <w:left w:val="single" w:sz="2" w:space="0" w:color="auto"/>
              <w:bottom w:val="single" w:sz="2" w:space="0" w:color="auto"/>
              <w:right w:val="single" w:sz="2" w:space="0" w:color="auto"/>
            </w:tcBorders>
            <w:vAlign w:val="center"/>
          </w:tcPr>
          <w:p w14:paraId="4F675D55"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1,181,468.99</w:t>
            </w:r>
          </w:p>
        </w:tc>
      </w:tr>
      <w:tr w:rsidR="00095F6F" w14:paraId="5089BB5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B4C5EB9" w14:textId="77777777" w:rsidR="00A46BF1" w:rsidRPr="00BB6282" w:rsidRDefault="00A46BF1" w:rsidP="00BB6282">
            <w:pPr>
              <w:spacing w:before="40" w:after="40" w:line="360" w:lineRule="auto"/>
              <w:ind w:firstLineChars="200" w:firstLine="360"/>
              <w:rPr>
                <w:rFonts w:ascii="Times New Roman" w:eastAsia="宋体" w:hAnsi="Times New Roman" w:cs="Times New Roman"/>
                <w:sz w:val="18"/>
                <w:szCs w:val="18"/>
              </w:rPr>
            </w:pPr>
            <w:r w:rsidRPr="00BB6282">
              <w:rPr>
                <w:rFonts w:ascii="Times New Roman" w:eastAsia="宋体" w:hAnsi="Times New Roman" w:cs="Times New Roman"/>
                <w:sz w:val="18"/>
                <w:szCs w:val="18"/>
              </w:rPr>
              <w:t>4</w:t>
            </w:r>
            <w:r w:rsidRPr="00BB6282">
              <w:rPr>
                <w:rFonts w:ascii="Times New Roman" w:eastAsia="宋体" w:hAnsi="Times New Roman" w:cs="Times New Roman"/>
                <w:sz w:val="18"/>
                <w:szCs w:val="18"/>
              </w:rPr>
              <w:t>至</w:t>
            </w:r>
            <w:r w:rsidRPr="00BB6282">
              <w:rPr>
                <w:rFonts w:ascii="Times New Roman" w:eastAsia="宋体" w:hAnsi="Times New Roman" w:cs="Times New Roman"/>
                <w:sz w:val="18"/>
                <w:szCs w:val="18"/>
              </w:rPr>
              <w:t>5</w:t>
            </w:r>
            <w:r w:rsidRPr="00BB6282">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4BDAACE8"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965,872.99</w:t>
            </w:r>
          </w:p>
        </w:tc>
        <w:tc>
          <w:tcPr>
            <w:tcW w:w="3213" w:type="dxa"/>
            <w:tcBorders>
              <w:top w:val="single" w:sz="2" w:space="0" w:color="auto"/>
              <w:left w:val="single" w:sz="2" w:space="0" w:color="auto"/>
              <w:bottom w:val="single" w:sz="2" w:space="0" w:color="auto"/>
              <w:right w:val="single" w:sz="2" w:space="0" w:color="auto"/>
            </w:tcBorders>
            <w:vAlign w:val="center"/>
          </w:tcPr>
          <w:p w14:paraId="1F2827FC"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11,750,438.89</w:t>
            </w:r>
          </w:p>
        </w:tc>
      </w:tr>
      <w:tr w:rsidR="00095F6F" w14:paraId="11B091A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9D77FD" w14:textId="77777777" w:rsidR="00A46BF1" w:rsidRPr="00BB6282" w:rsidRDefault="00A46BF1" w:rsidP="00BB6282">
            <w:pPr>
              <w:spacing w:before="40" w:after="40" w:line="360" w:lineRule="auto"/>
              <w:ind w:firstLineChars="200" w:firstLine="360"/>
              <w:rPr>
                <w:rFonts w:ascii="Times New Roman" w:eastAsia="宋体" w:hAnsi="Times New Roman" w:cs="Times New Roman"/>
                <w:sz w:val="18"/>
                <w:szCs w:val="18"/>
              </w:rPr>
            </w:pPr>
            <w:r w:rsidRPr="00BB6282">
              <w:rPr>
                <w:rFonts w:ascii="Times New Roman" w:eastAsia="宋体" w:hAnsi="Times New Roman" w:cs="Times New Roman"/>
                <w:sz w:val="18"/>
                <w:szCs w:val="18"/>
              </w:rPr>
              <w:t>5</w:t>
            </w:r>
            <w:r w:rsidRPr="00BB6282">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2410EBB8"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170,927,695.52</w:t>
            </w:r>
          </w:p>
        </w:tc>
        <w:tc>
          <w:tcPr>
            <w:tcW w:w="3213" w:type="dxa"/>
            <w:tcBorders>
              <w:top w:val="single" w:sz="2" w:space="0" w:color="auto"/>
              <w:left w:val="single" w:sz="2" w:space="0" w:color="auto"/>
              <w:bottom w:val="single" w:sz="2" w:space="0" w:color="auto"/>
              <w:right w:val="single" w:sz="2" w:space="0" w:color="auto"/>
            </w:tcBorders>
            <w:vAlign w:val="center"/>
          </w:tcPr>
          <w:p w14:paraId="382FBE45"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156,953,191.91</w:t>
            </w:r>
          </w:p>
        </w:tc>
      </w:tr>
      <w:tr w:rsidR="00095F6F" w14:paraId="1148365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410A1DA" w14:textId="77777777" w:rsidR="00A46BF1" w:rsidRPr="00BB6282" w:rsidRDefault="00A46BF1" w:rsidP="00BB6282">
            <w:pPr>
              <w:spacing w:before="40" w:after="40" w:line="360" w:lineRule="auto"/>
              <w:rPr>
                <w:rFonts w:ascii="Times New Roman" w:eastAsia="宋体" w:hAnsi="Times New Roman" w:cs="Times New Roman"/>
                <w:sz w:val="18"/>
                <w:szCs w:val="18"/>
              </w:rPr>
            </w:pPr>
            <w:r w:rsidRPr="00BB6282">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0D1DD9BA"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483,754,509.28</w:t>
            </w:r>
          </w:p>
        </w:tc>
        <w:tc>
          <w:tcPr>
            <w:tcW w:w="3213" w:type="dxa"/>
            <w:tcBorders>
              <w:top w:val="single" w:sz="2" w:space="0" w:color="auto"/>
              <w:left w:val="single" w:sz="2" w:space="0" w:color="auto"/>
              <w:bottom w:val="single" w:sz="2" w:space="0" w:color="auto"/>
              <w:right w:val="single" w:sz="2" w:space="0" w:color="auto"/>
            </w:tcBorders>
            <w:vAlign w:val="center"/>
          </w:tcPr>
          <w:p w14:paraId="4D366A85" w14:textId="77777777" w:rsidR="00A46BF1" w:rsidRPr="00BB6282" w:rsidRDefault="00A46BF1" w:rsidP="00BB6282">
            <w:pPr>
              <w:spacing w:line="360" w:lineRule="auto"/>
              <w:jc w:val="right"/>
              <w:rPr>
                <w:rFonts w:ascii="Times New Roman" w:eastAsia="宋体" w:hAnsi="Times New Roman" w:cs="Times New Roman"/>
                <w:sz w:val="18"/>
                <w:szCs w:val="18"/>
              </w:rPr>
            </w:pPr>
            <w:r w:rsidRPr="00BB6282">
              <w:rPr>
                <w:rFonts w:ascii="Times New Roman" w:eastAsia="宋体" w:hAnsi="Times New Roman" w:cs="Times New Roman"/>
                <w:sz w:val="18"/>
                <w:szCs w:val="18"/>
              </w:rPr>
              <w:t>616,343,705.20</w:t>
            </w:r>
          </w:p>
        </w:tc>
      </w:tr>
    </w:tbl>
    <w:p w14:paraId="3464C0B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按坏账计提方法分类披露</w:t>
      </w:r>
    </w:p>
    <w:p w14:paraId="1840FA87"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095F6F" w14:paraId="00D75037" w14:textId="77777777" w:rsidTr="003E5998">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FD7D7AD"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679B806"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695B683"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期初余额</w:t>
            </w:r>
          </w:p>
        </w:tc>
      </w:tr>
      <w:tr w:rsidR="00095F6F" w14:paraId="5B1C8881" w14:textId="77777777" w:rsidTr="003E5998">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931F34D" w14:textId="77777777" w:rsidR="00A46BF1" w:rsidRPr="003E5998" w:rsidRDefault="00A46BF1" w:rsidP="003E5998">
            <w:pPr>
              <w:spacing w:line="360" w:lineRule="auto"/>
              <w:rPr>
                <w:rFonts w:ascii="Times New Roman" w:hAnsi="Times New Roman" w:cs="Times New Roman"/>
                <w:sz w:val="13"/>
                <w:szCs w:val="13"/>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C4F9E38"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575D4F7"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477BCB4"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608F2F56"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017F04C"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16A8FB0"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账面价值</w:t>
            </w:r>
          </w:p>
        </w:tc>
      </w:tr>
      <w:tr w:rsidR="00095F6F" w14:paraId="52667BED" w14:textId="77777777" w:rsidTr="003E5998">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28B26B34"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FC76382"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F416636"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AFB2CB7"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0EF2F23"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2F03691"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46A453F"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BEF634B"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9C1132F"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F09AADF" w14:textId="77777777" w:rsidR="00A46BF1" w:rsidRPr="003E5998" w:rsidRDefault="00A46BF1" w:rsidP="003E5998">
            <w:pPr>
              <w:spacing w:before="40" w:after="40" w:line="360" w:lineRule="auto"/>
              <w:jc w:val="center"/>
              <w:rPr>
                <w:rFonts w:ascii="Times New Roman" w:eastAsia="宋体" w:hAnsi="Times New Roman" w:cs="Times New Roman"/>
                <w:sz w:val="13"/>
                <w:szCs w:val="13"/>
              </w:rPr>
            </w:pPr>
            <w:r w:rsidRPr="003E5998">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0ECFAB6" w14:textId="77777777" w:rsidR="00A46BF1" w:rsidRPr="003E5998" w:rsidRDefault="00A46BF1" w:rsidP="003E5998">
            <w:pPr>
              <w:spacing w:line="360" w:lineRule="auto"/>
              <w:rPr>
                <w:rFonts w:ascii="Times New Roman" w:hAnsi="Times New Roman" w:cs="Times New Roman"/>
                <w:sz w:val="13"/>
                <w:szCs w:val="13"/>
              </w:rPr>
            </w:pPr>
          </w:p>
        </w:tc>
      </w:tr>
      <w:tr w:rsidR="00095F6F" w14:paraId="4CB603C0"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414DDC0" w14:textId="77777777" w:rsidR="00A46BF1" w:rsidRPr="003E5998" w:rsidRDefault="00A46BF1" w:rsidP="003E5998">
            <w:pPr>
              <w:spacing w:before="40" w:after="40" w:line="360" w:lineRule="auto"/>
              <w:rPr>
                <w:rFonts w:ascii="Times New Roman" w:eastAsia="宋体" w:hAnsi="Times New Roman" w:cs="Times New Roman"/>
                <w:sz w:val="13"/>
                <w:szCs w:val="13"/>
              </w:rPr>
            </w:pPr>
            <w:r w:rsidRPr="003E5998">
              <w:rPr>
                <w:rFonts w:ascii="Times New Roman" w:eastAsia="宋体" w:hAnsi="Times New Roman" w:cs="Times New Roman"/>
                <w:sz w:val="13"/>
                <w:szCs w:val="13"/>
              </w:rPr>
              <w:t>按单项计提坏账准备的应收账款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0F8BED03"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174,859,266.03</w:t>
            </w:r>
          </w:p>
        </w:tc>
        <w:tc>
          <w:tcPr>
            <w:tcW w:w="876" w:type="dxa"/>
            <w:tcBorders>
              <w:top w:val="single" w:sz="2" w:space="0" w:color="auto"/>
              <w:left w:val="single" w:sz="2" w:space="0" w:color="auto"/>
              <w:bottom w:val="single" w:sz="2" w:space="0" w:color="auto"/>
              <w:right w:val="single" w:sz="2" w:space="0" w:color="auto"/>
            </w:tcBorders>
            <w:vAlign w:val="center"/>
          </w:tcPr>
          <w:p w14:paraId="061052E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36.15%</w:t>
            </w:r>
          </w:p>
        </w:tc>
        <w:tc>
          <w:tcPr>
            <w:tcW w:w="876" w:type="dxa"/>
            <w:tcBorders>
              <w:top w:val="single" w:sz="2" w:space="0" w:color="auto"/>
              <w:left w:val="single" w:sz="2" w:space="0" w:color="auto"/>
              <w:bottom w:val="single" w:sz="2" w:space="0" w:color="auto"/>
              <w:right w:val="single" w:sz="2" w:space="0" w:color="auto"/>
            </w:tcBorders>
            <w:vAlign w:val="center"/>
          </w:tcPr>
          <w:p w14:paraId="3B490DFB"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174,859,266.03</w:t>
            </w:r>
          </w:p>
        </w:tc>
        <w:tc>
          <w:tcPr>
            <w:tcW w:w="876" w:type="dxa"/>
            <w:tcBorders>
              <w:top w:val="single" w:sz="2" w:space="0" w:color="auto"/>
              <w:left w:val="single" w:sz="2" w:space="0" w:color="auto"/>
              <w:bottom w:val="single" w:sz="2" w:space="0" w:color="auto"/>
              <w:right w:val="single" w:sz="2" w:space="0" w:color="auto"/>
            </w:tcBorders>
            <w:vAlign w:val="center"/>
          </w:tcPr>
          <w:p w14:paraId="7CAA3A82"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299395BF" w14:textId="77777777" w:rsidR="00A46BF1" w:rsidRPr="003E5998" w:rsidRDefault="00A46BF1" w:rsidP="003E5998">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1DE4986E"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172,635,201.30</w:t>
            </w:r>
          </w:p>
        </w:tc>
        <w:tc>
          <w:tcPr>
            <w:tcW w:w="876" w:type="dxa"/>
            <w:tcBorders>
              <w:top w:val="single" w:sz="2" w:space="0" w:color="auto"/>
              <w:left w:val="single" w:sz="2" w:space="0" w:color="auto"/>
              <w:bottom w:val="single" w:sz="2" w:space="0" w:color="auto"/>
              <w:right w:val="single" w:sz="2" w:space="0" w:color="auto"/>
            </w:tcBorders>
            <w:vAlign w:val="center"/>
          </w:tcPr>
          <w:p w14:paraId="65B877D8"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28.01%</w:t>
            </w:r>
          </w:p>
        </w:tc>
        <w:tc>
          <w:tcPr>
            <w:tcW w:w="876" w:type="dxa"/>
            <w:tcBorders>
              <w:top w:val="single" w:sz="2" w:space="0" w:color="auto"/>
              <w:left w:val="single" w:sz="2" w:space="0" w:color="auto"/>
              <w:bottom w:val="single" w:sz="2" w:space="0" w:color="auto"/>
              <w:right w:val="single" w:sz="2" w:space="0" w:color="auto"/>
            </w:tcBorders>
            <w:vAlign w:val="center"/>
          </w:tcPr>
          <w:p w14:paraId="70DA8909"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172,635,201.30</w:t>
            </w:r>
          </w:p>
        </w:tc>
        <w:tc>
          <w:tcPr>
            <w:tcW w:w="876" w:type="dxa"/>
            <w:tcBorders>
              <w:top w:val="single" w:sz="2" w:space="0" w:color="auto"/>
              <w:left w:val="single" w:sz="2" w:space="0" w:color="auto"/>
              <w:bottom w:val="single" w:sz="2" w:space="0" w:color="auto"/>
              <w:right w:val="single" w:sz="2" w:space="0" w:color="auto"/>
            </w:tcBorders>
            <w:vAlign w:val="center"/>
          </w:tcPr>
          <w:p w14:paraId="0AC809DF"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372F5D32" w14:textId="77777777" w:rsidR="00A46BF1" w:rsidRPr="003E5998" w:rsidRDefault="00A46BF1" w:rsidP="003E5998">
            <w:pPr>
              <w:spacing w:line="360" w:lineRule="auto"/>
              <w:jc w:val="right"/>
              <w:rPr>
                <w:rFonts w:ascii="Times New Roman" w:eastAsia="宋体" w:hAnsi="Times New Roman" w:cs="Times New Roman"/>
                <w:sz w:val="13"/>
                <w:szCs w:val="13"/>
              </w:rPr>
            </w:pPr>
          </w:p>
        </w:tc>
      </w:tr>
      <w:tr w:rsidR="00095F6F" w14:paraId="01CA3033"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2A53434" w14:textId="77777777" w:rsidR="00A46BF1" w:rsidRPr="003E5998" w:rsidRDefault="00A46BF1" w:rsidP="003E5998">
            <w:pPr>
              <w:spacing w:before="40" w:after="40" w:line="360" w:lineRule="auto"/>
              <w:ind w:firstLineChars="100" w:firstLine="130"/>
              <w:rPr>
                <w:rFonts w:ascii="Times New Roman" w:eastAsia="宋体" w:hAnsi="Times New Roman" w:cs="Times New Roman"/>
                <w:sz w:val="13"/>
                <w:szCs w:val="13"/>
              </w:rPr>
            </w:pPr>
            <w:r w:rsidRPr="003E5998">
              <w:rPr>
                <w:rFonts w:ascii="Times New Roman" w:eastAsia="宋体" w:hAnsi="Times New Roman" w:cs="Times New Roman"/>
                <w:sz w:val="13"/>
                <w:szCs w:val="13"/>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6D08403"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86527C0"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BB2E796"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96B42A0"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2E7EBDD"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6503AF4"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EF268EC"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4B00E1B"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11A22FD"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2BCFD16" w14:textId="77777777" w:rsidR="00A46BF1" w:rsidRPr="003E5998" w:rsidRDefault="00A46BF1" w:rsidP="003E5998">
            <w:pPr>
              <w:spacing w:line="360" w:lineRule="auto"/>
              <w:rPr>
                <w:rFonts w:ascii="Times New Roman" w:hAnsi="Times New Roman" w:cs="Times New Roman"/>
                <w:sz w:val="13"/>
                <w:szCs w:val="13"/>
              </w:rPr>
            </w:pPr>
          </w:p>
        </w:tc>
      </w:tr>
      <w:tr w:rsidR="00095F6F" w14:paraId="7474173E"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3D9B504C" w14:textId="77777777" w:rsidR="00A46BF1" w:rsidRPr="003E5998" w:rsidRDefault="00A46BF1" w:rsidP="003E5998">
            <w:pPr>
              <w:spacing w:before="40" w:after="40" w:line="360" w:lineRule="auto"/>
              <w:rPr>
                <w:rFonts w:ascii="Times New Roman" w:eastAsia="宋体" w:hAnsi="Times New Roman" w:cs="Times New Roman"/>
                <w:sz w:val="13"/>
                <w:szCs w:val="13"/>
              </w:rPr>
            </w:pPr>
            <w:r w:rsidRPr="003E5998">
              <w:rPr>
                <w:rFonts w:ascii="Times New Roman" w:eastAsia="宋体" w:hAnsi="Times New Roman" w:cs="Times New Roman"/>
                <w:sz w:val="13"/>
                <w:szCs w:val="13"/>
              </w:rPr>
              <w:t>按组合计提坏账准备的应收账款</w:t>
            </w:r>
          </w:p>
        </w:tc>
        <w:tc>
          <w:tcPr>
            <w:tcW w:w="876" w:type="dxa"/>
            <w:tcBorders>
              <w:top w:val="single" w:sz="2" w:space="0" w:color="auto"/>
              <w:left w:val="single" w:sz="2" w:space="0" w:color="auto"/>
              <w:bottom w:val="single" w:sz="2" w:space="0" w:color="auto"/>
              <w:right w:val="single" w:sz="2" w:space="0" w:color="auto"/>
            </w:tcBorders>
            <w:vAlign w:val="center"/>
          </w:tcPr>
          <w:p w14:paraId="0A644EF3"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308,895,243.25</w:t>
            </w:r>
          </w:p>
        </w:tc>
        <w:tc>
          <w:tcPr>
            <w:tcW w:w="876" w:type="dxa"/>
            <w:tcBorders>
              <w:top w:val="single" w:sz="2" w:space="0" w:color="auto"/>
              <w:left w:val="single" w:sz="2" w:space="0" w:color="auto"/>
              <w:bottom w:val="single" w:sz="2" w:space="0" w:color="auto"/>
              <w:right w:val="single" w:sz="2" w:space="0" w:color="auto"/>
            </w:tcBorders>
            <w:vAlign w:val="center"/>
          </w:tcPr>
          <w:p w14:paraId="453583DD"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63.85%</w:t>
            </w:r>
          </w:p>
        </w:tc>
        <w:tc>
          <w:tcPr>
            <w:tcW w:w="876" w:type="dxa"/>
            <w:tcBorders>
              <w:top w:val="single" w:sz="2" w:space="0" w:color="auto"/>
              <w:left w:val="single" w:sz="2" w:space="0" w:color="auto"/>
              <w:bottom w:val="single" w:sz="2" w:space="0" w:color="auto"/>
              <w:right w:val="single" w:sz="2" w:space="0" w:color="auto"/>
            </w:tcBorders>
            <w:vAlign w:val="center"/>
          </w:tcPr>
          <w:p w14:paraId="311088FB"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14,504,090.52</w:t>
            </w:r>
          </w:p>
        </w:tc>
        <w:tc>
          <w:tcPr>
            <w:tcW w:w="876" w:type="dxa"/>
            <w:tcBorders>
              <w:top w:val="single" w:sz="2" w:space="0" w:color="auto"/>
              <w:left w:val="single" w:sz="2" w:space="0" w:color="auto"/>
              <w:bottom w:val="single" w:sz="2" w:space="0" w:color="auto"/>
              <w:right w:val="single" w:sz="2" w:space="0" w:color="auto"/>
            </w:tcBorders>
            <w:vAlign w:val="center"/>
          </w:tcPr>
          <w:p w14:paraId="6263DAE6"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4.70%</w:t>
            </w:r>
          </w:p>
        </w:tc>
        <w:tc>
          <w:tcPr>
            <w:tcW w:w="876" w:type="dxa"/>
            <w:tcBorders>
              <w:top w:val="single" w:sz="2" w:space="0" w:color="auto"/>
              <w:left w:val="single" w:sz="2" w:space="0" w:color="auto"/>
              <w:bottom w:val="single" w:sz="2" w:space="0" w:color="auto"/>
              <w:right w:val="single" w:sz="2" w:space="0" w:color="auto"/>
            </w:tcBorders>
            <w:vAlign w:val="center"/>
          </w:tcPr>
          <w:p w14:paraId="2BD1A1F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294,391,152.73</w:t>
            </w:r>
          </w:p>
        </w:tc>
        <w:tc>
          <w:tcPr>
            <w:tcW w:w="876" w:type="dxa"/>
            <w:tcBorders>
              <w:top w:val="single" w:sz="2" w:space="0" w:color="auto"/>
              <w:left w:val="single" w:sz="2" w:space="0" w:color="auto"/>
              <w:bottom w:val="single" w:sz="2" w:space="0" w:color="auto"/>
              <w:right w:val="single" w:sz="2" w:space="0" w:color="auto"/>
            </w:tcBorders>
            <w:vAlign w:val="center"/>
          </w:tcPr>
          <w:p w14:paraId="243F569A"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443,708,503.90</w:t>
            </w:r>
          </w:p>
        </w:tc>
        <w:tc>
          <w:tcPr>
            <w:tcW w:w="876" w:type="dxa"/>
            <w:tcBorders>
              <w:top w:val="single" w:sz="2" w:space="0" w:color="auto"/>
              <w:left w:val="single" w:sz="2" w:space="0" w:color="auto"/>
              <w:bottom w:val="single" w:sz="2" w:space="0" w:color="auto"/>
              <w:right w:val="single" w:sz="2" w:space="0" w:color="auto"/>
            </w:tcBorders>
            <w:vAlign w:val="center"/>
          </w:tcPr>
          <w:p w14:paraId="2CEA0B91"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71.99%</w:t>
            </w:r>
          </w:p>
        </w:tc>
        <w:tc>
          <w:tcPr>
            <w:tcW w:w="876" w:type="dxa"/>
            <w:tcBorders>
              <w:top w:val="single" w:sz="2" w:space="0" w:color="auto"/>
              <w:left w:val="single" w:sz="2" w:space="0" w:color="auto"/>
              <w:bottom w:val="single" w:sz="2" w:space="0" w:color="auto"/>
              <w:right w:val="single" w:sz="2" w:space="0" w:color="auto"/>
            </w:tcBorders>
            <w:vAlign w:val="center"/>
          </w:tcPr>
          <w:p w14:paraId="29CA874E"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21,046,246.93</w:t>
            </w:r>
          </w:p>
        </w:tc>
        <w:tc>
          <w:tcPr>
            <w:tcW w:w="876" w:type="dxa"/>
            <w:tcBorders>
              <w:top w:val="single" w:sz="2" w:space="0" w:color="auto"/>
              <w:left w:val="single" w:sz="2" w:space="0" w:color="auto"/>
              <w:bottom w:val="single" w:sz="2" w:space="0" w:color="auto"/>
              <w:right w:val="single" w:sz="2" w:space="0" w:color="auto"/>
            </w:tcBorders>
            <w:vAlign w:val="center"/>
          </w:tcPr>
          <w:p w14:paraId="59B575B4"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4.74%</w:t>
            </w:r>
          </w:p>
        </w:tc>
        <w:tc>
          <w:tcPr>
            <w:tcW w:w="876" w:type="dxa"/>
            <w:tcBorders>
              <w:top w:val="single" w:sz="2" w:space="0" w:color="auto"/>
              <w:left w:val="single" w:sz="2" w:space="0" w:color="auto"/>
              <w:bottom w:val="single" w:sz="2" w:space="0" w:color="auto"/>
              <w:right w:val="single" w:sz="2" w:space="0" w:color="auto"/>
            </w:tcBorders>
            <w:vAlign w:val="center"/>
          </w:tcPr>
          <w:p w14:paraId="2171675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422,662,256.97</w:t>
            </w:r>
          </w:p>
        </w:tc>
      </w:tr>
      <w:tr w:rsidR="00095F6F" w14:paraId="0A3FB1B5"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A27B852" w14:textId="77777777" w:rsidR="00A46BF1" w:rsidRPr="003E5998" w:rsidRDefault="00A46BF1" w:rsidP="003E5998">
            <w:pPr>
              <w:spacing w:before="40" w:after="40" w:line="360" w:lineRule="auto"/>
              <w:ind w:firstLineChars="100" w:firstLine="130"/>
              <w:rPr>
                <w:rFonts w:ascii="Times New Roman" w:eastAsia="宋体" w:hAnsi="Times New Roman" w:cs="Times New Roman"/>
                <w:sz w:val="13"/>
                <w:szCs w:val="13"/>
              </w:rPr>
            </w:pPr>
            <w:r w:rsidRPr="003E5998">
              <w:rPr>
                <w:rFonts w:ascii="Times New Roman" w:eastAsia="宋体" w:hAnsi="Times New Roman" w:cs="Times New Roman"/>
                <w:sz w:val="13"/>
                <w:szCs w:val="13"/>
              </w:rPr>
              <w:t>其中：</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0D6DC76"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DD456F6"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618E8C4"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4A6A4DB"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0F56D9"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F83B540"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ACD19BC"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61380F"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01B06D8C" w14:textId="77777777" w:rsidR="00A46BF1" w:rsidRPr="003E5998" w:rsidRDefault="00A46BF1" w:rsidP="003E5998">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673C05" w14:textId="77777777" w:rsidR="00A46BF1" w:rsidRPr="003E5998" w:rsidRDefault="00A46BF1" w:rsidP="003E5998">
            <w:pPr>
              <w:spacing w:line="360" w:lineRule="auto"/>
              <w:rPr>
                <w:rFonts w:ascii="Times New Roman" w:hAnsi="Times New Roman" w:cs="Times New Roman"/>
                <w:sz w:val="13"/>
                <w:szCs w:val="13"/>
              </w:rPr>
            </w:pPr>
          </w:p>
        </w:tc>
      </w:tr>
      <w:tr w:rsidR="00095F6F" w14:paraId="04ECCDD2"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6A37AEE8" w14:textId="77777777" w:rsidR="00A46BF1" w:rsidRPr="003E5998" w:rsidRDefault="00A46BF1" w:rsidP="003E5998">
            <w:pPr>
              <w:spacing w:line="360" w:lineRule="auto"/>
              <w:rPr>
                <w:rFonts w:ascii="Times New Roman" w:eastAsia="宋体" w:hAnsi="Times New Roman" w:cs="Times New Roman"/>
                <w:sz w:val="13"/>
                <w:szCs w:val="13"/>
              </w:rPr>
            </w:pPr>
            <w:r w:rsidRPr="003E5998">
              <w:rPr>
                <w:rFonts w:ascii="Times New Roman" w:eastAsia="宋体" w:hAnsi="Times New Roman" w:cs="Times New Roman"/>
                <w:sz w:val="13"/>
                <w:szCs w:val="13"/>
              </w:rPr>
              <w:t>账龄组合</w:t>
            </w:r>
          </w:p>
        </w:tc>
        <w:tc>
          <w:tcPr>
            <w:tcW w:w="876" w:type="dxa"/>
            <w:tcBorders>
              <w:top w:val="single" w:sz="2" w:space="0" w:color="auto"/>
              <w:left w:val="single" w:sz="2" w:space="0" w:color="auto"/>
              <w:bottom w:val="single" w:sz="2" w:space="0" w:color="auto"/>
              <w:right w:val="single" w:sz="2" w:space="0" w:color="auto"/>
            </w:tcBorders>
            <w:vAlign w:val="center"/>
          </w:tcPr>
          <w:p w14:paraId="753DF9F5"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274,315,364.11</w:t>
            </w:r>
          </w:p>
        </w:tc>
        <w:tc>
          <w:tcPr>
            <w:tcW w:w="876" w:type="dxa"/>
            <w:tcBorders>
              <w:top w:val="single" w:sz="2" w:space="0" w:color="auto"/>
              <w:left w:val="single" w:sz="2" w:space="0" w:color="auto"/>
              <w:bottom w:val="single" w:sz="2" w:space="0" w:color="auto"/>
              <w:right w:val="single" w:sz="2" w:space="0" w:color="auto"/>
            </w:tcBorders>
            <w:vAlign w:val="center"/>
          </w:tcPr>
          <w:p w14:paraId="65AB199F"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56.71%</w:t>
            </w:r>
          </w:p>
        </w:tc>
        <w:tc>
          <w:tcPr>
            <w:tcW w:w="876" w:type="dxa"/>
            <w:tcBorders>
              <w:top w:val="single" w:sz="2" w:space="0" w:color="auto"/>
              <w:left w:val="single" w:sz="2" w:space="0" w:color="auto"/>
              <w:bottom w:val="single" w:sz="2" w:space="0" w:color="auto"/>
              <w:right w:val="single" w:sz="2" w:space="0" w:color="auto"/>
            </w:tcBorders>
            <w:vAlign w:val="center"/>
          </w:tcPr>
          <w:p w14:paraId="7002DF12"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14,504,090.52</w:t>
            </w:r>
          </w:p>
        </w:tc>
        <w:tc>
          <w:tcPr>
            <w:tcW w:w="876" w:type="dxa"/>
            <w:tcBorders>
              <w:top w:val="single" w:sz="2" w:space="0" w:color="auto"/>
              <w:left w:val="single" w:sz="2" w:space="0" w:color="auto"/>
              <w:bottom w:val="single" w:sz="2" w:space="0" w:color="auto"/>
              <w:right w:val="single" w:sz="2" w:space="0" w:color="auto"/>
            </w:tcBorders>
            <w:vAlign w:val="center"/>
          </w:tcPr>
          <w:p w14:paraId="3934AE79"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5.29%</w:t>
            </w:r>
          </w:p>
        </w:tc>
        <w:tc>
          <w:tcPr>
            <w:tcW w:w="876" w:type="dxa"/>
            <w:tcBorders>
              <w:top w:val="single" w:sz="2" w:space="0" w:color="auto"/>
              <w:left w:val="single" w:sz="2" w:space="0" w:color="auto"/>
              <w:bottom w:val="single" w:sz="2" w:space="0" w:color="auto"/>
              <w:right w:val="single" w:sz="2" w:space="0" w:color="auto"/>
            </w:tcBorders>
            <w:vAlign w:val="center"/>
          </w:tcPr>
          <w:p w14:paraId="35163864"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259,811,273.59</w:t>
            </w:r>
          </w:p>
        </w:tc>
        <w:tc>
          <w:tcPr>
            <w:tcW w:w="876" w:type="dxa"/>
            <w:tcBorders>
              <w:top w:val="single" w:sz="2" w:space="0" w:color="auto"/>
              <w:left w:val="single" w:sz="2" w:space="0" w:color="auto"/>
              <w:bottom w:val="single" w:sz="2" w:space="0" w:color="auto"/>
              <w:right w:val="single" w:sz="2" w:space="0" w:color="auto"/>
            </w:tcBorders>
            <w:vAlign w:val="center"/>
          </w:tcPr>
          <w:p w14:paraId="307E256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414,018,260.36</w:t>
            </w:r>
          </w:p>
        </w:tc>
        <w:tc>
          <w:tcPr>
            <w:tcW w:w="876" w:type="dxa"/>
            <w:tcBorders>
              <w:top w:val="single" w:sz="2" w:space="0" w:color="auto"/>
              <w:left w:val="single" w:sz="2" w:space="0" w:color="auto"/>
              <w:bottom w:val="single" w:sz="2" w:space="0" w:color="auto"/>
              <w:right w:val="single" w:sz="2" w:space="0" w:color="auto"/>
            </w:tcBorders>
            <w:vAlign w:val="center"/>
          </w:tcPr>
          <w:p w14:paraId="726DA86C"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67.17%</w:t>
            </w:r>
          </w:p>
        </w:tc>
        <w:tc>
          <w:tcPr>
            <w:tcW w:w="876" w:type="dxa"/>
            <w:tcBorders>
              <w:top w:val="single" w:sz="2" w:space="0" w:color="auto"/>
              <w:left w:val="single" w:sz="2" w:space="0" w:color="auto"/>
              <w:bottom w:val="single" w:sz="2" w:space="0" w:color="auto"/>
              <w:right w:val="single" w:sz="2" w:space="0" w:color="auto"/>
            </w:tcBorders>
            <w:vAlign w:val="center"/>
          </w:tcPr>
          <w:p w14:paraId="73E3266D"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21,046,246.93</w:t>
            </w:r>
          </w:p>
        </w:tc>
        <w:tc>
          <w:tcPr>
            <w:tcW w:w="876" w:type="dxa"/>
            <w:tcBorders>
              <w:top w:val="single" w:sz="2" w:space="0" w:color="auto"/>
              <w:left w:val="single" w:sz="2" w:space="0" w:color="auto"/>
              <w:bottom w:val="single" w:sz="2" w:space="0" w:color="auto"/>
              <w:right w:val="single" w:sz="2" w:space="0" w:color="auto"/>
            </w:tcBorders>
            <w:vAlign w:val="center"/>
          </w:tcPr>
          <w:p w14:paraId="6C4612B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5.08%</w:t>
            </w:r>
          </w:p>
        </w:tc>
        <w:tc>
          <w:tcPr>
            <w:tcW w:w="876" w:type="dxa"/>
            <w:tcBorders>
              <w:top w:val="single" w:sz="2" w:space="0" w:color="auto"/>
              <w:left w:val="single" w:sz="2" w:space="0" w:color="auto"/>
              <w:bottom w:val="single" w:sz="2" w:space="0" w:color="auto"/>
              <w:right w:val="single" w:sz="2" w:space="0" w:color="auto"/>
            </w:tcBorders>
            <w:vAlign w:val="center"/>
          </w:tcPr>
          <w:p w14:paraId="5748DEB4"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392,972,013.43</w:t>
            </w:r>
          </w:p>
        </w:tc>
      </w:tr>
      <w:tr w:rsidR="00095F6F" w14:paraId="2EB80F8A"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5BCCF222" w14:textId="77777777" w:rsidR="00A46BF1" w:rsidRPr="003E5998" w:rsidRDefault="00A46BF1" w:rsidP="003E5998">
            <w:pPr>
              <w:spacing w:line="360" w:lineRule="auto"/>
              <w:rPr>
                <w:rFonts w:ascii="Times New Roman" w:eastAsia="宋体" w:hAnsi="Times New Roman" w:cs="Times New Roman"/>
                <w:sz w:val="13"/>
                <w:szCs w:val="13"/>
              </w:rPr>
            </w:pPr>
            <w:r w:rsidRPr="003E5998">
              <w:rPr>
                <w:rFonts w:ascii="Times New Roman" w:eastAsia="宋体" w:hAnsi="Times New Roman" w:cs="Times New Roman"/>
                <w:sz w:val="13"/>
                <w:szCs w:val="13"/>
              </w:rPr>
              <w:t>其他组合</w:t>
            </w:r>
            <w:r w:rsidRPr="003E5998">
              <w:rPr>
                <w:rFonts w:ascii="Times New Roman" w:eastAsia="宋体" w:hAnsi="Times New Roman" w:cs="Times New Roman"/>
                <w:sz w:val="13"/>
                <w:szCs w:val="13"/>
              </w:rPr>
              <w:t>1</w:t>
            </w:r>
          </w:p>
        </w:tc>
        <w:tc>
          <w:tcPr>
            <w:tcW w:w="876" w:type="dxa"/>
            <w:tcBorders>
              <w:top w:val="single" w:sz="2" w:space="0" w:color="auto"/>
              <w:left w:val="single" w:sz="2" w:space="0" w:color="auto"/>
              <w:bottom w:val="single" w:sz="2" w:space="0" w:color="auto"/>
              <w:right w:val="single" w:sz="2" w:space="0" w:color="auto"/>
            </w:tcBorders>
            <w:vAlign w:val="center"/>
          </w:tcPr>
          <w:p w14:paraId="6071EE06"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34,579,879.14</w:t>
            </w:r>
          </w:p>
        </w:tc>
        <w:tc>
          <w:tcPr>
            <w:tcW w:w="876" w:type="dxa"/>
            <w:tcBorders>
              <w:top w:val="single" w:sz="2" w:space="0" w:color="auto"/>
              <w:left w:val="single" w:sz="2" w:space="0" w:color="auto"/>
              <w:bottom w:val="single" w:sz="2" w:space="0" w:color="auto"/>
              <w:right w:val="single" w:sz="2" w:space="0" w:color="auto"/>
            </w:tcBorders>
            <w:vAlign w:val="center"/>
          </w:tcPr>
          <w:p w14:paraId="0DC536B2"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7.15%</w:t>
            </w:r>
          </w:p>
        </w:tc>
        <w:tc>
          <w:tcPr>
            <w:tcW w:w="876" w:type="dxa"/>
            <w:tcBorders>
              <w:top w:val="single" w:sz="2" w:space="0" w:color="auto"/>
              <w:left w:val="single" w:sz="2" w:space="0" w:color="auto"/>
              <w:bottom w:val="single" w:sz="2" w:space="0" w:color="auto"/>
              <w:right w:val="single" w:sz="2" w:space="0" w:color="auto"/>
            </w:tcBorders>
            <w:vAlign w:val="center"/>
          </w:tcPr>
          <w:p w14:paraId="61D00E53" w14:textId="77777777" w:rsidR="00A46BF1" w:rsidRPr="003E5998" w:rsidRDefault="00A46BF1" w:rsidP="003E5998">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05C260D2" w14:textId="77777777" w:rsidR="00A46BF1" w:rsidRPr="003E5998" w:rsidRDefault="00A46BF1" w:rsidP="003E5998">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0D09038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34,579,879.14</w:t>
            </w:r>
          </w:p>
        </w:tc>
        <w:tc>
          <w:tcPr>
            <w:tcW w:w="876" w:type="dxa"/>
            <w:tcBorders>
              <w:top w:val="single" w:sz="2" w:space="0" w:color="auto"/>
              <w:left w:val="single" w:sz="2" w:space="0" w:color="auto"/>
              <w:bottom w:val="single" w:sz="2" w:space="0" w:color="auto"/>
              <w:right w:val="single" w:sz="2" w:space="0" w:color="auto"/>
            </w:tcBorders>
            <w:vAlign w:val="center"/>
          </w:tcPr>
          <w:p w14:paraId="2DD8FE1A"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29,690,243.54</w:t>
            </w:r>
          </w:p>
        </w:tc>
        <w:tc>
          <w:tcPr>
            <w:tcW w:w="876" w:type="dxa"/>
            <w:tcBorders>
              <w:top w:val="single" w:sz="2" w:space="0" w:color="auto"/>
              <w:left w:val="single" w:sz="2" w:space="0" w:color="auto"/>
              <w:bottom w:val="single" w:sz="2" w:space="0" w:color="auto"/>
              <w:right w:val="single" w:sz="2" w:space="0" w:color="auto"/>
            </w:tcBorders>
            <w:vAlign w:val="center"/>
          </w:tcPr>
          <w:p w14:paraId="7898FDCA"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4.82%</w:t>
            </w:r>
          </w:p>
        </w:tc>
        <w:tc>
          <w:tcPr>
            <w:tcW w:w="876" w:type="dxa"/>
            <w:tcBorders>
              <w:top w:val="single" w:sz="2" w:space="0" w:color="auto"/>
              <w:left w:val="single" w:sz="2" w:space="0" w:color="auto"/>
              <w:bottom w:val="single" w:sz="2" w:space="0" w:color="auto"/>
              <w:right w:val="single" w:sz="2" w:space="0" w:color="auto"/>
            </w:tcBorders>
            <w:vAlign w:val="center"/>
          </w:tcPr>
          <w:p w14:paraId="204D2020" w14:textId="77777777" w:rsidR="00A46BF1" w:rsidRPr="003E5998" w:rsidRDefault="00A46BF1" w:rsidP="003E5998">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49D63B46" w14:textId="77777777" w:rsidR="00A46BF1" w:rsidRPr="003E5998" w:rsidRDefault="00A46BF1" w:rsidP="003E5998">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3AACC97E"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29,690,243.54</w:t>
            </w:r>
          </w:p>
        </w:tc>
      </w:tr>
      <w:tr w:rsidR="00095F6F" w14:paraId="2EC544E3" w14:textId="77777777" w:rsidTr="003E5998">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22BF359" w14:textId="77777777" w:rsidR="00A46BF1" w:rsidRPr="003E5998" w:rsidRDefault="00A46BF1" w:rsidP="003E5998">
            <w:pPr>
              <w:spacing w:before="40" w:after="40" w:line="360" w:lineRule="auto"/>
              <w:rPr>
                <w:rFonts w:ascii="Times New Roman" w:eastAsia="宋体" w:hAnsi="Times New Roman" w:cs="Times New Roman"/>
                <w:sz w:val="13"/>
                <w:szCs w:val="13"/>
              </w:rPr>
            </w:pPr>
            <w:r w:rsidRPr="003E5998">
              <w:rPr>
                <w:rFonts w:ascii="Times New Roman" w:eastAsia="宋体" w:hAnsi="Times New Roman" w:cs="Times New Roman"/>
                <w:sz w:val="13"/>
                <w:szCs w:val="13"/>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2B237BAB"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483,754,509.28</w:t>
            </w:r>
          </w:p>
        </w:tc>
        <w:tc>
          <w:tcPr>
            <w:tcW w:w="876" w:type="dxa"/>
            <w:tcBorders>
              <w:top w:val="single" w:sz="2" w:space="0" w:color="auto"/>
              <w:left w:val="single" w:sz="2" w:space="0" w:color="auto"/>
              <w:bottom w:val="single" w:sz="2" w:space="0" w:color="auto"/>
              <w:right w:val="single" w:sz="2" w:space="0" w:color="auto"/>
            </w:tcBorders>
            <w:vAlign w:val="center"/>
          </w:tcPr>
          <w:p w14:paraId="0B4C1CE6"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01FD6BDD"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189,363,356.55</w:t>
            </w:r>
          </w:p>
        </w:tc>
        <w:tc>
          <w:tcPr>
            <w:tcW w:w="876" w:type="dxa"/>
            <w:tcBorders>
              <w:top w:val="single" w:sz="2" w:space="0" w:color="auto"/>
              <w:left w:val="single" w:sz="2" w:space="0" w:color="auto"/>
              <w:bottom w:val="single" w:sz="2" w:space="0" w:color="auto"/>
              <w:right w:val="single" w:sz="2" w:space="0" w:color="auto"/>
            </w:tcBorders>
            <w:vAlign w:val="center"/>
          </w:tcPr>
          <w:p w14:paraId="721FBB9F"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39.14%</w:t>
            </w:r>
          </w:p>
        </w:tc>
        <w:tc>
          <w:tcPr>
            <w:tcW w:w="876" w:type="dxa"/>
            <w:tcBorders>
              <w:top w:val="single" w:sz="2" w:space="0" w:color="auto"/>
              <w:left w:val="single" w:sz="2" w:space="0" w:color="auto"/>
              <w:bottom w:val="single" w:sz="2" w:space="0" w:color="auto"/>
              <w:right w:val="single" w:sz="2" w:space="0" w:color="auto"/>
            </w:tcBorders>
            <w:vAlign w:val="center"/>
          </w:tcPr>
          <w:p w14:paraId="466DC7C3"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294,391,152.73</w:t>
            </w:r>
          </w:p>
        </w:tc>
        <w:tc>
          <w:tcPr>
            <w:tcW w:w="876" w:type="dxa"/>
            <w:tcBorders>
              <w:top w:val="single" w:sz="2" w:space="0" w:color="auto"/>
              <w:left w:val="single" w:sz="2" w:space="0" w:color="auto"/>
              <w:bottom w:val="single" w:sz="2" w:space="0" w:color="auto"/>
              <w:right w:val="single" w:sz="2" w:space="0" w:color="auto"/>
            </w:tcBorders>
            <w:vAlign w:val="center"/>
          </w:tcPr>
          <w:p w14:paraId="7C955E20"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616,343,705.20</w:t>
            </w:r>
          </w:p>
        </w:tc>
        <w:tc>
          <w:tcPr>
            <w:tcW w:w="876" w:type="dxa"/>
            <w:tcBorders>
              <w:top w:val="single" w:sz="2" w:space="0" w:color="auto"/>
              <w:left w:val="single" w:sz="2" w:space="0" w:color="auto"/>
              <w:bottom w:val="single" w:sz="2" w:space="0" w:color="auto"/>
              <w:right w:val="single" w:sz="2" w:space="0" w:color="auto"/>
            </w:tcBorders>
            <w:vAlign w:val="center"/>
          </w:tcPr>
          <w:p w14:paraId="0948ED1C"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DBD0BD6"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193,681,448.23</w:t>
            </w:r>
          </w:p>
        </w:tc>
        <w:tc>
          <w:tcPr>
            <w:tcW w:w="876" w:type="dxa"/>
            <w:tcBorders>
              <w:top w:val="single" w:sz="2" w:space="0" w:color="auto"/>
              <w:left w:val="single" w:sz="2" w:space="0" w:color="auto"/>
              <w:bottom w:val="single" w:sz="2" w:space="0" w:color="auto"/>
              <w:right w:val="single" w:sz="2" w:space="0" w:color="auto"/>
            </w:tcBorders>
            <w:vAlign w:val="center"/>
          </w:tcPr>
          <w:p w14:paraId="687BE13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31.42%</w:t>
            </w:r>
          </w:p>
        </w:tc>
        <w:tc>
          <w:tcPr>
            <w:tcW w:w="876" w:type="dxa"/>
            <w:tcBorders>
              <w:top w:val="single" w:sz="2" w:space="0" w:color="auto"/>
              <w:left w:val="single" w:sz="2" w:space="0" w:color="auto"/>
              <w:bottom w:val="single" w:sz="2" w:space="0" w:color="auto"/>
              <w:right w:val="single" w:sz="2" w:space="0" w:color="auto"/>
            </w:tcBorders>
            <w:vAlign w:val="center"/>
          </w:tcPr>
          <w:p w14:paraId="737BD7F7" w14:textId="77777777" w:rsidR="00A46BF1" w:rsidRPr="003E5998" w:rsidRDefault="00A46BF1" w:rsidP="003E5998">
            <w:pPr>
              <w:spacing w:line="360" w:lineRule="auto"/>
              <w:jc w:val="right"/>
              <w:rPr>
                <w:rFonts w:ascii="Times New Roman" w:eastAsia="宋体" w:hAnsi="Times New Roman" w:cs="Times New Roman"/>
                <w:sz w:val="13"/>
                <w:szCs w:val="13"/>
              </w:rPr>
            </w:pPr>
            <w:r w:rsidRPr="003E5998">
              <w:rPr>
                <w:rFonts w:ascii="Times New Roman" w:eastAsia="宋体" w:hAnsi="Times New Roman" w:cs="Times New Roman"/>
                <w:sz w:val="13"/>
                <w:szCs w:val="13"/>
              </w:rPr>
              <w:t>422,662,256.97</w:t>
            </w:r>
          </w:p>
        </w:tc>
      </w:tr>
    </w:tbl>
    <w:p w14:paraId="68690F2A"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按单项计提坏账准备：单项计提</w:t>
      </w:r>
    </w:p>
    <w:p w14:paraId="21779C4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377"/>
        <w:gridCol w:w="1377"/>
      </w:tblGrid>
      <w:tr w:rsidR="00095F6F" w14:paraId="05358E06" w14:textId="77777777" w:rsidTr="00A46BF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4B3C184"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名称</w:t>
            </w:r>
          </w:p>
        </w:tc>
        <w:tc>
          <w:tcPr>
            <w:tcW w:w="275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F139760"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期初余额</w:t>
            </w:r>
          </w:p>
        </w:tc>
        <w:tc>
          <w:tcPr>
            <w:tcW w:w="5508"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2DA34772"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期末余额</w:t>
            </w:r>
          </w:p>
        </w:tc>
      </w:tr>
      <w:tr w:rsidR="00095F6F" w14:paraId="0810A1CD" w14:textId="77777777" w:rsidTr="00A46BF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D22C2E9" w14:textId="77777777" w:rsidR="00A46BF1" w:rsidRPr="00472EF4" w:rsidRDefault="00A46BF1" w:rsidP="00472EF4">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99C3B7C"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9A2F1E3"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7B269CC1"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账面余额</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13588BBB"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6F542E6"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计提比例</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4A1453B6"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计提理由</w:t>
            </w:r>
          </w:p>
        </w:tc>
      </w:tr>
      <w:tr w:rsidR="00095F6F" w14:paraId="257CD2B2"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5503A0B"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A</w:t>
            </w:r>
            <w:r w:rsidRPr="00472EF4">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71CF6314"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167,918,669.18</w:t>
            </w:r>
          </w:p>
        </w:tc>
        <w:tc>
          <w:tcPr>
            <w:tcW w:w="1377" w:type="dxa"/>
            <w:tcBorders>
              <w:top w:val="single" w:sz="2" w:space="0" w:color="auto"/>
              <w:left w:val="single" w:sz="2" w:space="0" w:color="auto"/>
              <w:bottom w:val="single" w:sz="2" w:space="0" w:color="auto"/>
              <w:right w:val="single" w:sz="2" w:space="0" w:color="auto"/>
            </w:tcBorders>
            <w:vAlign w:val="center"/>
          </w:tcPr>
          <w:p w14:paraId="3C18E11D"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167,918,669.18</w:t>
            </w:r>
          </w:p>
        </w:tc>
        <w:tc>
          <w:tcPr>
            <w:tcW w:w="1377" w:type="dxa"/>
            <w:tcBorders>
              <w:top w:val="single" w:sz="2" w:space="0" w:color="auto"/>
              <w:left w:val="single" w:sz="2" w:space="0" w:color="auto"/>
              <w:bottom w:val="single" w:sz="2" w:space="0" w:color="auto"/>
              <w:right w:val="single" w:sz="2" w:space="0" w:color="auto"/>
            </w:tcBorders>
            <w:vAlign w:val="center"/>
          </w:tcPr>
          <w:p w14:paraId="2180F047"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170,162,733.91</w:t>
            </w:r>
          </w:p>
        </w:tc>
        <w:tc>
          <w:tcPr>
            <w:tcW w:w="1377" w:type="dxa"/>
            <w:tcBorders>
              <w:top w:val="single" w:sz="2" w:space="0" w:color="auto"/>
              <w:left w:val="single" w:sz="2" w:space="0" w:color="auto"/>
              <w:bottom w:val="single" w:sz="2" w:space="0" w:color="auto"/>
              <w:right w:val="single" w:sz="2" w:space="0" w:color="auto"/>
            </w:tcBorders>
            <w:vAlign w:val="center"/>
          </w:tcPr>
          <w:p w14:paraId="6A8E85FE"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170,162,733.91</w:t>
            </w:r>
          </w:p>
        </w:tc>
        <w:tc>
          <w:tcPr>
            <w:tcW w:w="1377" w:type="dxa"/>
            <w:tcBorders>
              <w:top w:val="single" w:sz="2" w:space="0" w:color="auto"/>
              <w:left w:val="single" w:sz="2" w:space="0" w:color="auto"/>
              <w:bottom w:val="single" w:sz="2" w:space="0" w:color="auto"/>
              <w:right w:val="single" w:sz="2" w:space="0" w:color="auto"/>
            </w:tcBorders>
            <w:vAlign w:val="center"/>
          </w:tcPr>
          <w:p w14:paraId="78B755EF"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C68AAE9"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超账期</w:t>
            </w:r>
          </w:p>
        </w:tc>
      </w:tr>
      <w:tr w:rsidR="00095F6F" w14:paraId="1603F4BC"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98F33C3"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B</w:t>
            </w:r>
            <w:r w:rsidRPr="00472EF4">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55C16A79"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781E8B5B"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46D51560"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77A1CC54"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2,330,203.54</w:t>
            </w:r>
          </w:p>
        </w:tc>
        <w:tc>
          <w:tcPr>
            <w:tcW w:w="1377" w:type="dxa"/>
            <w:tcBorders>
              <w:top w:val="single" w:sz="2" w:space="0" w:color="auto"/>
              <w:left w:val="single" w:sz="2" w:space="0" w:color="auto"/>
              <w:bottom w:val="single" w:sz="2" w:space="0" w:color="auto"/>
              <w:right w:val="single" w:sz="2" w:space="0" w:color="auto"/>
            </w:tcBorders>
            <w:vAlign w:val="center"/>
          </w:tcPr>
          <w:p w14:paraId="1528A529"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5354C613"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超账期</w:t>
            </w:r>
          </w:p>
        </w:tc>
      </w:tr>
      <w:tr w:rsidR="00095F6F" w14:paraId="4D1C54EB"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00D89847"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C</w:t>
            </w:r>
            <w:r w:rsidRPr="00472EF4">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1056999D"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1,234,036.39</w:t>
            </w:r>
          </w:p>
        </w:tc>
        <w:tc>
          <w:tcPr>
            <w:tcW w:w="1377" w:type="dxa"/>
            <w:tcBorders>
              <w:top w:val="single" w:sz="2" w:space="0" w:color="auto"/>
              <w:left w:val="single" w:sz="2" w:space="0" w:color="auto"/>
              <w:bottom w:val="single" w:sz="2" w:space="0" w:color="auto"/>
              <w:right w:val="single" w:sz="2" w:space="0" w:color="auto"/>
            </w:tcBorders>
            <w:vAlign w:val="center"/>
          </w:tcPr>
          <w:p w14:paraId="654FC9E4"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1,234,036.39</w:t>
            </w:r>
          </w:p>
        </w:tc>
        <w:tc>
          <w:tcPr>
            <w:tcW w:w="1377" w:type="dxa"/>
            <w:tcBorders>
              <w:top w:val="single" w:sz="2" w:space="0" w:color="auto"/>
              <w:left w:val="single" w:sz="2" w:space="0" w:color="auto"/>
              <w:bottom w:val="single" w:sz="2" w:space="0" w:color="auto"/>
              <w:right w:val="single" w:sz="2" w:space="0" w:color="auto"/>
            </w:tcBorders>
            <w:vAlign w:val="center"/>
          </w:tcPr>
          <w:p w14:paraId="41011B76"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1,214,036.39</w:t>
            </w:r>
          </w:p>
        </w:tc>
        <w:tc>
          <w:tcPr>
            <w:tcW w:w="1377" w:type="dxa"/>
            <w:tcBorders>
              <w:top w:val="single" w:sz="2" w:space="0" w:color="auto"/>
              <w:left w:val="single" w:sz="2" w:space="0" w:color="auto"/>
              <w:bottom w:val="single" w:sz="2" w:space="0" w:color="auto"/>
              <w:right w:val="single" w:sz="2" w:space="0" w:color="auto"/>
            </w:tcBorders>
            <w:vAlign w:val="center"/>
          </w:tcPr>
          <w:p w14:paraId="6287681D"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1,214,036.39</w:t>
            </w:r>
          </w:p>
        </w:tc>
        <w:tc>
          <w:tcPr>
            <w:tcW w:w="1377" w:type="dxa"/>
            <w:tcBorders>
              <w:top w:val="single" w:sz="2" w:space="0" w:color="auto"/>
              <w:left w:val="single" w:sz="2" w:space="0" w:color="auto"/>
              <w:bottom w:val="single" w:sz="2" w:space="0" w:color="auto"/>
              <w:right w:val="single" w:sz="2" w:space="0" w:color="auto"/>
            </w:tcBorders>
            <w:vAlign w:val="center"/>
          </w:tcPr>
          <w:p w14:paraId="7FB2101A"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6D20A10A"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超账期</w:t>
            </w:r>
          </w:p>
        </w:tc>
      </w:tr>
      <w:tr w:rsidR="00095F6F" w14:paraId="3D6D4025"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79D4FA59"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D</w:t>
            </w:r>
            <w:r w:rsidRPr="00472EF4">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7A952FF3"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485D74CA"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4456386F"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3ABFC601"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1,106,565.23</w:t>
            </w:r>
          </w:p>
        </w:tc>
        <w:tc>
          <w:tcPr>
            <w:tcW w:w="1377" w:type="dxa"/>
            <w:tcBorders>
              <w:top w:val="single" w:sz="2" w:space="0" w:color="auto"/>
              <w:left w:val="single" w:sz="2" w:space="0" w:color="auto"/>
              <w:bottom w:val="single" w:sz="2" w:space="0" w:color="auto"/>
              <w:right w:val="single" w:sz="2" w:space="0" w:color="auto"/>
            </w:tcBorders>
            <w:vAlign w:val="center"/>
          </w:tcPr>
          <w:p w14:paraId="6A1BD95F"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496EF684"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超账期</w:t>
            </w:r>
          </w:p>
        </w:tc>
      </w:tr>
      <w:tr w:rsidR="00095F6F" w14:paraId="4F9D6363"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ACE6A3F"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E</w:t>
            </w:r>
            <w:r w:rsidRPr="00472EF4">
              <w:rPr>
                <w:rFonts w:ascii="Times New Roman" w:eastAsia="宋体" w:hAnsi="Times New Roman" w:cs="Times New Roman"/>
                <w:sz w:val="18"/>
                <w:szCs w:val="18"/>
              </w:rPr>
              <w:t>公司</w:t>
            </w:r>
          </w:p>
        </w:tc>
        <w:tc>
          <w:tcPr>
            <w:tcW w:w="1377" w:type="dxa"/>
            <w:tcBorders>
              <w:top w:val="single" w:sz="2" w:space="0" w:color="auto"/>
              <w:left w:val="single" w:sz="2" w:space="0" w:color="auto"/>
              <w:bottom w:val="single" w:sz="2" w:space="0" w:color="auto"/>
              <w:right w:val="single" w:sz="2" w:space="0" w:color="auto"/>
            </w:tcBorders>
            <w:vAlign w:val="center"/>
          </w:tcPr>
          <w:p w14:paraId="0BCED293"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1871033B"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4295C041"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05FD64F1"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45,726.96</w:t>
            </w:r>
          </w:p>
        </w:tc>
        <w:tc>
          <w:tcPr>
            <w:tcW w:w="1377" w:type="dxa"/>
            <w:tcBorders>
              <w:top w:val="single" w:sz="2" w:space="0" w:color="auto"/>
              <w:left w:val="single" w:sz="2" w:space="0" w:color="auto"/>
              <w:bottom w:val="single" w:sz="2" w:space="0" w:color="auto"/>
              <w:right w:val="single" w:sz="2" w:space="0" w:color="auto"/>
            </w:tcBorders>
            <w:vAlign w:val="center"/>
          </w:tcPr>
          <w:p w14:paraId="65163788"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c>
          <w:tcPr>
            <w:tcW w:w="1377" w:type="dxa"/>
            <w:tcBorders>
              <w:top w:val="single" w:sz="2" w:space="0" w:color="auto"/>
              <w:left w:val="single" w:sz="2" w:space="0" w:color="auto"/>
              <w:bottom w:val="single" w:sz="2" w:space="0" w:color="auto"/>
              <w:right w:val="single" w:sz="2" w:space="0" w:color="auto"/>
            </w:tcBorders>
            <w:vAlign w:val="center"/>
          </w:tcPr>
          <w:p w14:paraId="205D4F46"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超账期</w:t>
            </w:r>
          </w:p>
        </w:tc>
      </w:tr>
      <w:tr w:rsidR="00095F6F" w14:paraId="22B594CF" w14:textId="77777777" w:rsidTr="00A46BF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23EFCED2" w14:textId="77777777" w:rsidR="00A46BF1" w:rsidRPr="00472EF4" w:rsidRDefault="00A46BF1" w:rsidP="00472EF4">
            <w:pPr>
              <w:spacing w:before="40" w:after="40"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41DE268E"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172,635,201.30</w:t>
            </w:r>
          </w:p>
        </w:tc>
        <w:tc>
          <w:tcPr>
            <w:tcW w:w="1377" w:type="dxa"/>
            <w:tcBorders>
              <w:top w:val="single" w:sz="2" w:space="0" w:color="auto"/>
              <w:left w:val="single" w:sz="2" w:space="0" w:color="auto"/>
              <w:bottom w:val="single" w:sz="2" w:space="0" w:color="auto"/>
              <w:right w:val="single" w:sz="2" w:space="0" w:color="auto"/>
            </w:tcBorders>
            <w:vAlign w:val="center"/>
          </w:tcPr>
          <w:p w14:paraId="0279EE61"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172,635,201.30</w:t>
            </w:r>
          </w:p>
        </w:tc>
        <w:tc>
          <w:tcPr>
            <w:tcW w:w="1377" w:type="dxa"/>
            <w:tcBorders>
              <w:top w:val="single" w:sz="2" w:space="0" w:color="auto"/>
              <w:left w:val="single" w:sz="2" w:space="0" w:color="auto"/>
              <w:bottom w:val="single" w:sz="2" w:space="0" w:color="auto"/>
              <w:right w:val="single" w:sz="2" w:space="0" w:color="auto"/>
            </w:tcBorders>
            <w:vAlign w:val="center"/>
          </w:tcPr>
          <w:p w14:paraId="1ABABC15"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174,859,266.03</w:t>
            </w:r>
          </w:p>
        </w:tc>
        <w:tc>
          <w:tcPr>
            <w:tcW w:w="1377" w:type="dxa"/>
            <w:tcBorders>
              <w:top w:val="single" w:sz="2" w:space="0" w:color="auto"/>
              <w:left w:val="single" w:sz="2" w:space="0" w:color="auto"/>
              <w:bottom w:val="single" w:sz="2" w:space="0" w:color="auto"/>
              <w:right w:val="single" w:sz="2" w:space="0" w:color="auto"/>
            </w:tcBorders>
            <w:vAlign w:val="center"/>
          </w:tcPr>
          <w:p w14:paraId="08CE37FE"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174,859,266.03</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A46C4E4" w14:textId="77777777" w:rsidR="00A46BF1" w:rsidRPr="00472EF4" w:rsidRDefault="00A46BF1" w:rsidP="00472EF4">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7FC52D1" w14:textId="77777777" w:rsidR="00A46BF1" w:rsidRPr="00472EF4" w:rsidRDefault="00A46BF1" w:rsidP="00472EF4">
            <w:pPr>
              <w:spacing w:line="360" w:lineRule="auto"/>
              <w:rPr>
                <w:rFonts w:ascii="Times New Roman" w:hAnsi="Times New Roman" w:cs="Times New Roman"/>
              </w:rPr>
            </w:pPr>
          </w:p>
        </w:tc>
      </w:tr>
    </w:tbl>
    <w:p w14:paraId="7546A5F9"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按组合计提坏账准备：账龄组合计提</w:t>
      </w:r>
    </w:p>
    <w:p w14:paraId="325A45B5"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3788ECD5"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C30FB28"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E201589"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期末余额</w:t>
            </w:r>
          </w:p>
        </w:tc>
      </w:tr>
      <w:tr w:rsidR="00095F6F" w14:paraId="62E143B2"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5748A6CC" w14:textId="77777777" w:rsidR="00A46BF1" w:rsidRPr="00472EF4" w:rsidRDefault="00A46BF1" w:rsidP="00472EF4">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33CEEE"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73964CBC"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80AC50D"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计提比例</w:t>
            </w:r>
          </w:p>
        </w:tc>
      </w:tr>
      <w:tr w:rsidR="00095F6F" w14:paraId="49911789"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32E5246"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1</w:t>
            </w:r>
            <w:r w:rsidRPr="00472EF4">
              <w:rPr>
                <w:rFonts w:ascii="Times New Roman" w:eastAsia="宋体" w:hAnsi="Times New Roman" w:cs="Times New Roman"/>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631726AA"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270,179,483.43</w:t>
            </w:r>
          </w:p>
        </w:tc>
        <w:tc>
          <w:tcPr>
            <w:tcW w:w="2410" w:type="dxa"/>
            <w:tcBorders>
              <w:top w:val="single" w:sz="2" w:space="0" w:color="auto"/>
              <w:left w:val="single" w:sz="2" w:space="0" w:color="auto"/>
              <w:bottom w:val="single" w:sz="2" w:space="0" w:color="auto"/>
              <w:right w:val="single" w:sz="2" w:space="0" w:color="auto"/>
            </w:tcBorders>
            <w:vAlign w:val="center"/>
          </w:tcPr>
          <w:p w14:paraId="0A332AD1"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13,508,974.18</w:t>
            </w:r>
          </w:p>
        </w:tc>
        <w:tc>
          <w:tcPr>
            <w:tcW w:w="2410" w:type="dxa"/>
            <w:tcBorders>
              <w:top w:val="single" w:sz="2" w:space="0" w:color="auto"/>
              <w:left w:val="single" w:sz="2" w:space="0" w:color="auto"/>
              <w:bottom w:val="single" w:sz="2" w:space="0" w:color="auto"/>
              <w:right w:val="single" w:sz="2" w:space="0" w:color="auto"/>
            </w:tcBorders>
            <w:vAlign w:val="center"/>
          </w:tcPr>
          <w:p w14:paraId="67FE4C58"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5.00%</w:t>
            </w:r>
          </w:p>
        </w:tc>
      </w:tr>
      <w:tr w:rsidR="00095F6F" w14:paraId="774DDEC9"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E31F487"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1</w:t>
            </w:r>
            <w:r w:rsidRPr="00472EF4">
              <w:rPr>
                <w:rFonts w:ascii="Times New Roman" w:eastAsia="宋体" w:hAnsi="Times New Roman" w:cs="Times New Roman"/>
                <w:sz w:val="18"/>
                <w:szCs w:val="18"/>
              </w:rPr>
              <w:t>至</w:t>
            </w:r>
            <w:r w:rsidRPr="00472EF4">
              <w:rPr>
                <w:rFonts w:ascii="Times New Roman" w:eastAsia="宋体" w:hAnsi="Times New Roman" w:cs="Times New Roman"/>
                <w:sz w:val="18"/>
                <w:szCs w:val="18"/>
              </w:rPr>
              <w:t>2</w:t>
            </w:r>
            <w:r w:rsidRPr="00472EF4">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0D7EC5FF"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3,900,905.42</w:t>
            </w:r>
          </w:p>
        </w:tc>
        <w:tc>
          <w:tcPr>
            <w:tcW w:w="2410" w:type="dxa"/>
            <w:tcBorders>
              <w:top w:val="single" w:sz="2" w:space="0" w:color="auto"/>
              <w:left w:val="single" w:sz="2" w:space="0" w:color="auto"/>
              <w:bottom w:val="single" w:sz="2" w:space="0" w:color="auto"/>
              <w:right w:val="single" w:sz="2" w:space="0" w:color="auto"/>
            </w:tcBorders>
            <w:vAlign w:val="center"/>
          </w:tcPr>
          <w:p w14:paraId="537E914A"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780,181.08</w:t>
            </w:r>
          </w:p>
        </w:tc>
        <w:tc>
          <w:tcPr>
            <w:tcW w:w="2410" w:type="dxa"/>
            <w:tcBorders>
              <w:top w:val="single" w:sz="2" w:space="0" w:color="auto"/>
              <w:left w:val="single" w:sz="2" w:space="0" w:color="auto"/>
              <w:bottom w:val="single" w:sz="2" w:space="0" w:color="auto"/>
              <w:right w:val="single" w:sz="2" w:space="0" w:color="auto"/>
            </w:tcBorders>
            <w:vAlign w:val="center"/>
          </w:tcPr>
          <w:p w14:paraId="3998B2ED"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20.00%</w:t>
            </w:r>
          </w:p>
        </w:tc>
      </w:tr>
      <w:tr w:rsidR="00095F6F" w14:paraId="2A1B3C33"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CF8072F"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2</w:t>
            </w:r>
            <w:r w:rsidRPr="00472EF4">
              <w:rPr>
                <w:rFonts w:ascii="Times New Roman" w:eastAsia="宋体" w:hAnsi="Times New Roman" w:cs="Times New Roman"/>
                <w:sz w:val="18"/>
                <w:szCs w:val="18"/>
              </w:rPr>
              <w:t>至</w:t>
            </w:r>
            <w:r w:rsidRPr="00472EF4">
              <w:rPr>
                <w:rFonts w:ascii="Times New Roman" w:eastAsia="宋体" w:hAnsi="Times New Roman" w:cs="Times New Roman"/>
                <w:sz w:val="18"/>
                <w:szCs w:val="18"/>
              </w:rPr>
              <w:t>3</w:t>
            </w:r>
            <w:r w:rsidRPr="00472EF4">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0238819A"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40,080.00</w:t>
            </w:r>
          </w:p>
        </w:tc>
        <w:tc>
          <w:tcPr>
            <w:tcW w:w="2410" w:type="dxa"/>
            <w:tcBorders>
              <w:top w:val="single" w:sz="2" w:space="0" w:color="auto"/>
              <w:left w:val="single" w:sz="2" w:space="0" w:color="auto"/>
              <w:bottom w:val="single" w:sz="2" w:space="0" w:color="auto"/>
              <w:right w:val="single" w:sz="2" w:space="0" w:color="auto"/>
            </w:tcBorders>
            <w:vAlign w:val="center"/>
          </w:tcPr>
          <w:p w14:paraId="4CD0973C"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20,040.00</w:t>
            </w:r>
          </w:p>
        </w:tc>
        <w:tc>
          <w:tcPr>
            <w:tcW w:w="2410" w:type="dxa"/>
            <w:tcBorders>
              <w:top w:val="single" w:sz="2" w:space="0" w:color="auto"/>
              <w:left w:val="single" w:sz="2" w:space="0" w:color="auto"/>
              <w:bottom w:val="single" w:sz="2" w:space="0" w:color="auto"/>
              <w:right w:val="single" w:sz="2" w:space="0" w:color="auto"/>
            </w:tcBorders>
            <w:vAlign w:val="center"/>
          </w:tcPr>
          <w:p w14:paraId="7946ABAB"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50.00%</w:t>
            </w:r>
          </w:p>
        </w:tc>
      </w:tr>
      <w:tr w:rsidR="00095F6F" w14:paraId="67935BFD"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2AB42652"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3</w:t>
            </w:r>
            <w:r w:rsidRPr="00472EF4">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5C2EEA5C"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194,895.26</w:t>
            </w:r>
          </w:p>
        </w:tc>
        <w:tc>
          <w:tcPr>
            <w:tcW w:w="2410" w:type="dxa"/>
            <w:tcBorders>
              <w:top w:val="single" w:sz="2" w:space="0" w:color="auto"/>
              <w:left w:val="single" w:sz="2" w:space="0" w:color="auto"/>
              <w:bottom w:val="single" w:sz="2" w:space="0" w:color="auto"/>
              <w:right w:val="single" w:sz="2" w:space="0" w:color="auto"/>
            </w:tcBorders>
            <w:vAlign w:val="center"/>
          </w:tcPr>
          <w:p w14:paraId="0EE1ABB5"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194,895.26</w:t>
            </w:r>
          </w:p>
        </w:tc>
        <w:tc>
          <w:tcPr>
            <w:tcW w:w="2410" w:type="dxa"/>
            <w:tcBorders>
              <w:top w:val="single" w:sz="2" w:space="0" w:color="auto"/>
              <w:left w:val="single" w:sz="2" w:space="0" w:color="auto"/>
              <w:bottom w:val="single" w:sz="2" w:space="0" w:color="auto"/>
              <w:right w:val="single" w:sz="2" w:space="0" w:color="auto"/>
            </w:tcBorders>
            <w:vAlign w:val="center"/>
          </w:tcPr>
          <w:p w14:paraId="028501E5"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r>
      <w:tr w:rsidR="00095F6F" w14:paraId="0A4240D6"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F8DBF59"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3</w:t>
            </w:r>
            <w:r w:rsidRPr="00472EF4">
              <w:rPr>
                <w:rFonts w:ascii="Times New Roman" w:eastAsia="宋体" w:hAnsi="Times New Roman" w:cs="Times New Roman"/>
                <w:sz w:val="18"/>
                <w:szCs w:val="18"/>
              </w:rPr>
              <w:t>至</w:t>
            </w:r>
            <w:r w:rsidRPr="00472EF4">
              <w:rPr>
                <w:rFonts w:ascii="Times New Roman" w:eastAsia="宋体" w:hAnsi="Times New Roman" w:cs="Times New Roman"/>
                <w:sz w:val="18"/>
                <w:szCs w:val="18"/>
              </w:rPr>
              <w:t>4</w:t>
            </w:r>
            <w:r w:rsidRPr="00472EF4">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5BF2A022"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120,651.23</w:t>
            </w:r>
          </w:p>
        </w:tc>
        <w:tc>
          <w:tcPr>
            <w:tcW w:w="2410" w:type="dxa"/>
            <w:tcBorders>
              <w:top w:val="single" w:sz="2" w:space="0" w:color="auto"/>
              <w:left w:val="single" w:sz="2" w:space="0" w:color="auto"/>
              <w:bottom w:val="single" w:sz="2" w:space="0" w:color="auto"/>
              <w:right w:val="single" w:sz="2" w:space="0" w:color="auto"/>
            </w:tcBorders>
            <w:vAlign w:val="center"/>
          </w:tcPr>
          <w:p w14:paraId="05F61A49"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120,651.23</w:t>
            </w:r>
          </w:p>
        </w:tc>
        <w:tc>
          <w:tcPr>
            <w:tcW w:w="2410" w:type="dxa"/>
            <w:tcBorders>
              <w:top w:val="single" w:sz="2" w:space="0" w:color="auto"/>
              <w:left w:val="single" w:sz="2" w:space="0" w:color="auto"/>
              <w:bottom w:val="single" w:sz="2" w:space="0" w:color="auto"/>
              <w:right w:val="single" w:sz="2" w:space="0" w:color="auto"/>
            </w:tcBorders>
            <w:vAlign w:val="center"/>
          </w:tcPr>
          <w:p w14:paraId="4D5B2581"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r>
      <w:tr w:rsidR="00095F6F" w14:paraId="56624C7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60C6B474"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4</w:t>
            </w:r>
            <w:r w:rsidRPr="00472EF4">
              <w:rPr>
                <w:rFonts w:ascii="Times New Roman" w:eastAsia="宋体" w:hAnsi="Times New Roman" w:cs="Times New Roman"/>
                <w:sz w:val="18"/>
                <w:szCs w:val="18"/>
              </w:rPr>
              <w:t>至</w:t>
            </w:r>
            <w:r w:rsidRPr="00472EF4">
              <w:rPr>
                <w:rFonts w:ascii="Times New Roman" w:eastAsia="宋体" w:hAnsi="Times New Roman" w:cs="Times New Roman"/>
                <w:sz w:val="18"/>
                <w:szCs w:val="18"/>
              </w:rPr>
              <w:t>5</w:t>
            </w:r>
            <w:r w:rsidRPr="00472EF4">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4205BB8E"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74,244.03</w:t>
            </w:r>
          </w:p>
        </w:tc>
        <w:tc>
          <w:tcPr>
            <w:tcW w:w="2410" w:type="dxa"/>
            <w:tcBorders>
              <w:top w:val="single" w:sz="2" w:space="0" w:color="auto"/>
              <w:left w:val="single" w:sz="2" w:space="0" w:color="auto"/>
              <w:bottom w:val="single" w:sz="2" w:space="0" w:color="auto"/>
              <w:right w:val="single" w:sz="2" w:space="0" w:color="auto"/>
            </w:tcBorders>
            <w:vAlign w:val="center"/>
          </w:tcPr>
          <w:p w14:paraId="70F90243"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74,244.03</w:t>
            </w:r>
          </w:p>
        </w:tc>
        <w:tc>
          <w:tcPr>
            <w:tcW w:w="2410" w:type="dxa"/>
            <w:tcBorders>
              <w:top w:val="single" w:sz="2" w:space="0" w:color="auto"/>
              <w:left w:val="single" w:sz="2" w:space="0" w:color="auto"/>
              <w:bottom w:val="single" w:sz="2" w:space="0" w:color="auto"/>
              <w:right w:val="single" w:sz="2" w:space="0" w:color="auto"/>
            </w:tcBorders>
            <w:vAlign w:val="center"/>
          </w:tcPr>
          <w:p w14:paraId="1BD8AFB7"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100.00%</w:t>
            </w:r>
          </w:p>
        </w:tc>
      </w:tr>
      <w:tr w:rsidR="00095F6F" w14:paraId="0299ED2F"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56625F47"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5</w:t>
            </w:r>
            <w:r w:rsidRPr="00472EF4">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16EDFBD7" w14:textId="77777777" w:rsidR="00A46BF1" w:rsidRPr="00472EF4" w:rsidRDefault="00A46BF1" w:rsidP="00472EF4">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42E320CD" w14:textId="77777777" w:rsidR="00A46BF1" w:rsidRPr="00472EF4" w:rsidRDefault="00A46BF1" w:rsidP="00472EF4">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1E6E2D12" w14:textId="77777777" w:rsidR="00A46BF1" w:rsidRPr="00472EF4" w:rsidRDefault="00A46BF1" w:rsidP="00472EF4">
            <w:pPr>
              <w:spacing w:line="360" w:lineRule="auto"/>
              <w:jc w:val="right"/>
              <w:rPr>
                <w:rFonts w:ascii="Times New Roman" w:eastAsia="宋体" w:hAnsi="Times New Roman" w:cs="Times New Roman"/>
                <w:sz w:val="18"/>
                <w:szCs w:val="18"/>
              </w:rPr>
            </w:pPr>
          </w:p>
        </w:tc>
      </w:tr>
      <w:tr w:rsidR="00095F6F" w14:paraId="5E64EFC7"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7EE2958" w14:textId="77777777" w:rsidR="00A46BF1" w:rsidRPr="00472EF4" w:rsidRDefault="00A46BF1" w:rsidP="00472EF4">
            <w:pPr>
              <w:spacing w:before="40" w:after="40"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56B4C8F8"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274,315,364.11</w:t>
            </w:r>
          </w:p>
        </w:tc>
        <w:tc>
          <w:tcPr>
            <w:tcW w:w="2410" w:type="dxa"/>
            <w:tcBorders>
              <w:top w:val="single" w:sz="2" w:space="0" w:color="auto"/>
              <w:left w:val="single" w:sz="2" w:space="0" w:color="auto"/>
              <w:bottom w:val="single" w:sz="2" w:space="0" w:color="auto"/>
              <w:right w:val="single" w:sz="2" w:space="0" w:color="auto"/>
            </w:tcBorders>
            <w:vAlign w:val="center"/>
          </w:tcPr>
          <w:p w14:paraId="708EAE2E"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14,504,090.52</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2CBCFD9E" w14:textId="77777777" w:rsidR="00A46BF1" w:rsidRPr="00472EF4" w:rsidRDefault="00A46BF1" w:rsidP="00472EF4">
            <w:pPr>
              <w:spacing w:line="360" w:lineRule="auto"/>
              <w:rPr>
                <w:rFonts w:ascii="Times New Roman" w:hAnsi="Times New Roman" w:cs="Times New Roman"/>
              </w:rPr>
            </w:pPr>
          </w:p>
        </w:tc>
      </w:tr>
    </w:tbl>
    <w:p w14:paraId="4C37B55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103512E4" w14:textId="21518F30"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详见本附注“五、</w:t>
      </w:r>
      <w:r w:rsidRPr="00A83985">
        <w:rPr>
          <w:rFonts w:ascii="Times New Roman" w:hAnsi="Times New Roman" w:cs="Times New Roman" w:hint="eastAsia"/>
          <w:sz w:val="21"/>
          <w:szCs w:val="21"/>
        </w:rPr>
        <w:t>10</w:t>
      </w:r>
      <w:r w:rsidRPr="00A83985">
        <w:rPr>
          <w:rFonts w:ascii="Times New Roman" w:hAnsi="Times New Roman" w:cs="Times New Roman" w:hint="eastAsia"/>
          <w:sz w:val="21"/>
          <w:szCs w:val="21"/>
        </w:rPr>
        <w:t>金融工具”相关内容。</w:t>
      </w:r>
    </w:p>
    <w:p w14:paraId="5F227C75"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按组合计提坏账准备：其他组合计提</w:t>
      </w:r>
    </w:p>
    <w:p w14:paraId="490D873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4602FC87"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7094CB5"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2AD07BAB"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期末余额</w:t>
            </w:r>
          </w:p>
        </w:tc>
      </w:tr>
      <w:tr w:rsidR="00095F6F" w14:paraId="0DDCC34E"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7B481B0B" w14:textId="77777777" w:rsidR="00A46BF1" w:rsidRPr="00472EF4" w:rsidRDefault="00A46BF1" w:rsidP="00472EF4">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842816A"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4A6B8245"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197164D7" w14:textId="77777777" w:rsidR="00A46BF1" w:rsidRPr="00472EF4" w:rsidRDefault="00A46BF1" w:rsidP="00472EF4">
            <w:pPr>
              <w:spacing w:before="40" w:after="40" w:line="360" w:lineRule="auto"/>
              <w:jc w:val="center"/>
              <w:rPr>
                <w:rFonts w:ascii="Times New Roman" w:eastAsia="宋体" w:hAnsi="Times New Roman" w:cs="Times New Roman"/>
                <w:sz w:val="18"/>
                <w:szCs w:val="18"/>
              </w:rPr>
            </w:pPr>
            <w:r w:rsidRPr="00472EF4">
              <w:rPr>
                <w:rFonts w:ascii="Times New Roman" w:eastAsia="宋体" w:hAnsi="Times New Roman" w:cs="Times New Roman"/>
                <w:sz w:val="18"/>
                <w:szCs w:val="18"/>
              </w:rPr>
              <w:t>计提比例</w:t>
            </w:r>
          </w:p>
        </w:tc>
      </w:tr>
      <w:tr w:rsidR="00095F6F" w14:paraId="6E3C8144"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29F43E2" w14:textId="77777777" w:rsidR="00A46BF1" w:rsidRPr="00472EF4" w:rsidRDefault="00A46BF1" w:rsidP="00472EF4">
            <w:pPr>
              <w:spacing w:line="360" w:lineRule="auto"/>
              <w:rPr>
                <w:rFonts w:ascii="Times New Roman" w:eastAsia="宋体" w:hAnsi="Times New Roman" w:cs="Times New Roman"/>
                <w:sz w:val="18"/>
                <w:szCs w:val="18"/>
              </w:rPr>
            </w:pPr>
            <w:r w:rsidRPr="00472EF4">
              <w:rPr>
                <w:rFonts w:ascii="Times New Roman" w:eastAsia="宋体" w:hAnsi="Times New Roman" w:cs="Times New Roman"/>
                <w:sz w:val="18"/>
                <w:szCs w:val="18"/>
              </w:rPr>
              <w:t>其他组合</w:t>
            </w:r>
            <w:r w:rsidRPr="00472EF4">
              <w:rPr>
                <w:rFonts w:ascii="Times New Roman" w:eastAsia="宋体" w:hAnsi="Times New Roman" w:cs="Times New Roman"/>
                <w:sz w:val="18"/>
                <w:szCs w:val="18"/>
              </w:rPr>
              <w:t>1</w:t>
            </w:r>
          </w:p>
        </w:tc>
        <w:tc>
          <w:tcPr>
            <w:tcW w:w="2410" w:type="dxa"/>
            <w:tcBorders>
              <w:top w:val="single" w:sz="2" w:space="0" w:color="auto"/>
              <w:left w:val="single" w:sz="2" w:space="0" w:color="auto"/>
              <w:bottom w:val="single" w:sz="2" w:space="0" w:color="auto"/>
              <w:right w:val="single" w:sz="2" w:space="0" w:color="auto"/>
            </w:tcBorders>
            <w:vAlign w:val="center"/>
          </w:tcPr>
          <w:p w14:paraId="62FC31B5" w14:textId="77777777" w:rsidR="00A46BF1" w:rsidRPr="00472EF4" w:rsidRDefault="00A46BF1" w:rsidP="00472EF4">
            <w:pPr>
              <w:spacing w:line="360" w:lineRule="auto"/>
              <w:jc w:val="right"/>
              <w:rPr>
                <w:rFonts w:ascii="Times New Roman" w:eastAsia="宋体" w:hAnsi="Times New Roman" w:cs="Times New Roman"/>
                <w:sz w:val="18"/>
                <w:szCs w:val="18"/>
              </w:rPr>
            </w:pPr>
            <w:r w:rsidRPr="00472EF4">
              <w:rPr>
                <w:rFonts w:ascii="Times New Roman" w:eastAsia="宋体" w:hAnsi="Times New Roman" w:cs="Times New Roman"/>
                <w:sz w:val="18"/>
                <w:szCs w:val="18"/>
              </w:rPr>
              <w:t>34,579,879.14</w:t>
            </w:r>
          </w:p>
        </w:tc>
        <w:tc>
          <w:tcPr>
            <w:tcW w:w="2410" w:type="dxa"/>
            <w:tcBorders>
              <w:top w:val="single" w:sz="2" w:space="0" w:color="auto"/>
              <w:left w:val="single" w:sz="2" w:space="0" w:color="auto"/>
              <w:bottom w:val="single" w:sz="2" w:space="0" w:color="auto"/>
              <w:right w:val="single" w:sz="2" w:space="0" w:color="auto"/>
            </w:tcBorders>
            <w:vAlign w:val="center"/>
          </w:tcPr>
          <w:p w14:paraId="000BC94B" w14:textId="77777777" w:rsidR="00A46BF1" w:rsidRPr="00472EF4" w:rsidRDefault="00A46BF1" w:rsidP="00472EF4">
            <w:pPr>
              <w:spacing w:line="360" w:lineRule="auto"/>
              <w:jc w:val="right"/>
              <w:rPr>
                <w:rFonts w:ascii="Times New Roman" w:eastAsia="宋体" w:hAnsi="Times New Roman" w:cs="Times New Roman"/>
                <w:sz w:val="18"/>
                <w:szCs w:val="18"/>
              </w:rPr>
            </w:pPr>
          </w:p>
        </w:tc>
        <w:tc>
          <w:tcPr>
            <w:tcW w:w="2410" w:type="dxa"/>
            <w:tcBorders>
              <w:top w:val="single" w:sz="2" w:space="0" w:color="auto"/>
              <w:left w:val="single" w:sz="2" w:space="0" w:color="auto"/>
              <w:bottom w:val="single" w:sz="2" w:space="0" w:color="auto"/>
              <w:right w:val="single" w:sz="2" w:space="0" w:color="auto"/>
            </w:tcBorders>
            <w:vAlign w:val="center"/>
          </w:tcPr>
          <w:p w14:paraId="5F36023C" w14:textId="77777777" w:rsidR="00A46BF1" w:rsidRPr="00472EF4" w:rsidRDefault="00A46BF1" w:rsidP="00472EF4">
            <w:pPr>
              <w:spacing w:line="360" w:lineRule="auto"/>
              <w:jc w:val="right"/>
              <w:rPr>
                <w:rFonts w:ascii="Times New Roman" w:eastAsia="宋体" w:hAnsi="Times New Roman" w:cs="Times New Roman"/>
                <w:sz w:val="18"/>
                <w:szCs w:val="18"/>
              </w:rPr>
            </w:pPr>
          </w:p>
        </w:tc>
      </w:tr>
    </w:tbl>
    <w:p w14:paraId="4F92318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36820A8A" w14:textId="119BC051"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详见本附注“五、</w:t>
      </w:r>
      <w:r w:rsidRPr="00A83985">
        <w:rPr>
          <w:rFonts w:ascii="Times New Roman" w:hAnsi="Times New Roman" w:cs="Times New Roman" w:hint="eastAsia"/>
          <w:sz w:val="21"/>
          <w:szCs w:val="21"/>
        </w:rPr>
        <w:t>10</w:t>
      </w:r>
      <w:r w:rsidRPr="00A83985">
        <w:rPr>
          <w:rFonts w:ascii="Times New Roman" w:hAnsi="Times New Roman" w:cs="Times New Roman" w:hint="eastAsia"/>
          <w:sz w:val="21"/>
          <w:szCs w:val="21"/>
        </w:rPr>
        <w:t>金融工具”相关内容。</w:t>
      </w:r>
    </w:p>
    <w:p w14:paraId="35DB2075"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如是按照预期信用损失一般模型计提应收账款坏账准备：</w:t>
      </w:r>
    </w:p>
    <w:p w14:paraId="3278F78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5BDCE43"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本期计提、收回或转回的坏账准备情况</w:t>
      </w:r>
    </w:p>
    <w:p w14:paraId="3D9ECBB6"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14:paraId="0FF9EA2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10"/>
        <w:gridCol w:w="1843"/>
        <w:gridCol w:w="709"/>
        <w:gridCol w:w="1275"/>
        <w:gridCol w:w="709"/>
        <w:gridCol w:w="1316"/>
        <w:gridCol w:w="1377"/>
      </w:tblGrid>
      <w:tr w:rsidR="00095F6F" w14:paraId="57F3B7A3" w14:textId="77777777" w:rsidTr="00472EF4">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977B69"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类别</w:t>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B661DF3"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期初余额</w:t>
            </w:r>
          </w:p>
        </w:tc>
        <w:tc>
          <w:tcPr>
            <w:tcW w:w="4009"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797AC9A"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本期变动金额</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0C54D33"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期末余额</w:t>
            </w:r>
          </w:p>
        </w:tc>
      </w:tr>
      <w:tr w:rsidR="00095F6F" w14:paraId="0506CB5B" w14:textId="77777777" w:rsidTr="00472EF4">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F63371" w14:textId="77777777" w:rsidR="00A46BF1" w:rsidRPr="005C1653" w:rsidRDefault="00A46BF1" w:rsidP="005C1653">
            <w:pPr>
              <w:spacing w:line="360" w:lineRule="auto"/>
              <w:rPr>
                <w:rFonts w:ascii="Times New Roman" w:hAnsi="Times New Roman" w:cs="Times New Roman"/>
              </w:rPr>
            </w:pPr>
          </w:p>
        </w:tc>
        <w:tc>
          <w:tcPr>
            <w:tcW w:w="1843"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7203F1B" w14:textId="77777777" w:rsidR="00A46BF1" w:rsidRPr="005C1653" w:rsidRDefault="00A46BF1" w:rsidP="005C1653">
            <w:pPr>
              <w:spacing w:line="360" w:lineRule="auto"/>
              <w:rPr>
                <w:rFonts w:ascii="Times New Roman" w:hAnsi="Times New Roman" w:cs="Times New Roman"/>
              </w:rPr>
            </w:pP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5B21CC78"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计提</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3AADF362"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收回或转回</w:t>
            </w:r>
          </w:p>
        </w:tc>
        <w:tc>
          <w:tcPr>
            <w:tcW w:w="709" w:type="dxa"/>
            <w:tcBorders>
              <w:top w:val="single" w:sz="2" w:space="0" w:color="auto"/>
              <w:left w:val="single" w:sz="2" w:space="0" w:color="auto"/>
              <w:bottom w:val="single" w:sz="2" w:space="0" w:color="auto"/>
              <w:right w:val="single" w:sz="2" w:space="0" w:color="auto"/>
            </w:tcBorders>
            <w:shd w:val="clear" w:color="auto" w:fill="D3D3D3"/>
            <w:vAlign w:val="center"/>
          </w:tcPr>
          <w:p w14:paraId="3E5EBDA2"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核销</w:t>
            </w:r>
          </w:p>
        </w:tc>
        <w:tc>
          <w:tcPr>
            <w:tcW w:w="1316" w:type="dxa"/>
            <w:tcBorders>
              <w:top w:val="single" w:sz="2" w:space="0" w:color="auto"/>
              <w:left w:val="single" w:sz="2" w:space="0" w:color="auto"/>
              <w:bottom w:val="single" w:sz="2" w:space="0" w:color="auto"/>
              <w:right w:val="single" w:sz="2" w:space="0" w:color="auto"/>
            </w:tcBorders>
            <w:shd w:val="clear" w:color="auto" w:fill="D3D3D3"/>
            <w:vAlign w:val="center"/>
          </w:tcPr>
          <w:p w14:paraId="539DD12F"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其他</w:t>
            </w: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86ED00A" w14:textId="77777777" w:rsidR="00A46BF1" w:rsidRPr="005C1653" w:rsidRDefault="00A46BF1" w:rsidP="005C1653">
            <w:pPr>
              <w:spacing w:line="360" w:lineRule="auto"/>
              <w:rPr>
                <w:rFonts w:ascii="Times New Roman" w:hAnsi="Times New Roman" w:cs="Times New Roman"/>
              </w:rPr>
            </w:pPr>
          </w:p>
        </w:tc>
      </w:tr>
      <w:tr w:rsidR="00095F6F" w14:paraId="4A59FB88" w14:textId="77777777" w:rsidTr="00472EF4">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086C856"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按单项计提坏账准备</w:t>
            </w:r>
          </w:p>
        </w:tc>
        <w:tc>
          <w:tcPr>
            <w:tcW w:w="1843" w:type="dxa"/>
            <w:tcBorders>
              <w:top w:val="single" w:sz="2" w:space="0" w:color="auto"/>
              <w:left w:val="single" w:sz="2" w:space="0" w:color="auto"/>
              <w:bottom w:val="single" w:sz="2" w:space="0" w:color="auto"/>
              <w:right w:val="single" w:sz="2" w:space="0" w:color="auto"/>
            </w:tcBorders>
            <w:vAlign w:val="center"/>
          </w:tcPr>
          <w:p w14:paraId="1DC0501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172,635,201.30</w:t>
            </w:r>
          </w:p>
        </w:tc>
        <w:tc>
          <w:tcPr>
            <w:tcW w:w="709" w:type="dxa"/>
            <w:tcBorders>
              <w:top w:val="single" w:sz="2" w:space="0" w:color="auto"/>
              <w:left w:val="single" w:sz="2" w:space="0" w:color="auto"/>
              <w:bottom w:val="single" w:sz="2" w:space="0" w:color="auto"/>
              <w:right w:val="single" w:sz="2" w:space="0" w:color="auto"/>
            </w:tcBorders>
            <w:vAlign w:val="center"/>
          </w:tcPr>
          <w:p w14:paraId="75CDCC82"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732B99F9"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20,000.00</w:t>
            </w:r>
          </w:p>
        </w:tc>
        <w:tc>
          <w:tcPr>
            <w:tcW w:w="709" w:type="dxa"/>
            <w:tcBorders>
              <w:top w:val="single" w:sz="2" w:space="0" w:color="auto"/>
              <w:left w:val="single" w:sz="2" w:space="0" w:color="auto"/>
              <w:bottom w:val="single" w:sz="2" w:space="0" w:color="auto"/>
              <w:right w:val="single" w:sz="2" w:space="0" w:color="auto"/>
            </w:tcBorders>
            <w:vAlign w:val="center"/>
          </w:tcPr>
          <w:p w14:paraId="6ABEE44F"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38499878"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-2,244,064.73</w:t>
            </w:r>
          </w:p>
        </w:tc>
        <w:tc>
          <w:tcPr>
            <w:tcW w:w="1377" w:type="dxa"/>
            <w:tcBorders>
              <w:top w:val="single" w:sz="2" w:space="0" w:color="auto"/>
              <w:left w:val="single" w:sz="2" w:space="0" w:color="auto"/>
              <w:bottom w:val="single" w:sz="2" w:space="0" w:color="auto"/>
              <w:right w:val="single" w:sz="2" w:space="0" w:color="auto"/>
            </w:tcBorders>
            <w:vAlign w:val="center"/>
          </w:tcPr>
          <w:p w14:paraId="7A6B1167"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174,859,266.03</w:t>
            </w:r>
          </w:p>
        </w:tc>
      </w:tr>
      <w:tr w:rsidR="00095F6F" w14:paraId="7AB16F9B" w14:textId="77777777" w:rsidTr="00472EF4">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231F84F"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按组合计提坏账准备</w:t>
            </w:r>
          </w:p>
        </w:tc>
        <w:tc>
          <w:tcPr>
            <w:tcW w:w="1843" w:type="dxa"/>
            <w:tcBorders>
              <w:top w:val="single" w:sz="2" w:space="0" w:color="auto"/>
              <w:left w:val="single" w:sz="2" w:space="0" w:color="auto"/>
              <w:bottom w:val="single" w:sz="2" w:space="0" w:color="auto"/>
              <w:right w:val="single" w:sz="2" w:space="0" w:color="auto"/>
            </w:tcBorders>
            <w:vAlign w:val="center"/>
          </w:tcPr>
          <w:p w14:paraId="520FB176"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21,046,246.93</w:t>
            </w:r>
          </w:p>
        </w:tc>
        <w:tc>
          <w:tcPr>
            <w:tcW w:w="709" w:type="dxa"/>
            <w:tcBorders>
              <w:top w:val="single" w:sz="2" w:space="0" w:color="auto"/>
              <w:left w:val="single" w:sz="2" w:space="0" w:color="auto"/>
              <w:bottom w:val="single" w:sz="2" w:space="0" w:color="auto"/>
              <w:right w:val="single" w:sz="2" w:space="0" w:color="auto"/>
            </w:tcBorders>
            <w:vAlign w:val="center"/>
          </w:tcPr>
          <w:p w14:paraId="3F17CFA4"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0F8593E8"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6,515,792.01</w:t>
            </w:r>
          </w:p>
        </w:tc>
        <w:tc>
          <w:tcPr>
            <w:tcW w:w="709" w:type="dxa"/>
            <w:tcBorders>
              <w:top w:val="single" w:sz="2" w:space="0" w:color="auto"/>
              <w:left w:val="single" w:sz="2" w:space="0" w:color="auto"/>
              <w:bottom w:val="single" w:sz="2" w:space="0" w:color="auto"/>
              <w:right w:val="single" w:sz="2" w:space="0" w:color="auto"/>
            </w:tcBorders>
            <w:vAlign w:val="center"/>
          </w:tcPr>
          <w:p w14:paraId="1287F025"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04146C26"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26,364.40</w:t>
            </w:r>
          </w:p>
        </w:tc>
        <w:tc>
          <w:tcPr>
            <w:tcW w:w="1377" w:type="dxa"/>
            <w:tcBorders>
              <w:top w:val="single" w:sz="2" w:space="0" w:color="auto"/>
              <w:left w:val="single" w:sz="2" w:space="0" w:color="auto"/>
              <w:bottom w:val="single" w:sz="2" w:space="0" w:color="auto"/>
              <w:right w:val="single" w:sz="2" w:space="0" w:color="auto"/>
            </w:tcBorders>
            <w:vAlign w:val="center"/>
          </w:tcPr>
          <w:p w14:paraId="1E85A3D5"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14,504,090.52</w:t>
            </w:r>
          </w:p>
        </w:tc>
      </w:tr>
      <w:tr w:rsidR="00095F6F" w14:paraId="7AC747C0" w14:textId="77777777" w:rsidTr="00472EF4">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56E466B0"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合计</w:t>
            </w:r>
          </w:p>
        </w:tc>
        <w:tc>
          <w:tcPr>
            <w:tcW w:w="1843" w:type="dxa"/>
            <w:tcBorders>
              <w:top w:val="single" w:sz="2" w:space="0" w:color="auto"/>
              <w:left w:val="single" w:sz="2" w:space="0" w:color="auto"/>
              <w:bottom w:val="single" w:sz="2" w:space="0" w:color="auto"/>
              <w:right w:val="single" w:sz="2" w:space="0" w:color="auto"/>
            </w:tcBorders>
            <w:vAlign w:val="center"/>
          </w:tcPr>
          <w:p w14:paraId="134448E7"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193,681,448.23</w:t>
            </w:r>
          </w:p>
        </w:tc>
        <w:tc>
          <w:tcPr>
            <w:tcW w:w="709" w:type="dxa"/>
            <w:tcBorders>
              <w:top w:val="single" w:sz="2" w:space="0" w:color="auto"/>
              <w:left w:val="single" w:sz="2" w:space="0" w:color="auto"/>
              <w:bottom w:val="single" w:sz="2" w:space="0" w:color="auto"/>
              <w:right w:val="single" w:sz="2" w:space="0" w:color="auto"/>
            </w:tcBorders>
            <w:vAlign w:val="center"/>
          </w:tcPr>
          <w:p w14:paraId="3DAD8D06"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4608077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6,535,792.01</w:t>
            </w:r>
          </w:p>
        </w:tc>
        <w:tc>
          <w:tcPr>
            <w:tcW w:w="709" w:type="dxa"/>
            <w:tcBorders>
              <w:top w:val="single" w:sz="2" w:space="0" w:color="auto"/>
              <w:left w:val="single" w:sz="2" w:space="0" w:color="auto"/>
              <w:bottom w:val="single" w:sz="2" w:space="0" w:color="auto"/>
              <w:right w:val="single" w:sz="2" w:space="0" w:color="auto"/>
            </w:tcBorders>
            <w:vAlign w:val="center"/>
          </w:tcPr>
          <w:p w14:paraId="3D13CD87"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316" w:type="dxa"/>
            <w:tcBorders>
              <w:top w:val="single" w:sz="2" w:space="0" w:color="auto"/>
              <w:left w:val="single" w:sz="2" w:space="0" w:color="auto"/>
              <w:bottom w:val="single" w:sz="2" w:space="0" w:color="auto"/>
              <w:right w:val="single" w:sz="2" w:space="0" w:color="auto"/>
            </w:tcBorders>
            <w:vAlign w:val="center"/>
          </w:tcPr>
          <w:p w14:paraId="3BC097B3"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-2,217,700.33</w:t>
            </w:r>
          </w:p>
        </w:tc>
        <w:tc>
          <w:tcPr>
            <w:tcW w:w="1377" w:type="dxa"/>
            <w:tcBorders>
              <w:top w:val="single" w:sz="2" w:space="0" w:color="auto"/>
              <w:left w:val="single" w:sz="2" w:space="0" w:color="auto"/>
              <w:bottom w:val="single" w:sz="2" w:space="0" w:color="auto"/>
              <w:right w:val="single" w:sz="2" w:space="0" w:color="auto"/>
            </w:tcBorders>
            <w:vAlign w:val="center"/>
          </w:tcPr>
          <w:p w14:paraId="668877D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189,363,356.55</w:t>
            </w:r>
          </w:p>
        </w:tc>
      </w:tr>
    </w:tbl>
    <w:p w14:paraId="291B9B94"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其中本期坏账准备收回或转回金额重要的：</w:t>
      </w:r>
    </w:p>
    <w:p w14:paraId="232C478C"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2B2A5637"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4C183F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EF0D78D"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88A0BD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22F64713"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D116E4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确定原坏账准备计提比例的依据及其合理性</w:t>
            </w:r>
          </w:p>
        </w:tc>
      </w:tr>
    </w:tbl>
    <w:p w14:paraId="35F2968B" w14:textId="77777777" w:rsidR="00A46BF1" w:rsidRPr="005C1653" w:rsidRDefault="00A46BF1" w:rsidP="005C1653">
      <w:pPr>
        <w:spacing w:before="100" w:after="100" w:line="240" w:lineRule="exact"/>
        <w:rPr>
          <w:rFonts w:ascii="宋体" w:eastAsia="宋体" w:hAnsi="宋体" w:cs="宋体"/>
          <w:sz w:val="18"/>
          <w:szCs w:val="18"/>
        </w:rPr>
      </w:pPr>
      <w:r w:rsidRPr="005C1653">
        <w:rPr>
          <w:rFonts w:ascii="宋体" w:eastAsia="宋体" w:hAnsi="宋体" w:cs="宋体" w:hint="eastAsia"/>
          <w:sz w:val="18"/>
          <w:szCs w:val="18"/>
        </w:rPr>
        <w:t>无</w:t>
      </w:r>
    </w:p>
    <w:p w14:paraId="3686264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（4） 本期实际核销的应收账款情况</w:t>
      </w:r>
    </w:p>
    <w:p w14:paraId="53784B5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4820"/>
        <w:gridCol w:w="4819"/>
      </w:tblGrid>
      <w:tr w:rsidR="00095F6F" w14:paraId="5FEA6E44" w14:textId="77777777" w:rsidTr="00A46BF1">
        <w:trPr>
          <w:trHeight w:val="240"/>
        </w:trPr>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48EFFE22"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4820" w:type="dxa"/>
            <w:tcBorders>
              <w:top w:val="single" w:sz="2" w:space="0" w:color="auto"/>
              <w:left w:val="single" w:sz="2" w:space="0" w:color="auto"/>
              <w:bottom w:val="single" w:sz="2" w:space="0" w:color="auto"/>
              <w:right w:val="single" w:sz="2" w:space="0" w:color="auto"/>
            </w:tcBorders>
            <w:shd w:val="clear" w:color="auto" w:fill="D3D3D3"/>
            <w:vAlign w:val="center"/>
          </w:tcPr>
          <w:p w14:paraId="39F545E7"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r>
    </w:tbl>
    <w:p w14:paraId="17BE8A57"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其中重要的应收账款核销情况：</w:t>
      </w:r>
    </w:p>
    <w:p w14:paraId="03CDF1A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606"/>
        <w:gridCol w:w="1606"/>
        <w:gridCol w:w="1606"/>
        <w:gridCol w:w="1607"/>
        <w:gridCol w:w="1607"/>
        <w:gridCol w:w="1607"/>
      </w:tblGrid>
      <w:tr w:rsidR="00095F6F" w14:paraId="54117158" w14:textId="77777777" w:rsidTr="00A46BF1">
        <w:trPr>
          <w:trHeight w:val="240"/>
        </w:trPr>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0EBCDA3B"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7E0CCA3E"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应收账款性质</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4BB7B14C"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核销金额</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6119855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核销原因</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B1DB83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履行的核销程序</w:t>
            </w:r>
          </w:p>
        </w:tc>
        <w:tc>
          <w:tcPr>
            <w:tcW w:w="1606" w:type="dxa"/>
            <w:tcBorders>
              <w:top w:val="single" w:sz="2" w:space="0" w:color="auto"/>
              <w:left w:val="single" w:sz="2" w:space="0" w:color="auto"/>
              <w:bottom w:val="single" w:sz="2" w:space="0" w:color="auto"/>
              <w:right w:val="single" w:sz="2" w:space="0" w:color="auto"/>
            </w:tcBorders>
            <w:shd w:val="clear" w:color="auto" w:fill="D3D3D3"/>
            <w:vAlign w:val="center"/>
          </w:tcPr>
          <w:p w14:paraId="2E32079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款项是否由关联交易产生</w:t>
            </w:r>
          </w:p>
        </w:tc>
      </w:tr>
    </w:tbl>
    <w:p w14:paraId="3A09667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应收账款核销说明：</w:t>
      </w:r>
    </w:p>
    <w:p w14:paraId="15ADCFD6" w14:textId="77777777"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本公司本年无实际核销的应收账款。</w:t>
      </w:r>
    </w:p>
    <w:p w14:paraId="480AF2F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（5） 按欠款方归集的期末余额前五名的应收账款和合同资产情况</w:t>
      </w:r>
    </w:p>
    <w:p w14:paraId="6718171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993"/>
        <w:gridCol w:w="1417"/>
        <w:gridCol w:w="992"/>
        <w:gridCol w:w="1560"/>
        <w:gridCol w:w="2268"/>
        <w:gridCol w:w="2409"/>
      </w:tblGrid>
      <w:tr w:rsidR="00095F6F" w14:paraId="061246F7"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2239D480"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单位名称</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1F99E681"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应收账款期末余额</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6E2C9896"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合同资产期末余额</w:t>
            </w:r>
          </w:p>
        </w:tc>
        <w:tc>
          <w:tcPr>
            <w:tcW w:w="1560" w:type="dxa"/>
            <w:tcBorders>
              <w:top w:val="single" w:sz="2" w:space="0" w:color="auto"/>
              <w:left w:val="single" w:sz="2" w:space="0" w:color="auto"/>
              <w:bottom w:val="single" w:sz="2" w:space="0" w:color="auto"/>
              <w:right w:val="single" w:sz="2" w:space="0" w:color="auto"/>
            </w:tcBorders>
            <w:shd w:val="clear" w:color="auto" w:fill="D3D3D3"/>
            <w:vAlign w:val="center"/>
          </w:tcPr>
          <w:p w14:paraId="3FE69566"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应收账款和合同资产期末余额</w:t>
            </w:r>
          </w:p>
        </w:tc>
        <w:tc>
          <w:tcPr>
            <w:tcW w:w="2268" w:type="dxa"/>
            <w:tcBorders>
              <w:top w:val="single" w:sz="2" w:space="0" w:color="auto"/>
              <w:left w:val="single" w:sz="2" w:space="0" w:color="auto"/>
              <w:bottom w:val="single" w:sz="2" w:space="0" w:color="auto"/>
              <w:right w:val="single" w:sz="2" w:space="0" w:color="auto"/>
            </w:tcBorders>
            <w:shd w:val="clear" w:color="auto" w:fill="D3D3D3"/>
            <w:vAlign w:val="center"/>
          </w:tcPr>
          <w:p w14:paraId="0BFE3AE8"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占应收账款和合同资产期末余额合计数的比例</w:t>
            </w:r>
          </w:p>
        </w:tc>
        <w:tc>
          <w:tcPr>
            <w:tcW w:w="2409" w:type="dxa"/>
            <w:tcBorders>
              <w:top w:val="single" w:sz="2" w:space="0" w:color="auto"/>
              <w:left w:val="single" w:sz="2" w:space="0" w:color="auto"/>
              <w:bottom w:val="single" w:sz="2" w:space="0" w:color="auto"/>
              <w:right w:val="single" w:sz="2" w:space="0" w:color="auto"/>
            </w:tcBorders>
            <w:shd w:val="clear" w:color="auto" w:fill="D3D3D3"/>
            <w:vAlign w:val="center"/>
          </w:tcPr>
          <w:p w14:paraId="33268962"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应收账款坏账准备和合同资产减值准备期末余额</w:t>
            </w:r>
          </w:p>
        </w:tc>
      </w:tr>
      <w:tr w:rsidR="00095F6F" w14:paraId="587D9DA0"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5D28DEBD"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A</w:t>
            </w:r>
            <w:r w:rsidRPr="005C1653">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03F5EB61"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170,162,733.91</w:t>
            </w:r>
          </w:p>
        </w:tc>
        <w:tc>
          <w:tcPr>
            <w:tcW w:w="992" w:type="dxa"/>
            <w:tcBorders>
              <w:top w:val="single" w:sz="2" w:space="0" w:color="auto"/>
              <w:left w:val="single" w:sz="2" w:space="0" w:color="auto"/>
              <w:bottom w:val="single" w:sz="2" w:space="0" w:color="auto"/>
              <w:right w:val="single" w:sz="2" w:space="0" w:color="auto"/>
            </w:tcBorders>
            <w:vAlign w:val="center"/>
          </w:tcPr>
          <w:p w14:paraId="0C539F3D"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7F10A712"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170,162,733.91</w:t>
            </w:r>
          </w:p>
        </w:tc>
        <w:tc>
          <w:tcPr>
            <w:tcW w:w="2268" w:type="dxa"/>
            <w:tcBorders>
              <w:top w:val="single" w:sz="2" w:space="0" w:color="auto"/>
              <w:left w:val="single" w:sz="2" w:space="0" w:color="auto"/>
              <w:bottom w:val="single" w:sz="2" w:space="0" w:color="auto"/>
              <w:right w:val="single" w:sz="2" w:space="0" w:color="auto"/>
            </w:tcBorders>
            <w:vAlign w:val="center"/>
          </w:tcPr>
          <w:p w14:paraId="3CE65B6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35.18%</w:t>
            </w:r>
          </w:p>
        </w:tc>
        <w:tc>
          <w:tcPr>
            <w:tcW w:w="2409" w:type="dxa"/>
            <w:tcBorders>
              <w:top w:val="single" w:sz="2" w:space="0" w:color="auto"/>
              <w:left w:val="single" w:sz="2" w:space="0" w:color="auto"/>
              <w:bottom w:val="single" w:sz="2" w:space="0" w:color="auto"/>
              <w:right w:val="single" w:sz="2" w:space="0" w:color="auto"/>
            </w:tcBorders>
            <w:vAlign w:val="center"/>
          </w:tcPr>
          <w:p w14:paraId="6C4DF7B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170,162,733.91</w:t>
            </w:r>
          </w:p>
        </w:tc>
      </w:tr>
      <w:tr w:rsidR="00095F6F" w14:paraId="49AFDE6D"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4545CA2D"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I</w:t>
            </w:r>
            <w:r w:rsidRPr="005C1653">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2169F41F"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120,973,256.72</w:t>
            </w:r>
          </w:p>
        </w:tc>
        <w:tc>
          <w:tcPr>
            <w:tcW w:w="992" w:type="dxa"/>
            <w:tcBorders>
              <w:top w:val="single" w:sz="2" w:space="0" w:color="auto"/>
              <w:left w:val="single" w:sz="2" w:space="0" w:color="auto"/>
              <w:bottom w:val="single" w:sz="2" w:space="0" w:color="auto"/>
              <w:right w:val="single" w:sz="2" w:space="0" w:color="auto"/>
            </w:tcBorders>
            <w:vAlign w:val="center"/>
          </w:tcPr>
          <w:p w14:paraId="78C6FF95"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0547EB6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120,973,256.72</w:t>
            </w:r>
          </w:p>
        </w:tc>
        <w:tc>
          <w:tcPr>
            <w:tcW w:w="2268" w:type="dxa"/>
            <w:tcBorders>
              <w:top w:val="single" w:sz="2" w:space="0" w:color="auto"/>
              <w:left w:val="single" w:sz="2" w:space="0" w:color="auto"/>
              <w:bottom w:val="single" w:sz="2" w:space="0" w:color="auto"/>
              <w:right w:val="single" w:sz="2" w:space="0" w:color="auto"/>
            </w:tcBorders>
            <w:vAlign w:val="center"/>
          </w:tcPr>
          <w:p w14:paraId="331F3E1D"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25.01%</w:t>
            </w:r>
          </w:p>
        </w:tc>
        <w:tc>
          <w:tcPr>
            <w:tcW w:w="2409" w:type="dxa"/>
            <w:tcBorders>
              <w:top w:val="single" w:sz="2" w:space="0" w:color="auto"/>
              <w:left w:val="single" w:sz="2" w:space="0" w:color="auto"/>
              <w:bottom w:val="single" w:sz="2" w:space="0" w:color="auto"/>
              <w:right w:val="single" w:sz="2" w:space="0" w:color="auto"/>
            </w:tcBorders>
            <w:vAlign w:val="center"/>
          </w:tcPr>
          <w:p w14:paraId="509EBAFF"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6,048,662.84</w:t>
            </w:r>
          </w:p>
        </w:tc>
      </w:tr>
      <w:tr w:rsidR="00095F6F" w14:paraId="20A6B917"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53D2AA6C"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W</w:t>
            </w:r>
            <w:r w:rsidRPr="005C1653">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53E0CC92"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20,045,616.41</w:t>
            </w:r>
          </w:p>
        </w:tc>
        <w:tc>
          <w:tcPr>
            <w:tcW w:w="992" w:type="dxa"/>
            <w:tcBorders>
              <w:top w:val="single" w:sz="2" w:space="0" w:color="auto"/>
              <w:left w:val="single" w:sz="2" w:space="0" w:color="auto"/>
              <w:bottom w:val="single" w:sz="2" w:space="0" w:color="auto"/>
              <w:right w:val="single" w:sz="2" w:space="0" w:color="auto"/>
            </w:tcBorders>
            <w:vAlign w:val="center"/>
          </w:tcPr>
          <w:p w14:paraId="7214E6FC"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26EE4B9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20,045,616.41</w:t>
            </w:r>
          </w:p>
        </w:tc>
        <w:tc>
          <w:tcPr>
            <w:tcW w:w="2268" w:type="dxa"/>
            <w:tcBorders>
              <w:top w:val="single" w:sz="2" w:space="0" w:color="auto"/>
              <w:left w:val="single" w:sz="2" w:space="0" w:color="auto"/>
              <w:bottom w:val="single" w:sz="2" w:space="0" w:color="auto"/>
              <w:right w:val="single" w:sz="2" w:space="0" w:color="auto"/>
            </w:tcBorders>
            <w:vAlign w:val="center"/>
          </w:tcPr>
          <w:p w14:paraId="1ED74F1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4.14%</w:t>
            </w:r>
          </w:p>
        </w:tc>
        <w:tc>
          <w:tcPr>
            <w:tcW w:w="2409" w:type="dxa"/>
            <w:tcBorders>
              <w:top w:val="single" w:sz="2" w:space="0" w:color="auto"/>
              <w:left w:val="single" w:sz="2" w:space="0" w:color="auto"/>
              <w:bottom w:val="single" w:sz="2" w:space="0" w:color="auto"/>
              <w:right w:val="single" w:sz="2" w:space="0" w:color="auto"/>
            </w:tcBorders>
            <w:vAlign w:val="center"/>
          </w:tcPr>
          <w:p w14:paraId="45027176" w14:textId="77777777" w:rsidR="00A46BF1" w:rsidRPr="005C1653" w:rsidRDefault="00A46BF1" w:rsidP="005C1653">
            <w:pPr>
              <w:spacing w:line="360" w:lineRule="auto"/>
              <w:jc w:val="right"/>
              <w:rPr>
                <w:rFonts w:ascii="Times New Roman" w:eastAsia="宋体" w:hAnsi="Times New Roman" w:cs="Times New Roman"/>
                <w:sz w:val="18"/>
                <w:szCs w:val="18"/>
              </w:rPr>
            </w:pPr>
          </w:p>
        </w:tc>
      </w:tr>
      <w:tr w:rsidR="00095F6F" w14:paraId="1906CC65"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4790A065"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L</w:t>
            </w:r>
            <w:r w:rsidRPr="005C1653">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12660CC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13,091,097.76</w:t>
            </w:r>
          </w:p>
        </w:tc>
        <w:tc>
          <w:tcPr>
            <w:tcW w:w="992" w:type="dxa"/>
            <w:tcBorders>
              <w:top w:val="single" w:sz="2" w:space="0" w:color="auto"/>
              <w:left w:val="single" w:sz="2" w:space="0" w:color="auto"/>
              <w:bottom w:val="single" w:sz="2" w:space="0" w:color="auto"/>
              <w:right w:val="single" w:sz="2" w:space="0" w:color="auto"/>
            </w:tcBorders>
            <w:vAlign w:val="center"/>
          </w:tcPr>
          <w:p w14:paraId="7005BA3C"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26C67E9E"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13,091,097.76</w:t>
            </w:r>
          </w:p>
        </w:tc>
        <w:tc>
          <w:tcPr>
            <w:tcW w:w="2268" w:type="dxa"/>
            <w:tcBorders>
              <w:top w:val="single" w:sz="2" w:space="0" w:color="auto"/>
              <w:left w:val="single" w:sz="2" w:space="0" w:color="auto"/>
              <w:bottom w:val="single" w:sz="2" w:space="0" w:color="auto"/>
              <w:right w:val="single" w:sz="2" w:space="0" w:color="auto"/>
            </w:tcBorders>
            <w:vAlign w:val="center"/>
          </w:tcPr>
          <w:p w14:paraId="27F43FC1"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2.71%</w:t>
            </w:r>
          </w:p>
        </w:tc>
        <w:tc>
          <w:tcPr>
            <w:tcW w:w="2409" w:type="dxa"/>
            <w:tcBorders>
              <w:top w:val="single" w:sz="2" w:space="0" w:color="auto"/>
              <w:left w:val="single" w:sz="2" w:space="0" w:color="auto"/>
              <w:bottom w:val="single" w:sz="2" w:space="0" w:color="auto"/>
              <w:right w:val="single" w:sz="2" w:space="0" w:color="auto"/>
            </w:tcBorders>
            <w:vAlign w:val="center"/>
          </w:tcPr>
          <w:p w14:paraId="603E861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654,554.89</w:t>
            </w:r>
          </w:p>
        </w:tc>
      </w:tr>
      <w:tr w:rsidR="00095F6F" w14:paraId="760B6019"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2DE9014C"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X</w:t>
            </w:r>
            <w:r w:rsidRPr="005C1653">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5EE37A1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10,146,926.60</w:t>
            </w:r>
          </w:p>
        </w:tc>
        <w:tc>
          <w:tcPr>
            <w:tcW w:w="992" w:type="dxa"/>
            <w:tcBorders>
              <w:top w:val="single" w:sz="2" w:space="0" w:color="auto"/>
              <w:left w:val="single" w:sz="2" w:space="0" w:color="auto"/>
              <w:bottom w:val="single" w:sz="2" w:space="0" w:color="auto"/>
              <w:right w:val="single" w:sz="2" w:space="0" w:color="auto"/>
            </w:tcBorders>
            <w:vAlign w:val="center"/>
          </w:tcPr>
          <w:p w14:paraId="57CF3751"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438A0767"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10,146,926.60</w:t>
            </w:r>
          </w:p>
        </w:tc>
        <w:tc>
          <w:tcPr>
            <w:tcW w:w="2268" w:type="dxa"/>
            <w:tcBorders>
              <w:top w:val="single" w:sz="2" w:space="0" w:color="auto"/>
              <w:left w:val="single" w:sz="2" w:space="0" w:color="auto"/>
              <w:bottom w:val="single" w:sz="2" w:space="0" w:color="auto"/>
              <w:right w:val="single" w:sz="2" w:space="0" w:color="auto"/>
            </w:tcBorders>
            <w:vAlign w:val="center"/>
          </w:tcPr>
          <w:p w14:paraId="214AC041"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2.10%</w:t>
            </w:r>
          </w:p>
        </w:tc>
        <w:tc>
          <w:tcPr>
            <w:tcW w:w="2409" w:type="dxa"/>
            <w:tcBorders>
              <w:top w:val="single" w:sz="2" w:space="0" w:color="auto"/>
              <w:left w:val="single" w:sz="2" w:space="0" w:color="auto"/>
              <w:bottom w:val="single" w:sz="2" w:space="0" w:color="auto"/>
              <w:right w:val="single" w:sz="2" w:space="0" w:color="auto"/>
            </w:tcBorders>
            <w:vAlign w:val="center"/>
          </w:tcPr>
          <w:p w14:paraId="4BBE3C2E"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507,346.33</w:t>
            </w:r>
          </w:p>
        </w:tc>
      </w:tr>
      <w:tr w:rsidR="00095F6F" w14:paraId="21838333" w14:textId="77777777" w:rsidTr="005C1653">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0C454AC1"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合计</w:t>
            </w:r>
          </w:p>
        </w:tc>
        <w:tc>
          <w:tcPr>
            <w:tcW w:w="1417" w:type="dxa"/>
            <w:tcBorders>
              <w:top w:val="single" w:sz="2" w:space="0" w:color="auto"/>
              <w:left w:val="single" w:sz="2" w:space="0" w:color="auto"/>
              <w:bottom w:val="single" w:sz="2" w:space="0" w:color="auto"/>
              <w:right w:val="single" w:sz="2" w:space="0" w:color="auto"/>
            </w:tcBorders>
            <w:vAlign w:val="center"/>
          </w:tcPr>
          <w:p w14:paraId="5951870F"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334,419,631.40</w:t>
            </w:r>
          </w:p>
        </w:tc>
        <w:tc>
          <w:tcPr>
            <w:tcW w:w="992" w:type="dxa"/>
            <w:tcBorders>
              <w:top w:val="single" w:sz="2" w:space="0" w:color="auto"/>
              <w:left w:val="single" w:sz="2" w:space="0" w:color="auto"/>
              <w:bottom w:val="single" w:sz="2" w:space="0" w:color="auto"/>
              <w:right w:val="single" w:sz="2" w:space="0" w:color="auto"/>
            </w:tcBorders>
            <w:vAlign w:val="center"/>
          </w:tcPr>
          <w:p w14:paraId="27B72617" w14:textId="77777777" w:rsidR="00A46BF1" w:rsidRPr="005C1653" w:rsidRDefault="00A46BF1" w:rsidP="005C1653">
            <w:pPr>
              <w:spacing w:line="360" w:lineRule="auto"/>
              <w:jc w:val="right"/>
              <w:rPr>
                <w:rFonts w:ascii="Times New Roman" w:eastAsia="宋体" w:hAnsi="Times New Roman" w:cs="Times New Roman"/>
                <w:sz w:val="18"/>
                <w:szCs w:val="18"/>
              </w:rPr>
            </w:pPr>
          </w:p>
        </w:tc>
        <w:tc>
          <w:tcPr>
            <w:tcW w:w="1560" w:type="dxa"/>
            <w:tcBorders>
              <w:top w:val="single" w:sz="2" w:space="0" w:color="auto"/>
              <w:left w:val="single" w:sz="2" w:space="0" w:color="auto"/>
              <w:bottom w:val="single" w:sz="2" w:space="0" w:color="auto"/>
              <w:right w:val="single" w:sz="2" w:space="0" w:color="auto"/>
            </w:tcBorders>
            <w:vAlign w:val="center"/>
          </w:tcPr>
          <w:p w14:paraId="383CF97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334,419,631.40</w:t>
            </w:r>
          </w:p>
        </w:tc>
        <w:tc>
          <w:tcPr>
            <w:tcW w:w="2268" w:type="dxa"/>
            <w:tcBorders>
              <w:top w:val="single" w:sz="2" w:space="0" w:color="auto"/>
              <w:left w:val="single" w:sz="2" w:space="0" w:color="auto"/>
              <w:bottom w:val="single" w:sz="2" w:space="0" w:color="auto"/>
              <w:right w:val="single" w:sz="2" w:space="0" w:color="auto"/>
            </w:tcBorders>
            <w:vAlign w:val="center"/>
          </w:tcPr>
          <w:p w14:paraId="163A9A5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69.14%</w:t>
            </w:r>
          </w:p>
        </w:tc>
        <w:tc>
          <w:tcPr>
            <w:tcW w:w="2409" w:type="dxa"/>
            <w:tcBorders>
              <w:top w:val="single" w:sz="2" w:space="0" w:color="auto"/>
              <w:left w:val="single" w:sz="2" w:space="0" w:color="auto"/>
              <w:bottom w:val="single" w:sz="2" w:space="0" w:color="auto"/>
              <w:right w:val="single" w:sz="2" w:space="0" w:color="auto"/>
            </w:tcBorders>
            <w:vAlign w:val="center"/>
          </w:tcPr>
          <w:p w14:paraId="614045E9"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177,373,297.97</w:t>
            </w:r>
          </w:p>
        </w:tc>
      </w:tr>
    </w:tbl>
    <w:p w14:paraId="5E712B44" w14:textId="77777777" w:rsidR="00A46BF1" w:rsidRDefault="00A46BF1" w:rsidP="00A46BF1">
      <w:pPr>
        <w:pStyle w:val="3"/>
        <w:spacing w:line="280" w:lineRule="exact"/>
        <w:jc w:val="left"/>
        <w:rPr>
          <w:rFonts w:ascii="宋体" w:hAnsi="宋体" w:cs="宋体"/>
          <w:b/>
          <w:bCs/>
        </w:rPr>
      </w:pPr>
      <w:r>
        <w:rPr>
          <w:rFonts w:ascii="宋体" w:hAnsi="宋体" w:cs="宋体"/>
          <w:b/>
          <w:bCs/>
        </w:rPr>
        <w:t>2、其他应收款</w:t>
      </w:r>
    </w:p>
    <w:p w14:paraId="3695B75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1E11CD2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8A6F360"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7D365E5"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期末余额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F8C89F"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期初余额</w:t>
            </w:r>
          </w:p>
        </w:tc>
      </w:tr>
      <w:tr w:rsidR="00095F6F" w14:paraId="77160D75"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F66158C"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其他应收款</w:t>
            </w:r>
          </w:p>
        </w:tc>
        <w:tc>
          <w:tcPr>
            <w:tcW w:w="3213" w:type="dxa"/>
            <w:tcBorders>
              <w:top w:val="single" w:sz="2" w:space="0" w:color="auto"/>
              <w:left w:val="single" w:sz="2" w:space="0" w:color="auto"/>
              <w:bottom w:val="single" w:sz="2" w:space="0" w:color="auto"/>
              <w:right w:val="single" w:sz="2" w:space="0" w:color="auto"/>
            </w:tcBorders>
            <w:vAlign w:val="center"/>
          </w:tcPr>
          <w:p w14:paraId="6A55831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529,199,071.38</w:t>
            </w:r>
          </w:p>
        </w:tc>
        <w:tc>
          <w:tcPr>
            <w:tcW w:w="3213" w:type="dxa"/>
            <w:tcBorders>
              <w:top w:val="single" w:sz="2" w:space="0" w:color="auto"/>
              <w:left w:val="single" w:sz="2" w:space="0" w:color="auto"/>
              <w:bottom w:val="single" w:sz="2" w:space="0" w:color="auto"/>
              <w:right w:val="single" w:sz="2" w:space="0" w:color="auto"/>
            </w:tcBorders>
            <w:vAlign w:val="center"/>
          </w:tcPr>
          <w:p w14:paraId="6D93AE8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301,435,565.99</w:t>
            </w:r>
          </w:p>
        </w:tc>
      </w:tr>
      <w:tr w:rsidR="00095F6F" w14:paraId="750E547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2B17464"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4CCB01E2"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529,199,071.38</w:t>
            </w:r>
          </w:p>
        </w:tc>
        <w:tc>
          <w:tcPr>
            <w:tcW w:w="3213" w:type="dxa"/>
            <w:tcBorders>
              <w:top w:val="single" w:sz="2" w:space="0" w:color="auto"/>
              <w:left w:val="single" w:sz="2" w:space="0" w:color="auto"/>
              <w:bottom w:val="single" w:sz="2" w:space="0" w:color="auto"/>
              <w:right w:val="single" w:sz="2" w:space="0" w:color="auto"/>
            </w:tcBorders>
            <w:vAlign w:val="center"/>
          </w:tcPr>
          <w:p w14:paraId="231427F9"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301,435,565.99</w:t>
            </w:r>
          </w:p>
        </w:tc>
      </w:tr>
    </w:tbl>
    <w:p w14:paraId="72BAFB52" w14:textId="77777777" w:rsidR="00A46BF1" w:rsidRDefault="00A46BF1" w:rsidP="00A46BF1">
      <w:pPr>
        <w:keepNext/>
        <w:keepLines/>
        <w:spacing w:before="300" w:after="300" w:line="280" w:lineRule="exact"/>
        <w:outlineLvl w:val="3"/>
        <w:rPr>
          <w:rFonts w:ascii="宋体" w:eastAsia="宋体" w:hAnsi="宋体" w:cs="宋体"/>
          <w:b/>
          <w:bCs/>
          <w:sz w:val="18"/>
          <w:szCs w:val="18"/>
        </w:rPr>
      </w:pPr>
      <w:r>
        <w:rPr>
          <w:rFonts w:ascii="宋体" w:eastAsia="宋体" w:hAnsi="宋体" w:cs="宋体"/>
          <w:b/>
          <w:bCs/>
          <w:sz w:val="18"/>
          <w:szCs w:val="18"/>
        </w:rPr>
        <w:t>（1） 其他应收款</w:t>
      </w:r>
    </w:p>
    <w:p w14:paraId="0A487FD0" w14:textId="77777777" w:rsidR="00A46BF1" w:rsidRDefault="00A46BF1" w:rsidP="00A46BF1">
      <w:pPr>
        <w:keepNext/>
        <w:keepLines/>
        <w:spacing w:before="300" w:after="300" w:line="280" w:lineRule="exact"/>
        <w:outlineLvl w:val="4"/>
        <w:rPr>
          <w:rFonts w:ascii="宋体" w:eastAsia="宋体" w:hAnsi="宋体" w:cs="宋体"/>
          <w:b/>
          <w:bCs/>
          <w:sz w:val="18"/>
          <w:szCs w:val="18"/>
        </w:rPr>
      </w:pPr>
      <w:r>
        <w:rPr>
          <w:rFonts w:ascii="宋体" w:eastAsia="宋体" w:hAnsi="宋体" w:cs="宋体"/>
          <w:b/>
          <w:bCs/>
          <w:sz w:val="18"/>
          <w:szCs w:val="18"/>
        </w:rPr>
        <w:t>1） 其他应收款按款项性质分类情况</w:t>
      </w:r>
    </w:p>
    <w:p w14:paraId="1A5C0E5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3032F4A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89E7618"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款项性质</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2255ECB"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EB2770C"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期初账面余额</w:t>
            </w:r>
          </w:p>
        </w:tc>
      </w:tr>
      <w:tr w:rsidR="00095F6F" w14:paraId="1E86A48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24580CFF"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往来款</w:t>
            </w:r>
          </w:p>
        </w:tc>
        <w:tc>
          <w:tcPr>
            <w:tcW w:w="3213" w:type="dxa"/>
            <w:tcBorders>
              <w:top w:val="single" w:sz="2" w:space="0" w:color="auto"/>
              <w:left w:val="single" w:sz="2" w:space="0" w:color="auto"/>
              <w:bottom w:val="single" w:sz="2" w:space="0" w:color="auto"/>
              <w:right w:val="single" w:sz="2" w:space="0" w:color="auto"/>
            </w:tcBorders>
            <w:vAlign w:val="center"/>
          </w:tcPr>
          <w:p w14:paraId="60F7546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526,175,181.43</w:t>
            </w:r>
          </w:p>
        </w:tc>
        <w:tc>
          <w:tcPr>
            <w:tcW w:w="3213" w:type="dxa"/>
            <w:tcBorders>
              <w:top w:val="single" w:sz="2" w:space="0" w:color="auto"/>
              <w:left w:val="single" w:sz="2" w:space="0" w:color="auto"/>
              <w:bottom w:val="single" w:sz="2" w:space="0" w:color="auto"/>
              <w:right w:val="single" w:sz="2" w:space="0" w:color="auto"/>
            </w:tcBorders>
            <w:vAlign w:val="center"/>
          </w:tcPr>
          <w:p w14:paraId="0B6E9F82"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297,791,154.46</w:t>
            </w:r>
          </w:p>
        </w:tc>
      </w:tr>
      <w:tr w:rsidR="00095F6F" w14:paraId="7671B0D4"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59F18E6"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押金</w:t>
            </w:r>
          </w:p>
        </w:tc>
        <w:tc>
          <w:tcPr>
            <w:tcW w:w="3213" w:type="dxa"/>
            <w:tcBorders>
              <w:top w:val="single" w:sz="2" w:space="0" w:color="auto"/>
              <w:left w:val="single" w:sz="2" w:space="0" w:color="auto"/>
              <w:bottom w:val="single" w:sz="2" w:space="0" w:color="auto"/>
              <w:right w:val="single" w:sz="2" w:space="0" w:color="auto"/>
            </w:tcBorders>
            <w:vAlign w:val="center"/>
          </w:tcPr>
          <w:p w14:paraId="438AE6DA"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4,500,781.20</w:t>
            </w:r>
          </w:p>
        </w:tc>
        <w:tc>
          <w:tcPr>
            <w:tcW w:w="3213" w:type="dxa"/>
            <w:tcBorders>
              <w:top w:val="single" w:sz="2" w:space="0" w:color="auto"/>
              <w:left w:val="single" w:sz="2" w:space="0" w:color="auto"/>
              <w:bottom w:val="single" w:sz="2" w:space="0" w:color="auto"/>
              <w:right w:val="single" w:sz="2" w:space="0" w:color="auto"/>
            </w:tcBorders>
            <w:vAlign w:val="center"/>
          </w:tcPr>
          <w:p w14:paraId="42C714F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4,855,190.96</w:t>
            </w:r>
          </w:p>
        </w:tc>
      </w:tr>
      <w:tr w:rsidR="00095F6F" w14:paraId="5C6E26D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510DE519"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备用金</w:t>
            </w:r>
          </w:p>
        </w:tc>
        <w:tc>
          <w:tcPr>
            <w:tcW w:w="3213" w:type="dxa"/>
            <w:tcBorders>
              <w:top w:val="single" w:sz="2" w:space="0" w:color="auto"/>
              <w:left w:val="single" w:sz="2" w:space="0" w:color="auto"/>
              <w:bottom w:val="single" w:sz="2" w:space="0" w:color="auto"/>
              <w:right w:val="single" w:sz="2" w:space="0" w:color="auto"/>
            </w:tcBorders>
            <w:vAlign w:val="center"/>
          </w:tcPr>
          <w:p w14:paraId="1D1AC80D"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751,729.24</w:t>
            </w:r>
          </w:p>
        </w:tc>
        <w:tc>
          <w:tcPr>
            <w:tcW w:w="3213" w:type="dxa"/>
            <w:tcBorders>
              <w:top w:val="single" w:sz="2" w:space="0" w:color="auto"/>
              <w:left w:val="single" w:sz="2" w:space="0" w:color="auto"/>
              <w:bottom w:val="single" w:sz="2" w:space="0" w:color="auto"/>
              <w:right w:val="single" w:sz="2" w:space="0" w:color="auto"/>
            </w:tcBorders>
            <w:vAlign w:val="center"/>
          </w:tcPr>
          <w:p w14:paraId="277957A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964,182.67</w:t>
            </w:r>
          </w:p>
        </w:tc>
      </w:tr>
      <w:tr w:rsidR="00095F6F" w14:paraId="436487F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vAlign w:val="center"/>
          </w:tcPr>
          <w:p w14:paraId="0083B825" w14:textId="77777777" w:rsidR="00A46BF1" w:rsidRPr="005C1653" w:rsidRDefault="00A46BF1" w:rsidP="005C1653">
            <w:pPr>
              <w:spacing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其他</w:t>
            </w:r>
          </w:p>
        </w:tc>
        <w:tc>
          <w:tcPr>
            <w:tcW w:w="3213" w:type="dxa"/>
            <w:tcBorders>
              <w:top w:val="single" w:sz="2" w:space="0" w:color="auto"/>
              <w:left w:val="single" w:sz="2" w:space="0" w:color="auto"/>
              <w:bottom w:val="single" w:sz="2" w:space="0" w:color="auto"/>
              <w:right w:val="single" w:sz="2" w:space="0" w:color="auto"/>
            </w:tcBorders>
            <w:vAlign w:val="center"/>
          </w:tcPr>
          <w:p w14:paraId="583C1438"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25,156.36</w:t>
            </w:r>
          </w:p>
        </w:tc>
        <w:tc>
          <w:tcPr>
            <w:tcW w:w="3213" w:type="dxa"/>
            <w:tcBorders>
              <w:top w:val="single" w:sz="2" w:space="0" w:color="auto"/>
              <w:left w:val="single" w:sz="2" w:space="0" w:color="auto"/>
              <w:bottom w:val="single" w:sz="2" w:space="0" w:color="auto"/>
              <w:right w:val="single" w:sz="2" w:space="0" w:color="auto"/>
            </w:tcBorders>
            <w:vAlign w:val="center"/>
          </w:tcPr>
          <w:p w14:paraId="13E08BB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26,301.86</w:t>
            </w:r>
          </w:p>
        </w:tc>
      </w:tr>
      <w:tr w:rsidR="00095F6F" w14:paraId="1E2AE558"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3EECB1A"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2AF2918B"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531,452,848.23</w:t>
            </w:r>
          </w:p>
        </w:tc>
        <w:tc>
          <w:tcPr>
            <w:tcW w:w="3213" w:type="dxa"/>
            <w:tcBorders>
              <w:top w:val="single" w:sz="2" w:space="0" w:color="auto"/>
              <w:left w:val="single" w:sz="2" w:space="0" w:color="auto"/>
              <w:bottom w:val="single" w:sz="2" w:space="0" w:color="auto"/>
              <w:right w:val="single" w:sz="2" w:space="0" w:color="auto"/>
            </w:tcBorders>
            <w:vAlign w:val="center"/>
          </w:tcPr>
          <w:p w14:paraId="36C646F5"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303,636,829.95</w:t>
            </w:r>
          </w:p>
        </w:tc>
      </w:tr>
    </w:tbl>
    <w:p w14:paraId="715A3F22" w14:textId="77777777" w:rsidR="00A46BF1" w:rsidRDefault="00A46BF1" w:rsidP="00A46BF1">
      <w:pPr>
        <w:keepNext/>
        <w:keepLines/>
        <w:spacing w:before="300" w:after="300" w:line="280" w:lineRule="exact"/>
        <w:outlineLvl w:val="4"/>
        <w:rPr>
          <w:rFonts w:ascii="宋体" w:eastAsia="宋体" w:hAnsi="宋体" w:cs="宋体"/>
          <w:b/>
          <w:bCs/>
          <w:sz w:val="18"/>
          <w:szCs w:val="18"/>
        </w:rPr>
      </w:pPr>
      <w:r>
        <w:rPr>
          <w:rFonts w:ascii="宋体" w:eastAsia="宋体" w:hAnsi="宋体" w:cs="宋体"/>
          <w:b/>
          <w:bCs/>
          <w:sz w:val="18"/>
          <w:szCs w:val="18"/>
        </w:rPr>
        <w:t>2） 按账龄披露</w:t>
      </w:r>
    </w:p>
    <w:p w14:paraId="2E34FD3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021B74E7"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1E2857D"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账龄</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A27DED5"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期末账面余额</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69C63B9" w14:textId="77777777" w:rsidR="00A46BF1" w:rsidRPr="005C1653" w:rsidRDefault="00A46BF1" w:rsidP="005C1653">
            <w:pPr>
              <w:spacing w:before="40" w:after="40" w:line="360" w:lineRule="auto"/>
              <w:jc w:val="center"/>
              <w:rPr>
                <w:rFonts w:ascii="Times New Roman" w:eastAsia="宋体" w:hAnsi="Times New Roman" w:cs="Times New Roman"/>
                <w:sz w:val="18"/>
                <w:szCs w:val="18"/>
              </w:rPr>
            </w:pPr>
            <w:r w:rsidRPr="005C1653">
              <w:rPr>
                <w:rFonts w:ascii="Times New Roman" w:eastAsia="宋体" w:hAnsi="Times New Roman" w:cs="Times New Roman"/>
                <w:sz w:val="18"/>
                <w:szCs w:val="18"/>
              </w:rPr>
              <w:t>期初账面余额</w:t>
            </w:r>
          </w:p>
        </w:tc>
      </w:tr>
      <w:tr w:rsidR="00095F6F" w14:paraId="785982D0"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5513B6C6"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1</w:t>
            </w:r>
            <w:r w:rsidRPr="005C1653">
              <w:rPr>
                <w:rFonts w:ascii="Times New Roman" w:eastAsia="宋体" w:hAnsi="Times New Roman" w:cs="Times New Roman"/>
                <w:sz w:val="18"/>
                <w:szCs w:val="18"/>
              </w:rPr>
              <w:t>年以内（含</w:t>
            </w:r>
            <w:r w:rsidRPr="005C1653">
              <w:rPr>
                <w:rFonts w:ascii="Times New Roman" w:eastAsia="宋体" w:hAnsi="Times New Roman" w:cs="Times New Roman"/>
                <w:sz w:val="18"/>
                <w:szCs w:val="18"/>
              </w:rPr>
              <w:t>1</w:t>
            </w:r>
            <w:r w:rsidRPr="005C1653">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7057BF6A"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239,469,126.07</w:t>
            </w:r>
          </w:p>
        </w:tc>
        <w:tc>
          <w:tcPr>
            <w:tcW w:w="3213" w:type="dxa"/>
            <w:tcBorders>
              <w:top w:val="single" w:sz="2" w:space="0" w:color="auto"/>
              <w:left w:val="single" w:sz="2" w:space="0" w:color="auto"/>
              <w:bottom w:val="single" w:sz="2" w:space="0" w:color="auto"/>
              <w:right w:val="single" w:sz="2" w:space="0" w:color="auto"/>
            </w:tcBorders>
            <w:vAlign w:val="center"/>
          </w:tcPr>
          <w:p w14:paraId="71573E8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280,230,295.78</w:t>
            </w:r>
          </w:p>
        </w:tc>
      </w:tr>
      <w:tr w:rsidR="00095F6F" w14:paraId="187A31BB"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836D136"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1</w:t>
            </w:r>
            <w:r w:rsidRPr="005C1653">
              <w:rPr>
                <w:rFonts w:ascii="Times New Roman" w:eastAsia="宋体" w:hAnsi="Times New Roman" w:cs="Times New Roman"/>
                <w:sz w:val="18"/>
                <w:szCs w:val="18"/>
              </w:rPr>
              <w:t>至</w:t>
            </w:r>
            <w:r w:rsidRPr="005C1653">
              <w:rPr>
                <w:rFonts w:ascii="Times New Roman" w:eastAsia="宋体" w:hAnsi="Times New Roman" w:cs="Times New Roman"/>
                <w:sz w:val="18"/>
                <w:szCs w:val="18"/>
              </w:rPr>
              <w:t>2</w:t>
            </w:r>
            <w:r w:rsidRPr="005C1653">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6A04FE73"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277,588,736.98</w:t>
            </w:r>
          </w:p>
        </w:tc>
        <w:tc>
          <w:tcPr>
            <w:tcW w:w="3213" w:type="dxa"/>
            <w:tcBorders>
              <w:top w:val="single" w:sz="2" w:space="0" w:color="auto"/>
              <w:left w:val="single" w:sz="2" w:space="0" w:color="auto"/>
              <w:bottom w:val="single" w:sz="2" w:space="0" w:color="auto"/>
              <w:right w:val="single" w:sz="2" w:space="0" w:color="auto"/>
            </w:tcBorders>
            <w:vAlign w:val="center"/>
          </w:tcPr>
          <w:p w14:paraId="5CA2691A"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10,696,345.29</w:t>
            </w:r>
          </w:p>
        </w:tc>
      </w:tr>
      <w:tr w:rsidR="00095F6F" w14:paraId="03108996"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956963F"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2</w:t>
            </w:r>
            <w:r w:rsidRPr="005C1653">
              <w:rPr>
                <w:rFonts w:ascii="Times New Roman" w:eastAsia="宋体" w:hAnsi="Times New Roman" w:cs="Times New Roman"/>
                <w:sz w:val="18"/>
                <w:szCs w:val="18"/>
              </w:rPr>
              <w:t>至</w:t>
            </w:r>
            <w:r w:rsidRPr="005C1653">
              <w:rPr>
                <w:rFonts w:ascii="Times New Roman" w:eastAsia="宋体" w:hAnsi="Times New Roman" w:cs="Times New Roman"/>
                <w:sz w:val="18"/>
                <w:szCs w:val="18"/>
              </w:rPr>
              <w:t>3</w:t>
            </w:r>
            <w:r w:rsidRPr="005C1653">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39CEDA2F"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3,116,533.14</w:t>
            </w:r>
          </w:p>
        </w:tc>
        <w:tc>
          <w:tcPr>
            <w:tcW w:w="3213" w:type="dxa"/>
            <w:tcBorders>
              <w:top w:val="single" w:sz="2" w:space="0" w:color="auto"/>
              <w:left w:val="single" w:sz="2" w:space="0" w:color="auto"/>
              <w:bottom w:val="single" w:sz="2" w:space="0" w:color="auto"/>
              <w:right w:val="single" w:sz="2" w:space="0" w:color="auto"/>
            </w:tcBorders>
            <w:vAlign w:val="center"/>
          </w:tcPr>
          <w:p w14:paraId="4F951B1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1,158,464.35</w:t>
            </w:r>
          </w:p>
        </w:tc>
      </w:tr>
      <w:tr w:rsidR="00095F6F" w14:paraId="02DF103F"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2DCB767B"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3</w:t>
            </w:r>
            <w:r w:rsidRPr="005C1653">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718D0986"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11,278,452.04</w:t>
            </w:r>
          </w:p>
        </w:tc>
        <w:tc>
          <w:tcPr>
            <w:tcW w:w="3213" w:type="dxa"/>
            <w:tcBorders>
              <w:top w:val="single" w:sz="2" w:space="0" w:color="auto"/>
              <w:left w:val="single" w:sz="2" w:space="0" w:color="auto"/>
              <w:bottom w:val="single" w:sz="2" w:space="0" w:color="auto"/>
              <w:right w:val="single" w:sz="2" w:space="0" w:color="auto"/>
            </w:tcBorders>
            <w:vAlign w:val="center"/>
          </w:tcPr>
          <w:p w14:paraId="4AB34666"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11,551,724.53</w:t>
            </w:r>
          </w:p>
        </w:tc>
      </w:tr>
      <w:tr w:rsidR="00095F6F" w14:paraId="1D1AD25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01F4D9E" w14:textId="77777777" w:rsidR="00A46BF1" w:rsidRPr="005C1653" w:rsidRDefault="00A46BF1" w:rsidP="005C1653">
            <w:pPr>
              <w:spacing w:before="40" w:after="40" w:line="360" w:lineRule="auto"/>
              <w:ind w:firstLineChars="200" w:firstLine="360"/>
              <w:rPr>
                <w:rFonts w:ascii="Times New Roman" w:eastAsia="宋体" w:hAnsi="Times New Roman" w:cs="Times New Roman"/>
                <w:sz w:val="18"/>
                <w:szCs w:val="18"/>
              </w:rPr>
            </w:pPr>
            <w:r w:rsidRPr="005C1653">
              <w:rPr>
                <w:rFonts w:ascii="Times New Roman" w:eastAsia="宋体" w:hAnsi="Times New Roman" w:cs="Times New Roman"/>
                <w:sz w:val="18"/>
                <w:szCs w:val="18"/>
              </w:rPr>
              <w:t>3</w:t>
            </w:r>
            <w:r w:rsidRPr="005C1653">
              <w:rPr>
                <w:rFonts w:ascii="Times New Roman" w:eastAsia="宋体" w:hAnsi="Times New Roman" w:cs="Times New Roman"/>
                <w:sz w:val="18"/>
                <w:szCs w:val="18"/>
              </w:rPr>
              <w:t>至</w:t>
            </w:r>
            <w:r w:rsidRPr="005C1653">
              <w:rPr>
                <w:rFonts w:ascii="Times New Roman" w:eastAsia="宋体" w:hAnsi="Times New Roman" w:cs="Times New Roman"/>
                <w:sz w:val="18"/>
                <w:szCs w:val="18"/>
              </w:rPr>
              <w:t>4</w:t>
            </w:r>
            <w:r w:rsidRPr="005C1653">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2BF18230"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1,038,547.85</w:t>
            </w:r>
          </w:p>
        </w:tc>
        <w:tc>
          <w:tcPr>
            <w:tcW w:w="3213" w:type="dxa"/>
            <w:tcBorders>
              <w:top w:val="single" w:sz="2" w:space="0" w:color="auto"/>
              <w:left w:val="single" w:sz="2" w:space="0" w:color="auto"/>
              <w:bottom w:val="single" w:sz="2" w:space="0" w:color="auto"/>
              <w:right w:val="single" w:sz="2" w:space="0" w:color="auto"/>
            </w:tcBorders>
            <w:vAlign w:val="center"/>
          </w:tcPr>
          <w:p w14:paraId="6B1C3278"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442,057.00</w:t>
            </w:r>
          </w:p>
        </w:tc>
      </w:tr>
      <w:tr w:rsidR="00095F6F" w14:paraId="01C87FB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421B8A23" w14:textId="77777777" w:rsidR="00A46BF1" w:rsidRPr="005C1653" w:rsidRDefault="00A46BF1" w:rsidP="005C1653">
            <w:pPr>
              <w:spacing w:before="40" w:after="40" w:line="360" w:lineRule="auto"/>
              <w:ind w:firstLineChars="200" w:firstLine="360"/>
              <w:rPr>
                <w:rFonts w:ascii="Times New Roman" w:eastAsia="宋体" w:hAnsi="Times New Roman" w:cs="Times New Roman"/>
                <w:sz w:val="18"/>
                <w:szCs w:val="18"/>
              </w:rPr>
            </w:pPr>
            <w:r w:rsidRPr="005C1653">
              <w:rPr>
                <w:rFonts w:ascii="Times New Roman" w:eastAsia="宋体" w:hAnsi="Times New Roman" w:cs="Times New Roman"/>
                <w:sz w:val="18"/>
                <w:szCs w:val="18"/>
              </w:rPr>
              <w:t>4</w:t>
            </w:r>
            <w:r w:rsidRPr="005C1653">
              <w:rPr>
                <w:rFonts w:ascii="Times New Roman" w:eastAsia="宋体" w:hAnsi="Times New Roman" w:cs="Times New Roman"/>
                <w:sz w:val="18"/>
                <w:szCs w:val="18"/>
              </w:rPr>
              <w:t>至</w:t>
            </w:r>
            <w:r w:rsidRPr="005C1653">
              <w:rPr>
                <w:rFonts w:ascii="Times New Roman" w:eastAsia="宋体" w:hAnsi="Times New Roman" w:cs="Times New Roman"/>
                <w:sz w:val="18"/>
                <w:szCs w:val="18"/>
              </w:rPr>
              <w:t>5</w:t>
            </w:r>
            <w:r w:rsidRPr="005C1653">
              <w:rPr>
                <w:rFonts w:ascii="Times New Roman" w:eastAsia="宋体" w:hAnsi="Times New Roman" w:cs="Times New Roman"/>
                <w:sz w:val="18"/>
                <w:szCs w:val="18"/>
              </w:rPr>
              <w:t>年</w:t>
            </w:r>
          </w:p>
        </w:tc>
        <w:tc>
          <w:tcPr>
            <w:tcW w:w="3213" w:type="dxa"/>
            <w:tcBorders>
              <w:top w:val="single" w:sz="2" w:space="0" w:color="auto"/>
              <w:left w:val="single" w:sz="2" w:space="0" w:color="auto"/>
              <w:bottom w:val="single" w:sz="2" w:space="0" w:color="auto"/>
              <w:right w:val="single" w:sz="2" w:space="0" w:color="auto"/>
            </w:tcBorders>
            <w:vAlign w:val="center"/>
          </w:tcPr>
          <w:p w14:paraId="358F4AF7"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387,450.00</w:t>
            </w:r>
          </w:p>
        </w:tc>
        <w:tc>
          <w:tcPr>
            <w:tcW w:w="3213" w:type="dxa"/>
            <w:tcBorders>
              <w:top w:val="single" w:sz="2" w:space="0" w:color="auto"/>
              <w:left w:val="single" w:sz="2" w:space="0" w:color="auto"/>
              <w:bottom w:val="single" w:sz="2" w:space="0" w:color="auto"/>
              <w:right w:val="single" w:sz="2" w:space="0" w:color="auto"/>
            </w:tcBorders>
            <w:vAlign w:val="center"/>
          </w:tcPr>
          <w:p w14:paraId="553BAEEF"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587,833.20</w:t>
            </w:r>
          </w:p>
        </w:tc>
      </w:tr>
      <w:tr w:rsidR="00095F6F" w14:paraId="2C315782"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050AECC9" w14:textId="77777777" w:rsidR="00A46BF1" w:rsidRPr="005C1653" w:rsidRDefault="00A46BF1" w:rsidP="005C1653">
            <w:pPr>
              <w:spacing w:before="40" w:after="40" w:line="360" w:lineRule="auto"/>
              <w:ind w:firstLineChars="200" w:firstLine="360"/>
              <w:rPr>
                <w:rFonts w:ascii="Times New Roman" w:eastAsia="宋体" w:hAnsi="Times New Roman" w:cs="Times New Roman"/>
                <w:sz w:val="18"/>
                <w:szCs w:val="18"/>
              </w:rPr>
            </w:pPr>
            <w:r w:rsidRPr="005C1653">
              <w:rPr>
                <w:rFonts w:ascii="Times New Roman" w:eastAsia="宋体" w:hAnsi="Times New Roman" w:cs="Times New Roman"/>
                <w:sz w:val="18"/>
                <w:szCs w:val="18"/>
              </w:rPr>
              <w:t>5</w:t>
            </w:r>
            <w:r w:rsidRPr="005C1653">
              <w:rPr>
                <w:rFonts w:ascii="Times New Roman" w:eastAsia="宋体" w:hAnsi="Times New Roman" w:cs="Times New Roman"/>
                <w:sz w:val="18"/>
                <w:szCs w:val="18"/>
              </w:rPr>
              <w:t>年以上</w:t>
            </w:r>
          </w:p>
        </w:tc>
        <w:tc>
          <w:tcPr>
            <w:tcW w:w="3213" w:type="dxa"/>
            <w:tcBorders>
              <w:top w:val="single" w:sz="2" w:space="0" w:color="auto"/>
              <w:left w:val="single" w:sz="2" w:space="0" w:color="auto"/>
              <w:bottom w:val="single" w:sz="2" w:space="0" w:color="auto"/>
              <w:right w:val="single" w:sz="2" w:space="0" w:color="auto"/>
            </w:tcBorders>
            <w:vAlign w:val="center"/>
          </w:tcPr>
          <w:p w14:paraId="0F2A7C84"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9,852,454.19</w:t>
            </w:r>
          </w:p>
        </w:tc>
        <w:tc>
          <w:tcPr>
            <w:tcW w:w="3213" w:type="dxa"/>
            <w:tcBorders>
              <w:top w:val="single" w:sz="2" w:space="0" w:color="auto"/>
              <w:left w:val="single" w:sz="2" w:space="0" w:color="auto"/>
              <w:bottom w:val="single" w:sz="2" w:space="0" w:color="auto"/>
              <w:right w:val="single" w:sz="2" w:space="0" w:color="auto"/>
            </w:tcBorders>
            <w:vAlign w:val="center"/>
          </w:tcPr>
          <w:p w14:paraId="6BF78ED8"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10,521,834.33</w:t>
            </w:r>
          </w:p>
        </w:tc>
      </w:tr>
      <w:tr w:rsidR="00095F6F" w14:paraId="4A673D41"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30770B7E" w14:textId="77777777" w:rsidR="00A46BF1" w:rsidRPr="005C1653" w:rsidRDefault="00A46BF1" w:rsidP="005C1653">
            <w:pPr>
              <w:spacing w:before="40" w:after="40" w:line="360" w:lineRule="auto"/>
              <w:rPr>
                <w:rFonts w:ascii="Times New Roman" w:eastAsia="宋体" w:hAnsi="Times New Roman" w:cs="Times New Roman"/>
                <w:sz w:val="18"/>
                <w:szCs w:val="18"/>
              </w:rPr>
            </w:pPr>
            <w:r w:rsidRPr="005C1653">
              <w:rPr>
                <w:rFonts w:ascii="Times New Roman" w:eastAsia="宋体" w:hAnsi="Times New Roman" w:cs="Times New Roman"/>
                <w:sz w:val="18"/>
                <w:szCs w:val="18"/>
              </w:rPr>
              <w:t>合计</w:t>
            </w:r>
          </w:p>
        </w:tc>
        <w:tc>
          <w:tcPr>
            <w:tcW w:w="3213" w:type="dxa"/>
            <w:tcBorders>
              <w:top w:val="single" w:sz="2" w:space="0" w:color="auto"/>
              <w:left w:val="single" w:sz="2" w:space="0" w:color="auto"/>
              <w:bottom w:val="single" w:sz="2" w:space="0" w:color="auto"/>
              <w:right w:val="single" w:sz="2" w:space="0" w:color="auto"/>
            </w:tcBorders>
            <w:vAlign w:val="center"/>
          </w:tcPr>
          <w:p w14:paraId="6200B4B1"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531,452,848.23</w:t>
            </w:r>
          </w:p>
        </w:tc>
        <w:tc>
          <w:tcPr>
            <w:tcW w:w="3213" w:type="dxa"/>
            <w:tcBorders>
              <w:top w:val="single" w:sz="2" w:space="0" w:color="auto"/>
              <w:left w:val="single" w:sz="2" w:space="0" w:color="auto"/>
              <w:bottom w:val="single" w:sz="2" w:space="0" w:color="auto"/>
              <w:right w:val="single" w:sz="2" w:space="0" w:color="auto"/>
            </w:tcBorders>
            <w:vAlign w:val="center"/>
          </w:tcPr>
          <w:p w14:paraId="5020D4EC" w14:textId="77777777" w:rsidR="00A46BF1" w:rsidRPr="005C1653" w:rsidRDefault="00A46BF1" w:rsidP="005C1653">
            <w:pPr>
              <w:spacing w:line="360" w:lineRule="auto"/>
              <w:jc w:val="right"/>
              <w:rPr>
                <w:rFonts w:ascii="Times New Roman" w:eastAsia="宋体" w:hAnsi="Times New Roman" w:cs="Times New Roman"/>
                <w:sz w:val="18"/>
                <w:szCs w:val="18"/>
              </w:rPr>
            </w:pPr>
            <w:r w:rsidRPr="005C1653">
              <w:rPr>
                <w:rFonts w:ascii="Times New Roman" w:eastAsia="宋体" w:hAnsi="Times New Roman" w:cs="Times New Roman"/>
                <w:sz w:val="18"/>
                <w:szCs w:val="18"/>
              </w:rPr>
              <w:t>303,636,829.95</w:t>
            </w:r>
          </w:p>
        </w:tc>
      </w:tr>
    </w:tbl>
    <w:p w14:paraId="78D5C8A5" w14:textId="77777777" w:rsidR="00A46BF1" w:rsidRDefault="00A46BF1" w:rsidP="00A46BF1">
      <w:pPr>
        <w:keepNext/>
        <w:keepLines/>
        <w:spacing w:before="300" w:after="300" w:line="280" w:lineRule="exact"/>
        <w:outlineLvl w:val="4"/>
        <w:rPr>
          <w:rFonts w:ascii="宋体" w:eastAsia="宋体" w:hAnsi="宋体" w:cs="宋体"/>
          <w:b/>
          <w:bCs/>
          <w:sz w:val="18"/>
          <w:szCs w:val="18"/>
        </w:rPr>
      </w:pPr>
      <w:r>
        <w:rPr>
          <w:rFonts w:ascii="宋体" w:eastAsia="宋体" w:hAnsi="宋体" w:cs="宋体"/>
          <w:b/>
          <w:bCs/>
          <w:sz w:val="18"/>
          <w:szCs w:val="18"/>
        </w:rPr>
        <w:t>3） 按坏账计提方法分类披露</w:t>
      </w:r>
    </w:p>
    <w:p w14:paraId="3C7F5DB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28" w:type="dxa"/>
          <w:right w:w="28" w:type="dxa"/>
        </w:tblCellMar>
        <w:tblLook w:val="04A0" w:firstRow="1" w:lastRow="0" w:firstColumn="1" w:lastColumn="0" w:noHBand="0" w:noVBand="1"/>
      </w:tblPr>
      <w:tblGrid>
        <w:gridCol w:w="875"/>
        <w:gridCol w:w="876"/>
        <w:gridCol w:w="877"/>
        <w:gridCol w:w="876"/>
        <w:gridCol w:w="877"/>
        <w:gridCol w:w="876"/>
        <w:gridCol w:w="876"/>
        <w:gridCol w:w="877"/>
        <w:gridCol w:w="876"/>
        <w:gridCol w:w="877"/>
        <w:gridCol w:w="876"/>
      </w:tblGrid>
      <w:tr w:rsidR="00095F6F" w14:paraId="72B8351A" w14:textId="77777777" w:rsidTr="005C1653">
        <w:trPr>
          <w:trHeight w:val="240"/>
        </w:trPr>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D3B5EBD"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类别</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9AE8560"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期末余额</w:t>
            </w:r>
          </w:p>
        </w:tc>
        <w:tc>
          <w:tcPr>
            <w:tcW w:w="4381"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14:paraId="673F9282"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期初余额</w:t>
            </w:r>
          </w:p>
        </w:tc>
      </w:tr>
      <w:tr w:rsidR="00095F6F" w14:paraId="0F657BEB" w14:textId="77777777" w:rsidTr="005C1653">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27E6590" w14:textId="77777777" w:rsidR="00A46BF1" w:rsidRPr="005C1653" w:rsidRDefault="00A46BF1" w:rsidP="00993FB1">
            <w:pPr>
              <w:spacing w:line="360" w:lineRule="auto"/>
              <w:rPr>
                <w:rFonts w:ascii="Times New Roman" w:hAnsi="Times New Roman" w:cs="Times New Roman"/>
                <w:sz w:val="13"/>
                <w:szCs w:val="13"/>
              </w:rPr>
            </w:pP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360B0527"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FD179B7"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2374570"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账面价值</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D6F9901"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账面余额</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D4D817F"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坏账准备</w:t>
            </w:r>
          </w:p>
        </w:tc>
        <w:tc>
          <w:tcPr>
            <w:tcW w:w="87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6DD695"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账面价值</w:t>
            </w:r>
          </w:p>
        </w:tc>
      </w:tr>
      <w:tr w:rsidR="00095F6F" w14:paraId="5E441D38" w14:textId="77777777" w:rsidTr="005C1653">
        <w:trPr>
          <w:trHeight w:val="240"/>
        </w:trPr>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0A285CBA" w14:textId="77777777" w:rsidR="00A46BF1" w:rsidRPr="005C1653" w:rsidRDefault="00A46BF1" w:rsidP="00993FB1">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497A01E5"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68A77C1D"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7C516123"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9087E8A"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5EB53AB" w14:textId="77777777" w:rsidR="00A46BF1" w:rsidRPr="005C1653" w:rsidRDefault="00A46BF1" w:rsidP="00993FB1">
            <w:pPr>
              <w:spacing w:line="360" w:lineRule="auto"/>
              <w:rPr>
                <w:rFonts w:ascii="Times New Roman"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1FF5914D"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AD40A12"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比例</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39318E0"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金额</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5D2E1606" w14:textId="77777777" w:rsidR="00A46BF1" w:rsidRPr="005C1653" w:rsidRDefault="00A46BF1" w:rsidP="00993FB1">
            <w:pPr>
              <w:spacing w:before="40" w:after="40" w:line="360" w:lineRule="auto"/>
              <w:jc w:val="center"/>
              <w:rPr>
                <w:rFonts w:ascii="Times New Roman" w:eastAsia="宋体" w:hAnsi="Times New Roman" w:cs="Times New Roman"/>
                <w:sz w:val="13"/>
                <w:szCs w:val="13"/>
              </w:rPr>
            </w:pPr>
            <w:r w:rsidRPr="005C1653">
              <w:rPr>
                <w:rFonts w:ascii="Times New Roman" w:eastAsia="宋体" w:hAnsi="Times New Roman" w:cs="Times New Roman"/>
                <w:sz w:val="13"/>
                <w:szCs w:val="13"/>
              </w:rPr>
              <w:t>计提比例</w:t>
            </w:r>
          </w:p>
        </w:tc>
        <w:tc>
          <w:tcPr>
            <w:tcW w:w="87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C0FDD6A" w14:textId="77777777" w:rsidR="00A46BF1" w:rsidRPr="005C1653" w:rsidRDefault="00A46BF1" w:rsidP="00993FB1">
            <w:pPr>
              <w:spacing w:line="360" w:lineRule="auto"/>
              <w:rPr>
                <w:rFonts w:ascii="Times New Roman" w:hAnsi="Times New Roman" w:cs="Times New Roman"/>
                <w:sz w:val="13"/>
                <w:szCs w:val="13"/>
              </w:rPr>
            </w:pPr>
          </w:p>
        </w:tc>
      </w:tr>
      <w:tr w:rsidR="00095F6F" w14:paraId="0CF0D910" w14:textId="77777777" w:rsidTr="005C1653">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0974BFFE" w14:textId="77777777" w:rsidR="00A46BF1" w:rsidRPr="005C1653" w:rsidRDefault="00A46BF1" w:rsidP="00993FB1">
            <w:pPr>
              <w:spacing w:before="40" w:after="40"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其中：</w:t>
            </w:r>
          </w:p>
        </w:tc>
      </w:tr>
      <w:tr w:rsidR="00095F6F" w14:paraId="0ECFD097" w14:textId="77777777" w:rsidTr="005C1653">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302F364" w14:textId="77777777" w:rsidR="00A46BF1" w:rsidRPr="005C1653" w:rsidRDefault="00A46BF1" w:rsidP="00993FB1">
            <w:pPr>
              <w:spacing w:before="40" w:after="40"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按组合计提坏账准备</w:t>
            </w:r>
          </w:p>
        </w:tc>
        <w:tc>
          <w:tcPr>
            <w:tcW w:w="876" w:type="dxa"/>
            <w:tcBorders>
              <w:top w:val="single" w:sz="2" w:space="0" w:color="auto"/>
              <w:left w:val="single" w:sz="2" w:space="0" w:color="auto"/>
              <w:bottom w:val="single" w:sz="2" w:space="0" w:color="auto"/>
              <w:right w:val="single" w:sz="2" w:space="0" w:color="auto"/>
            </w:tcBorders>
            <w:vAlign w:val="center"/>
          </w:tcPr>
          <w:p w14:paraId="43400D6F"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531,452,848.23</w:t>
            </w:r>
          </w:p>
        </w:tc>
        <w:tc>
          <w:tcPr>
            <w:tcW w:w="876" w:type="dxa"/>
            <w:tcBorders>
              <w:top w:val="single" w:sz="2" w:space="0" w:color="auto"/>
              <w:left w:val="single" w:sz="2" w:space="0" w:color="auto"/>
              <w:bottom w:val="single" w:sz="2" w:space="0" w:color="auto"/>
              <w:right w:val="single" w:sz="2" w:space="0" w:color="auto"/>
            </w:tcBorders>
            <w:vAlign w:val="center"/>
          </w:tcPr>
          <w:p w14:paraId="0B502774"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1D065599"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2,253,776.85</w:t>
            </w:r>
          </w:p>
        </w:tc>
        <w:tc>
          <w:tcPr>
            <w:tcW w:w="876" w:type="dxa"/>
            <w:tcBorders>
              <w:top w:val="single" w:sz="2" w:space="0" w:color="auto"/>
              <w:left w:val="single" w:sz="2" w:space="0" w:color="auto"/>
              <w:bottom w:val="single" w:sz="2" w:space="0" w:color="auto"/>
              <w:right w:val="single" w:sz="2" w:space="0" w:color="auto"/>
            </w:tcBorders>
            <w:vAlign w:val="center"/>
          </w:tcPr>
          <w:p w14:paraId="170E9ADD"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0.42%</w:t>
            </w:r>
          </w:p>
        </w:tc>
        <w:tc>
          <w:tcPr>
            <w:tcW w:w="876" w:type="dxa"/>
            <w:tcBorders>
              <w:top w:val="single" w:sz="2" w:space="0" w:color="auto"/>
              <w:left w:val="single" w:sz="2" w:space="0" w:color="auto"/>
              <w:bottom w:val="single" w:sz="2" w:space="0" w:color="auto"/>
              <w:right w:val="single" w:sz="2" w:space="0" w:color="auto"/>
            </w:tcBorders>
            <w:vAlign w:val="center"/>
          </w:tcPr>
          <w:p w14:paraId="2657C051"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529,199,071.38</w:t>
            </w:r>
          </w:p>
        </w:tc>
        <w:tc>
          <w:tcPr>
            <w:tcW w:w="876" w:type="dxa"/>
            <w:tcBorders>
              <w:top w:val="single" w:sz="2" w:space="0" w:color="auto"/>
              <w:left w:val="single" w:sz="2" w:space="0" w:color="auto"/>
              <w:bottom w:val="single" w:sz="2" w:space="0" w:color="auto"/>
              <w:right w:val="single" w:sz="2" w:space="0" w:color="auto"/>
            </w:tcBorders>
            <w:vAlign w:val="center"/>
          </w:tcPr>
          <w:p w14:paraId="0F79A777"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303,636,829.95</w:t>
            </w:r>
          </w:p>
        </w:tc>
        <w:tc>
          <w:tcPr>
            <w:tcW w:w="876" w:type="dxa"/>
            <w:tcBorders>
              <w:top w:val="single" w:sz="2" w:space="0" w:color="auto"/>
              <w:left w:val="single" w:sz="2" w:space="0" w:color="auto"/>
              <w:bottom w:val="single" w:sz="2" w:space="0" w:color="auto"/>
              <w:right w:val="single" w:sz="2" w:space="0" w:color="auto"/>
            </w:tcBorders>
            <w:vAlign w:val="center"/>
          </w:tcPr>
          <w:p w14:paraId="491A3102"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0CD6FD16"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2,201,263.96</w:t>
            </w:r>
          </w:p>
        </w:tc>
        <w:tc>
          <w:tcPr>
            <w:tcW w:w="876" w:type="dxa"/>
            <w:tcBorders>
              <w:top w:val="single" w:sz="2" w:space="0" w:color="auto"/>
              <w:left w:val="single" w:sz="2" w:space="0" w:color="auto"/>
              <w:bottom w:val="single" w:sz="2" w:space="0" w:color="auto"/>
              <w:right w:val="single" w:sz="2" w:space="0" w:color="auto"/>
            </w:tcBorders>
            <w:vAlign w:val="center"/>
          </w:tcPr>
          <w:p w14:paraId="2EB7E2ED"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0.72%</w:t>
            </w:r>
          </w:p>
        </w:tc>
        <w:tc>
          <w:tcPr>
            <w:tcW w:w="876" w:type="dxa"/>
            <w:tcBorders>
              <w:top w:val="single" w:sz="2" w:space="0" w:color="auto"/>
              <w:left w:val="single" w:sz="2" w:space="0" w:color="auto"/>
              <w:bottom w:val="single" w:sz="2" w:space="0" w:color="auto"/>
              <w:right w:val="single" w:sz="2" w:space="0" w:color="auto"/>
            </w:tcBorders>
            <w:vAlign w:val="center"/>
          </w:tcPr>
          <w:p w14:paraId="5F895ED6"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301,435,565.99</w:t>
            </w:r>
          </w:p>
        </w:tc>
      </w:tr>
      <w:tr w:rsidR="00095F6F" w14:paraId="755A88F1" w14:textId="77777777" w:rsidTr="005C1653">
        <w:trPr>
          <w:trHeight w:val="240"/>
        </w:trPr>
        <w:tc>
          <w:tcPr>
            <w:tcW w:w="9639" w:type="dxa"/>
            <w:gridSpan w:val="11"/>
            <w:tcBorders>
              <w:top w:val="single" w:sz="2" w:space="0" w:color="auto"/>
              <w:left w:val="single" w:sz="2" w:space="0" w:color="auto"/>
              <w:bottom w:val="single" w:sz="2" w:space="0" w:color="auto"/>
              <w:right w:val="single" w:sz="2" w:space="0" w:color="auto"/>
            </w:tcBorders>
            <w:shd w:val="clear" w:color="auto" w:fill="D3D3D3"/>
            <w:vAlign w:val="center"/>
          </w:tcPr>
          <w:p w14:paraId="343B56F1" w14:textId="77777777" w:rsidR="00A46BF1" w:rsidRPr="005C1653" w:rsidRDefault="00A46BF1" w:rsidP="00993FB1">
            <w:pPr>
              <w:spacing w:before="40" w:after="40"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其中：</w:t>
            </w:r>
          </w:p>
        </w:tc>
      </w:tr>
      <w:tr w:rsidR="00095F6F" w14:paraId="372E217C" w14:textId="77777777" w:rsidTr="005C1653">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3856F506" w14:textId="77777777" w:rsidR="00A46BF1" w:rsidRPr="005C1653" w:rsidRDefault="00A46BF1" w:rsidP="00993FB1">
            <w:pPr>
              <w:spacing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账龄组合</w:t>
            </w:r>
          </w:p>
        </w:tc>
        <w:tc>
          <w:tcPr>
            <w:tcW w:w="876" w:type="dxa"/>
            <w:tcBorders>
              <w:top w:val="single" w:sz="2" w:space="0" w:color="auto"/>
              <w:left w:val="single" w:sz="2" w:space="0" w:color="auto"/>
              <w:bottom w:val="single" w:sz="2" w:space="0" w:color="auto"/>
              <w:right w:val="single" w:sz="2" w:space="0" w:color="auto"/>
            </w:tcBorders>
            <w:vAlign w:val="center"/>
          </w:tcPr>
          <w:p w14:paraId="7B02B088"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4,525,937.56</w:t>
            </w:r>
          </w:p>
        </w:tc>
        <w:tc>
          <w:tcPr>
            <w:tcW w:w="876" w:type="dxa"/>
            <w:tcBorders>
              <w:top w:val="single" w:sz="2" w:space="0" w:color="auto"/>
              <w:left w:val="single" w:sz="2" w:space="0" w:color="auto"/>
              <w:bottom w:val="single" w:sz="2" w:space="0" w:color="auto"/>
              <w:right w:val="single" w:sz="2" w:space="0" w:color="auto"/>
            </w:tcBorders>
            <w:vAlign w:val="center"/>
          </w:tcPr>
          <w:p w14:paraId="313B4AF1"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0.85%</w:t>
            </w:r>
          </w:p>
        </w:tc>
        <w:tc>
          <w:tcPr>
            <w:tcW w:w="876" w:type="dxa"/>
            <w:tcBorders>
              <w:top w:val="single" w:sz="2" w:space="0" w:color="auto"/>
              <w:left w:val="single" w:sz="2" w:space="0" w:color="auto"/>
              <w:bottom w:val="single" w:sz="2" w:space="0" w:color="auto"/>
              <w:right w:val="single" w:sz="2" w:space="0" w:color="auto"/>
            </w:tcBorders>
            <w:vAlign w:val="center"/>
          </w:tcPr>
          <w:p w14:paraId="4AB6CB01"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2,253,776.85</w:t>
            </w:r>
          </w:p>
        </w:tc>
        <w:tc>
          <w:tcPr>
            <w:tcW w:w="876" w:type="dxa"/>
            <w:tcBorders>
              <w:top w:val="single" w:sz="2" w:space="0" w:color="auto"/>
              <w:left w:val="single" w:sz="2" w:space="0" w:color="auto"/>
              <w:bottom w:val="single" w:sz="2" w:space="0" w:color="auto"/>
              <w:right w:val="single" w:sz="2" w:space="0" w:color="auto"/>
            </w:tcBorders>
            <w:vAlign w:val="center"/>
          </w:tcPr>
          <w:p w14:paraId="6196BBD4"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49.80%</w:t>
            </w:r>
          </w:p>
        </w:tc>
        <w:tc>
          <w:tcPr>
            <w:tcW w:w="876" w:type="dxa"/>
            <w:tcBorders>
              <w:top w:val="single" w:sz="2" w:space="0" w:color="auto"/>
              <w:left w:val="single" w:sz="2" w:space="0" w:color="auto"/>
              <w:bottom w:val="single" w:sz="2" w:space="0" w:color="auto"/>
              <w:right w:val="single" w:sz="2" w:space="0" w:color="auto"/>
            </w:tcBorders>
            <w:vAlign w:val="center"/>
          </w:tcPr>
          <w:p w14:paraId="6EB0A561"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2,272,160.71</w:t>
            </w:r>
          </w:p>
        </w:tc>
        <w:tc>
          <w:tcPr>
            <w:tcW w:w="876" w:type="dxa"/>
            <w:tcBorders>
              <w:top w:val="single" w:sz="2" w:space="0" w:color="auto"/>
              <w:left w:val="single" w:sz="2" w:space="0" w:color="auto"/>
              <w:bottom w:val="single" w:sz="2" w:space="0" w:color="auto"/>
              <w:right w:val="single" w:sz="2" w:space="0" w:color="auto"/>
            </w:tcBorders>
            <w:vAlign w:val="center"/>
          </w:tcPr>
          <w:p w14:paraId="09C573A0"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4,881,492.82</w:t>
            </w:r>
          </w:p>
        </w:tc>
        <w:tc>
          <w:tcPr>
            <w:tcW w:w="876" w:type="dxa"/>
            <w:tcBorders>
              <w:top w:val="single" w:sz="2" w:space="0" w:color="auto"/>
              <w:left w:val="single" w:sz="2" w:space="0" w:color="auto"/>
              <w:bottom w:val="single" w:sz="2" w:space="0" w:color="auto"/>
              <w:right w:val="single" w:sz="2" w:space="0" w:color="auto"/>
            </w:tcBorders>
            <w:vAlign w:val="center"/>
          </w:tcPr>
          <w:p w14:paraId="76F17E7D"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1.61%</w:t>
            </w:r>
          </w:p>
        </w:tc>
        <w:tc>
          <w:tcPr>
            <w:tcW w:w="876" w:type="dxa"/>
            <w:tcBorders>
              <w:top w:val="single" w:sz="2" w:space="0" w:color="auto"/>
              <w:left w:val="single" w:sz="2" w:space="0" w:color="auto"/>
              <w:bottom w:val="single" w:sz="2" w:space="0" w:color="auto"/>
              <w:right w:val="single" w:sz="2" w:space="0" w:color="auto"/>
            </w:tcBorders>
            <w:vAlign w:val="center"/>
          </w:tcPr>
          <w:p w14:paraId="298E788C"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2,201,263.96</w:t>
            </w:r>
          </w:p>
        </w:tc>
        <w:tc>
          <w:tcPr>
            <w:tcW w:w="876" w:type="dxa"/>
            <w:tcBorders>
              <w:top w:val="single" w:sz="2" w:space="0" w:color="auto"/>
              <w:left w:val="single" w:sz="2" w:space="0" w:color="auto"/>
              <w:bottom w:val="single" w:sz="2" w:space="0" w:color="auto"/>
              <w:right w:val="single" w:sz="2" w:space="0" w:color="auto"/>
            </w:tcBorders>
            <w:vAlign w:val="center"/>
          </w:tcPr>
          <w:p w14:paraId="59B36581"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45.09%</w:t>
            </w:r>
          </w:p>
        </w:tc>
        <w:tc>
          <w:tcPr>
            <w:tcW w:w="876" w:type="dxa"/>
            <w:tcBorders>
              <w:top w:val="single" w:sz="2" w:space="0" w:color="auto"/>
              <w:left w:val="single" w:sz="2" w:space="0" w:color="auto"/>
              <w:bottom w:val="single" w:sz="2" w:space="0" w:color="auto"/>
              <w:right w:val="single" w:sz="2" w:space="0" w:color="auto"/>
            </w:tcBorders>
            <w:vAlign w:val="center"/>
          </w:tcPr>
          <w:p w14:paraId="5249ED1D"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2,680,228.86</w:t>
            </w:r>
          </w:p>
        </w:tc>
      </w:tr>
      <w:tr w:rsidR="00095F6F" w14:paraId="1E6EED10" w14:textId="77777777" w:rsidTr="005C1653">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02851FA2" w14:textId="77777777" w:rsidR="00A46BF1" w:rsidRPr="005C1653" w:rsidRDefault="00A46BF1" w:rsidP="00993FB1">
            <w:pPr>
              <w:spacing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备用金组合</w:t>
            </w:r>
          </w:p>
        </w:tc>
        <w:tc>
          <w:tcPr>
            <w:tcW w:w="876" w:type="dxa"/>
            <w:tcBorders>
              <w:top w:val="single" w:sz="2" w:space="0" w:color="auto"/>
              <w:left w:val="single" w:sz="2" w:space="0" w:color="auto"/>
              <w:bottom w:val="single" w:sz="2" w:space="0" w:color="auto"/>
              <w:right w:val="single" w:sz="2" w:space="0" w:color="auto"/>
            </w:tcBorders>
            <w:vAlign w:val="center"/>
          </w:tcPr>
          <w:p w14:paraId="481B4E69"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751,729.24</w:t>
            </w:r>
          </w:p>
        </w:tc>
        <w:tc>
          <w:tcPr>
            <w:tcW w:w="876" w:type="dxa"/>
            <w:tcBorders>
              <w:top w:val="single" w:sz="2" w:space="0" w:color="auto"/>
              <w:left w:val="single" w:sz="2" w:space="0" w:color="auto"/>
              <w:bottom w:val="single" w:sz="2" w:space="0" w:color="auto"/>
              <w:right w:val="single" w:sz="2" w:space="0" w:color="auto"/>
            </w:tcBorders>
            <w:vAlign w:val="center"/>
          </w:tcPr>
          <w:p w14:paraId="5A9BF3B4"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0.14%</w:t>
            </w:r>
          </w:p>
        </w:tc>
        <w:tc>
          <w:tcPr>
            <w:tcW w:w="876" w:type="dxa"/>
            <w:tcBorders>
              <w:top w:val="single" w:sz="2" w:space="0" w:color="auto"/>
              <w:left w:val="single" w:sz="2" w:space="0" w:color="auto"/>
              <w:bottom w:val="single" w:sz="2" w:space="0" w:color="auto"/>
              <w:right w:val="single" w:sz="2" w:space="0" w:color="auto"/>
            </w:tcBorders>
            <w:vAlign w:val="center"/>
          </w:tcPr>
          <w:p w14:paraId="2BE11DE7"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7644F4C4"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4E6EF8D7"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751,729.24</w:t>
            </w:r>
          </w:p>
        </w:tc>
        <w:tc>
          <w:tcPr>
            <w:tcW w:w="876" w:type="dxa"/>
            <w:tcBorders>
              <w:top w:val="single" w:sz="2" w:space="0" w:color="auto"/>
              <w:left w:val="single" w:sz="2" w:space="0" w:color="auto"/>
              <w:bottom w:val="single" w:sz="2" w:space="0" w:color="auto"/>
              <w:right w:val="single" w:sz="2" w:space="0" w:color="auto"/>
            </w:tcBorders>
            <w:vAlign w:val="center"/>
          </w:tcPr>
          <w:p w14:paraId="124D30D7"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964,182.67</w:t>
            </w:r>
          </w:p>
        </w:tc>
        <w:tc>
          <w:tcPr>
            <w:tcW w:w="876" w:type="dxa"/>
            <w:tcBorders>
              <w:top w:val="single" w:sz="2" w:space="0" w:color="auto"/>
              <w:left w:val="single" w:sz="2" w:space="0" w:color="auto"/>
              <w:bottom w:val="single" w:sz="2" w:space="0" w:color="auto"/>
              <w:right w:val="single" w:sz="2" w:space="0" w:color="auto"/>
            </w:tcBorders>
            <w:vAlign w:val="center"/>
          </w:tcPr>
          <w:p w14:paraId="36576EB0"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0.32%</w:t>
            </w:r>
          </w:p>
        </w:tc>
        <w:tc>
          <w:tcPr>
            <w:tcW w:w="876" w:type="dxa"/>
            <w:tcBorders>
              <w:top w:val="single" w:sz="2" w:space="0" w:color="auto"/>
              <w:left w:val="single" w:sz="2" w:space="0" w:color="auto"/>
              <w:bottom w:val="single" w:sz="2" w:space="0" w:color="auto"/>
              <w:right w:val="single" w:sz="2" w:space="0" w:color="auto"/>
            </w:tcBorders>
            <w:vAlign w:val="center"/>
          </w:tcPr>
          <w:p w14:paraId="533E33D2"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1456EFFC"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66415137"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964,182.67</w:t>
            </w:r>
          </w:p>
        </w:tc>
      </w:tr>
      <w:tr w:rsidR="00095F6F" w14:paraId="4F519964" w14:textId="77777777" w:rsidTr="005C1653">
        <w:trPr>
          <w:trHeight w:val="240"/>
        </w:trPr>
        <w:tc>
          <w:tcPr>
            <w:tcW w:w="876" w:type="dxa"/>
            <w:tcBorders>
              <w:top w:val="single" w:sz="2" w:space="0" w:color="auto"/>
              <w:left w:val="single" w:sz="2" w:space="0" w:color="auto"/>
              <w:bottom w:val="single" w:sz="2" w:space="0" w:color="auto"/>
              <w:right w:val="single" w:sz="2" w:space="0" w:color="auto"/>
            </w:tcBorders>
            <w:vAlign w:val="center"/>
          </w:tcPr>
          <w:p w14:paraId="059FCF18" w14:textId="77777777" w:rsidR="00A46BF1" w:rsidRPr="005C1653" w:rsidRDefault="00A46BF1" w:rsidP="00993FB1">
            <w:pPr>
              <w:spacing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其他组合</w:t>
            </w:r>
            <w:r w:rsidRPr="005C1653">
              <w:rPr>
                <w:rFonts w:ascii="Times New Roman" w:eastAsia="宋体" w:hAnsi="Times New Roman" w:cs="Times New Roman"/>
                <w:sz w:val="13"/>
                <w:szCs w:val="13"/>
              </w:rPr>
              <w:t>1</w:t>
            </w:r>
          </w:p>
        </w:tc>
        <w:tc>
          <w:tcPr>
            <w:tcW w:w="876" w:type="dxa"/>
            <w:tcBorders>
              <w:top w:val="single" w:sz="2" w:space="0" w:color="auto"/>
              <w:left w:val="single" w:sz="2" w:space="0" w:color="auto"/>
              <w:bottom w:val="single" w:sz="2" w:space="0" w:color="auto"/>
              <w:right w:val="single" w:sz="2" w:space="0" w:color="auto"/>
            </w:tcBorders>
            <w:vAlign w:val="center"/>
          </w:tcPr>
          <w:p w14:paraId="5ED87142"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526,175,181.43</w:t>
            </w:r>
          </w:p>
        </w:tc>
        <w:tc>
          <w:tcPr>
            <w:tcW w:w="876" w:type="dxa"/>
            <w:tcBorders>
              <w:top w:val="single" w:sz="2" w:space="0" w:color="auto"/>
              <w:left w:val="single" w:sz="2" w:space="0" w:color="auto"/>
              <w:bottom w:val="single" w:sz="2" w:space="0" w:color="auto"/>
              <w:right w:val="single" w:sz="2" w:space="0" w:color="auto"/>
            </w:tcBorders>
            <w:vAlign w:val="center"/>
          </w:tcPr>
          <w:p w14:paraId="307DCAE4"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99.01%</w:t>
            </w:r>
          </w:p>
        </w:tc>
        <w:tc>
          <w:tcPr>
            <w:tcW w:w="876" w:type="dxa"/>
            <w:tcBorders>
              <w:top w:val="single" w:sz="2" w:space="0" w:color="auto"/>
              <w:left w:val="single" w:sz="2" w:space="0" w:color="auto"/>
              <w:bottom w:val="single" w:sz="2" w:space="0" w:color="auto"/>
              <w:right w:val="single" w:sz="2" w:space="0" w:color="auto"/>
            </w:tcBorders>
            <w:vAlign w:val="center"/>
          </w:tcPr>
          <w:p w14:paraId="64DD6577"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1C8A81DD"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08A4C9E3"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526,175,181.43</w:t>
            </w:r>
          </w:p>
        </w:tc>
        <w:tc>
          <w:tcPr>
            <w:tcW w:w="876" w:type="dxa"/>
            <w:tcBorders>
              <w:top w:val="single" w:sz="2" w:space="0" w:color="auto"/>
              <w:left w:val="single" w:sz="2" w:space="0" w:color="auto"/>
              <w:bottom w:val="single" w:sz="2" w:space="0" w:color="auto"/>
              <w:right w:val="single" w:sz="2" w:space="0" w:color="auto"/>
            </w:tcBorders>
            <w:vAlign w:val="center"/>
          </w:tcPr>
          <w:p w14:paraId="34E1D1B2"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297,791,154.46</w:t>
            </w:r>
          </w:p>
        </w:tc>
        <w:tc>
          <w:tcPr>
            <w:tcW w:w="876" w:type="dxa"/>
            <w:tcBorders>
              <w:top w:val="single" w:sz="2" w:space="0" w:color="auto"/>
              <w:left w:val="single" w:sz="2" w:space="0" w:color="auto"/>
              <w:bottom w:val="single" w:sz="2" w:space="0" w:color="auto"/>
              <w:right w:val="single" w:sz="2" w:space="0" w:color="auto"/>
            </w:tcBorders>
            <w:vAlign w:val="center"/>
          </w:tcPr>
          <w:p w14:paraId="56367766"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98.07%</w:t>
            </w:r>
          </w:p>
        </w:tc>
        <w:tc>
          <w:tcPr>
            <w:tcW w:w="876" w:type="dxa"/>
            <w:tcBorders>
              <w:top w:val="single" w:sz="2" w:space="0" w:color="auto"/>
              <w:left w:val="single" w:sz="2" w:space="0" w:color="auto"/>
              <w:bottom w:val="single" w:sz="2" w:space="0" w:color="auto"/>
              <w:right w:val="single" w:sz="2" w:space="0" w:color="auto"/>
            </w:tcBorders>
            <w:vAlign w:val="center"/>
          </w:tcPr>
          <w:p w14:paraId="028F66D0"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5267FC79" w14:textId="77777777" w:rsidR="00A46BF1" w:rsidRPr="005C1653" w:rsidRDefault="00A46BF1" w:rsidP="00993FB1">
            <w:pPr>
              <w:spacing w:line="360" w:lineRule="auto"/>
              <w:jc w:val="right"/>
              <w:rPr>
                <w:rFonts w:ascii="Times New Roman" w:eastAsia="宋体" w:hAnsi="Times New Roman" w:cs="Times New Roman"/>
                <w:sz w:val="13"/>
                <w:szCs w:val="13"/>
              </w:rPr>
            </w:pPr>
          </w:p>
        </w:tc>
        <w:tc>
          <w:tcPr>
            <w:tcW w:w="876" w:type="dxa"/>
            <w:tcBorders>
              <w:top w:val="single" w:sz="2" w:space="0" w:color="auto"/>
              <w:left w:val="single" w:sz="2" w:space="0" w:color="auto"/>
              <w:bottom w:val="single" w:sz="2" w:space="0" w:color="auto"/>
              <w:right w:val="single" w:sz="2" w:space="0" w:color="auto"/>
            </w:tcBorders>
            <w:vAlign w:val="center"/>
          </w:tcPr>
          <w:p w14:paraId="7A4D8FAA"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297,791,154.46</w:t>
            </w:r>
          </w:p>
        </w:tc>
      </w:tr>
      <w:tr w:rsidR="00095F6F" w14:paraId="44E580AB" w14:textId="77777777" w:rsidTr="005C1653">
        <w:trPr>
          <w:trHeight w:val="240"/>
        </w:trPr>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14:paraId="257DAF04" w14:textId="77777777" w:rsidR="00A46BF1" w:rsidRPr="005C1653" w:rsidRDefault="00A46BF1" w:rsidP="00993FB1">
            <w:pPr>
              <w:spacing w:before="40" w:after="40" w:line="360" w:lineRule="auto"/>
              <w:rPr>
                <w:rFonts w:ascii="Times New Roman" w:eastAsia="宋体" w:hAnsi="Times New Roman" w:cs="Times New Roman"/>
                <w:sz w:val="13"/>
                <w:szCs w:val="13"/>
              </w:rPr>
            </w:pPr>
            <w:r w:rsidRPr="005C1653">
              <w:rPr>
                <w:rFonts w:ascii="Times New Roman" w:eastAsia="宋体" w:hAnsi="Times New Roman" w:cs="Times New Roman"/>
                <w:sz w:val="13"/>
                <w:szCs w:val="13"/>
              </w:rPr>
              <w:t>合计</w:t>
            </w:r>
          </w:p>
        </w:tc>
        <w:tc>
          <w:tcPr>
            <w:tcW w:w="876" w:type="dxa"/>
            <w:tcBorders>
              <w:top w:val="single" w:sz="2" w:space="0" w:color="auto"/>
              <w:left w:val="single" w:sz="2" w:space="0" w:color="auto"/>
              <w:bottom w:val="single" w:sz="2" w:space="0" w:color="auto"/>
              <w:right w:val="single" w:sz="2" w:space="0" w:color="auto"/>
            </w:tcBorders>
            <w:vAlign w:val="center"/>
          </w:tcPr>
          <w:p w14:paraId="61AFE40C"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531,452,848.23</w:t>
            </w:r>
          </w:p>
        </w:tc>
        <w:tc>
          <w:tcPr>
            <w:tcW w:w="876" w:type="dxa"/>
            <w:tcBorders>
              <w:top w:val="single" w:sz="2" w:space="0" w:color="auto"/>
              <w:left w:val="single" w:sz="2" w:space="0" w:color="auto"/>
              <w:bottom w:val="single" w:sz="2" w:space="0" w:color="auto"/>
              <w:right w:val="single" w:sz="2" w:space="0" w:color="auto"/>
            </w:tcBorders>
            <w:vAlign w:val="center"/>
          </w:tcPr>
          <w:p w14:paraId="33CC9805"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4AF0D4BA"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2,253,776.85</w:t>
            </w:r>
          </w:p>
        </w:tc>
        <w:tc>
          <w:tcPr>
            <w:tcW w:w="876" w:type="dxa"/>
            <w:tcBorders>
              <w:top w:val="single" w:sz="2" w:space="0" w:color="auto"/>
              <w:left w:val="single" w:sz="2" w:space="0" w:color="auto"/>
              <w:bottom w:val="single" w:sz="2" w:space="0" w:color="auto"/>
              <w:right w:val="single" w:sz="2" w:space="0" w:color="auto"/>
            </w:tcBorders>
            <w:vAlign w:val="center"/>
          </w:tcPr>
          <w:p w14:paraId="141DC667"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0.42%</w:t>
            </w:r>
          </w:p>
        </w:tc>
        <w:tc>
          <w:tcPr>
            <w:tcW w:w="876" w:type="dxa"/>
            <w:tcBorders>
              <w:top w:val="single" w:sz="2" w:space="0" w:color="auto"/>
              <w:left w:val="single" w:sz="2" w:space="0" w:color="auto"/>
              <w:bottom w:val="single" w:sz="2" w:space="0" w:color="auto"/>
              <w:right w:val="single" w:sz="2" w:space="0" w:color="auto"/>
            </w:tcBorders>
            <w:vAlign w:val="center"/>
          </w:tcPr>
          <w:p w14:paraId="5551274C"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529,199,071.38</w:t>
            </w:r>
          </w:p>
        </w:tc>
        <w:tc>
          <w:tcPr>
            <w:tcW w:w="876" w:type="dxa"/>
            <w:tcBorders>
              <w:top w:val="single" w:sz="2" w:space="0" w:color="auto"/>
              <w:left w:val="single" w:sz="2" w:space="0" w:color="auto"/>
              <w:bottom w:val="single" w:sz="2" w:space="0" w:color="auto"/>
              <w:right w:val="single" w:sz="2" w:space="0" w:color="auto"/>
            </w:tcBorders>
            <w:vAlign w:val="center"/>
          </w:tcPr>
          <w:p w14:paraId="255D6C32"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303,636,829.95</w:t>
            </w:r>
          </w:p>
        </w:tc>
        <w:tc>
          <w:tcPr>
            <w:tcW w:w="876" w:type="dxa"/>
            <w:tcBorders>
              <w:top w:val="single" w:sz="2" w:space="0" w:color="auto"/>
              <w:left w:val="single" w:sz="2" w:space="0" w:color="auto"/>
              <w:bottom w:val="single" w:sz="2" w:space="0" w:color="auto"/>
              <w:right w:val="single" w:sz="2" w:space="0" w:color="auto"/>
            </w:tcBorders>
            <w:vAlign w:val="center"/>
          </w:tcPr>
          <w:p w14:paraId="0C0C8EFD"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100.00%</w:t>
            </w:r>
          </w:p>
        </w:tc>
        <w:tc>
          <w:tcPr>
            <w:tcW w:w="876" w:type="dxa"/>
            <w:tcBorders>
              <w:top w:val="single" w:sz="2" w:space="0" w:color="auto"/>
              <w:left w:val="single" w:sz="2" w:space="0" w:color="auto"/>
              <w:bottom w:val="single" w:sz="2" w:space="0" w:color="auto"/>
              <w:right w:val="single" w:sz="2" w:space="0" w:color="auto"/>
            </w:tcBorders>
            <w:vAlign w:val="center"/>
          </w:tcPr>
          <w:p w14:paraId="58D624B3"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2,201,263.96</w:t>
            </w:r>
          </w:p>
        </w:tc>
        <w:tc>
          <w:tcPr>
            <w:tcW w:w="876" w:type="dxa"/>
            <w:tcBorders>
              <w:top w:val="single" w:sz="2" w:space="0" w:color="auto"/>
              <w:left w:val="single" w:sz="2" w:space="0" w:color="auto"/>
              <w:bottom w:val="single" w:sz="2" w:space="0" w:color="auto"/>
              <w:right w:val="single" w:sz="2" w:space="0" w:color="auto"/>
            </w:tcBorders>
            <w:vAlign w:val="center"/>
          </w:tcPr>
          <w:p w14:paraId="2A4AC7FC"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0.72%</w:t>
            </w:r>
          </w:p>
        </w:tc>
        <w:tc>
          <w:tcPr>
            <w:tcW w:w="876" w:type="dxa"/>
            <w:tcBorders>
              <w:top w:val="single" w:sz="2" w:space="0" w:color="auto"/>
              <w:left w:val="single" w:sz="2" w:space="0" w:color="auto"/>
              <w:bottom w:val="single" w:sz="2" w:space="0" w:color="auto"/>
              <w:right w:val="single" w:sz="2" w:space="0" w:color="auto"/>
            </w:tcBorders>
            <w:vAlign w:val="center"/>
          </w:tcPr>
          <w:p w14:paraId="11E6EA0A" w14:textId="77777777" w:rsidR="00A46BF1" w:rsidRPr="005C1653" w:rsidRDefault="00A46BF1" w:rsidP="00993FB1">
            <w:pPr>
              <w:spacing w:line="360" w:lineRule="auto"/>
              <w:jc w:val="right"/>
              <w:rPr>
                <w:rFonts w:ascii="Times New Roman" w:eastAsia="宋体" w:hAnsi="Times New Roman" w:cs="Times New Roman"/>
                <w:sz w:val="13"/>
                <w:szCs w:val="13"/>
              </w:rPr>
            </w:pPr>
            <w:r w:rsidRPr="005C1653">
              <w:rPr>
                <w:rFonts w:ascii="Times New Roman" w:eastAsia="宋体" w:hAnsi="Times New Roman" w:cs="Times New Roman"/>
                <w:sz w:val="13"/>
                <w:szCs w:val="13"/>
              </w:rPr>
              <w:t>301,435,565.99</w:t>
            </w:r>
          </w:p>
        </w:tc>
      </w:tr>
    </w:tbl>
    <w:p w14:paraId="289C3333"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按组合计提坏账准备：账龄组合计提</w:t>
      </w:r>
    </w:p>
    <w:p w14:paraId="0B650200"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409"/>
        <w:gridCol w:w="2410"/>
        <w:gridCol w:w="2410"/>
        <w:gridCol w:w="2410"/>
      </w:tblGrid>
      <w:tr w:rsidR="00095F6F" w14:paraId="36296029" w14:textId="77777777" w:rsidTr="00A46BF1">
        <w:trPr>
          <w:trHeight w:val="240"/>
        </w:trPr>
        <w:tc>
          <w:tcPr>
            <w:tcW w:w="2410"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D0A5EA4"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名称</w:t>
            </w:r>
          </w:p>
        </w:tc>
        <w:tc>
          <w:tcPr>
            <w:tcW w:w="7229"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51DD8C99"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期末余额</w:t>
            </w:r>
          </w:p>
        </w:tc>
      </w:tr>
      <w:tr w:rsidR="00095F6F" w14:paraId="73C6B37C" w14:textId="77777777" w:rsidTr="00A46BF1">
        <w:trPr>
          <w:trHeight w:val="240"/>
        </w:trPr>
        <w:tc>
          <w:tcPr>
            <w:tcW w:w="2410"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370A6D7" w14:textId="77777777" w:rsidR="00A46BF1" w:rsidRPr="00993FB1" w:rsidRDefault="00A46BF1" w:rsidP="00993FB1">
            <w:pPr>
              <w:spacing w:line="360" w:lineRule="auto"/>
              <w:rPr>
                <w:rFonts w:ascii="Times New Roman" w:hAnsi="Times New Roman" w:cs="Times New Roman"/>
              </w:rPr>
            </w:pP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3BD323D"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账面余额</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C3D2779"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坏账准备</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1203A95"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计提比例</w:t>
            </w:r>
          </w:p>
        </w:tc>
      </w:tr>
      <w:tr w:rsidR="00095F6F" w14:paraId="4B2A9CC2"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1B8BB20E"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1</w:t>
            </w:r>
            <w:r w:rsidRPr="00993FB1">
              <w:rPr>
                <w:rFonts w:ascii="Times New Roman" w:eastAsia="宋体" w:hAnsi="Times New Roman" w:cs="Times New Roman"/>
                <w:sz w:val="18"/>
                <w:szCs w:val="18"/>
              </w:rPr>
              <w:t>年以内</w:t>
            </w:r>
          </w:p>
        </w:tc>
        <w:tc>
          <w:tcPr>
            <w:tcW w:w="2410" w:type="dxa"/>
            <w:tcBorders>
              <w:top w:val="single" w:sz="2" w:space="0" w:color="auto"/>
              <w:left w:val="single" w:sz="2" w:space="0" w:color="auto"/>
              <w:bottom w:val="single" w:sz="2" w:space="0" w:color="auto"/>
              <w:right w:val="single" w:sz="2" w:space="0" w:color="auto"/>
            </w:tcBorders>
            <w:vAlign w:val="center"/>
          </w:tcPr>
          <w:p w14:paraId="593A8878"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923,136.96</w:t>
            </w:r>
          </w:p>
        </w:tc>
        <w:tc>
          <w:tcPr>
            <w:tcW w:w="2410" w:type="dxa"/>
            <w:tcBorders>
              <w:top w:val="single" w:sz="2" w:space="0" w:color="auto"/>
              <w:left w:val="single" w:sz="2" w:space="0" w:color="auto"/>
              <w:bottom w:val="single" w:sz="2" w:space="0" w:color="auto"/>
              <w:right w:val="single" w:sz="2" w:space="0" w:color="auto"/>
            </w:tcBorders>
            <w:vAlign w:val="center"/>
          </w:tcPr>
          <w:p w14:paraId="35924514"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46,156.85</w:t>
            </w:r>
          </w:p>
        </w:tc>
        <w:tc>
          <w:tcPr>
            <w:tcW w:w="2410" w:type="dxa"/>
            <w:tcBorders>
              <w:top w:val="single" w:sz="2" w:space="0" w:color="auto"/>
              <w:left w:val="single" w:sz="2" w:space="0" w:color="auto"/>
              <w:bottom w:val="single" w:sz="2" w:space="0" w:color="auto"/>
              <w:right w:val="single" w:sz="2" w:space="0" w:color="auto"/>
            </w:tcBorders>
            <w:vAlign w:val="center"/>
          </w:tcPr>
          <w:p w14:paraId="4770CFCE"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5.00%</w:t>
            </w:r>
          </w:p>
        </w:tc>
      </w:tr>
      <w:tr w:rsidR="00095F6F" w14:paraId="0DC5E694"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8EC1B73"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1</w:t>
            </w:r>
            <w:r w:rsidRPr="00993FB1">
              <w:rPr>
                <w:rFonts w:ascii="Times New Roman" w:eastAsia="宋体" w:hAnsi="Times New Roman" w:cs="Times New Roman"/>
                <w:sz w:val="18"/>
                <w:szCs w:val="18"/>
              </w:rPr>
              <w:t>至</w:t>
            </w:r>
            <w:r w:rsidRPr="00993FB1">
              <w:rPr>
                <w:rFonts w:ascii="Times New Roman" w:eastAsia="宋体" w:hAnsi="Times New Roman" w:cs="Times New Roman"/>
                <w:sz w:val="18"/>
                <w:szCs w:val="18"/>
              </w:rPr>
              <w:t>2</w:t>
            </w:r>
            <w:r w:rsidRPr="00993FB1">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24E5EEF5"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1,376,827.00</w:t>
            </w:r>
          </w:p>
        </w:tc>
        <w:tc>
          <w:tcPr>
            <w:tcW w:w="2410" w:type="dxa"/>
            <w:tcBorders>
              <w:top w:val="single" w:sz="2" w:space="0" w:color="auto"/>
              <w:left w:val="single" w:sz="2" w:space="0" w:color="auto"/>
              <w:bottom w:val="single" w:sz="2" w:space="0" w:color="auto"/>
              <w:right w:val="single" w:sz="2" w:space="0" w:color="auto"/>
            </w:tcBorders>
            <w:vAlign w:val="center"/>
          </w:tcPr>
          <w:p w14:paraId="240D013A"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275,365.40</w:t>
            </w:r>
          </w:p>
        </w:tc>
        <w:tc>
          <w:tcPr>
            <w:tcW w:w="2410" w:type="dxa"/>
            <w:tcBorders>
              <w:top w:val="single" w:sz="2" w:space="0" w:color="auto"/>
              <w:left w:val="single" w:sz="2" w:space="0" w:color="auto"/>
              <w:bottom w:val="single" w:sz="2" w:space="0" w:color="auto"/>
              <w:right w:val="single" w:sz="2" w:space="0" w:color="auto"/>
            </w:tcBorders>
            <w:vAlign w:val="center"/>
          </w:tcPr>
          <w:p w14:paraId="21F4C7D8"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20.00%</w:t>
            </w:r>
          </w:p>
        </w:tc>
      </w:tr>
      <w:tr w:rsidR="00095F6F" w14:paraId="2A34C53D"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4739E9E"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2</w:t>
            </w:r>
            <w:r w:rsidRPr="00993FB1">
              <w:rPr>
                <w:rFonts w:ascii="Times New Roman" w:eastAsia="宋体" w:hAnsi="Times New Roman" w:cs="Times New Roman"/>
                <w:sz w:val="18"/>
                <w:szCs w:val="18"/>
              </w:rPr>
              <w:t>至</w:t>
            </w:r>
            <w:r w:rsidRPr="00993FB1">
              <w:rPr>
                <w:rFonts w:ascii="Times New Roman" w:eastAsia="宋体" w:hAnsi="Times New Roman" w:cs="Times New Roman"/>
                <w:sz w:val="18"/>
                <w:szCs w:val="18"/>
              </w:rPr>
              <w:t>3</w:t>
            </w:r>
            <w:r w:rsidRPr="00993FB1">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6298B45D"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587,438.00</w:t>
            </w:r>
          </w:p>
        </w:tc>
        <w:tc>
          <w:tcPr>
            <w:tcW w:w="2410" w:type="dxa"/>
            <w:tcBorders>
              <w:top w:val="single" w:sz="2" w:space="0" w:color="auto"/>
              <w:left w:val="single" w:sz="2" w:space="0" w:color="auto"/>
              <w:bottom w:val="single" w:sz="2" w:space="0" w:color="auto"/>
              <w:right w:val="single" w:sz="2" w:space="0" w:color="auto"/>
            </w:tcBorders>
            <w:vAlign w:val="center"/>
          </w:tcPr>
          <w:p w14:paraId="174C50FE"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293,719.00</w:t>
            </w:r>
          </w:p>
        </w:tc>
        <w:tc>
          <w:tcPr>
            <w:tcW w:w="2410" w:type="dxa"/>
            <w:tcBorders>
              <w:top w:val="single" w:sz="2" w:space="0" w:color="auto"/>
              <w:left w:val="single" w:sz="2" w:space="0" w:color="auto"/>
              <w:bottom w:val="single" w:sz="2" w:space="0" w:color="auto"/>
              <w:right w:val="single" w:sz="2" w:space="0" w:color="auto"/>
            </w:tcBorders>
            <w:vAlign w:val="center"/>
          </w:tcPr>
          <w:p w14:paraId="65CBE7C1"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50.00%</w:t>
            </w:r>
          </w:p>
        </w:tc>
      </w:tr>
      <w:tr w:rsidR="00095F6F" w14:paraId="47FFD74B"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7DE2FF6D"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3</w:t>
            </w:r>
            <w:r w:rsidRPr="00993FB1">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086E047E"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1,638,535.60</w:t>
            </w:r>
          </w:p>
        </w:tc>
        <w:tc>
          <w:tcPr>
            <w:tcW w:w="2410" w:type="dxa"/>
            <w:tcBorders>
              <w:top w:val="single" w:sz="2" w:space="0" w:color="auto"/>
              <w:left w:val="single" w:sz="2" w:space="0" w:color="auto"/>
              <w:bottom w:val="single" w:sz="2" w:space="0" w:color="auto"/>
              <w:right w:val="single" w:sz="2" w:space="0" w:color="auto"/>
            </w:tcBorders>
            <w:vAlign w:val="center"/>
          </w:tcPr>
          <w:p w14:paraId="7FAF0E0B"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1,638,535.60</w:t>
            </w:r>
          </w:p>
        </w:tc>
        <w:tc>
          <w:tcPr>
            <w:tcW w:w="2410" w:type="dxa"/>
            <w:tcBorders>
              <w:top w:val="single" w:sz="2" w:space="0" w:color="auto"/>
              <w:left w:val="single" w:sz="2" w:space="0" w:color="auto"/>
              <w:bottom w:val="single" w:sz="2" w:space="0" w:color="auto"/>
              <w:right w:val="single" w:sz="2" w:space="0" w:color="auto"/>
            </w:tcBorders>
            <w:vAlign w:val="center"/>
          </w:tcPr>
          <w:p w14:paraId="79BAA5A4"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100.00%</w:t>
            </w:r>
          </w:p>
        </w:tc>
      </w:tr>
      <w:tr w:rsidR="00095F6F" w14:paraId="5B75E967"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06AC36A6"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3</w:t>
            </w:r>
            <w:r w:rsidRPr="00993FB1">
              <w:rPr>
                <w:rFonts w:ascii="Times New Roman" w:eastAsia="宋体" w:hAnsi="Times New Roman" w:cs="Times New Roman"/>
                <w:sz w:val="18"/>
                <w:szCs w:val="18"/>
              </w:rPr>
              <w:t>至</w:t>
            </w:r>
            <w:r w:rsidRPr="00993FB1">
              <w:rPr>
                <w:rFonts w:ascii="Times New Roman" w:eastAsia="宋体" w:hAnsi="Times New Roman" w:cs="Times New Roman"/>
                <w:sz w:val="18"/>
                <w:szCs w:val="18"/>
              </w:rPr>
              <w:t>4</w:t>
            </w:r>
            <w:r w:rsidRPr="00993FB1">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17B92738"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174,465.30</w:t>
            </w:r>
          </w:p>
        </w:tc>
        <w:tc>
          <w:tcPr>
            <w:tcW w:w="2410" w:type="dxa"/>
            <w:tcBorders>
              <w:top w:val="single" w:sz="2" w:space="0" w:color="auto"/>
              <w:left w:val="single" w:sz="2" w:space="0" w:color="auto"/>
              <w:bottom w:val="single" w:sz="2" w:space="0" w:color="auto"/>
              <w:right w:val="single" w:sz="2" w:space="0" w:color="auto"/>
            </w:tcBorders>
            <w:vAlign w:val="center"/>
          </w:tcPr>
          <w:p w14:paraId="35224990"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174,465.30</w:t>
            </w:r>
          </w:p>
        </w:tc>
        <w:tc>
          <w:tcPr>
            <w:tcW w:w="2410" w:type="dxa"/>
            <w:tcBorders>
              <w:top w:val="single" w:sz="2" w:space="0" w:color="auto"/>
              <w:left w:val="single" w:sz="2" w:space="0" w:color="auto"/>
              <w:bottom w:val="single" w:sz="2" w:space="0" w:color="auto"/>
              <w:right w:val="single" w:sz="2" w:space="0" w:color="auto"/>
            </w:tcBorders>
            <w:vAlign w:val="center"/>
          </w:tcPr>
          <w:p w14:paraId="7F6CF851"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100.00%</w:t>
            </w:r>
          </w:p>
        </w:tc>
      </w:tr>
      <w:tr w:rsidR="00095F6F" w14:paraId="59F1B57A"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37F6CC07"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4</w:t>
            </w:r>
            <w:r w:rsidRPr="00993FB1">
              <w:rPr>
                <w:rFonts w:ascii="Times New Roman" w:eastAsia="宋体" w:hAnsi="Times New Roman" w:cs="Times New Roman"/>
                <w:sz w:val="18"/>
                <w:szCs w:val="18"/>
              </w:rPr>
              <w:t>至</w:t>
            </w:r>
            <w:r w:rsidRPr="00993FB1">
              <w:rPr>
                <w:rFonts w:ascii="Times New Roman" w:eastAsia="宋体" w:hAnsi="Times New Roman" w:cs="Times New Roman"/>
                <w:sz w:val="18"/>
                <w:szCs w:val="18"/>
              </w:rPr>
              <w:t>5</w:t>
            </w:r>
            <w:r w:rsidRPr="00993FB1">
              <w:rPr>
                <w:rFonts w:ascii="Times New Roman" w:eastAsia="宋体" w:hAnsi="Times New Roman" w:cs="Times New Roman"/>
                <w:sz w:val="18"/>
                <w:szCs w:val="18"/>
              </w:rPr>
              <w:t>年</w:t>
            </w:r>
          </w:p>
        </w:tc>
        <w:tc>
          <w:tcPr>
            <w:tcW w:w="2410" w:type="dxa"/>
            <w:tcBorders>
              <w:top w:val="single" w:sz="2" w:space="0" w:color="auto"/>
              <w:left w:val="single" w:sz="2" w:space="0" w:color="auto"/>
              <w:bottom w:val="single" w:sz="2" w:space="0" w:color="auto"/>
              <w:right w:val="single" w:sz="2" w:space="0" w:color="auto"/>
            </w:tcBorders>
            <w:vAlign w:val="center"/>
          </w:tcPr>
          <w:p w14:paraId="11FDF13A"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273,350.00</w:t>
            </w:r>
          </w:p>
        </w:tc>
        <w:tc>
          <w:tcPr>
            <w:tcW w:w="2410" w:type="dxa"/>
            <w:tcBorders>
              <w:top w:val="single" w:sz="2" w:space="0" w:color="auto"/>
              <w:left w:val="single" w:sz="2" w:space="0" w:color="auto"/>
              <w:bottom w:val="single" w:sz="2" w:space="0" w:color="auto"/>
              <w:right w:val="single" w:sz="2" w:space="0" w:color="auto"/>
            </w:tcBorders>
            <w:vAlign w:val="center"/>
          </w:tcPr>
          <w:p w14:paraId="561BF8E3"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273,350.00</w:t>
            </w:r>
          </w:p>
        </w:tc>
        <w:tc>
          <w:tcPr>
            <w:tcW w:w="2410" w:type="dxa"/>
            <w:tcBorders>
              <w:top w:val="single" w:sz="2" w:space="0" w:color="auto"/>
              <w:left w:val="single" w:sz="2" w:space="0" w:color="auto"/>
              <w:bottom w:val="single" w:sz="2" w:space="0" w:color="auto"/>
              <w:right w:val="single" w:sz="2" w:space="0" w:color="auto"/>
            </w:tcBorders>
            <w:vAlign w:val="center"/>
          </w:tcPr>
          <w:p w14:paraId="0A280CDC"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100.00%</w:t>
            </w:r>
          </w:p>
        </w:tc>
      </w:tr>
      <w:tr w:rsidR="00095F6F" w14:paraId="31B6A37B"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vAlign w:val="center"/>
          </w:tcPr>
          <w:p w14:paraId="43090735" w14:textId="77777777" w:rsidR="00A46BF1" w:rsidRPr="00993FB1" w:rsidRDefault="00A46BF1" w:rsidP="00993FB1">
            <w:pPr>
              <w:spacing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5</w:t>
            </w:r>
            <w:r w:rsidRPr="00993FB1">
              <w:rPr>
                <w:rFonts w:ascii="Times New Roman" w:eastAsia="宋体" w:hAnsi="Times New Roman" w:cs="Times New Roman"/>
                <w:sz w:val="18"/>
                <w:szCs w:val="18"/>
              </w:rPr>
              <w:t>年以上</w:t>
            </w:r>
          </w:p>
        </w:tc>
        <w:tc>
          <w:tcPr>
            <w:tcW w:w="2410" w:type="dxa"/>
            <w:tcBorders>
              <w:top w:val="single" w:sz="2" w:space="0" w:color="auto"/>
              <w:left w:val="single" w:sz="2" w:space="0" w:color="auto"/>
              <w:bottom w:val="single" w:sz="2" w:space="0" w:color="auto"/>
              <w:right w:val="single" w:sz="2" w:space="0" w:color="auto"/>
            </w:tcBorders>
            <w:vAlign w:val="center"/>
          </w:tcPr>
          <w:p w14:paraId="4C664828"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1,190,720.30</w:t>
            </w:r>
          </w:p>
        </w:tc>
        <w:tc>
          <w:tcPr>
            <w:tcW w:w="2410" w:type="dxa"/>
            <w:tcBorders>
              <w:top w:val="single" w:sz="2" w:space="0" w:color="auto"/>
              <w:left w:val="single" w:sz="2" w:space="0" w:color="auto"/>
              <w:bottom w:val="single" w:sz="2" w:space="0" w:color="auto"/>
              <w:right w:val="single" w:sz="2" w:space="0" w:color="auto"/>
            </w:tcBorders>
            <w:vAlign w:val="center"/>
          </w:tcPr>
          <w:p w14:paraId="0AEB0073"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1,190,720.30</w:t>
            </w:r>
          </w:p>
        </w:tc>
        <w:tc>
          <w:tcPr>
            <w:tcW w:w="2410" w:type="dxa"/>
            <w:tcBorders>
              <w:top w:val="single" w:sz="2" w:space="0" w:color="auto"/>
              <w:left w:val="single" w:sz="2" w:space="0" w:color="auto"/>
              <w:bottom w:val="single" w:sz="2" w:space="0" w:color="auto"/>
              <w:right w:val="single" w:sz="2" w:space="0" w:color="auto"/>
            </w:tcBorders>
            <w:vAlign w:val="center"/>
          </w:tcPr>
          <w:p w14:paraId="747CEE0D"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100.00%</w:t>
            </w:r>
          </w:p>
        </w:tc>
      </w:tr>
      <w:tr w:rsidR="00095F6F" w14:paraId="13AC2338" w14:textId="77777777" w:rsidTr="00A46BF1">
        <w:trPr>
          <w:trHeight w:val="240"/>
        </w:trPr>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6AA7C5CE"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合计</w:t>
            </w:r>
          </w:p>
        </w:tc>
        <w:tc>
          <w:tcPr>
            <w:tcW w:w="2410" w:type="dxa"/>
            <w:tcBorders>
              <w:top w:val="single" w:sz="2" w:space="0" w:color="auto"/>
              <w:left w:val="single" w:sz="2" w:space="0" w:color="auto"/>
              <w:bottom w:val="single" w:sz="2" w:space="0" w:color="auto"/>
              <w:right w:val="single" w:sz="2" w:space="0" w:color="auto"/>
            </w:tcBorders>
            <w:vAlign w:val="center"/>
          </w:tcPr>
          <w:p w14:paraId="415C6C71"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4,525,937.56</w:t>
            </w:r>
          </w:p>
        </w:tc>
        <w:tc>
          <w:tcPr>
            <w:tcW w:w="2410" w:type="dxa"/>
            <w:tcBorders>
              <w:top w:val="single" w:sz="2" w:space="0" w:color="auto"/>
              <w:left w:val="single" w:sz="2" w:space="0" w:color="auto"/>
              <w:bottom w:val="single" w:sz="2" w:space="0" w:color="auto"/>
              <w:right w:val="single" w:sz="2" w:space="0" w:color="auto"/>
            </w:tcBorders>
            <w:vAlign w:val="center"/>
          </w:tcPr>
          <w:p w14:paraId="11B90784"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2,253,776.85</w:t>
            </w:r>
          </w:p>
        </w:tc>
        <w:tc>
          <w:tcPr>
            <w:tcW w:w="2410" w:type="dxa"/>
            <w:tcBorders>
              <w:top w:val="single" w:sz="2" w:space="0" w:color="auto"/>
              <w:left w:val="single" w:sz="2" w:space="0" w:color="auto"/>
              <w:bottom w:val="single" w:sz="2" w:space="0" w:color="auto"/>
              <w:right w:val="single" w:sz="2" w:space="0" w:color="auto"/>
            </w:tcBorders>
            <w:shd w:val="clear" w:color="auto" w:fill="D3D3D3"/>
            <w:vAlign w:val="center"/>
          </w:tcPr>
          <w:p w14:paraId="02620BFA" w14:textId="77777777" w:rsidR="00A46BF1" w:rsidRPr="00993FB1" w:rsidRDefault="00A46BF1" w:rsidP="00993FB1">
            <w:pPr>
              <w:spacing w:line="360" w:lineRule="auto"/>
              <w:rPr>
                <w:rFonts w:ascii="Times New Roman" w:hAnsi="Times New Roman" w:cs="Times New Roman"/>
              </w:rPr>
            </w:pPr>
          </w:p>
        </w:tc>
      </w:tr>
    </w:tbl>
    <w:p w14:paraId="65F76B2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确定该组合依据的说明：</w:t>
      </w:r>
    </w:p>
    <w:p w14:paraId="5FD691BF" w14:textId="02CC368E"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详见本附注“五、</w:t>
      </w:r>
      <w:r w:rsidRPr="00A83985">
        <w:rPr>
          <w:rFonts w:ascii="Times New Roman" w:hAnsi="Times New Roman" w:cs="Times New Roman" w:hint="eastAsia"/>
          <w:sz w:val="21"/>
          <w:szCs w:val="21"/>
        </w:rPr>
        <w:t>10</w:t>
      </w:r>
      <w:r w:rsidRPr="00A83985">
        <w:rPr>
          <w:rFonts w:ascii="Times New Roman" w:hAnsi="Times New Roman" w:cs="Times New Roman" w:hint="eastAsia"/>
          <w:sz w:val="21"/>
          <w:szCs w:val="21"/>
        </w:rPr>
        <w:t>金融工具”相关内容。</w:t>
      </w:r>
    </w:p>
    <w:p w14:paraId="45A22E1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按预期信用损失一般模型计提坏账准备：</w:t>
      </w:r>
    </w:p>
    <w:p w14:paraId="79CF2329"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2552"/>
        <w:gridCol w:w="1843"/>
        <w:gridCol w:w="1984"/>
        <w:gridCol w:w="1985"/>
        <w:gridCol w:w="1275"/>
      </w:tblGrid>
      <w:tr w:rsidR="00095F6F" w14:paraId="3AF5C0AA" w14:textId="77777777" w:rsidTr="00993FB1">
        <w:trPr>
          <w:trHeight w:val="240"/>
        </w:trPr>
        <w:tc>
          <w:tcPr>
            <w:tcW w:w="2552"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1A84D0EF"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坏账准备</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7450302C"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第一阶段</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4354EF89"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第二阶段</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2C7635CF"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第三阶段</w:t>
            </w:r>
          </w:p>
        </w:tc>
        <w:tc>
          <w:tcPr>
            <w:tcW w:w="127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DFB1446"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合计</w:t>
            </w:r>
          </w:p>
        </w:tc>
      </w:tr>
      <w:tr w:rsidR="00095F6F" w14:paraId="220A26C6" w14:textId="77777777" w:rsidTr="00993FB1">
        <w:trPr>
          <w:trHeight w:val="240"/>
        </w:trPr>
        <w:tc>
          <w:tcPr>
            <w:tcW w:w="2552"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EEF25E4" w14:textId="77777777" w:rsidR="00A46BF1" w:rsidRPr="00993FB1" w:rsidRDefault="00A46BF1" w:rsidP="00993FB1">
            <w:pPr>
              <w:spacing w:line="360" w:lineRule="auto"/>
              <w:rPr>
                <w:rFonts w:ascii="Times New Roman" w:hAnsi="Times New Roman" w:cs="Times New Roman"/>
              </w:rPr>
            </w:pP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678D7BF6"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未来</w:t>
            </w:r>
            <w:r w:rsidRPr="00993FB1">
              <w:rPr>
                <w:rFonts w:ascii="Times New Roman" w:eastAsia="宋体" w:hAnsi="Times New Roman" w:cs="Times New Roman"/>
                <w:sz w:val="18"/>
                <w:szCs w:val="18"/>
              </w:rPr>
              <w:t>12</w:t>
            </w:r>
            <w:r w:rsidRPr="00993FB1">
              <w:rPr>
                <w:rFonts w:ascii="Times New Roman" w:eastAsia="宋体" w:hAnsi="Times New Roman" w:cs="Times New Roman"/>
                <w:sz w:val="18"/>
                <w:szCs w:val="18"/>
              </w:rPr>
              <w:t>个月预期信用损失</w:t>
            </w: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39D96801"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整个存续期预期信用损失</w:t>
            </w:r>
            <w:r w:rsidRPr="00993FB1">
              <w:rPr>
                <w:rFonts w:ascii="Times New Roman" w:eastAsia="宋体" w:hAnsi="Times New Roman" w:cs="Times New Roman"/>
                <w:sz w:val="18"/>
                <w:szCs w:val="18"/>
              </w:rPr>
              <w:t>(</w:t>
            </w:r>
            <w:r w:rsidRPr="00993FB1">
              <w:rPr>
                <w:rFonts w:ascii="Times New Roman" w:eastAsia="宋体" w:hAnsi="Times New Roman" w:cs="Times New Roman"/>
                <w:sz w:val="18"/>
                <w:szCs w:val="18"/>
              </w:rPr>
              <w:t>未发生信用减值</w:t>
            </w:r>
            <w:r w:rsidRPr="00993FB1">
              <w:rPr>
                <w:rFonts w:ascii="Times New Roman" w:eastAsia="宋体" w:hAnsi="Times New Roman" w:cs="Times New Roman"/>
                <w:sz w:val="18"/>
                <w:szCs w:val="18"/>
              </w:rPr>
              <w:t>)</w:t>
            </w: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6477CDD2" w14:textId="77777777" w:rsidR="00A46BF1" w:rsidRPr="00993FB1" w:rsidRDefault="00A46BF1" w:rsidP="00993FB1">
            <w:pPr>
              <w:spacing w:before="40" w:after="40" w:line="360" w:lineRule="auto"/>
              <w:jc w:val="center"/>
              <w:rPr>
                <w:rFonts w:ascii="Times New Roman" w:eastAsia="宋体" w:hAnsi="Times New Roman" w:cs="Times New Roman"/>
                <w:sz w:val="18"/>
                <w:szCs w:val="18"/>
              </w:rPr>
            </w:pPr>
            <w:r w:rsidRPr="00993FB1">
              <w:rPr>
                <w:rFonts w:ascii="Times New Roman" w:eastAsia="宋体" w:hAnsi="Times New Roman" w:cs="Times New Roman"/>
                <w:sz w:val="18"/>
                <w:szCs w:val="18"/>
              </w:rPr>
              <w:t>整个存续期预期信用损失</w:t>
            </w:r>
            <w:r w:rsidRPr="00993FB1">
              <w:rPr>
                <w:rFonts w:ascii="Times New Roman" w:eastAsia="宋体" w:hAnsi="Times New Roman" w:cs="Times New Roman"/>
                <w:sz w:val="18"/>
                <w:szCs w:val="18"/>
              </w:rPr>
              <w:t>(</w:t>
            </w:r>
            <w:r w:rsidRPr="00993FB1">
              <w:rPr>
                <w:rFonts w:ascii="Times New Roman" w:eastAsia="宋体" w:hAnsi="Times New Roman" w:cs="Times New Roman"/>
                <w:sz w:val="18"/>
                <w:szCs w:val="18"/>
              </w:rPr>
              <w:t>已发生信用减值</w:t>
            </w:r>
            <w:r w:rsidRPr="00993FB1">
              <w:rPr>
                <w:rFonts w:ascii="Times New Roman" w:eastAsia="宋体" w:hAnsi="Times New Roman" w:cs="Times New Roman"/>
                <w:sz w:val="18"/>
                <w:szCs w:val="18"/>
              </w:rPr>
              <w:t>)</w:t>
            </w:r>
          </w:p>
        </w:tc>
        <w:tc>
          <w:tcPr>
            <w:tcW w:w="12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31FDADC" w14:textId="77777777" w:rsidR="00A46BF1" w:rsidRPr="00993FB1" w:rsidRDefault="00A46BF1" w:rsidP="00993FB1">
            <w:pPr>
              <w:spacing w:line="360" w:lineRule="auto"/>
              <w:rPr>
                <w:rFonts w:ascii="Times New Roman" w:hAnsi="Times New Roman" w:cs="Times New Roman"/>
              </w:rPr>
            </w:pPr>
          </w:p>
        </w:tc>
      </w:tr>
      <w:tr w:rsidR="00095F6F" w14:paraId="5807F047"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4B2443D3"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2025</w:t>
            </w:r>
            <w:r w:rsidRPr="00993FB1">
              <w:rPr>
                <w:rFonts w:ascii="Times New Roman" w:eastAsia="宋体" w:hAnsi="Times New Roman" w:cs="Times New Roman"/>
                <w:sz w:val="18"/>
                <w:szCs w:val="18"/>
              </w:rPr>
              <w:t>年</w:t>
            </w:r>
            <w:r w:rsidRPr="00993FB1">
              <w:rPr>
                <w:rFonts w:ascii="Times New Roman" w:eastAsia="宋体" w:hAnsi="Times New Roman" w:cs="Times New Roman"/>
                <w:sz w:val="18"/>
                <w:szCs w:val="18"/>
              </w:rPr>
              <w:t>1</w:t>
            </w:r>
            <w:r w:rsidRPr="00993FB1">
              <w:rPr>
                <w:rFonts w:ascii="Times New Roman" w:eastAsia="宋体" w:hAnsi="Times New Roman" w:cs="Times New Roman"/>
                <w:sz w:val="18"/>
                <w:szCs w:val="18"/>
              </w:rPr>
              <w:t>月</w:t>
            </w:r>
            <w:r w:rsidRPr="00993FB1">
              <w:rPr>
                <w:rFonts w:ascii="Times New Roman" w:eastAsia="宋体" w:hAnsi="Times New Roman" w:cs="Times New Roman"/>
                <w:sz w:val="18"/>
                <w:szCs w:val="18"/>
              </w:rPr>
              <w:t>1</w:t>
            </w:r>
            <w:r w:rsidRPr="00993FB1">
              <w:rPr>
                <w:rFonts w:ascii="Times New Roman" w:eastAsia="宋体" w:hAnsi="Times New Roman" w:cs="Times New Roman"/>
                <w:sz w:val="18"/>
                <w:szCs w:val="18"/>
              </w:rPr>
              <w:t>日余额</w:t>
            </w:r>
          </w:p>
        </w:tc>
        <w:tc>
          <w:tcPr>
            <w:tcW w:w="1843" w:type="dxa"/>
            <w:tcBorders>
              <w:top w:val="single" w:sz="2" w:space="0" w:color="auto"/>
              <w:left w:val="single" w:sz="2" w:space="0" w:color="auto"/>
              <w:bottom w:val="single" w:sz="2" w:space="0" w:color="auto"/>
              <w:right w:val="single" w:sz="2" w:space="0" w:color="auto"/>
            </w:tcBorders>
            <w:vAlign w:val="center"/>
          </w:tcPr>
          <w:p w14:paraId="494AC5D3"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104,220.16</w:t>
            </w:r>
          </w:p>
        </w:tc>
        <w:tc>
          <w:tcPr>
            <w:tcW w:w="1984" w:type="dxa"/>
            <w:tcBorders>
              <w:top w:val="single" w:sz="2" w:space="0" w:color="auto"/>
              <w:left w:val="single" w:sz="2" w:space="0" w:color="auto"/>
              <w:bottom w:val="single" w:sz="2" w:space="0" w:color="auto"/>
              <w:right w:val="single" w:sz="2" w:space="0" w:color="auto"/>
            </w:tcBorders>
            <w:vAlign w:val="center"/>
          </w:tcPr>
          <w:p w14:paraId="54941721"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242,617.15</w:t>
            </w:r>
          </w:p>
        </w:tc>
        <w:tc>
          <w:tcPr>
            <w:tcW w:w="1985" w:type="dxa"/>
            <w:tcBorders>
              <w:top w:val="single" w:sz="2" w:space="0" w:color="auto"/>
              <w:left w:val="single" w:sz="2" w:space="0" w:color="auto"/>
              <w:bottom w:val="single" w:sz="2" w:space="0" w:color="auto"/>
              <w:right w:val="single" w:sz="2" w:space="0" w:color="auto"/>
            </w:tcBorders>
            <w:vAlign w:val="center"/>
          </w:tcPr>
          <w:p w14:paraId="504820E8"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1,854,426.65</w:t>
            </w:r>
          </w:p>
        </w:tc>
        <w:tc>
          <w:tcPr>
            <w:tcW w:w="1275" w:type="dxa"/>
            <w:tcBorders>
              <w:top w:val="single" w:sz="2" w:space="0" w:color="auto"/>
              <w:left w:val="single" w:sz="2" w:space="0" w:color="auto"/>
              <w:bottom w:val="single" w:sz="2" w:space="0" w:color="auto"/>
              <w:right w:val="single" w:sz="2" w:space="0" w:color="auto"/>
            </w:tcBorders>
            <w:vAlign w:val="center"/>
          </w:tcPr>
          <w:p w14:paraId="7A234EE7"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2,201,263.96</w:t>
            </w:r>
          </w:p>
        </w:tc>
      </w:tr>
      <w:tr w:rsidR="00095F6F" w14:paraId="7BDA582C"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321ADDE0"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2025</w:t>
            </w:r>
            <w:r w:rsidRPr="00993FB1">
              <w:rPr>
                <w:rFonts w:ascii="Times New Roman" w:eastAsia="宋体" w:hAnsi="Times New Roman" w:cs="Times New Roman"/>
                <w:sz w:val="18"/>
                <w:szCs w:val="18"/>
              </w:rPr>
              <w:t>年</w:t>
            </w:r>
            <w:r w:rsidRPr="00993FB1">
              <w:rPr>
                <w:rFonts w:ascii="Times New Roman" w:eastAsia="宋体" w:hAnsi="Times New Roman" w:cs="Times New Roman"/>
                <w:sz w:val="18"/>
                <w:szCs w:val="18"/>
              </w:rPr>
              <w:t>1</w:t>
            </w:r>
            <w:r w:rsidRPr="00993FB1">
              <w:rPr>
                <w:rFonts w:ascii="Times New Roman" w:eastAsia="宋体" w:hAnsi="Times New Roman" w:cs="Times New Roman"/>
                <w:sz w:val="18"/>
                <w:szCs w:val="18"/>
              </w:rPr>
              <w:t>月</w:t>
            </w:r>
            <w:r w:rsidRPr="00993FB1">
              <w:rPr>
                <w:rFonts w:ascii="Times New Roman" w:eastAsia="宋体" w:hAnsi="Times New Roman" w:cs="Times New Roman"/>
                <w:sz w:val="18"/>
                <w:szCs w:val="18"/>
              </w:rPr>
              <w:t>1</w:t>
            </w:r>
            <w:r w:rsidRPr="00993FB1">
              <w:rPr>
                <w:rFonts w:ascii="Times New Roman" w:eastAsia="宋体" w:hAnsi="Times New Roman" w:cs="Times New Roman"/>
                <w:sz w:val="18"/>
                <w:szCs w:val="18"/>
              </w:rPr>
              <w:t>日余额在本期</w:t>
            </w: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14:paraId="4BBE975E" w14:textId="77777777" w:rsidR="00A46BF1" w:rsidRPr="00993FB1" w:rsidRDefault="00A46BF1" w:rsidP="00993FB1">
            <w:pPr>
              <w:spacing w:line="360" w:lineRule="auto"/>
              <w:rPr>
                <w:rFonts w:ascii="Times New Roman" w:hAnsi="Times New Roman" w:cs="Times New Roman"/>
              </w:rPr>
            </w:pPr>
          </w:p>
        </w:tc>
        <w:tc>
          <w:tcPr>
            <w:tcW w:w="1984" w:type="dxa"/>
            <w:tcBorders>
              <w:top w:val="single" w:sz="2" w:space="0" w:color="auto"/>
              <w:left w:val="single" w:sz="2" w:space="0" w:color="auto"/>
              <w:bottom w:val="single" w:sz="2" w:space="0" w:color="auto"/>
              <w:right w:val="single" w:sz="2" w:space="0" w:color="auto"/>
            </w:tcBorders>
            <w:shd w:val="clear" w:color="auto" w:fill="D3D3D3"/>
            <w:vAlign w:val="center"/>
          </w:tcPr>
          <w:p w14:paraId="69C1C571" w14:textId="77777777" w:rsidR="00A46BF1" w:rsidRPr="00993FB1" w:rsidRDefault="00A46BF1" w:rsidP="00993FB1">
            <w:pPr>
              <w:spacing w:line="360" w:lineRule="auto"/>
              <w:rPr>
                <w:rFonts w:ascii="Times New Roman" w:hAnsi="Times New Roman" w:cs="Times New Roman"/>
              </w:rPr>
            </w:pPr>
          </w:p>
        </w:tc>
        <w:tc>
          <w:tcPr>
            <w:tcW w:w="1985" w:type="dxa"/>
            <w:tcBorders>
              <w:top w:val="single" w:sz="2" w:space="0" w:color="auto"/>
              <w:left w:val="single" w:sz="2" w:space="0" w:color="auto"/>
              <w:bottom w:val="single" w:sz="2" w:space="0" w:color="auto"/>
              <w:right w:val="single" w:sz="2" w:space="0" w:color="auto"/>
            </w:tcBorders>
            <w:shd w:val="clear" w:color="auto" w:fill="D3D3D3"/>
            <w:vAlign w:val="center"/>
          </w:tcPr>
          <w:p w14:paraId="49C06727" w14:textId="77777777" w:rsidR="00A46BF1" w:rsidRPr="00993FB1" w:rsidRDefault="00A46BF1" w:rsidP="00993FB1">
            <w:pPr>
              <w:spacing w:line="360" w:lineRule="auto"/>
              <w:rPr>
                <w:rFonts w:ascii="Times New Roman" w:hAnsi="Times New Roman" w:cs="Times New Roman"/>
              </w:rPr>
            </w:pP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75421A9B" w14:textId="77777777" w:rsidR="00A46BF1" w:rsidRPr="00993FB1" w:rsidRDefault="00A46BF1" w:rsidP="00993FB1">
            <w:pPr>
              <w:spacing w:line="360" w:lineRule="auto"/>
              <w:rPr>
                <w:rFonts w:ascii="Times New Roman" w:hAnsi="Times New Roman" w:cs="Times New Roman"/>
              </w:rPr>
            </w:pPr>
          </w:p>
        </w:tc>
      </w:tr>
      <w:tr w:rsidR="00095F6F" w14:paraId="72C79794"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1BD89118"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w:t>
            </w:r>
            <w:r w:rsidRPr="00993FB1">
              <w:rPr>
                <w:rFonts w:ascii="Times New Roman" w:eastAsia="宋体" w:hAnsi="Times New Roman" w:cs="Times New Roman"/>
                <w:sz w:val="18"/>
                <w:szCs w:val="18"/>
              </w:rPr>
              <w:t>转入第二阶段</w:t>
            </w:r>
          </w:p>
        </w:tc>
        <w:tc>
          <w:tcPr>
            <w:tcW w:w="1843" w:type="dxa"/>
            <w:tcBorders>
              <w:top w:val="single" w:sz="2" w:space="0" w:color="auto"/>
              <w:left w:val="single" w:sz="2" w:space="0" w:color="auto"/>
              <w:bottom w:val="single" w:sz="2" w:space="0" w:color="auto"/>
              <w:right w:val="single" w:sz="2" w:space="0" w:color="auto"/>
            </w:tcBorders>
            <w:vAlign w:val="center"/>
          </w:tcPr>
          <w:p w14:paraId="5E4315E4"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-203,074.05</w:t>
            </w:r>
          </w:p>
        </w:tc>
        <w:tc>
          <w:tcPr>
            <w:tcW w:w="1984" w:type="dxa"/>
            <w:tcBorders>
              <w:top w:val="single" w:sz="2" w:space="0" w:color="auto"/>
              <w:left w:val="single" w:sz="2" w:space="0" w:color="auto"/>
              <w:bottom w:val="single" w:sz="2" w:space="0" w:color="auto"/>
              <w:right w:val="single" w:sz="2" w:space="0" w:color="auto"/>
            </w:tcBorders>
            <w:vAlign w:val="center"/>
          </w:tcPr>
          <w:p w14:paraId="4EABB34E"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203,074.05</w:t>
            </w:r>
          </w:p>
        </w:tc>
        <w:tc>
          <w:tcPr>
            <w:tcW w:w="1985" w:type="dxa"/>
            <w:tcBorders>
              <w:top w:val="single" w:sz="2" w:space="0" w:color="auto"/>
              <w:left w:val="single" w:sz="2" w:space="0" w:color="auto"/>
              <w:bottom w:val="single" w:sz="2" w:space="0" w:color="auto"/>
              <w:right w:val="single" w:sz="2" w:space="0" w:color="auto"/>
            </w:tcBorders>
            <w:vAlign w:val="center"/>
          </w:tcPr>
          <w:p w14:paraId="2C0A8B42" w14:textId="77777777" w:rsidR="00A46BF1" w:rsidRPr="00993FB1" w:rsidRDefault="00A46BF1" w:rsidP="00993FB1">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2B8D273D" w14:textId="77777777" w:rsidR="00A46BF1" w:rsidRPr="00993FB1" w:rsidRDefault="00A46BF1" w:rsidP="00993FB1">
            <w:pPr>
              <w:spacing w:line="360" w:lineRule="auto"/>
              <w:jc w:val="right"/>
              <w:rPr>
                <w:rFonts w:ascii="Times New Roman" w:eastAsia="宋体" w:hAnsi="Times New Roman" w:cs="Times New Roman"/>
                <w:sz w:val="18"/>
                <w:szCs w:val="18"/>
              </w:rPr>
            </w:pPr>
          </w:p>
        </w:tc>
      </w:tr>
      <w:tr w:rsidR="00095F6F" w14:paraId="50D2669D"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33577976"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w:t>
            </w:r>
            <w:r w:rsidRPr="00993FB1">
              <w:rPr>
                <w:rFonts w:ascii="Times New Roman" w:eastAsia="宋体" w:hAnsi="Times New Roman" w:cs="Times New Roman"/>
                <w:sz w:val="18"/>
                <w:szCs w:val="18"/>
              </w:rPr>
              <w:t>转入第三阶段</w:t>
            </w:r>
          </w:p>
        </w:tc>
        <w:tc>
          <w:tcPr>
            <w:tcW w:w="1843" w:type="dxa"/>
            <w:tcBorders>
              <w:top w:val="single" w:sz="2" w:space="0" w:color="auto"/>
              <w:left w:val="single" w:sz="2" w:space="0" w:color="auto"/>
              <w:bottom w:val="single" w:sz="2" w:space="0" w:color="auto"/>
              <w:right w:val="single" w:sz="2" w:space="0" w:color="auto"/>
            </w:tcBorders>
            <w:vAlign w:val="center"/>
          </w:tcPr>
          <w:p w14:paraId="3DDB7949" w14:textId="77777777" w:rsidR="00A46BF1" w:rsidRPr="00993FB1" w:rsidRDefault="00A46BF1" w:rsidP="00993FB1">
            <w:pPr>
              <w:spacing w:line="360" w:lineRule="auto"/>
              <w:jc w:val="right"/>
              <w:rPr>
                <w:rFonts w:ascii="Times New Roman" w:eastAsia="宋体" w:hAnsi="Times New Roman" w:cs="Times New Roman"/>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27C8C20F"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-87,232.65</w:t>
            </w:r>
          </w:p>
        </w:tc>
        <w:tc>
          <w:tcPr>
            <w:tcW w:w="1985" w:type="dxa"/>
            <w:tcBorders>
              <w:top w:val="single" w:sz="2" w:space="0" w:color="auto"/>
              <w:left w:val="single" w:sz="2" w:space="0" w:color="auto"/>
              <w:bottom w:val="single" w:sz="2" w:space="0" w:color="auto"/>
              <w:right w:val="single" w:sz="2" w:space="0" w:color="auto"/>
            </w:tcBorders>
            <w:vAlign w:val="center"/>
          </w:tcPr>
          <w:p w14:paraId="5BC97970"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87,232.65</w:t>
            </w:r>
          </w:p>
        </w:tc>
        <w:tc>
          <w:tcPr>
            <w:tcW w:w="1275" w:type="dxa"/>
            <w:tcBorders>
              <w:top w:val="single" w:sz="2" w:space="0" w:color="auto"/>
              <w:left w:val="single" w:sz="2" w:space="0" w:color="auto"/>
              <w:bottom w:val="single" w:sz="2" w:space="0" w:color="auto"/>
              <w:right w:val="single" w:sz="2" w:space="0" w:color="auto"/>
            </w:tcBorders>
            <w:vAlign w:val="center"/>
          </w:tcPr>
          <w:p w14:paraId="5B449C2C" w14:textId="77777777" w:rsidR="00A46BF1" w:rsidRPr="00993FB1" w:rsidRDefault="00A46BF1" w:rsidP="00993FB1">
            <w:pPr>
              <w:spacing w:line="360" w:lineRule="auto"/>
              <w:jc w:val="right"/>
              <w:rPr>
                <w:rFonts w:ascii="Times New Roman" w:eastAsia="宋体" w:hAnsi="Times New Roman" w:cs="Times New Roman"/>
                <w:sz w:val="18"/>
                <w:szCs w:val="18"/>
              </w:rPr>
            </w:pPr>
          </w:p>
        </w:tc>
      </w:tr>
      <w:tr w:rsidR="00095F6F" w14:paraId="407BEC30"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0854D618"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本期计提</w:t>
            </w:r>
          </w:p>
        </w:tc>
        <w:tc>
          <w:tcPr>
            <w:tcW w:w="1843" w:type="dxa"/>
            <w:tcBorders>
              <w:top w:val="single" w:sz="2" w:space="0" w:color="auto"/>
              <w:left w:val="single" w:sz="2" w:space="0" w:color="auto"/>
              <w:bottom w:val="single" w:sz="2" w:space="0" w:color="auto"/>
              <w:right w:val="single" w:sz="2" w:space="0" w:color="auto"/>
            </w:tcBorders>
            <w:vAlign w:val="center"/>
          </w:tcPr>
          <w:p w14:paraId="39A615E2"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145,535.74</w:t>
            </w:r>
          </w:p>
        </w:tc>
        <w:tc>
          <w:tcPr>
            <w:tcW w:w="1984" w:type="dxa"/>
            <w:tcBorders>
              <w:top w:val="single" w:sz="2" w:space="0" w:color="auto"/>
              <w:left w:val="single" w:sz="2" w:space="0" w:color="auto"/>
              <w:bottom w:val="single" w:sz="2" w:space="0" w:color="auto"/>
              <w:right w:val="single" w:sz="2" w:space="0" w:color="auto"/>
            </w:tcBorders>
            <w:vAlign w:val="center"/>
          </w:tcPr>
          <w:p w14:paraId="33A25DAA"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210,625.85</w:t>
            </w:r>
          </w:p>
        </w:tc>
        <w:tc>
          <w:tcPr>
            <w:tcW w:w="1985" w:type="dxa"/>
            <w:tcBorders>
              <w:top w:val="single" w:sz="2" w:space="0" w:color="auto"/>
              <w:left w:val="single" w:sz="2" w:space="0" w:color="auto"/>
              <w:bottom w:val="single" w:sz="2" w:space="0" w:color="auto"/>
              <w:right w:val="single" w:sz="2" w:space="0" w:color="auto"/>
            </w:tcBorders>
            <w:vAlign w:val="center"/>
          </w:tcPr>
          <w:p w14:paraId="76EFFF12" w14:textId="77777777" w:rsidR="00A46BF1" w:rsidRPr="00993FB1" w:rsidRDefault="00A46BF1" w:rsidP="00993FB1">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70195E35"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356,161.59</w:t>
            </w:r>
          </w:p>
        </w:tc>
      </w:tr>
      <w:tr w:rsidR="00095F6F" w14:paraId="1CE307F8"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69DCE2C5"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本期转回</w:t>
            </w:r>
          </w:p>
        </w:tc>
        <w:tc>
          <w:tcPr>
            <w:tcW w:w="1843" w:type="dxa"/>
            <w:tcBorders>
              <w:top w:val="single" w:sz="2" w:space="0" w:color="auto"/>
              <w:left w:val="single" w:sz="2" w:space="0" w:color="auto"/>
              <w:bottom w:val="single" w:sz="2" w:space="0" w:color="auto"/>
              <w:right w:val="single" w:sz="2" w:space="0" w:color="auto"/>
            </w:tcBorders>
            <w:vAlign w:val="center"/>
          </w:tcPr>
          <w:p w14:paraId="59F49F18"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525.00</w:t>
            </w:r>
          </w:p>
        </w:tc>
        <w:tc>
          <w:tcPr>
            <w:tcW w:w="1984" w:type="dxa"/>
            <w:tcBorders>
              <w:top w:val="single" w:sz="2" w:space="0" w:color="auto"/>
              <w:left w:val="single" w:sz="2" w:space="0" w:color="auto"/>
              <w:bottom w:val="single" w:sz="2" w:space="0" w:color="auto"/>
              <w:right w:val="single" w:sz="2" w:space="0" w:color="auto"/>
            </w:tcBorders>
            <w:vAlign w:val="center"/>
          </w:tcPr>
          <w:p w14:paraId="18883B68" w14:textId="77777777" w:rsidR="00A46BF1" w:rsidRPr="00993FB1" w:rsidRDefault="00A46BF1" w:rsidP="00993FB1">
            <w:pPr>
              <w:spacing w:line="360" w:lineRule="auto"/>
              <w:jc w:val="right"/>
              <w:rPr>
                <w:rFonts w:ascii="Times New Roman" w:eastAsia="宋体" w:hAnsi="Times New Roman" w:cs="Times New Roman"/>
                <w:sz w:val="18"/>
                <w:szCs w:val="18"/>
              </w:rPr>
            </w:pPr>
          </w:p>
        </w:tc>
        <w:tc>
          <w:tcPr>
            <w:tcW w:w="1985" w:type="dxa"/>
            <w:tcBorders>
              <w:top w:val="single" w:sz="2" w:space="0" w:color="auto"/>
              <w:left w:val="single" w:sz="2" w:space="0" w:color="auto"/>
              <w:bottom w:val="single" w:sz="2" w:space="0" w:color="auto"/>
              <w:right w:val="single" w:sz="2" w:space="0" w:color="auto"/>
            </w:tcBorders>
            <w:vAlign w:val="center"/>
          </w:tcPr>
          <w:p w14:paraId="3D5BB689"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132,688.35</w:t>
            </w:r>
          </w:p>
        </w:tc>
        <w:tc>
          <w:tcPr>
            <w:tcW w:w="1275" w:type="dxa"/>
            <w:tcBorders>
              <w:top w:val="single" w:sz="2" w:space="0" w:color="auto"/>
              <w:left w:val="single" w:sz="2" w:space="0" w:color="auto"/>
              <w:bottom w:val="single" w:sz="2" w:space="0" w:color="auto"/>
              <w:right w:val="single" w:sz="2" w:space="0" w:color="auto"/>
            </w:tcBorders>
            <w:vAlign w:val="center"/>
          </w:tcPr>
          <w:p w14:paraId="027670A1"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133,213.35</w:t>
            </w:r>
          </w:p>
        </w:tc>
      </w:tr>
      <w:tr w:rsidR="00095F6F" w14:paraId="67BB6C39"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5B76303A"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其他变动</w:t>
            </w:r>
          </w:p>
        </w:tc>
        <w:tc>
          <w:tcPr>
            <w:tcW w:w="1843" w:type="dxa"/>
            <w:tcBorders>
              <w:top w:val="single" w:sz="2" w:space="0" w:color="auto"/>
              <w:left w:val="single" w:sz="2" w:space="0" w:color="auto"/>
              <w:bottom w:val="single" w:sz="2" w:space="0" w:color="auto"/>
              <w:right w:val="single" w:sz="2" w:space="0" w:color="auto"/>
            </w:tcBorders>
            <w:vAlign w:val="center"/>
          </w:tcPr>
          <w:p w14:paraId="60250818" w14:textId="77777777" w:rsidR="00A46BF1" w:rsidRPr="00993FB1" w:rsidRDefault="00A46BF1" w:rsidP="00993FB1">
            <w:pPr>
              <w:spacing w:line="360" w:lineRule="auto"/>
              <w:jc w:val="right"/>
              <w:rPr>
                <w:rFonts w:ascii="Times New Roman" w:eastAsia="宋体" w:hAnsi="Times New Roman" w:cs="Times New Roman"/>
                <w:sz w:val="18"/>
                <w:szCs w:val="18"/>
              </w:rPr>
            </w:pPr>
          </w:p>
        </w:tc>
        <w:tc>
          <w:tcPr>
            <w:tcW w:w="1984" w:type="dxa"/>
            <w:tcBorders>
              <w:top w:val="single" w:sz="2" w:space="0" w:color="auto"/>
              <w:left w:val="single" w:sz="2" w:space="0" w:color="auto"/>
              <w:bottom w:val="single" w:sz="2" w:space="0" w:color="auto"/>
              <w:right w:val="single" w:sz="2" w:space="0" w:color="auto"/>
            </w:tcBorders>
            <w:vAlign w:val="center"/>
          </w:tcPr>
          <w:p w14:paraId="07B4778F" w14:textId="77777777" w:rsidR="00A46BF1" w:rsidRPr="00993FB1" w:rsidRDefault="00A46BF1" w:rsidP="00993FB1">
            <w:pPr>
              <w:spacing w:line="360" w:lineRule="auto"/>
              <w:jc w:val="right"/>
              <w:rPr>
                <w:rFonts w:ascii="Times New Roman" w:eastAsia="宋体" w:hAnsi="Times New Roman" w:cs="Times New Roman"/>
                <w:sz w:val="18"/>
                <w:szCs w:val="18"/>
              </w:rPr>
            </w:pPr>
          </w:p>
        </w:tc>
        <w:tc>
          <w:tcPr>
            <w:tcW w:w="1985" w:type="dxa"/>
            <w:tcBorders>
              <w:top w:val="single" w:sz="2" w:space="0" w:color="auto"/>
              <w:left w:val="single" w:sz="2" w:space="0" w:color="auto"/>
              <w:bottom w:val="single" w:sz="2" w:space="0" w:color="auto"/>
              <w:right w:val="single" w:sz="2" w:space="0" w:color="auto"/>
            </w:tcBorders>
            <w:vAlign w:val="center"/>
          </w:tcPr>
          <w:p w14:paraId="315B5F93"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170,435.35</w:t>
            </w:r>
          </w:p>
        </w:tc>
        <w:tc>
          <w:tcPr>
            <w:tcW w:w="1275" w:type="dxa"/>
            <w:tcBorders>
              <w:top w:val="single" w:sz="2" w:space="0" w:color="auto"/>
              <w:left w:val="single" w:sz="2" w:space="0" w:color="auto"/>
              <w:bottom w:val="single" w:sz="2" w:space="0" w:color="auto"/>
              <w:right w:val="single" w:sz="2" w:space="0" w:color="auto"/>
            </w:tcBorders>
            <w:vAlign w:val="center"/>
          </w:tcPr>
          <w:p w14:paraId="196E4DD7"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170,435.35</w:t>
            </w:r>
          </w:p>
        </w:tc>
      </w:tr>
      <w:tr w:rsidR="00095F6F" w14:paraId="09236D2A" w14:textId="77777777" w:rsidTr="00993FB1">
        <w:trPr>
          <w:trHeight w:val="240"/>
        </w:trPr>
        <w:tc>
          <w:tcPr>
            <w:tcW w:w="2552" w:type="dxa"/>
            <w:tcBorders>
              <w:top w:val="single" w:sz="2" w:space="0" w:color="auto"/>
              <w:left w:val="single" w:sz="2" w:space="0" w:color="auto"/>
              <w:bottom w:val="single" w:sz="2" w:space="0" w:color="auto"/>
              <w:right w:val="single" w:sz="2" w:space="0" w:color="auto"/>
            </w:tcBorders>
            <w:shd w:val="clear" w:color="auto" w:fill="D3D3D3"/>
            <w:vAlign w:val="center"/>
          </w:tcPr>
          <w:p w14:paraId="01875A40" w14:textId="77777777" w:rsidR="00A46BF1" w:rsidRPr="00993FB1" w:rsidRDefault="00A46BF1" w:rsidP="00993FB1">
            <w:pPr>
              <w:spacing w:before="40" w:after="40" w:line="360" w:lineRule="auto"/>
              <w:rPr>
                <w:rFonts w:ascii="Times New Roman" w:eastAsia="宋体" w:hAnsi="Times New Roman" w:cs="Times New Roman"/>
                <w:sz w:val="18"/>
                <w:szCs w:val="18"/>
              </w:rPr>
            </w:pPr>
            <w:r w:rsidRPr="00993FB1">
              <w:rPr>
                <w:rFonts w:ascii="Times New Roman" w:eastAsia="宋体" w:hAnsi="Times New Roman" w:cs="Times New Roman"/>
                <w:sz w:val="18"/>
                <w:szCs w:val="18"/>
              </w:rPr>
              <w:t>2025</w:t>
            </w:r>
            <w:r w:rsidRPr="00993FB1">
              <w:rPr>
                <w:rFonts w:ascii="Times New Roman" w:eastAsia="宋体" w:hAnsi="Times New Roman" w:cs="Times New Roman"/>
                <w:sz w:val="18"/>
                <w:szCs w:val="18"/>
              </w:rPr>
              <w:t>年</w:t>
            </w:r>
            <w:r w:rsidRPr="00993FB1">
              <w:rPr>
                <w:rFonts w:ascii="Times New Roman" w:eastAsia="宋体" w:hAnsi="Times New Roman" w:cs="Times New Roman"/>
                <w:sz w:val="18"/>
                <w:szCs w:val="18"/>
              </w:rPr>
              <w:t>12</w:t>
            </w:r>
            <w:r w:rsidRPr="00993FB1">
              <w:rPr>
                <w:rFonts w:ascii="Times New Roman" w:eastAsia="宋体" w:hAnsi="Times New Roman" w:cs="Times New Roman"/>
                <w:sz w:val="18"/>
                <w:szCs w:val="18"/>
              </w:rPr>
              <w:t>月</w:t>
            </w:r>
            <w:r w:rsidRPr="00993FB1">
              <w:rPr>
                <w:rFonts w:ascii="Times New Roman" w:eastAsia="宋体" w:hAnsi="Times New Roman" w:cs="Times New Roman"/>
                <w:sz w:val="18"/>
                <w:szCs w:val="18"/>
              </w:rPr>
              <w:t>31</w:t>
            </w:r>
            <w:r w:rsidRPr="00993FB1">
              <w:rPr>
                <w:rFonts w:ascii="Times New Roman" w:eastAsia="宋体" w:hAnsi="Times New Roman" w:cs="Times New Roman"/>
                <w:sz w:val="18"/>
                <w:szCs w:val="18"/>
              </w:rPr>
              <w:t>日余额</w:t>
            </w:r>
          </w:p>
        </w:tc>
        <w:tc>
          <w:tcPr>
            <w:tcW w:w="1843" w:type="dxa"/>
            <w:tcBorders>
              <w:top w:val="single" w:sz="2" w:space="0" w:color="auto"/>
              <w:left w:val="single" w:sz="2" w:space="0" w:color="auto"/>
              <w:bottom w:val="single" w:sz="2" w:space="0" w:color="auto"/>
              <w:right w:val="single" w:sz="2" w:space="0" w:color="auto"/>
            </w:tcBorders>
            <w:vAlign w:val="center"/>
          </w:tcPr>
          <w:p w14:paraId="409DF42F"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46,156.85</w:t>
            </w:r>
          </w:p>
        </w:tc>
        <w:tc>
          <w:tcPr>
            <w:tcW w:w="1984" w:type="dxa"/>
            <w:tcBorders>
              <w:top w:val="single" w:sz="2" w:space="0" w:color="auto"/>
              <w:left w:val="single" w:sz="2" w:space="0" w:color="auto"/>
              <w:bottom w:val="single" w:sz="2" w:space="0" w:color="auto"/>
              <w:right w:val="single" w:sz="2" w:space="0" w:color="auto"/>
            </w:tcBorders>
            <w:vAlign w:val="center"/>
          </w:tcPr>
          <w:p w14:paraId="06AD8BFE"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569,084.40</w:t>
            </w:r>
          </w:p>
        </w:tc>
        <w:tc>
          <w:tcPr>
            <w:tcW w:w="1985" w:type="dxa"/>
            <w:tcBorders>
              <w:top w:val="single" w:sz="2" w:space="0" w:color="auto"/>
              <w:left w:val="single" w:sz="2" w:space="0" w:color="auto"/>
              <w:bottom w:val="single" w:sz="2" w:space="0" w:color="auto"/>
              <w:right w:val="single" w:sz="2" w:space="0" w:color="auto"/>
            </w:tcBorders>
            <w:vAlign w:val="center"/>
          </w:tcPr>
          <w:p w14:paraId="4AE030D7"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1,638,535.60</w:t>
            </w:r>
          </w:p>
        </w:tc>
        <w:tc>
          <w:tcPr>
            <w:tcW w:w="1275" w:type="dxa"/>
            <w:tcBorders>
              <w:top w:val="single" w:sz="2" w:space="0" w:color="auto"/>
              <w:left w:val="single" w:sz="2" w:space="0" w:color="auto"/>
              <w:bottom w:val="single" w:sz="2" w:space="0" w:color="auto"/>
              <w:right w:val="single" w:sz="2" w:space="0" w:color="auto"/>
            </w:tcBorders>
            <w:vAlign w:val="center"/>
          </w:tcPr>
          <w:p w14:paraId="15BE9055" w14:textId="77777777" w:rsidR="00A46BF1" w:rsidRPr="00993FB1" w:rsidRDefault="00A46BF1" w:rsidP="00993FB1">
            <w:pPr>
              <w:spacing w:line="360" w:lineRule="auto"/>
              <w:jc w:val="right"/>
              <w:rPr>
                <w:rFonts w:ascii="Times New Roman" w:eastAsia="宋体" w:hAnsi="Times New Roman" w:cs="Times New Roman"/>
                <w:sz w:val="18"/>
                <w:szCs w:val="18"/>
              </w:rPr>
            </w:pPr>
            <w:r w:rsidRPr="00993FB1">
              <w:rPr>
                <w:rFonts w:ascii="Times New Roman" w:eastAsia="宋体" w:hAnsi="Times New Roman" w:cs="Times New Roman"/>
                <w:sz w:val="18"/>
                <w:szCs w:val="18"/>
              </w:rPr>
              <w:t>2,253,776.85</w:t>
            </w:r>
          </w:p>
        </w:tc>
      </w:tr>
    </w:tbl>
    <w:p w14:paraId="70B5A8E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各阶段划分依据和坏账准备计提比例</w:t>
      </w:r>
    </w:p>
    <w:p w14:paraId="67064A1D"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损失准备本期变动金额重大的账面余额变动情况</w:t>
      </w:r>
    </w:p>
    <w:p w14:paraId="7756281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F4C7689" w14:textId="77777777" w:rsidR="00A46BF1" w:rsidRDefault="00A46BF1" w:rsidP="00A46BF1">
      <w:pPr>
        <w:keepNext/>
        <w:keepLines/>
        <w:spacing w:before="300" w:after="300" w:line="280" w:lineRule="exact"/>
        <w:outlineLvl w:val="4"/>
        <w:rPr>
          <w:rFonts w:ascii="宋体" w:eastAsia="宋体" w:hAnsi="宋体" w:cs="宋体"/>
          <w:b/>
          <w:bCs/>
          <w:sz w:val="18"/>
          <w:szCs w:val="18"/>
        </w:rPr>
      </w:pPr>
      <w:r>
        <w:rPr>
          <w:rFonts w:ascii="宋体" w:eastAsia="宋体" w:hAnsi="宋体" w:cs="宋体"/>
          <w:b/>
          <w:bCs/>
          <w:sz w:val="18"/>
          <w:szCs w:val="18"/>
        </w:rPr>
        <w:t>4） 本期计提、收回或转回的坏账准备情况</w:t>
      </w:r>
    </w:p>
    <w:p w14:paraId="736C3591"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本期计提坏账准备情况：</w:t>
      </w:r>
    </w:p>
    <w:p w14:paraId="194FE6A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377"/>
        <w:gridCol w:w="1377"/>
        <w:gridCol w:w="1377"/>
        <w:gridCol w:w="1377"/>
        <w:gridCol w:w="1377"/>
        <w:gridCol w:w="1479"/>
        <w:gridCol w:w="1275"/>
      </w:tblGrid>
      <w:tr w:rsidR="00095F6F" w14:paraId="6C1241B0" w14:textId="77777777" w:rsidTr="00993FB1">
        <w:trPr>
          <w:trHeight w:val="240"/>
        </w:trPr>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513D03"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类别</w:t>
            </w:r>
          </w:p>
        </w:tc>
        <w:tc>
          <w:tcPr>
            <w:tcW w:w="1377"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C9E5E7A"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期初余额</w:t>
            </w:r>
          </w:p>
        </w:tc>
        <w:tc>
          <w:tcPr>
            <w:tcW w:w="5610"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529B459C"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本期变动金额</w:t>
            </w:r>
          </w:p>
        </w:tc>
        <w:tc>
          <w:tcPr>
            <w:tcW w:w="127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9CA62F7"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期末余额</w:t>
            </w:r>
          </w:p>
        </w:tc>
      </w:tr>
      <w:tr w:rsidR="00095F6F" w14:paraId="21F276D9" w14:textId="77777777" w:rsidTr="00993FB1">
        <w:trPr>
          <w:trHeight w:val="240"/>
        </w:trPr>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93E0582" w14:textId="77777777" w:rsidR="00A46BF1" w:rsidRPr="00502A1B" w:rsidRDefault="00A46BF1" w:rsidP="00502A1B">
            <w:pPr>
              <w:spacing w:line="360" w:lineRule="auto"/>
              <w:rPr>
                <w:rFonts w:ascii="Times New Roman" w:hAnsi="Times New Roman" w:cs="Times New Roman"/>
              </w:rPr>
            </w:pPr>
          </w:p>
        </w:tc>
        <w:tc>
          <w:tcPr>
            <w:tcW w:w="1377"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1B661CA1" w14:textId="77777777" w:rsidR="00A46BF1" w:rsidRPr="00502A1B" w:rsidRDefault="00A46BF1" w:rsidP="00502A1B">
            <w:pPr>
              <w:spacing w:line="360" w:lineRule="auto"/>
              <w:rPr>
                <w:rFonts w:ascii="Times New Roman" w:hAnsi="Times New Roman" w:cs="Times New Roman"/>
              </w:rPr>
            </w:pP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764FC25"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计提</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829DF00"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收回或转回</w:t>
            </w:r>
          </w:p>
        </w:tc>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395CC862"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转销或核销</w:t>
            </w:r>
          </w:p>
        </w:tc>
        <w:tc>
          <w:tcPr>
            <w:tcW w:w="1479" w:type="dxa"/>
            <w:tcBorders>
              <w:top w:val="single" w:sz="2" w:space="0" w:color="auto"/>
              <w:left w:val="single" w:sz="2" w:space="0" w:color="auto"/>
              <w:bottom w:val="single" w:sz="2" w:space="0" w:color="auto"/>
              <w:right w:val="single" w:sz="2" w:space="0" w:color="auto"/>
            </w:tcBorders>
            <w:shd w:val="clear" w:color="auto" w:fill="D3D3D3"/>
            <w:vAlign w:val="center"/>
          </w:tcPr>
          <w:p w14:paraId="37803916"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其他</w:t>
            </w:r>
          </w:p>
        </w:tc>
        <w:tc>
          <w:tcPr>
            <w:tcW w:w="127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D1AC088" w14:textId="77777777" w:rsidR="00A46BF1" w:rsidRPr="00502A1B" w:rsidRDefault="00A46BF1" w:rsidP="00502A1B">
            <w:pPr>
              <w:spacing w:line="360" w:lineRule="auto"/>
              <w:rPr>
                <w:rFonts w:ascii="Times New Roman" w:hAnsi="Times New Roman" w:cs="Times New Roman"/>
              </w:rPr>
            </w:pPr>
          </w:p>
        </w:tc>
      </w:tr>
      <w:tr w:rsidR="00095F6F" w14:paraId="64FEF319" w14:textId="77777777" w:rsidTr="00993FB1">
        <w:trPr>
          <w:trHeight w:val="240"/>
        </w:trPr>
        <w:tc>
          <w:tcPr>
            <w:tcW w:w="1377" w:type="dxa"/>
            <w:tcBorders>
              <w:top w:val="single" w:sz="2" w:space="0" w:color="auto"/>
              <w:left w:val="single" w:sz="2" w:space="0" w:color="auto"/>
              <w:bottom w:val="single" w:sz="2" w:space="0" w:color="auto"/>
              <w:right w:val="single" w:sz="2" w:space="0" w:color="auto"/>
            </w:tcBorders>
            <w:vAlign w:val="center"/>
          </w:tcPr>
          <w:p w14:paraId="6ED96F7D"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坏账准备</w:t>
            </w:r>
          </w:p>
        </w:tc>
        <w:tc>
          <w:tcPr>
            <w:tcW w:w="1377" w:type="dxa"/>
            <w:tcBorders>
              <w:top w:val="single" w:sz="2" w:space="0" w:color="auto"/>
              <w:left w:val="single" w:sz="2" w:space="0" w:color="auto"/>
              <w:bottom w:val="single" w:sz="2" w:space="0" w:color="auto"/>
              <w:right w:val="single" w:sz="2" w:space="0" w:color="auto"/>
            </w:tcBorders>
            <w:vAlign w:val="center"/>
          </w:tcPr>
          <w:p w14:paraId="2696F297"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2,201,263.96</w:t>
            </w:r>
          </w:p>
        </w:tc>
        <w:tc>
          <w:tcPr>
            <w:tcW w:w="1377" w:type="dxa"/>
            <w:tcBorders>
              <w:top w:val="single" w:sz="2" w:space="0" w:color="auto"/>
              <w:left w:val="single" w:sz="2" w:space="0" w:color="auto"/>
              <w:bottom w:val="single" w:sz="2" w:space="0" w:color="auto"/>
              <w:right w:val="single" w:sz="2" w:space="0" w:color="auto"/>
            </w:tcBorders>
            <w:vAlign w:val="center"/>
          </w:tcPr>
          <w:p w14:paraId="07E55F27"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356,161.59</w:t>
            </w:r>
          </w:p>
        </w:tc>
        <w:tc>
          <w:tcPr>
            <w:tcW w:w="1377" w:type="dxa"/>
            <w:tcBorders>
              <w:top w:val="single" w:sz="2" w:space="0" w:color="auto"/>
              <w:left w:val="single" w:sz="2" w:space="0" w:color="auto"/>
              <w:bottom w:val="single" w:sz="2" w:space="0" w:color="auto"/>
              <w:right w:val="single" w:sz="2" w:space="0" w:color="auto"/>
            </w:tcBorders>
            <w:vAlign w:val="center"/>
          </w:tcPr>
          <w:p w14:paraId="05801BE9"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133,213.35</w:t>
            </w:r>
          </w:p>
        </w:tc>
        <w:tc>
          <w:tcPr>
            <w:tcW w:w="1377" w:type="dxa"/>
            <w:tcBorders>
              <w:top w:val="single" w:sz="2" w:space="0" w:color="auto"/>
              <w:left w:val="single" w:sz="2" w:space="0" w:color="auto"/>
              <w:bottom w:val="single" w:sz="2" w:space="0" w:color="auto"/>
              <w:right w:val="single" w:sz="2" w:space="0" w:color="auto"/>
            </w:tcBorders>
            <w:vAlign w:val="center"/>
          </w:tcPr>
          <w:p w14:paraId="1EBB6ABA"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170,435.35</w:t>
            </w:r>
          </w:p>
        </w:tc>
        <w:tc>
          <w:tcPr>
            <w:tcW w:w="1479" w:type="dxa"/>
            <w:tcBorders>
              <w:top w:val="single" w:sz="2" w:space="0" w:color="auto"/>
              <w:left w:val="single" w:sz="2" w:space="0" w:color="auto"/>
              <w:bottom w:val="single" w:sz="2" w:space="0" w:color="auto"/>
              <w:right w:val="single" w:sz="2" w:space="0" w:color="auto"/>
            </w:tcBorders>
            <w:vAlign w:val="center"/>
          </w:tcPr>
          <w:p w14:paraId="16FA1413" w14:textId="77777777" w:rsidR="00A46BF1" w:rsidRPr="00502A1B" w:rsidRDefault="00A46BF1" w:rsidP="00502A1B">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12E0E0B7"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2,253,776.85</w:t>
            </w:r>
          </w:p>
        </w:tc>
      </w:tr>
      <w:tr w:rsidR="00095F6F" w14:paraId="3F03F13A" w14:textId="77777777" w:rsidTr="00993FB1">
        <w:trPr>
          <w:trHeight w:val="240"/>
        </w:trPr>
        <w:tc>
          <w:tcPr>
            <w:tcW w:w="1377" w:type="dxa"/>
            <w:tcBorders>
              <w:top w:val="single" w:sz="2" w:space="0" w:color="auto"/>
              <w:left w:val="single" w:sz="2" w:space="0" w:color="auto"/>
              <w:bottom w:val="single" w:sz="2" w:space="0" w:color="auto"/>
              <w:right w:val="single" w:sz="2" w:space="0" w:color="auto"/>
            </w:tcBorders>
            <w:shd w:val="clear" w:color="auto" w:fill="D3D3D3"/>
            <w:vAlign w:val="center"/>
          </w:tcPr>
          <w:p w14:paraId="6784F232" w14:textId="77777777" w:rsidR="00A46BF1" w:rsidRPr="00502A1B" w:rsidRDefault="00A46BF1" w:rsidP="00502A1B">
            <w:pPr>
              <w:spacing w:before="40" w:after="40"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合计</w:t>
            </w:r>
          </w:p>
        </w:tc>
        <w:tc>
          <w:tcPr>
            <w:tcW w:w="1377" w:type="dxa"/>
            <w:tcBorders>
              <w:top w:val="single" w:sz="2" w:space="0" w:color="auto"/>
              <w:left w:val="single" w:sz="2" w:space="0" w:color="auto"/>
              <w:bottom w:val="single" w:sz="2" w:space="0" w:color="auto"/>
              <w:right w:val="single" w:sz="2" w:space="0" w:color="auto"/>
            </w:tcBorders>
            <w:vAlign w:val="center"/>
          </w:tcPr>
          <w:p w14:paraId="724C61B2"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2,201,263.96</w:t>
            </w:r>
          </w:p>
        </w:tc>
        <w:tc>
          <w:tcPr>
            <w:tcW w:w="1377" w:type="dxa"/>
            <w:tcBorders>
              <w:top w:val="single" w:sz="2" w:space="0" w:color="auto"/>
              <w:left w:val="single" w:sz="2" w:space="0" w:color="auto"/>
              <w:bottom w:val="single" w:sz="2" w:space="0" w:color="auto"/>
              <w:right w:val="single" w:sz="2" w:space="0" w:color="auto"/>
            </w:tcBorders>
            <w:vAlign w:val="center"/>
          </w:tcPr>
          <w:p w14:paraId="774CDB54"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356,161.59</w:t>
            </w:r>
          </w:p>
        </w:tc>
        <w:tc>
          <w:tcPr>
            <w:tcW w:w="1377" w:type="dxa"/>
            <w:tcBorders>
              <w:top w:val="single" w:sz="2" w:space="0" w:color="auto"/>
              <w:left w:val="single" w:sz="2" w:space="0" w:color="auto"/>
              <w:bottom w:val="single" w:sz="2" w:space="0" w:color="auto"/>
              <w:right w:val="single" w:sz="2" w:space="0" w:color="auto"/>
            </w:tcBorders>
            <w:vAlign w:val="center"/>
          </w:tcPr>
          <w:p w14:paraId="5A87147C"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133,213.35</w:t>
            </w:r>
          </w:p>
        </w:tc>
        <w:tc>
          <w:tcPr>
            <w:tcW w:w="1377" w:type="dxa"/>
            <w:tcBorders>
              <w:top w:val="single" w:sz="2" w:space="0" w:color="auto"/>
              <w:left w:val="single" w:sz="2" w:space="0" w:color="auto"/>
              <w:bottom w:val="single" w:sz="2" w:space="0" w:color="auto"/>
              <w:right w:val="single" w:sz="2" w:space="0" w:color="auto"/>
            </w:tcBorders>
            <w:vAlign w:val="center"/>
          </w:tcPr>
          <w:p w14:paraId="0B29B357"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170,435.35</w:t>
            </w:r>
          </w:p>
        </w:tc>
        <w:tc>
          <w:tcPr>
            <w:tcW w:w="1479" w:type="dxa"/>
            <w:tcBorders>
              <w:top w:val="single" w:sz="2" w:space="0" w:color="auto"/>
              <w:left w:val="single" w:sz="2" w:space="0" w:color="auto"/>
              <w:bottom w:val="single" w:sz="2" w:space="0" w:color="auto"/>
              <w:right w:val="single" w:sz="2" w:space="0" w:color="auto"/>
            </w:tcBorders>
            <w:vAlign w:val="center"/>
          </w:tcPr>
          <w:p w14:paraId="59D1BF5C" w14:textId="77777777" w:rsidR="00A46BF1" w:rsidRPr="00502A1B" w:rsidRDefault="00A46BF1" w:rsidP="00502A1B">
            <w:pPr>
              <w:spacing w:line="360" w:lineRule="auto"/>
              <w:jc w:val="right"/>
              <w:rPr>
                <w:rFonts w:ascii="Times New Roman" w:eastAsia="宋体" w:hAnsi="Times New Roman" w:cs="Times New Roman"/>
                <w:sz w:val="18"/>
                <w:szCs w:val="18"/>
              </w:rPr>
            </w:pPr>
          </w:p>
        </w:tc>
        <w:tc>
          <w:tcPr>
            <w:tcW w:w="1275" w:type="dxa"/>
            <w:tcBorders>
              <w:top w:val="single" w:sz="2" w:space="0" w:color="auto"/>
              <w:left w:val="single" w:sz="2" w:space="0" w:color="auto"/>
              <w:bottom w:val="single" w:sz="2" w:space="0" w:color="auto"/>
              <w:right w:val="single" w:sz="2" w:space="0" w:color="auto"/>
            </w:tcBorders>
            <w:vAlign w:val="center"/>
          </w:tcPr>
          <w:p w14:paraId="5EA71372"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2,253,776.85</w:t>
            </w:r>
          </w:p>
        </w:tc>
      </w:tr>
    </w:tbl>
    <w:p w14:paraId="5AA9715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其中本期坏账准备转回或收回金额重要的：</w:t>
      </w:r>
    </w:p>
    <w:p w14:paraId="316DF49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55A3E167" w14:textId="77777777" w:rsidTr="00502A1B">
        <w:trPr>
          <w:trHeight w:val="240"/>
        </w:trPr>
        <w:tc>
          <w:tcPr>
            <w:tcW w:w="1927" w:type="dxa"/>
            <w:tcBorders>
              <w:top w:val="single" w:sz="2" w:space="0" w:color="auto"/>
              <w:left w:val="single" w:sz="2" w:space="0" w:color="auto"/>
              <w:bottom w:val="single" w:sz="2" w:space="0" w:color="auto"/>
              <w:right w:val="single" w:sz="2" w:space="0" w:color="auto"/>
            </w:tcBorders>
            <w:shd w:val="clear" w:color="auto" w:fill="D3D3D3"/>
            <w:vAlign w:val="center"/>
          </w:tcPr>
          <w:p w14:paraId="624C2FF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单位名称</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FD9405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收回或转回金额</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6C8738FA"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转回原因</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A1BF11"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收回方式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A2BA68C"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确定原坏账准备计提比例的依据及其合理性</w:t>
            </w:r>
          </w:p>
        </w:tc>
      </w:tr>
    </w:tbl>
    <w:p w14:paraId="46B6282E" w14:textId="77777777" w:rsidR="00A46BF1" w:rsidRPr="00502A1B" w:rsidRDefault="00A46BF1" w:rsidP="00502A1B">
      <w:pPr>
        <w:spacing w:before="100" w:after="100" w:line="240" w:lineRule="exact"/>
        <w:rPr>
          <w:rFonts w:ascii="宋体" w:eastAsia="宋体" w:hAnsi="宋体" w:cs="宋体"/>
          <w:sz w:val="18"/>
          <w:szCs w:val="18"/>
        </w:rPr>
      </w:pPr>
      <w:r w:rsidRPr="00502A1B">
        <w:rPr>
          <w:rFonts w:ascii="宋体" w:eastAsia="宋体" w:hAnsi="宋体" w:cs="宋体" w:hint="eastAsia"/>
          <w:sz w:val="18"/>
          <w:szCs w:val="18"/>
        </w:rPr>
        <w:t>不适用</w:t>
      </w:r>
    </w:p>
    <w:p w14:paraId="55304773" w14:textId="77777777" w:rsidR="00A46BF1" w:rsidRDefault="00A46BF1" w:rsidP="00A46BF1">
      <w:pPr>
        <w:keepNext/>
        <w:keepLines/>
        <w:spacing w:before="300" w:after="300" w:line="280" w:lineRule="exact"/>
        <w:outlineLvl w:val="4"/>
        <w:rPr>
          <w:rFonts w:ascii="宋体" w:eastAsia="宋体" w:hAnsi="宋体" w:cs="宋体"/>
          <w:b/>
          <w:bCs/>
          <w:sz w:val="18"/>
          <w:szCs w:val="18"/>
        </w:rPr>
      </w:pPr>
      <w:r>
        <w:rPr>
          <w:rFonts w:ascii="宋体" w:eastAsia="宋体" w:hAnsi="宋体" w:cs="宋体"/>
          <w:b/>
          <w:bCs/>
          <w:sz w:val="18"/>
          <w:szCs w:val="18"/>
        </w:rPr>
        <w:t>5） 按欠款方归集的期末余额前五名的其他应收款情况</w:t>
      </w:r>
    </w:p>
    <w:p w14:paraId="3831DF58"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993"/>
        <w:gridCol w:w="1417"/>
        <w:gridCol w:w="1418"/>
        <w:gridCol w:w="3118"/>
        <w:gridCol w:w="1701"/>
        <w:gridCol w:w="992"/>
      </w:tblGrid>
      <w:tr w:rsidR="00095F6F" w14:paraId="43184B56"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6C520144"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单位名称</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210786CA"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款项的性质</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38CABB3D"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期末余额</w:t>
            </w:r>
          </w:p>
        </w:tc>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547DF46B"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账龄</w:t>
            </w:r>
          </w:p>
        </w:tc>
        <w:tc>
          <w:tcPr>
            <w:tcW w:w="1701" w:type="dxa"/>
            <w:tcBorders>
              <w:top w:val="single" w:sz="2" w:space="0" w:color="auto"/>
              <w:left w:val="single" w:sz="2" w:space="0" w:color="auto"/>
              <w:bottom w:val="single" w:sz="2" w:space="0" w:color="auto"/>
              <w:right w:val="single" w:sz="2" w:space="0" w:color="auto"/>
            </w:tcBorders>
            <w:shd w:val="clear" w:color="auto" w:fill="D3D3D3"/>
            <w:vAlign w:val="center"/>
          </w:tcPr>
          <w:p w14:paraId="7F167DDD"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占其他应收款期末余额合计数的比例</w:t>
            </w:r>
          </w:p>
        </w:tc>
        <w:tc>
          <w:tcPr>
            <w:tcW w:w="992" w:type="dxa"/>
            <w:tcBorders>
              <w:top w:val="single" w:sz="2" w:space="0" w:color="auto"/>
              <w:left w:val="single" w:sz="2" w:space="0" w:color="auto"/>
              <w:bottom w:val="single" w:sz="2" w:space="0" w:color="auto"/>
              <w:right w:val="single" w:sz="2" w:space="0" w:color="auto"/>
            </w:tcBorders>
            <w:shd w:val="clear" w:color="auto" w:fill="D3D3D3"/>
            <w:vAlign w:val="center"/>
          </w:tcPr>
          <w:p w14:paraId="1CE7950D" w14:textId="77777777" w:rsidR="00A46BF1" w:rsidRPr="00502A1B" w:rsidRDefault="00A46BF1" w:rsidP="00502A1B">
            <w:pPr>
              <w:spacing w:before="40" w:after="40" w:line="360" w:lineRule="auto"/>
              <w:jc w:val="center"/>
              <w:rPr>
                <w:rFonts w:ascii="Times New Roman" w:eastAsia="宋体" w:hAnsi="Times New Roman" w:cs="Times New Roman"/>
                <w:sz w:val="18"/>
                <w:szCs w:val="18"/>
              </w:rPr>
            </w:pPr>
            <w:r w:rsidRPr="00502A1B">
              <w:rPr>
                <w:rFonts w:ascii="Times New Roman" w:eastAsia="宋体" w:hAnsi="Times New Roman" w:cs="Times New Roman"/>
                <w:sz w:val="18"/>
                <w:szCs w:val="18"/>
              </w:rPr>
              <w:t>坏账准备期末余额</w:t>
            </w:r>
          </w:p>
        </w:tc>
      </w:tr>
      <w:tr w:rsidR="00095F6F" w14:paraId="56B8D102"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75B1153A"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Y</w:t>
            </w:r>
            <w:r w:rsidRPr="00502A1B">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25883DE5"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关联方往来款</w:t>
            </w:r>
          </w:p>
        </w:tc>
        <w:tc>
          <w:tcPr>
            <w:tcW w:w="1418" w:type="dxa"/>
            <w:tcBorders>
              <w:top w:val="single" w:sz="2" w:space="0" w:color="auto"/>
              <w:left w:val="single" w:sz="2" w:space="0" w:color="auto"/>
              <w:bottom w:val="single" w:sz="2" w:space="0" w:color="auto"/>
              <w:right w:val="single" w:sz="2" w:space="0" w:color="auto"/>
            </w:tcBorders>
            <w:vAlign w:val="center"/>
          </w:tcPr>
          <w:p w14:paraId="76BB3C5A"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471,038,930.53</w:t>
            </w:r>
          </w:p>
        </w:tc>
        <w:tc>
          <w:tcPr>
            <w:tcW w:w="3118" w:type="dxa"/>
            <w:tcBorders>
              <w:top w:val="single" w:sz="2" w:space="0" w:color="auto"/>
              <w:left w:val="single" w:sz="2" w:space="0" w:color="auto"/>
              <w:bottom w:val="single" w:sz="2" w:space="0" w:color="auto"/>
              <w:right w:val="single" w:sz="2" w:space="0" w:color="auto"/>
            </w:tcBorders>
            <w:vAlign w:val="center"/>
          </w:tcPr>
          <w:p w14:paraId="08073173"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1</w:t>
            </w:r>
            <w:r w:rsidRPr="00502A1B">
              <w:rPr>
                <w:rFonts w:ascii="Times New Roman" w:eastAsia="宋体" w:hAnsi="Times New Roman" w:cs="Times New Roman"/>
                <w:sz w:val="18"/>
                <w:szCs w:val="18"/>
              </w:rPr>
              <w:t>年以内、</w:t>
            </w:r>
            <w:r w:rsidRPr="00502A1B">
              <w:rPr>
                <w:rFonts w:ascii="Times New Roman" w:eastAsia="宋体" w:hAnsi="Times New Roman" w:cs="Times New Roman"/>
                <w:sz w:val="18"/>
                <w:szCs w:val="18"/>
              </w:rPr>
              <w:t>1-2</w:t>
            </w:r>
            <w:r w:rsidRPr="00502A1B">
              <w:rPr>
                <w:rFonts w:ascii="Times New Roman" w:eastAsia="宋体" w:hAnsi="Times New Roman" w:cs="Times New Roman"/>
                <w:sz w:val="18"/>
                <w:szCs w:val="18"/>
              </w:rPr>
              <w:t>年</w:t>
            </w:r>
          </w:p>
        </w:tc>
        <w:tc>
          <w:tcPr>
            <w:tcW w:w="1701" w:type="dxa"/>
            <w:tcBorders>
              <w:top w:val="single" w:sz="2" w:space="0" w:color="auto"/>
              <w:left w:val="single" w:sz="2" w:space="0" w:color="auto"/>
              <w:bottom w:val="single" w:sz="2" w:space="0" w:color="auto"/>
              <w:right w:val="single" w:sz="2" w:space="0" w:color="auto"/>
            </w:tcBorders>
            <w:vAlign w:val="center"/>
          </w:tcPr>
          <w:p w14:paraId="1700B9DC"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88.63%</w:t>
            </w:r>
          </w:p>
        </w:tc>
        <w:tc>
          <w:tcPr>
            <w:tcW w:w="992" w:type="dxa"/>
            <w:tcBorders>
              <w:top w:val="single" w:sz="2" w:space="0" w:color="auto"/>
              <w:left w:val="single" w:sz="2" w:space="0" w:color="auto"/>
              <w:bottom w:val="single" w:sz="2" w:space="0" w:color="auto"/>
              <w:right w:val="single" w:sz="2" w:space="0" w:color="auto"/>
            </w:tcBorders>
            <w:vAlign w:val="center"/>
          </w:tcPr>
          <w:p w14:paraId="11E6DF6D" w14:textId="77777777" w:rsidR="00A46BF1" w:rsidRPr="00502A1B" w:rsidRDefault="00A46BF1" w:rsidP="00502A1B">
            <w:pPr>
              <w:spacing w:line="360" w:lineRule="auto"/>
              <w:jc w:val="right"/>
              <w:rPr>
                <w:rFonts w:ascii="Times New Roman" w:eastAsia="宋体" w:hAnsi="Times New Roman" w:cs="Times New Roman"/>
                <w:sz w:val="18"/>
                <w:szCs w:val="18"/>
              </w:rPr>
            </w:pPr>
          </w:p>
        </w:tc>
      </w:tr>
      <w:tr w:rsidR="00095F6F" w14:paraId="5D1E5A84"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284CAA62"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Z</w:t>
            </w:r>
            <w:r w:rsidRPr="00502A1B">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20313AF5"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关联方往来款</w:t>
            </w:r>
          </w:p>
        </w:tc>
        <w:tc>
          <w:tcPr>
            <w:tcW w:w="1418" w:type="dxa"/>
            <w:tcBorders>
              <w:top w:val="single" w:sz="2" w:space="0" w:color="auto"/>
              <w:left w:val="single" w:sz="2" w:space="0" w:color="auto"/>
              <w:bottom w:val="single" w:sz="2" w:space="0" w:color="auto"/>
              <w:right w:val="single" w:sz="2" w:space="0" w:color="auto"/>
            </w:tcBorders>
            <w:vAlign w:val="center"/>
          </w:tcPr>
          <w:p w14:paraId="1BAF9C2D"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37,000,000.00</w:t>
            </w:r>
          </w:p>
        </w:tc>
        <w:tc>
          <w:tcPr>
            <w:tcW w:w="3118" w:type="dxa"/>
            <w:tcBorders>
              <w:top w:val="single" w:sz="2" w:space="0" w:color="auto"/>
              <w:left w:val="single" w:sz="2" w:space="0" w:color="auto"/>
              <w:bottom w:val="single" w:sz="2" w:space="0" w:color="auto"/>
              <w:right w:val="single" w:sz="2" w:space="0" w:color="auto"/>
            </w:tcBorders>
            <w:vAlign w:val="center"/>
          </w:tcPr>
          <w:p w14:paraId="3B0735A7"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1</w:t>
            </w:r>
            <w:r w:rsidRPr="00502A1B">
              <w:rPr>
                <w:rFonts w:ascii="Times New Roman" w:eastAsia="宋体" w:hAnsi="Times New Roman" w:cs="Times New Roman"/>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1EA21033"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6.96%</w:t>
            </w:r>
          </w:p>
        </w:tc>
        <w:tc>
          <w:tcPr>
            <w:tcW w:w="992" w:type="dxa"/>
            <w:tcBorders>
              <w:top w:val="single" w:sz="2" w:space="0" w:color="auto"/>
              <w:left w:val="single" w:sz="2" w:space="0" w:color="auto"/>
              <w:bottom w:val="single" w:sz="2" w:space="0" w:color="auto"/>
              <w:right w:val="single" w:sz="2" w:space="0" w:color="auto"/>
            </w:tcBorders>
            <w:vAlign w:val="center"/>
          </w:tcPr>
          <w:p w14:paraId="4A5447C6" w14:textId="77777777" w:rsidR="00A46BF1" w:rsidRPr="00502A1B" w:rsidRDefault="00A46BF1" w:rsidP="00502A1B">
            <w:pPr>
              <w:spacing w:line="360" w:lineRule="auto"/>
              <w:jc w:val="right"/>
              <w:rPr>
                <w:rFonts w:ascii="Times New Roman" w:eastAsia="宋体" w:hAnsi="Times New Roman" w:cs="Times New Roman"/>
                <w:sz w:val="18"/>
                <w:szCs w:val="18"/>
              </w:rPr>
            </w:pPr>
          </w:p>
        </w:tc>
      </w:tr>
      <w:tr w:rsidR="00095F6F" w14:paraId="7B490C5C"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55CF144D"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AA</w:t>
            </w:r>
            <w:r w:rsidRPr="00502A1B">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044AA199"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关联方往来款</w:t>
            </w:r>
          </w:p>
        </w:tc>
        <w:tc>
          <w:tcPr>
            <w:tcW w:w="1418" w:type="dxa"/>
            <w:tcBorders>
              <w:top w:val="single" w:sz="2" w:space="0" w:color="auto"/>
              <w:left w:val="single" w:sz="2" w:space="0" w:color="auto"/>
              <w:bottom w:val="single" w:sz="2" w:space="0" w:color="auto"/>
              <w:right w:val="single" w:sz="2" w:space="0" w:color="auto"/>
            </w:tcBorders>
            <w:vAlign w:val="center"/>
          </w:tcPr>
          <w:p w14:paraId="3E2612F8"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13,590,152.06</w:t>
            </w:r>
          </w:p>
        </w:tc>
        <w:tc>
          <w:tcPr>
            <w:tcW w:w="3118" w:type="dxa"/>
            <w:tcBorders>
              <w:top w:val="single" w:sz="2" w:space="0" w:color="auto"/>
              <w:left w:val="single" w:sz="2" w:space="0" w:color="auto"/>
              <w:bottom w:val="single" w:sz="2" w:space="0" w:color="auto"/>
              <w:right w:val="single" w:sz="2" w:space="0" w:color="auto"/>
            </w:tcBorders>
            <w:vAlign w:val="center"/>
          </w:tcPr>
          <w:p w14:paraId="55B28A43"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1</w:t>
            </w:r>
            <w:r w:rsidRPr="00502A1B">
              <w:rPr>
                <w:rFonts w:ascii="Times New Roman" w:eastAsia="宋体" w:hAnsi="Times New Roman" w:cs="Times New Roman"/>
                <w:sz w:val="18"/>
                <w:szCs w:val="18"/>
              </w:rPr>
              <w:t>年以内、</w:t>
            </w:r>
            <w:r w:rsidRPr="00502A1B">
              <w:rPr>
                <w:rFonts w:ascii="Times New Roman" w:eastAsia="宋体" w:hAnsi="Times New Roman" w:cs="Times New Roman"/>
                <w:sz w:val="18"/>
                <w:szCs w:val="18"/>
              </w:rPr>
              <w:t>1-2</w:t>
            </w:r>
            <w:r w:rsidRPr="00502A1B">
              <w:rPr>
                <w:rFonts w:ascii="Times New Roman" w:eastAsia="宋体" w:hAnsi="Times New Roman" w:cs="Times New Roman"/>
                <w:sz w:val="18"/>
                <w:szCs w:val="18"/>
              </w:rPr>
              <w:t>年、</w:t>
            </w:r>
            <w:r w:rsidRPr="00502A1B">
              <w:rPr>
                <w:rFonts w:ascii="Times New Roman" w:eastAsia="宋体" w:hAnsi="Times New Roman" w:cs="Times New Roman"/>
                <w:sz w:val="18"/>
                <w:szCs w:val="18"/>
              </w:rPr>
              <w:t>2-3</w:t>
            </w:r>
            <w:r w:rsidRPr="00502A1B">
              <w:rPr>
                <w:rFonts w:ascii="Times New Roman" w:eastAsia="宋体" w:hAnsi="Times New Roman" w:cs="Times New Roman"/>
                <w:sz w:val="18"/>
                <w:szCs w:val="18"/>
              </w:rPr>
              <w:t>年、</w:t>
            </w:r>
            <w:r w:rsidRPr="00502A1B">
              <w:rPr>
                <w:rFonts w:ascii="Times New Roman" w:eastAsia="宋体" w:hAnsi="Times New Roman" w:cs="Times New Roman"/>
                <w:sz w:val="18"/>
                <w:szCs w:val="18"/>
              </w:rPr>
              <w:t>3</w:t>
            </w:r>
            <w:r w:rsidRPr="00502A1B">
              <w:rPr>
                <w:rFonts w:ascii="Times New Roman" w:eastAsia="宋体" w:hAnsi="Times New Roman" w:cs="Times New Roman"/>
                <w:sz w:val="18"/>
                <w:szCs w:val="18"/>
              </w:rPr>
              <w:t>年以上</w:t>
            </w:r>
          </w:p>
        </w:tc>
        <w:tc>
          <w:tcPr>
            <w:tcW w:w="1701" w:type="dxa"/>
            <w:tcBorders>
              <w:top w:val="single" w:sz="2" w:space="0" w:color="auto"/>
              <w:left w:val="single" w:sz="2" w:space="0" w:color="auto"/>
              <w:bottom w:val="single" w:sz="2" w:space="0" w:color="auto"/>
              <w:right w:val="single" w:sz="2" w:space="0" w:color="auto"/>
            </w:tcBorders>
            <w:vAlign w:val="center"/>
          </w:tcPr>
          <w:p w14:paraId="3D6F01D5"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2.56%</w:t>
            </w:r>
          </w:p>
        </w:tc>
        <w:tc>
          <w:tcPr>
            <w:tcW w:w="992" w:type="dxa"/>
            <w:tcBorders>
              <w:top w:val="single" w:sz="2" w:space="0" w:color="auto"/>
              <w:left w:val="single" w:sz="2" w:space="0" w:color="auto"/>
              <w:bottom w:val="single" w:sz="2" w:space="0" w:color="auto"/>
              <w:right w:val="single" w:sz="2" w:space="0" w:color="auto"/>
            </w:tcBorders>
            <w:vAlign w:val="center"/>
          </w:tcPr>
          <w:p w14:paraId="66A62BE2" w14:textId="77777777" w:rsidR="00A46BF1" w:rsidRPr="00502A1B" w:rsidRDefault="00A46BF1" w:rsidP="00502A1B">
            <w:pPr>
              <w:spacing w:line="360" w:lineRule="auto"/>
              <w:jc w:val="right"/>
              <w:rPr>
                <w:rFonts w:ascii="Times New Roman" w:eastAsia="宋体" w:hAnsi="Times New Roman" w:cs="Times New Roman"/>
                <w:sz w:val="18"/>
                <w:szCs w:val="18"/>
              </w:rPr>
            </w:pPr>
          </w:p>
        </w:tc>
      </w:tr>
      <w:tr w:rsidR="00095F6F" w14:paraId="1BF7BC5B"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46CC1EBD"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AB</w:t>
            </w:r>
            <w:r w:rsidRPr="00502A1B">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1FC410DA"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关联方往来款</w:t>
            </w:r>
          </w:p>
        </w:tc>
        <w:tc>
          <w:tcPr>
            <w:tcW w:w="1418" w:type="dxa"/>
            <w:tcBorders>
              <w:top w:val="single" w:sz="2" w:space="0" w:color="auto"/>
              <w:left w:val="single" w:sz="2" w:space="0" w:color="auto"/>
              <w:bottom w:val="single" w:sz="2" w:space="0" w:color="auto"/>
              <w:right w:val="single" w:sz="2" w:space="0" w:color="auto"/>
            </w:tcBorders>
            <w:vAlign w:val="center"/>
          </w:tcPr>
          <w:p w14:paraId="3FC74D04"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3,092,831.21</w:t>
            </w:r>
          </w:p>
        </w:tc>
        <w:tc>
          <w:tcPr>
            <w:tcW w:w="3118" w:type="dxa"/>
            <w:tcBorders>
              <w:top w:val="single" w:sz="2" w:space="0" w:color="auto"/>
              <w:left w:val="single" w:sz="2" w:space="0" w:color="auto"/>
              <w:bottom w:val="single" w:sz="2" w:space="0" w:color="auto"/>
              <w:right w:val="single" w:sz="2" w:space="0" w:color="auto"/>
            </w:tcBorders>
            <w:vAlign w:val="center"/>
          </w:tcPr>
          <w:p w14:paraId="5BE279C7"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1</w:t>
            </w:r>
            <w:r w:rsidRPr="00502A1B">
              <w:rPr>
                <w:rFonts w:ascii="Times New Roman" w:eastAsia="宋体" w:hAnsi="Times New Roman" w:cs="Times New Roman"/>
                <w:sz w:val="18"/>
                <w:szCs w:val="18"/>
              </w:rPr>
              <w:t>年以内</w:t>
            </w:r>
          </w:p>
        </w:tc>
        <w:tc>
          <w:tcPr>
            <w:tcW w:w="1701" w:type="dxa"/>
            <w:tcBorders>
              <w:top w:val="single" w:sz="2" w:space="0" w:color="auto"/>
              <w:left w:val="single" w:sz="2" w:space="0" w:color="auto"/>
              <w:bottom w:val="single" w:sz="2" w:space="0" w:color="auto"/>
              <w:right w:val="single" w:sz="2" w:space="0" w:color="auto"/>
            </w:tcBorders>
            <w:vAlign w:val="center"/>
          </w:tcPr>
          <w:p w14:paraId="1A66B3A4"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0.58%</w:t>
            </w:r>
          </w:p>
        </w:tc>
        <w:tc>
          <w:tcPr>
            <w:tcW w:w="992" w:type="dxa"/>
            <w:tcBorders>
              <w:top w:val="single" w:sz="2" w:space="0" w:color="auto"/>
              <w:left w:val="single" w:sz="2" w:space="0" w:color="auto"/>
              <w:bottom w:val="single" w:sz="2" w:space="0" w:color="auto"/>
              <w:right w:val="single" w:sz="2" w:space="0" w:color="auto"/>
            </w:tcBorders>
            <w:vAlign w:val="center"/>
          </w:tcPr>
          <w:p w14:paraId="71066714" w14:textId="77777777" w:rsidR="00A46BF1" w:rsidRPr="00502A1B" w:rsidRDefault="00A46BF1" w:rsidP="00502A1B">
            <w:pPr>
              <w:spacing w:line="360" w:lineRule="auto"/>
              <w:jc w:val="right"/>
              <w:rPr>
                <w:rFonts w:ascii="Times New Roman" w:eastAsia="宋体" w:hAnsi="Times New Roman" w:cs="Times New Roman"/>
                <w:sz w:val="18"/>
                <w:szCs w:val="18"/>
              </w:rPr>
            </w:pPr>
          </w:p>
        </w:tc>
      </w:tr>
      <w:tr w:rsidR="00095F6F" w14:paraId="0006A26E"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vAlign w:val="center"/>
          </w:tcPr>
          <w:p w14:paraId="1DB8535A"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AC</w:t>
            </w:r>
            <w:r w:rsidRPr="00502A1B">
              <w:rPr>
                <w:rFonts w:ascii="Times New Roman" w:eastAsia="宋体" w:hAnsi="Times New Roman" w:cs="Times New Roman"/>
                <w:sz w:val="18"/>
                <w:szCs w:val="18"/>
              </w:rPr>
              <w:t>公司</w:t>
            </w:r>
          </w:p>
        </w:tc>
        <w:tc>
          <w:tcPr>
            <w:tcW w:w="1417" w:type="dxa"/>
            <w:tcBorders>
              <w:top w:val="single" w:sz="2" w:space="0" w:color="auto"/>
              <w:left w:val="single" w:sz="2" w:space="0" w:color="auto"/>
              <w:bottom w:val="single" w:sz="2" w:space="0" w:color="auto"/>
              <w:right w:val="single" w:sz="2" w:space="0" w:color="auto"/>
            </w:tcBorders>
            <w:vAlign w:val="center"/>
          </w:tcPr>
          <w:p w14:paraId="43625599"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关联方往来款</w:t>
            </w:r>
          </w:p>
        </w:tc>
        <w:tc>
          <w:tcPr>
            <w:tcW w:w="1418" w:type="dxa"/>
            <w:tcBorders>
              <w:top w:val="single" w:sz="2" w:space="0" w:color="auto"/>
              <w:left w:val="single" w:sz="2" w:space="0" w:color="auto"/>
              <w:bottom w:val="single" w:sz="2" w:space="0" w:color="auto"/>
              <w:right w:val="single" w:sz="2" w:space="0" w:color="auto"/>
            </w:tcBorders>
            <w:vAlign w:val="center"/>
          </w:tcPr>
          <w:p w14:paraId="2E7AA760"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1,411,576.30</w:t>
            </w:r>
          </w:p>
        </w:tc>
        <w:tc>
          <w:tcPr>
            <w:tcW w:w="3118" w:type="dxa"/>
            <w:tcBorders>
              <w:top w:val="single" w:sz="2" w:space="0" w:color="auto"/>
              <w:left w:val="single" w:sz="2" w:space="0" w:color="auto"/>
              <w:bottom w:val="single" w:sz="2" w:space="0" w:color="auto"/>
              <w:right w:val="single" w:sz="2" w:space="0" w:color="auto"/>
            </w:tcBorders>
            <w:vAlign w:val="center"/>
          </w:tcPr>
          <w:p w14:paraId="3273CAB8" w14:textId="77777777" w:rsidR="00A46BF1" w:rsidRPr="00502A1B" w:rsidRDefault="00A46BF1" w:rsidP="00502A1B">
            <w:pPr>
              <w:spacing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2-3</w:t>
            </w:r>
            <w:r w:rsidRPr="00502A1B">
              <w:rPr>
                <w:rFonts w:ascii="Times New Roman" w:eastAsia="宋体" w:hAnsi="Times New Roman" w:cs="Times New Roman"/>
                <w:sz w:val="18"/>
                <w:szCs w:val="18"/>
              </w:rPr>
              <w:t>年</w:t>
            </w:r>
          </w:p>
        </w:tc>
        <w:tc>
          <w:tcPr>
            <w:tcW w:w="1701" w:type="dxa"/>
            <w:tcBorders>
              <w:top w:val="single" w:sz="2" w:space="0" w:color="auto"/>
              <w:left w:val="single" w:sz="2" w:space="0" w:color="auto"/>
              <w:bottom w:val="single" w:sz="2" w:space="0" w:color="auto"/>
              <w:right w:val="single" w:sz="2" w:space="0" w:color="auto"/>
            </w:tcBorders>
            <w:vAlign w:val="center"/>
          </w:tcPr>
          <w:p w14:paraId="1F34BB34"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0.27%</w:t>
            </w:r>
          </w:p>
        </w:tc>
        <w:tc>
          <w:tcPr>
            <w:tcW w:w="992" w:type="dxa"/>
            <w:tcBorders>
              <w:top w:val="single" w:sz="2" w:space="0" w:color="auto"/>
              <w:left w:val="single" w:sz="2" w:space="0" w:color="auto"/>
              <w:bottom w:val="single" w:sz="2" w:space="0" w:color="auto"/>
              <w:right w:val="single" w:sz="2" w:space="0" w:color="auto"/>
            </w:tcBorders>
            <w:vAlign w:val="center"/>
          </w:tcPr>
          <w:p w14:paraId="44FE82DF" w14:textId="77777777" w:rsidR="00A46BF1" w:rsidRPr="00502A1B" w:rsidRDefault="00A46BF1" w:rsidP="00502A1B">
            <w:pPr>
              <w:spacing w:line="360" w:lineRule="auto"/>
              <w:jc w:val="right"/>
              <w:rPr>
                <w:rFonts w:ascii="Times New Roman" w:eastAsia="宋体" w:hAnsi="Times New Roman" w:cs="Times New Roman"/>
                <w:sz w:val="18"/>
                <w:szCs w:val="18"/>
              </w:rPr>
            </w:pPr>
          </w:p>
        </w:tc>
      </w:tr>
      <w:tr w:rsidR="00095F6F" w14:paraId="14162D21" w14:textId="77777777" w:rsidTr="00502A1B">
        <w:trPr>
          <w:trHeight w:val="240"/>
        </w:trPr>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6869884C" w14:textId="77777777" w:rsidR="00A46BF1" w:rsidRPr="00502A1B" w:rsidRDefault="00A46BF1" w:rsidP="00502A1B">
            <w:pPr>
              <w:spacing w:before="40" w:after="40" w:line="360" w:lineRule="auto"/>
              <w:rPr>
                <w:rFonts w:ascii="Times New Roman" w:eastAsia="宋体" w:hAnsi="Times New Roman" w:cs="Times New Roman"/>
                <w:sz w:val="18"/>
                <w:szCs w:val="18"/>
              </w:rPr>
            </w:pPr>
            <w:r w:rsidRPr="00502A1B">
              <w:rPr>
                <w:rFonts w:ascii="Times New Roman" w:eastAsia="宋体" w:hAnsi="Times New Roman" w:cs="Times New Roman"/>
                <w:sz w:val="18"/>
                <w:szCs w:val="18"/>
              </w:rPr>
              <w:t>合计</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339EB8A2" w14:textId="77777777" w:rsidR="00A46BF1" w:rsidRPr="00502A1B" w:rsidRDefault="00A46BF1" w:rsidP="00502A1B">
            <w:pPr>
              <w:spacing w:line="360" w:lineRule="auto"/>
              <w:rPr>
                <w:rFonts w:ascii="Times New Roman" w:hAnsi="Times New Roman" w:cs="Times New Roman"/>
              </w:rPr>
            </w:pPr>
          </w:p>
        </w:tc>
        <w:tc>
          <w:tcPr>
            <w:tcW w:w="1418" w:type="dxa"/>
            <w:tcBorders>
              <w:top w:val="single" w:sz="2" w:space="0" w:color="auto"/>
              <w:left w:val="single" w:sz="2" w:space="0" w:color="auto"/>
              <w:bottom w:val="single" w:sz="2" w:space="0" w:color="auto"/>
              <w:right w:val="single" w:sz="2" w:space="0" w:color="auto"/>
            </w:tcBorders>
            <w:vAlign w:val="center"/>
          </w:tcPr>
          <w:p w14:paraId="6B1DDD57"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526,133,490.10</w:t>
            </w:r>
          </w:p>
        </w:tc>
        <w:tc>
          <w:tcPr>
            <w:tcW w:w="3118" w:type="dxa"/>
            <w:tcBorders>
              <w:top w:val="single" w:sz="2" w:space="0" w:color="auto"/>
              <w:left w:val="single" w:sz="2" w:space="0" w:color="auto"/>
              <w:bottom w:val="single" w:sz="2" w:space="0" w:color="auto"/>
              <w:right w:val="single" w:sz="2" w:space="0" w:color="auto"/>
            </w:tcBorders>
            <w:shd w:val="clear" w:color="auto" w:fill="D3D3D3"/>
            <w:vAlign w:val="center"/>
          </w:tcPr>
          <w:p w14:paraId="73C13F2C" w14:textId="77777777" w:rsidR="00A46BF1" w:rsidRPr="00502A1B" w:rsidRDefault="00A46BF1" w:rsidP="00502A1B">
            <w:pPr>
              <w:spacing w:line="360" w:lineRule="auto"/>
              <w:rPr>
                <w:rFonts w:ascii="Times New Roman" w:hAnsi="Times New Roman" w:cs="Times New Roman"/>
              </w:rPr>
            </w:pPr>
          </w:p>
        </w:tc>
        <w:tc>
          <w:tcPr>
            <w:tcW w:w="1701" w:type="dxa"/>
            <w:tcBorders>
              <w:top w:val="single" w:sz="2" w:space="0" w:color="auto"/>
              <w:left w:val="single" w:sz="2" w:space="0" w:color="auto"/>
              <w:bottom w:val="single" w:sz="2" w:space="0" w:color="auto"/>
              <w:right w:val="single" w:sz="2" w:space="0" w:color="auto"/>
            </w:tcBorders>
            <w:vAlign w:val="center"/>
          </w:tcPr>
          <w:p w14:paraId="57A182D4" w14:textId="77777777" w:rsidR="00A46BF1" w:rsidRPr="00502A1B" w:rsidRDefault="00A46BF1" w:rsidP="00502A1B">
            <w:pPr>
              <w:spacing w:line="360" w:lineRule="auto"/>
              <w:jc w:val="right"/>
              <w:rPr>
                <w:rFonts w:ascii="Times New Roman" w:eastAsia="宋体" w:hAnsi="Times New Roman" w:cs="Times New Roman"/>
                <w:sz w:val="18"/>
                <w:szCs w:val="18"/>
              </w:rPr>
            </w:pPr>
            <w:r w:rsidRPr="00502A1B">
              <w:rPr>
                <w:rFonts w:ascii="Times New Roman" w:eastAsia="宋体" w:hAnsi="Times New Roman" w:cs="Times New Roman"/>
                <w:sz w:val="18"/>
                <w:szCs w:val="18"/>
              </w:rPr>
              <w:t>99.00%</w:t>
            </w:r>
          </w:p>
        </w:tc>
        <w:tc>
          <w:tcPr>
            <w:tcW w:w="992" w:type="dxa"/>
            <w:tcBorders>
              <w:top w:val="single" w:sz="2" w:space="0" w:color="auto"/>
              <w:left w:val="single" w:sz="2" w:space="0" w:color="auto"/>
              <w:bottom w:val="single" w:sz="2" w:space="0" w:color="auto"/>
              <w:right w:val="single" w:sz="2" w:space="0" w:color="auto"/>
            </w:tcBorders>
            <w:vAlign w:val="center"/>
          </w:tcPr>
          <w:p w14:paraId="6A24E4FE" w14:textId="77777777" w:rsidR="00A46BF1" w:rsidRPr="00502A1B" w:rsidRDefault="00A46BF1" w:rsidP="00502A1B">
            <w:pPr>
              <w:spacing w:line="360" w:lineRule="auto"/>
              <w:jc w:val="right"/>
              <w:rPr>
                <w:rFonts w:ascii="Times New Roman" w:eastAsia="宋体" w:hAnsi="Times New Roman" w:cs="Times New Roman"/>
                <w:sz w:val="18"/>
                <w:szCs w:val="18"/>
              </w:rPr>
            </w:pPr>
          </w:p>
        </w:tc>
      </w:tr>
    </w:tbl>
    <w:p w14:paraId="3BD0821C" w14:textId="77777777" w:rsidR="00A46BF1" w:rsidRDefault="00A46BF1" w:rsidP="00A46BF1">
      <w:pPr>
        <w:spacing w:before="100" w:after="100" w:line="0" w:lineRule="atLeast"/>
      </w:pPr>
    </w:p>
    <w:p w14:paraId="491C50BA" w14:textId="77777777" w:rsidR="00A46BF1" w:rsidRDefault="00A46BF1" w:rsidP="00A46BF1">
      <w:pPr>
        <w:pStyle w:val="3"/>
        <w:spacing w:line="280" w:lineRule="exact"/>
        <w:jc w:val="left"/>
        <w:rPr>
          <w:rFonts w:ascii="宋体" w:hAnsi="宋体" w:cs="宋体"/>
          <w:b/>
          <w:bCs/>
        </w:rPr>
      </w:pPr>
      <w:r>
        <w:rPr>
          <w:rFonts w:ascii="宋体" w:hAnsi="宋体" w:cs="宋体"/>
          <w:b/>
          <w:bCs/>
        </w:rPr>
        <w:t>3、长期股权投资</w:t>
      </w:r>
    </w:p>
    <w:p w14:paraId="5E51C044"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CellMar>
          <w:left w:w="0" w:type="dxa"/>
          <w:right w:w="0" w:type="dxa"/>
        </w:tblCellMar>
        <w:tblLook w:val="04A0" w:firstRow="1" w:lastRow="0" w:firstColumn="1" w:lastColumn="0" w:noHBand="0" w:noVBand="1"/>
      </w:tblPr>
      <w:tblGrid>
        <w:gridCol w:w="1905"/>
        <w:gridCol w:w="1276"/>
        <w:gridCol w:w="1134"/>
        <w:gridCol w:w="1417"/>
        <w:gridCol w:w="1418"/>
        <w:gridCol w:w="1134"/>
        <w:gridCol w:w="1355"/>
      </w:tblGrid>
      <w:tr w:rsidR="00095F6F" w14:paraId="47CAF7CF" w14:textId="77777777" w:rsidTr="003C362C">
        <w:trPr>
          <w:trHeight w:val="240"/>
        </w:trPr>
        <w:tc>
          <w:tcPr>
            <w:tcW w:w="1905"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0149E299"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项目</w:t>
            </w:r>
          </w:p>
        </w:tc>
        <w:tc>
          <w:tcPr>
            <w:tcW w:w="382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0A86BEA8"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期末余额</w:t>
            </w:r>
          </w:p>
        </w:tc>
        <w:tc>
          <w:tcPr>
            <w:tcW w:w="3907" w:type="dxa"/>
            <w:gridSpan w:val="3"/>
            <w:tcBorders>
              <w:top w:val="single" w:sz="2" w:space="0" w:color="auto"/>
              <w:left w:val="single" w:sz="2" w:space="0" w:color="auto"/>
              <w:bottom w:val="single" w:sz="2" w:space="0" w:color="auto"/>
              <w:right w:val="single" w:sz="2" w:space="0" w:color="auto"/>
            </w:tcBorders>
            <w:shd w:val="clear" w:color="auto" w:fill="D3D3D3"/>
            <w:vAlign w:val="center"/>
          </w:tcPr>
          <w:p w14:paraId="6E4CF9E9"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期初余额</w:t>
            </w:r>
          </w:p>
        </w:tc>
      </w:tr>
      <w:tr w:rsidR="00095F6F" w14:paraId="7C032C7C" w14:textId="77777777" w:rsidTr="003C362C">
        <w:trPr>
          <w:trHeight w:val="240"/>
        </w:trPr>
        <w:tc>
          <w:tcPr>
            <w:tcW w:w="1905"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E57E0E3" w14:textId="77777777" w:rsidR="00A46BF1" w:rsidRPr="009436D5" w:rsidRDefault="00A46BF1" w:rsidP="009436D5">
            <w:pPr>
              <w:spacing w:line="360" w:lineRule="auto"/>
              <w:rPr>
                <w:rFonts w:ascii="Times New Roman" w:hAnsi="Times New Roman" w:cs="Times New Roman"/>
              </w:rPr>
            </w:pP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1C5B3EAE"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账面余额</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7380675C"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减值准备</w:t>
            </w:r>
          </w:p>
        </w:tc>
        <w:tc>
          <w:tcPr>
            <w:tcW w:w="1417" w:type="dxa"/>
            <w:tcBorders>
              <w:top w:val="single" w:sz="2" w:space="0" w:color="auto"/>
              <w:left w:val="single" w:sz="2" w:space="0" w:color="auto"/>
              <w:bottom w:val="single" w:sz="2" w:space="0" w:color="auto"/>
              <w:right w:val="single" w:sz="2" w:space="0" w:color="auto"/>
            </w:tcBorders>
            <w:shd w:val="clear" w:color="auto" w:fill="D3D3D3"/>
            <w:vAlign w:val="center"/>
          </w:tcPr>
          <w:p w14:paraId="200A1F92"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账面价值</w:t>
            </w:r>
          </w:p>
        </w:tc>
        <w:tc>
          <w:tcPr>
            <w:tcW w:w="1418" w:type="dxa"/>
            <w:tcBorders>
              <w:top w:val="single" w:sz="2" w:space="0" w:color="auto"/>
              <w:left w:val="single" w:sz="2" w:space="0" w:color="auto"/>
              <w:bottom w:val="single" w:sz="2" w:space="0" w:color="auto"/>
              <w:right w:val="single" w:sz="2" w:space="0" w:color="auto"/>
            </w:tcBorders>
            <w:shd w:val="clear" w:color="auto" w:fill="D3D3D3"/>
            <w:vAlign w:val="center"/>
          </w:tcPr>
          <w:p w14:paraId="3F69F44A"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账面余额</w:t>
            </w:r>
          </w:p>
        </w:tc>
        <w:tc>
          <w:tcPr>
            <w:tcW w:w="1134" w:type="dxa"/>
            <w:tcBorders>
              <w:top w:val="single" w:sz="2" w:space="0" w:color="auto"/>
              <w:left w:val="single" w:sz="2" w:space="0" w:color="auto"/>
              <w:bottom w:val="single" w:sz="2" w:space="0" w:color="auto"/>
              <w:right w:val="single" w:sz="2" w:space="0" w:color="auto"/>
            </w:tcBorders>
            <w:shd w:val="clear" w:color="auto" w:fill="D3D3D3"/>
            <w:vAlign w:val="center"/>
          </w:tcPr>
          <w:p w14:paraId="5ECD82F6"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减值准备</w:t>
            </w:r>
          </w:p>
        </w:tc>
        <w:tc>
          <w:tcPr>
            <w:tcW w:w="1355" w:type="dxa"/>
            <w:tcBorders>
              <w:top w:val="single" w:sz="2" w:space="0" w:color="auto"/>
              <w:left w:val="single" w:sz="2" w:space="0" w:color="auto"/>
              <w:bottom w:val="single" w:sz="2" w:space="0" w:color="auto"/>
              <w:right w:val="single" w:sz="2" w:space="0" w:color="auto"/>
            </w:tcBorders>
            <w:shd w:val="clear" w:color="auto" w:fill="D3D3D3"/>
            <w:vAlign w:val="center"/>
          </w:tcPr>
          <w:p w14:paraId="0D260D88" w14:textId="77777777" w:rsidR="00A46BF1" w:rsidRPr="009436D5" w:rsidRDefault="00A46BF1" w:rsidP="009436D5">
            <w:pPr>
              <w:spacing w:before="40" w:after="40" w:line="360" w:lineRule="auto"/>
              <w:jc w:val="center"/>
              <w:rPr>
                <w:rFonts w:ascii="Times New Roman" w:eastAsia="宋体" w:hAnsi="Times New Roman" w:cs="Times New Roman"/>
                <w:sz w:val="18"/>
                <w:szCs w:val="18"/>
              </w:rPr>
            </w:pPr>
            <w:r w:rsidRPr="009436D5">
              <w:rPr>
                <w:rFonts w:ascii="Times New Roman" w:eastAsia="宋体" w:hAnsi="Times New Roman" w:cs="Times New Roman"/>
                <w:sz w:val="18"/>
                <w:szCs w:val="18"/>
              </w:rPr>
              <w:t>账面价值</w:t>
            </w:r>
          </w:p>
        </w:tc>
      </w:tr>
      <w:tr w:rsidR="00095F6F" w14:paraId="2D70CF8D" w14:textId="77777777" w:rsidTr="003C362C">
        <w:trPr>
          <w:trHeight w:val="240"/>
        </w:trPr>
        <w:tc>
          <w:tcPr>
            <w:tcW w:w="1905" w:type="dxa"/>
            <w:tcBorders>
              <w:top w:val="single" w:sz="2" w:space="0" w:color="auto"/>
              <w:left w:val="single" w:sz="2" w:space="0" w:color="auto"/>
              <w:bottom w:val="single" w:sz="2" w:space="0" w:color="auto"/>
              <w:right w:val="single" w:sz="2" w:space="0" w:color="auto"/>
            </w:tcBorders>
            <w:shd w:val="clear" w:color="auto" w:fill="D3D3D3"/>
            <w:vAlign w:val="center"/>
          </w:tcPr>
          <w:p w14:paraId="7F366B27" w14:textId="77777777" w:rsidR="00A46BF1" w:rsidRPr="009436D5" w:rsidRDefault="00A46BF1" w:rsidP="009436D5">
            <w:pPr>
              <w:spacing w:before="40" w:after="40" w:line="360" w:lineRule="auto"/>
              <w:rPr>
                <w:rFonts w:ascii="Times New Roman" w:eastAsia="宋体" w:hAnsi="Times New Roman" w:cs="Times New Roman"/>
                <w:sz w:val="18"/>
                <w:szCs w:val="18"/>
              </w:rPr>
            </w:pPr>
            <w:r w:rsidRPr="009436D5">
              <w:rPr>
                <w:rFonts w:ascii="Times New Roman" w:eastAsia="宋体" w:hAnsi="Times New Roman" w:cs="Times New Roman"/>
                <w:sz w:val="18"/>
                <w:szCs w:val="18"/>
              </w:rPr>
              <w:t>对子公司投资</w:t>
            </w:r>
          </w:p>
        </w:tc>
        <w:tc>
          <w:tcPr>
            <w:tcW w:w="1276" w:type="dxa"/>
            <w:tcBorders>
              <w:top w:val="single" w:sz="2" w:space="0" w:color="auto"/>
              <w:left w:val="single" w:sz="2" w:space="0" w:color="auto"/>
              <w:bottom w:val="single" w:sz="2" w:space="0" w:color="auto"/>
              <w:right w:val="single" w:sz="2" w:space="0" w:color="auto"/>
            </w:tcBorders>
            <w:vAlign w:val="center"/>
          </w:tcPr>
          <w:p w14:paraId="65B9C647"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2,004,156,285.49</w:t>
            </w:r>
          </w:p>
        </w:tc>
        <w:tc>
          <w:tcPr>
            <w:tcW w:w="1134" w:type="dxa"/>
            <w:tcBorders>
              <w:top w:val="single" w:sz="2" w:space="0" w:color="auto"/>
              <w:left w:val="single" w:sz="2" w:space="0" w:color="auto"/>
              <w:bottom w:val="single" w:sz="2" w:space="0" w:color="auto"/>
              <w:right w:val="single" w:sz="2" w:space="0" w:color="auto"/>
            </w:tcBorders>
            <w:vAlign w:val="center"/>
          </w:tcPr>
          <w:p w14:paraId="22F88F9A"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18,104,080.80</w:t>
            </w:r>
          </w:p>
        </w:tc>
        <w:tc>
          <w:tcPr>
            <w:tcW w:w="1417" w:type="dxa"/>
            <w:tcBorders>
              <w:top w:val="single" w:sz="2" w:space="0" w:color="auto"/>
              <w:left w:val="single" w:sz="2" w:space="0" w:color="auto"/>
              <w:bottom w:val="single" w:sz="2" w:space="0" w:color="auto"/>
              <w:right w:val="single" w:sz="2" w:space="0" w:color="auto"/>
            </w:tcBorders>
            <w:vAlign w:val="center"/>
          </w:tcPr>
          <w:p w14:paraId="34A9B973"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1,986,052,204.69</w:t>
            </w:r>
          </w:p>
        </w:tc>
        <w:tc>
          <w:tcPr>
            <w:tcW w:w="1418" w:type="dxa"/>
            <w:tcBorders>
              <w:top w:val="single" w:sz="2" w:space="0" w:color="auto"/>
              <w:left w:val="single" w:sz="2" w:space="0" w:color="auto"/>
              <w:bottom w:val="single" w:sz="2" w:space="0" w:color="auto"/>
              <w:right w:val="single" w:sz="2" w:space="0" w:color="auto"/>
            </w:tcBorders>
            <w:vAlign w:val="center"/>
          </w:tcPr>
          <w:p w14:paraId="6E3C3496"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2,004,308,292.49</w:t>
            </w:r>
          </w:p>
        </w:tc>
        <w:tc>
          <w:tcPr>
            <w:tcW w:w="1134" w:type="dxa"/>
            <w:tcBorders>
              <w:top w:val="single" w:sz="2" w:space="0" w:color="auto"/>
              <w:left w:val="single" w:sz="2" w:space="0" w:color="auto"/>
              <w:bottom w:val="single" w:sz="2" w:space="0" w:color="auto"/>
              <w:right w:val="single" w:sz="2" w:space="0" w:color="auto"/>
            </w:tcBorders>
            <w:vAlign w:val="center"/>
          </w:tcPr>
          <w:p w14:paraId="16BA4718"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18,104,080.80</w:t>
            </w:r>
          </w:p>
        </w:tc>
        <w:tc>
          <w:tcPr>
            <w:tcW w:w="1355" w:type="dxa"/>
            <w:tcBorders>
              <w:top w:val="single" w:sz="2" w:space="0" w:color="auto"/>
              <w:left w:val="single" w:sz="2" w:space="0" w:color="auto"/>
              <w:bottom w:val="single" w:sz="2" w:space="0" w:color="auto"/>
              <w:right w:val="single" w:sz="2" w:space="0" w:color="auto"/>
            </w:tcBorders>
            <w:vAlign w:val="center"/>
          </w:tcPr>
          <w:p w14:paraId="03462D14"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1,986,204,211.69</w:t>
            </w:r>
          </w:p>
        </w:tc>
      </w:tr>
      <w:tr w:rsidR="00095F6F" w14:paraId="66432DAF" w14:textId="77777777" w:rsidTr="003C362C">
        <w:trPr>
          <w:trHeight w:val="240"/>
        </w:trPr>
        <w:tc>
          <w:tcPr>
            <w:tcW w:w="1905" w:type="dxa"/>
            <w:tcBorders>
              <w:top w:val="single" w:sz="2" w:space="0" w:color="auto"/>
              <w:left w:val="single" w:sz="2" w:space="0" w:color="auto"/>
              <w:bottom w:val="single" w:sz="2" w:space="0" w:color="auto"/>
              <w:right w:val="single" w:sz="2" w:space="0" w:color="auto"/>
            </w:tcBorders>
            <w:shd w:val="clear" w:color="auto" w:fill="D3D3D3"/>
            <w:vAlign w:val="center"/>
          </w:tcPr>
          <w:p w14:paraId="379B7535" w14:textId="77777777" w:rsidR="00A46BF1" w:rsidRPr="009436D5" w:rsidRDefault="00A46BF1" w:rsidP="009436D5">
            <w:pPr>
              <w:spacing w:before="40" w:after="40" w:line="360" w:lineRule="auto"/>
              <w:rPr>
                <w:rFonts w:ascii="Times New Roman" w:eastAsia="宋体" w:hAnsi="Times New Roman" w:cs="Times New Roman"/>
                <w:sz w:val="18"/>
                <w:szCs w:val="18"/>
              </w:rPr>
            </w:pPr>
            <w:r w:rsidRPr="009436D5">
              <w:rPr>
                <w:rFonts w:ascii="Times New Roman" w:eastAsia="宋体" w:hAnsi="Times New Roman" w:cs="Times New Roman"/>
                <w:sz w:val="18"/>
                <w:szCs w:val="18"/>
              </w:rPr>
              <w:t>对联营、合营企业投资</w:t>
            </w:r>
          </w:p>
        </w:tc>
        <w:tc>
          <w:tcPr>
            <w:tcW w:w="1276" w:type="dxa"/>
            <w:tcBorders>
              <w:top w:val="single" w:sz="2" w:space="0" w:color="auto"/>
              <w:left w:val="single" w:sz="2" w:space="0" w:color="auto"/>
              <w:bottom w:val="single" w:sz="2" w:space="0" w:color="auto"/>
              <w:right w:val="single" w:sz="2" w:space="0" w:color="auto"/>
            </w:tcBorders>
            <w:vAlign w:val="center"/>
          </w:tcPr>
          <w:p w14:paraId="61EC51C9"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15,409,821.91</w:t>
            </w:r>
          </w:p>
        </w:tc>
        <w:tc>
          <w:tcPr>
            <w:tcW w:w="1134" w:type="dxa"/>
            <w:tcBorders>
              <w:top w:val="single" w:sz="2" w:space="0" w:color="auto"/>
              <w:left w:val="single" w:sz="2" w:space="0" w:color="auto"/>
              <w:bottom w:val="single" w:sz="2" w:space="0" w:color="auto"/>
              <w:right w:val="single" w:sz="2" w:space="0" w:color="auto"/>
            </w:tcBorders>
            <w:vAlign w:val="center"/>
          </w:tcPr>
          <w:p w14:paraId="420A7C90"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12,338,438.11</w:t>
            </w:r>
          </w:p>
        </w:tc>
        <w:tc>
          <w:tcPr>
            <w:tcW w:w="1417" w:type="dxa"/>
            <w:tcBorders>
              <w:top w:val="single" w:sz="2" w:space="0" w:color="auto"/>
              <w:left w:val="single" w:sz="2" w:space="0" w:color="auto"/>
              <w:bottom w:val="single" w:sz="2" w:space="0" w:color="auto"/>
              <w:right w:val="single" w:sz="2" w:space="0" w:color="auto"/>
            </w:tcBorders>
            <w:vAlign w:val="center"/>
          </w:tcPr>
          <w:p w14:paraId="27597369"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3,071,383.80</w:t>
            </w:r>
          </w:p>
        </w:tc>
        <w:tc>
          <w:tcPr>
            <w:tcW w:w="1418" w:type="dxa"/>
            <w:tcBorders>
              <w:top w:val="single" w:sz="2" w:space="0" w:color="auto"/>
              <w:left w:val="single" w:sz="2" w:space="0" w:color="auto"/>
              <w:bottom w:val="single" w:sz="2" w:space="0" w:color="auto"/>
              <w:right w:val="single" w:sz="2" w:space="0" w:color="auto"/>
            </w:tcBorders>
            <w:vAlign w:val="center"/>
          </w:tcPr>
          <w:p w14:paraId="2DAD477B"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15,487,708.33</w:t>
            </w:r>
          </w:p>
        </w:tc>
        <w:tc>
          <w:tcPr>
            <w:tcW w:w="1134" w:type="dxa"/>
            <w:tcBorders>
              <w:top w:val="single" w:sz="2" w:space="0" w:color="auto"/>
              <w:left w:val="single" w:sz="2" w:space="0" w:color="auto"/>
              <w:bottom w:val="single" w:sz="2" w:space="0" w:color="auto"/>
              <w:right w:val="single" w:sz="2" w:space="0" w:color="auto"/>
            </w:tcBorders>
            <w:vAlign w:val="center"/>
          </w:tcPr>
          <w:p w14:paraId="6B9C0655"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10,573,708.33</w:t>
            </w:r>
          </w:p>
        </w:tc>
        <w:tc>
          <w:tcPr>
            <w:tcW w:w="1355" w:type="dxa"/>
            <w:tcBorders>
              <w:top w:val="single" w:sz="2" w:space="0" w:color="auto"/>
              <w:left w:val="single" w:sz="2" w:space="0" w:color="auto"/>
              <w:bottom w:val="single" w:sz="2" w:space="0" w:color="auto"/>
              <w:right w:val="single" w:sz="2" w:space="0" w:color="auto"/>
            </w:tcBorders>
            <w:vAlign w:val="center"/>
          </w:tcPr>
          <w:p w14:paraId="5BABE41D"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4,914,000.00</w:t>
            </w:r>
          </w:p>
        </w:tc>
      </w:tr>
      <w:tr w:rsidR="00095F6F" w14:paraId="3F539F6D" w14:textId="77777777" w:rsidTr="003C362C">
        <w:trPr>
          <w:trHeight w:val="240"/>
        </w:trPr>
        <w:tc>
          <w:tcPr>
            <w:tcW w:w="1905" w:type="dxa"/>
            <w:tcBorders>
              <w:top w:val="single" w:sz="2" w:space="0" w:color="auto"/>
              <w:left w:val="single" w:sz="2" w:space="0" w:color="auto"/>
              <w:bottom w:val="single" w:sz="2" w:space="0" w:color="auto"/>
              <w:right w:val="single" w:sz="2" w:space="0" w:color="auto"/>
            </w:tcBorders>
            <w:shd w:val="clear" w:color="auto" w:fill="D3D3D3"/>
            <w:vAlign w:val="center"/>
          </w:tcPr>
          <w:p w14:paraId="7A7AE945" w14:textId="77777777" w:rsidR="00A46BF1" w:rsidRPr="009436D5" w:rsidRDefault="00A46BF1" w:rsidP="009436D5">
            <w:pPr>
              <w:spacing w:before="40" w:after="40" w:line="360" w:lineRule="auto"/>
              <w:rPr>
                <w:rFonts w:ascii="Times New Roman" w:eastAsia="宋体" w:hAnsi="Times New Roman" w:cs="Times New Roman"/>
                <w:sz w:val="18"/>
                <w:szCs w:val="18"/>
              </w:rPr>
            </w:pPr>
            <w:r w:rsidRPr="009436D5">
              <w:rPr>
                <w:rFonts w:ascii="Times New Roman" w:eastAsia="宋体" w:hAnsi="Times New Roman" w:cs="Times New Roman"/>
                <w:sz w:val="18"/>
                <w:szCs w:val="18"/>
              </w:rPr>
              <w:t>合计</w:t>
            </w:r>
          </w:p>
        </w:tc>
        <w:tc>
          <w:tcPr>
            <w:tcW w:w="1276" w:type="dxa"/>
            <w:tcBorders>
              <w:top w:val="single" w:sz="2" w:space="0" w:color="auto"/>
              <w:left w:val="single" w:sz="2" w:space="0" w:color="auto"/>
              <w:bottom w:val="single" w:sz="2" w:space="0" w:color="auto"/>
              <w:right w:val="single" w:sz="2" w:space="0" w:color="auto"/>
            </w:tcBorders>
            <w:vAlign w:val="center"/>
          </w:tcPr>
          <w:p w14:paraId="5853EC15"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2,019,566,107.40</w:t>
            </w:r>
          </w:p>
        </w:tc>
        <w:tc>
          <w:tcPr>
            <w:tcW w:w="1134" w:type="dxa"/>
            <w:tcBorders>
              <w:top w:val="single" w:sz="2" w:space="0" w:color="auto"/>
              <w:left w:val="single" w:sz="2" w:space="0" w:color="auto"/>
              <w:bottom w:val="single" w:sz="2" w:space="0" w:color="auto"/>
              <w:right w:val="single" w:sz="2" w:space="0" w:color="auto"/>
            </w:tcBorders>
            <w:vAlign w:val="center"/>
          </w:tcPr>
          <w:p w14:paraId="2694D0C0"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30,442,518.91</w:t>
            </w:r>
          </w:p>
        </w:tc>
        <w:tc>
          <w:tcPr>
            <w:tcW w:w="1417" w:type="dxa"/>
            <w:tcBorders>
              <w:top w:val="single" w:sz="2" w:space="0" w:color="auto"/>
              <w:left w:val="single" w:sz="2" w:space="0" w:color="auto"/>
              <w:bottom w:val="single" w:sz="2" w:space="0" w:color="auto"/>
              <w:right w:val="single" w:sz="2" w:space="0" w:color="auto"/>
            </w:tcBorders>
            <w:vAlign w:val="center"/>
          </w:tcPr>
          <w:p w14:paraId="3619178A"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1,989,123,588.49</w:t>
            </w:r>
          </w:p>
        </w:tc>
        <w:tc>
          <w:tcPr>
            <w:tcW w:w="1418" w:type="dxa"/>
            <w:tcBorders>
              <w:top w:val="single" w:sz="2" w:space="0" w:color="auto"/>
              <w:left w:val="single" w:sz="2" w:space="0" w:color="auto"/>
              <w:bottom w:val="single" w:sz="2" w:space="0" w:color="auto"/>
              <w:right w:val="single" w:sz="2" w:space="0" w:color="auto"/>
            </w:tcBorders>
            <w:vAlign w:val="center"/>
          </w:tcPr>
          <w:p w14:paraId="7BA8CF0A"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2,019,796,000.82</w:t>
            </w:r>
          </w:p>
        </w:tc>
        <w:tc>
          <w:tcPr>
            <w:tcW w:w="1134" w:type="dxa"/>
            <w:tcBorders>
              <w:top w:val="single" w:sz="2" w:space="0" w:color="auto"/>
              <w:left w:val="single" w:sz="2" w:space="0" w:color="auto"/>
              <w:bottom w:val="single" w:sz="2" w:space="0" w:color="auto"/>
              <w:right w:val="single" w:sz="2" w:space="0" w:color="auto"/>
            </w:tcBorders>
            <w:vAlign w:val="center"/>
          </w:tcPr>
          <w:p w14:paraId="161B9E88"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28,677,789.13</w:t>
            </w:r>
          </w:p>
        </w:tc>
        <w:tc>
          <w:tcPr>
            <w:tcW w:w="1355" w:type="dxa"/>
            <w:tcBorders>
              <w:top w:val="single" w:sz="2" w:space="0" w:color="auto"/>
              <w:left w:val="single" w:sz="2" w:space="0" w:color="auto"/>
              <w:bottom w:val="single" w:sz="2" w:space="0" w:color="auto"/>
              <w:right w:val="single" w:sz="2" w:space="0" w:color="auto"/>
            </w:tcBorders>
            <w:vAlign w:val="center"/>
          </w:tcPr>
          <w:p w14:paraId="3C9D9076" w14:textId="77777777" w:rsidR="00A46BF1" w:rsidRPr="009436D5" w:rsidRDefault="00A46BF1" w:rsidP="009436D5">
            <w:pPr>
              <w:spacing w:line="360" w:lineRule="auto"/>
              <w:jc w:val="right"/>
              <w:rPr>
                <w:rFonts w:ascii="Times New Roman" w:eastAsia="宋体" w:hAnsi="Times New Roman" w:cs="Times New Roman"/>
                <w:sz w:val="18"/>
                <w:szCs w:val="18"/>
              </w:rPr>
            </w:pPr>
            <w:r w:rsidRPr="009436D5">
              <w:rPr>
                <w:rFonts w:ascii="Times New Roman" w:eastAsia="宋体" w:hAnsi="Times New Roman" w:cs="Times New Roman"/>
                <w:sz w:val="18"/>
                <w:szCs w:val="18"/>
              </w:rPr>
              <w:t>1,991,118,211.69</w:t>
            </w:r>
          </w:p>
        </w:tc>
      </w:tr>
    </w:tbl>
    <w:p w14:paraId="74AD8883" w14:textId="77777777" w:rsidR="007608CE" w:rsidRDefault="007608CE" w:rsidP="00A46BF1">
      <w:pPr>
        <w:keepNext/>
        <w:keepLines/>
        <w:spacing w:before="300" w:after="300" w:line="280" w:lineRule="exact"/>
        <w:outlineLvl w:val="3"/>
        <w:rPr>
          <w:rFonts w:ascii="宋体" w:eastAsia="宋体" w:hAnsi="宋体" w:cs="宋体"/>
          <w:b/>
          <w:bCs/>
          <w:szCs w:val="21"/>
        </w:rPr>
        <w:sectPr w:rsidR="007608CE">
          <w:pgSz w:w="11905" w:h="16840"/>
          <w:pgMar w:top="1440" w:right="1134" w:bottom="1440" w:left="1134" w:header="850" w:footer="992" w:gutter="0"/>
          <w:cols w:space="720"/>
          <w:docGrid w:type="linesAndChars" w:linePitch="312"/>
        </w:sectPr>
      </w:pPr>
      <w:r>
        <w:rPr>
          <w:rFonts w:ascii="宋体" w:eastAsia="宋体" w:hAnsi="宋体" w:cs="宋体"/>
          <w:b/>
          <w:bCs/>
          <w:szCs w:val="21"/>
        </w:rPr>
        <w:br w:type="page"/>
      </w:r>
    </w:p>
    <w:p w14:paraId="590802D4" w14:textId="09A0B0DB"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对子公司投资</w:t>
      </w:r>
    </w:p>
    <w:p w14:paraId="23616C6A"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Look w:val="04A0" w:firstRow="1" w:lastRow="0" w:firstColumn="1" w:lastColumn="0" w:noHBand="0" w:noVBand="1"/>
      </w:tblPr>
      <w:tblGrid>
        <w:gridCol w:w="3510"/>
        <w:gridCol w:w="1562"/>
        <w:gridCol w:w="1701"/>
        <w:gridCol w:w="1276"/>
        <w:gridCol w:w="1276"/>
        <w:gridCol w:w="1418"/>
        <w:gridCol w:w="655"/>
        <w:gridCol w:w="1477"/>
        <w:gridCol w:w="1301"/>
      </w:tblGrid>
      <w:tr w:rsidR="00095F6F" w14:paraId="5CCE461D" w14:textId="77777777" w:rsidTr="00DE073A">
        <w:trPr>
          <w:trHeight w:val="240"/>
        </w:trPr>
        <w:tc>
          <w:tcPr>
            <w:tcW w:w="1238"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B88D979"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被投资单位</w:t>
            </w:r>
          </w:p>
        </w:tc>
        <w:tc>
          <w:tcPr>
            <w:tcW w:w="551"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C0BF548"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期初余额（账面价值）</w:t>
            </w:r>
          </w:p>
        </w:tc>
        <w:tc>
          <w:tcPr>
            <w:tcW w:w="600"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1CDD4F2"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减值准备期初余额</w:t>
            </w:r>
          </w:p>
        </w:tc>
        <w:tc>
          <w:tcPr>
            <w:tcW w:w="1631" w:type="pct"/>
            <w:gridSpan w:val="4"/>
            <w:tcBorders>
              <w:top w:val="single" w:sz="2" w:space="0" w:color="auto"/>
              <w:left w:val="single" w:sz="2" w:space="0" w:color="auto"/>
              <w:bottom w:val="single" w:sz="2" w:space="0" w:color="auto"/>
              <w:right w:val="single" w:sz="2" w:space="0" w:color="auto"/>
            </w:tcBorders>
            <w:shd w:val="clear" w:color="auto" w:fill="D3D3D3"/>
            <w:vAlign w:val="center"/>
          </w:tcPr>
          <w:p w14:paraId="006F499F"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本期增减变动</w:t>
            </w:r>
          </w:p>
        </w:tc>
        <w:tc>
          <w:tcPr>
            <w:tcW w:w="521"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867F60F"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期末余额（账面价值）</w:t>
            </w:r>
          </w:p>
        </w:tc>
        <w:tc>
          <w:tcPr>
            <w:tcW w:w="459"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757781D"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减值准备期末余额</w:t>
            </w:r>
          </w:p>
        </w:tc>
      </w:tr>
      <w:tr w:rsidR="00095F6F" w14:paraId="5F8EB2DD" w14:textId="77777777" w:rsidTr="00DE073A">
        <w:trPr>
          <w:trHeight w:val="240"/>
        </w:trPr>
        <w:tc>
          <w:tcPr>
            <w:tcW w:w="1238"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2D8730FD" w14:textId="77777777" w:rsidR="00A46BF1" w:rsidRPr="007608CE" w:rsidRDefault="00A46BF1" w:rsidP="007608CE">
            <w:pPr>
              <w:spacing w:line="360" w:lineRule="auto"/>
              <w:rPr>
                <w:rFonts w:ascii="Times New Roman" w:hAnsi="Times New Roman" w:cs="Times New Roman"/>
              </w:rPr>
            </w:pPr>
          </w:p>
        </w:tc>
        <w:tc>
          <w:tcPr>
            <w:tcW w:w="55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366F1B8C" w14:textId="77777777" w:rsidR="00A46BF1" w:rsidRPr="007608CE" w:rsidRDefault="00A46BF1" w:rsidP="007608CE">
            <w:pPr>
              <w:spacing w:line="360" w:lineRule="auto"/>
              <w:rPr>
                <w:rFonts w:ascii="Times New Roman" w:hAnsi="Times New Roman" w:cs="Times New Roman"/>
              </w:rPr>
            </w:pPr>
          </w:p>
        </w:tc>
        <w:tc>
          <w:tcPr>
            <w:tcW w:w="600"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F80A831" w14:textId="77777777" w:rsidR="00A46BF1" w:rsidRPr="007608CE" w:rsidRDefault="00A46BF1" w:rsidP="007608CE">
            <w:pPr>
              <w:spacing w:line="360" w:lineRule="auto"/>
              <w:rPr>
                <w:rFonts w:ascii="Times New Roman" w:hAnsi="Times New Roman" w:cs="Times New Roman"/>
              </w:rPr>
            </w:pPr>
          </w:p>
        </w:tc>
        <w:tc>
          <w:tcPr>
            <w:tcW w:w="450" w:type="pct"/>
            <w:tcBorders>
              <w:top w:val="single" w:sz="2" w:space="0" w:color="auto"/>
              <w:left w:val="single" w:sz="2" w:space="0" w:color="auto"/>
              <w:bottom w:val="single" w:sz="2" w:space="0" w:color="auto"/>
              <w:right w:val="single" w:sz="2" w:space="0" w:color="auto"/>
            </w:tcBorders>
            <w:shd w:val="clear" w:color="auto" w:fill="D3D3D3"/>
            <w:vAlign w:val="center"/>
          </w:tcPr>
          <w:p w14:paraId="65C153F0"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追加投资</w:t>
            </w:r>
          </w:p>
        </w:tc>
        <w:tc>
          <w:tcPr>
            <w:tcW w:w="450" w:type="pct"/>
            <w:tcBorders>
              <w:top w:val="single" w:sz="2" w:space="0" w:color="auto"/>
              <w:left w:val="single" w:sz="2" w:space="0" w:color="auto"/>
              <w:bottom w:val="single" w:sz="2" w:space="0" w:color="auto"/>
              <w:right w:val="single" w:sz="2" w:space="0" w:color="auto"/>
            </w:tcBorders>
            <w:shd w:val="clear" w:color="auto" w:fill="D3D3D3"/>
            <w:vAlign w:val="center"/>
          </w:tcPr>
          <w:p w14:paraId="44BE0CDB"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减少投资</w:t>
            </w:r>
          </w:p>
        </w:tc>
        <w:tc>
          <w:tcPr>
            <w:tcW w:w="500" w:type="pct"/>
            <w:tcBorders>
              <w:top w:val="single" w:sz="2" w:space="0" w:color="auto"/>
              <w:left w:val="single" w:sz="2" w:space="0" w:color="auto"/>
              <w:bottom w:val="single" w:sz="2" w:space="0" w:color="auto"/>
              <w:right w:val="single" w:sz="2" w:space="0" w:color="auto"/>
            </w:tcBorders>
            <w:shd w:val="clear" w:color="auto" w:fill="D3D3D3"/>
            <w:vAlign w:val="center"/>
          </w:tcPr>
          <w:p w14:paraId="4A001243"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计提减值准备</w:t>
            </w:r>
          </w:p>
        </w:tc>
        <w:tc>
          <w:tcPr>
            <w:tcW w:w="231" w:type="pct"/>
            <w:tcBorders>
              <w:top w:val="single" w:sz="2" w:space="0" w:color="auto"/>
              <w:left w:val="single" w:sz="2" w:space="0" w:color="auto"/>
              <w:bottom w:val="single" w:sz="2" w:space="0" w:color="auto"/>
              <w:right w:val="single" w:sz="2" w:space="0" w:color="auto"/>
            </w:tcBorders>
            <w:shd w:val="clear" w:color="auto" w:fill="D3D3D3"/>
            <w:vAlign w:val="center"/>
          </w:tcPr>
          <w:p w14:paraId="7FC972F9"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其他</w:t>
            </w:r>
          </w:p>
        </w:tc>
        <w:tc>
          <w:tcPr>
            <w:tcW w:w="521"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6E4CA41A" w14:textId="77777777" w:rsidR="00A46BF1" w:rsidRPr="007608CE" w:rsidRDefault="00A46BF1" w:rsidP="007608CE">
            <w:pPr>
              <w:spacing w:line="360" w:lineRule="auto"/>
              <w:rPr>
                <w:rFonts w:ascii="Times New Roman" w:hAnsi="Times New Roman" w:cs="Times New Roman"/>
              </w:rPr>
            </w:pPr>
          </w:p>
        </w:tc>
        <w:tc>
          <w:tcPr>
            <w:tcW w:w="459"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0D407E26" w14:textId="77777777" w:rsidR="00A46BF1" w:rsidRPr="007608CE" w:rsidRDefault="00A46BF1" w:rsidP="007608CE">
            <w:pPr>
              <w:spacing w:line="360" w:lineRule="auto"/>
              <w:rPr>
                <w:rFonts w:ascii="Times New Roman" w:hAnsi="Times New Roman" w:cs="Times New Roman"/>
              </w:rPr>
            </w:pPr>
          </w:p>
        </w:tc>
      </w:tr>
      <w:tr w:rsidR="00095F6F" w14:paraId="7F724FFA"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30A14F86"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三诺生物（香港）有限公司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3774820D"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25,788,744.00</w:t>
            </w:r>
          </w:p>
        </w:tc>
        <w:tc>
          <w:tcPr>
            <w:tcW w:w="600" w:type="pct"/>
            <w:tcBorders>
              <w:top w:val="single" w:sz="2" w:space="0" w:color="auto"/>
              <w:left w:val="single" w:sz="2" w:space="0" w:color="auto"/>
              <w:bottom w:val="single" w:sz="2" w:space="0" w:color="auto"/>
              <w:right w:val="single" w:sz="2" w:space="0" w:color="auto"/>
            </w:tcBorders>
            <w:vAlign w:val="center"/>
          </w:tcPr>
          <w:p w14:paraId="0BADF34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2B5BD53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2,125,770.00</w:t>
            </w:r>
          </w:p>
        </w:tc>
        <w:tc>
          <w:tcPr>
            <w:tcW w:w="450" w:type="pct"/>
            <w:tcBorders>
              <w:top w:val="single" w:sz="2" w:space="0" w:color="auto"/>
              <w:left w:val="single" w:sz="2" w:space="0" w:color="auto"/>
              <w:bottom w:val="single" w:sz="2" w:space="0" w:color="auto"/>
              <w:right w:val="single" w:sz="2" w:space="0" w:color="auto"/>
            </w:tcBorders>
            <w:vAlign w:val="center"/>
          </w:tcPr>
          <w:p w14:paraId="7D0FB60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5EC7584D"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20936481"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51837D3B"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27,914,514.00</w:t>
            </w:r>
          </w:p>
        </w:tc>
        <w:tc>
          <w:tcPr>
            <w:tcW w:w="459" w:type="pct"/>
            <w:tcBorders>
              <w:top w:val="single" w:sz="2" w:space="0" w:color="auto"/>
              <w:left w:val="single" w:sz="2" w:space="0" w:color="auto"/>
              <w:bottom w:val="single" w:sz="2" w:space="0" w:color="auto"/>
              <w:right w:val="single" w:sz="2" w:space="0" w:color="auto"/>
            </w:tcBorders>
            <w:vAlign w:val="center"/>
          </w:tcPr>
          <w:p w14:paraId="3C682E81"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6208AF7A"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65748A50"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深圳市三诺健康产业发展有限公司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42EB05B7"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59,074,000.00</w:t>
            </w:r>
          </w:p>
        </w:tc>
        <w:tc>
          <w:tcPr>
            <w:tcW w:w="600" w:type="pct"/>
            <w:tcBorders>
              <w:top w:val="single" w:sz="2" w:space="0" w:color="auto"/>
              <w:left w:val="single" w:sz="2" w:space="0" w:color="auto"/>
              <w:bottom w:val="single" w:sz="2" w:space="0" w:color="auto"/>
              <w:right w:val="single" w:sz="2" w:space="0" w:color="auto"/>
            </w:tcBorders>
            <w:vAlign w:val="center"/>
          </w:tcPr>
          <w:p w14:paraId="4D471179"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3A76408D"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659722C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721E506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0FFEB7DD"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39E0614B"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59,074,000.00</w:t>
            </w:r>
          </w:p>
        </w:tc>
        <w:tc>
          <w:tcPr>
            <w:tcW w:w="459" w:type="pct"/>
            <w:tcBorders>
              <w:top w:val="single" w:sz="2" w:space="0" w:color="auto"/>
              <w:left w:val="single" w:sz="2" w:space="0" w:color="auto"/>
              <w:bottom w:val="single" w:sz="2" w:space="0" w:color="auto"/>
              <w:right w:val="single" w:sz="2" w:space="0" w:color="auto"/>
            </w:tcBorders>
            <w:vAlign w:val="center"/>
          </w:tcPr>
          <w:p w14:paraId="70014313"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0C831D3E"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23EDEB0B"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Sinocare Meditech Inc.</w:t>
            </w:r>
          </w:p>
        </w:tc>
        <w:tc>
          <w:tcPr>
            <w:tcW w:w="551" w:type="pct"/>
            <w:tcBorders>
              <w:top w:val="single" w:sz="2" w:space="0" w:color="auto"/>
              <w:left w:val="single" w:sz="2" w:space="0" w:color="auto"/>
              <w:bottom w:val="single" w:sz="2" w:space="0" w:color="auto"/>
              <w:right w:val="single" w:sz="2" w:space="0" w:color="auto"/>
            </w:tcBorders>
            <w:vAlign w:val="center"/>
          </w:tcPr>
          <w:p w14:paraId="795ED1F2"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26,936,783.00</w:t>
            </w:r>
          </w:p>
        </w:tc>
        <w:tc>
          <w:tcPr>
            <w:tcW w:w="600" w:type="pct"/>
            <w:tcBorders>
              <w:top w:val="single" w:sz="2" w:space="0" w:color="auto"/>
              <w:left w:val="single" w:sz="2" w:space="0" w:color="auto"/>
              <w:bottom w:val="single" w:sz="2" w:space="0" w:color="auto"/>
              <w:right w:val="single" w:sz="2" w:space="0" w:color="auto"/>
            </w:tcBorders>
            <w:vAlign w:val="center"/>
          </w:tcPr>
          <w:p w14:paraId="45A91FA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04305BDB"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4E40A2A5"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20AC75BA"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132D159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43A33F51"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26,936,783.00</w:t>
            </w:r>
          </w:p>
        </w:tc>
        <w:tc>
          <w:tcPr>
            <w:tcW w:w="459" w:type="pct"/>
            <w:tcBorders>
              <w:top w:val="single" w:sz="2" w:space="0" w:color="auto"/>
              <w:left w:val="single" w:sz="2" w:space="0" w:color="auto"/>
              <w:bottom w:val="single" w:sz="2" w:space="0" w:color="auto"/>
              <w:right w:val="single" w:sz="2" w:space="0" w:color="auto"/>
            </w:tcBorders>
            <w:vAlign w:val="center"/>
          </w:tcPr>
          <w:p w14:paraId="68C0D5FF"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7B352FD7"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1DE42B3F"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三诺健康管理有限公司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555BD126"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1,285,320,626.69</w:t>
            </w:r>
          </w:p>
        </w:tc>
        <w:tc>
          <w:tcPr>
            <w:tcW w:w="600" w:type="pct"/>
            <w:tcBorders>
              <w:top w:val="single" w:sz="2" w:space="0" w:color="auto"/>
              <w:left w:val="single" w:sz="2" w:space="0" w:color="auto"/>
              <w:bottom w:val="single" w:sz="2" w:space="0" w:color="auto"/>
              <w:right w:val="single" w:sz="2" w:space="0" w:color="auto"/>
            </w:tcBorders>
            <w:vAlign w:val="center"/>
          </w:tcPr>
          <w:p w14:paraId="3E7380A9"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701BB5C6"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721959B9"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51940485"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367E34F7"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22C2A89F"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1,285,320,626.69</w:t>
            </w:r>
          </w:p>
        </w:tc>
        <w:tc>
          <w:tcPr>
            <w:tcW w:w="459" w:type="pct"/>
            <w:tcBorders>
              <w:top w:val="single" w:sz="2" w:space="0" w:color="auto"/>
              <w:left w:val="single" w:sz="2" w:space="0" w:color="auto"/>
              <w:bottom w:val="single" w:sz="2" w:space="0" w:color="auto"/>
              <w:right w:val="single" w:sz="2" w:space="0" w:color="auto"/>
            </w:tcBorders>
            <w:vAlign w:val="center"/>
          </w:tcPr>
          <w:p w14:paraId="20CB9AC7"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3FFC31FC"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4446BFEE"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长沙三诺医学检验有限公司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693DEF0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5,600,000.00</w:t>
            </w:r>
          </w:p>
        </w:tc>
        <w:tc>
          <w:tcPr>
            <w:tcW w:w="600" w:type="pct"/>
            <w:tcBorders>
              <w:top w:val="single" w:sz="2" w:space="0" w:color="auto"/>
              <w:left w:val="single" w:sz="2" w:space="0" w:color="auto"/>
              <w:bottom w:val="single" w:sz="2" w:space="0" w:color="auto"/>
              <w:right w:val="single" w:sz="2" w:space="0" w:color="auto"/>
            </w:tcBorders>
            <w:vAlign w:val="center"/>
          </w:tcPr>
          <w:p w14:paraId="08075954"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1CFA9C12"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200,000.00</w:t>
            </w:r>
          </w:p>
        </w:tc>
        <w:tc>
          <w:tcPr>
            <w:tcW w:w="450" w:type="pct"/>
            <w:tcBorders>
              <w:top w:val="single" w:sz="2" w:space="0" w:color="auto"/>
              <w:left w:val="single" w:sz="2" w:space="0" w:color="auto"/>
              <w:bottom w:val="single" w:sz="2" w:space="0" w:color="auto"/>
              <w:right w:val="single" w:sz="2" w:space="0" w:color="auto"/>
            </w:tcBorders>
            <w:vAlign w:val="center"/>
          </w:tcPr>
          <w:p w14:paraId="55422CFD"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66C4C691"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26028EA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4B277EA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5,800,000.00</w:t>
            </w:r>
          </w:p>
        </w:tc>
        <w:tc>
          <w:tcPr>
            <w:tcW w:w="459" w:type="pct"/>
            <w:tcBorders>
              <w:top w:val="single" w:sz="2" w:space="0" w:color="auto"/>
              <w:left w:val="single" w:sz="2" w:space="0" w:color="auto"/>
              <w:bottom w:val="single" w:sz="2" w:space="0" w:color="auto"/>
              <w:right w:val="single" w:sz="2" w:space="0" w:color="auto"/>
            </w:tcBorders>
            <w:vAlign w:val="center"/>
          </w:tcPr>
          <w:p w14:paraId="45337CCD"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7CDF3F6B"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4F2C423D"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东莞一测科技有限公司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6FF6100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21,000,000.00</w:t>
            </w:r>
          </w:p>
        </w:tc>
        <w:tc>
          <w:tcPr>
            <w:tcW w:w="600" w:type="pct"/>
            <w:tcBorders>
              <w:top w:val="single" w:sz="2" w:space="0" w:color="auto"/>
              <w:left w:val="single" w:sz="2" w:space="0" w:color="auto"/>
              <w:bottom w:val="single" w:sz="2" w:space="0" w:color="auto"/>
              <w:right w:val="single" w:sz="2" w:space="0" w:color="auto"/>
            </w:tcBorders>
            <w:vAlign w:val="center"/>
          </w:tcPr>
          <w:p w14:paraId="4DD2A02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24570BDB"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3A6E848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3CE03E09"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01B8C22E"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27FE0932"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21,000,000.00</w:t>
            </w:r>
          </w:p>
        </w:tc>
        <w:tc>
          <w:tcPr>
            <w:tcW w:w="459" w:type="pct"/>
            <w:tcBorders>
              <w:top w:val="single" w:sz="2" w:space="0" w:color="auto"/>
              <w:left w:val="single" w:sz="2" w:space="0" w:color="auto"/>
              <w:bottom w:val="single" w:sz="2" w:space="0" w:color="auto"/>
              <w:right w:val="single" w:sz="2" w:space="0" w:color="auto"/>
            </w:tcBorders>
            <w:vAlign w:val="center"/>
          </w:tcPr>
          <w:p w14:paraId="57B39CA1"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1EE0678E"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5195F680"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三伟达健康管理有限公司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011E800B"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200,000.00</w:t>
            </w:r>
          </w:p>
        </w:tc>
        <w:tc>
          <w:tcPr>
            <w:tcW w:w="600" w:type="pct"/>
            <w:tcBorders>
              <w:top w:val="single" w:sz="2" w:space="0" w:color="auto"/>
              <w:left w:val="single" w:sz="2" w:space="0" w:color="auto"/>
              <w:bottom w:val="single" w:sz="2" w:space="0" w:color="auto"/>
              <w:right w:val="single" w:sz="2" w:space="0" w:color="auto"/>
            </w:tcBorders>
            <w:vAlign w:val="center"/>
          </w:tcPr>
          <w:p w14:paraId="0A22DCEC"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768202AE"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74ADB45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200,000.00</w:t>
            </w:r>
          </w:p>
        </w:tc>
        <w:tc>
          <w:tcPr>
            <w:tcW w:w="500" w:type="pct"/>
            <w:tcBorders>
              <w:top w:val="single" w:sz="2" w:space="0" w:color="auto"/>
              <w:left w:val="single" w:sz="2" w:space="0" w:color="auto"/>
              <w:bottom w:val="single" w:sz="2" w:space="0" w:color="auto"/>
              <w:right w:val="single" w:sz="2" w:space="0" w:color="auto"/>
            </w:tcBorders>
            <w:vAlign w:val="center"/>
          </w:tcPr>
          <w:p w14:paraId="46ECA88D"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000B0A8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42A0C18D"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9" w:type="pct"/>
            <w:tcBorders>
              <w:top w:val="single" w:sz="2" w:space="0" w:color="auto"/>
              <w:left w:val="single" w:sz="2" w:space="0" w:color="auto"/>
              <w:bottom w:val="single" w:sz="2" w:space="0" w:color="auto"/>
              <w:right w:val="single" w:sz="2" w:space="0" w:color="auto"/>
            </w:tcBorders>
            <w:vAlign w:val="center"/>
          </w:tcPr>
          <w:p w14:paraId="2C2E2181"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4715CC44"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1A6C8820"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Sinocare Healthcare Philippines Inc</w:t>
            </w:r>
          </w:p>
        </w:tc>
        <w:tc>
          <w:tcPr>
            <w:tcW w:w="551" w:type="pct"/>
            <w:tcBorders>
              <w:top w:val="single" w:sz="2" w:space="0" w:color="auto"/>
              <w:left w:val="single" w:sz="2" w:space="0" w:color="auto"/>
              <w:bottom w:val="single" w:sz="2" w:space="0" w:color="auto"/>
              <w:right w:val="single" w:sz="2" w:space="0" w:color="auto"/>
            </w:tcBorders>
            <w:vAlign w:val="center"/>
          </w:tcPr>
          <w:p w14:paraId="50AEF59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2,206,281.00</w:t>
            </w:r>
          </w:p>
        </w:tc>
        <w:tc>
          <w:tcPr>
            <w:tcW w:w="600" w:type="pct"/>
            <w:tcBorders>
              <w:top w:val="single" w:sz="2" w:space="0" w:color="auto"/>
              <w:left w:val="single" w:sz="2" w:space="0" w:color="auto"/>
              <w:bottom w:val="single" w:sz="2" w:space="0" w:color="auto"/>
              <w:right w:val="single" w:sz="2" w:space="0" w:color="auto"/>
            </w:tcBorders>
            <w:vAlign w:val="center"/>
          </w:tcPr>
          <w:p w14:paraId="630F74A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62FB435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5C547465"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2F021B36"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7EDABC4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2875216B"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2,206,281.00</w:t>
            </w:r>
          </w:p>
        </w:tc>
        <w:tc>
          <w:tcPr>
            <w:tcW w:w="459" w:type="pct"/>
            <w:tcBorders>
              <w:top w:val="single" w:sz="2" w:space="0" w:color="auto"/>
              <w:left w:val="single" w:sz="2" w:space="0" w:color="auto"/>
              <w:bottom w:val="single" w:sz="2" w:space="0" w:color="auto"/>
              <w:right w:val="single" w:sz="2" w:space="0" w:color="auto"/>
            </w:tcBorders>
            <w:vAlign w:val="center"/>
          </w:tcPr>
          <w:p w14:paraId="308FE003"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79F1D173"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5ED83855"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长沙福诺医疗科技有限公司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27F60AF8"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54,000,000.00</w:t>
            </w:r>
          </w:p>
        </w:tc>
        <w:tc>
          <w:tcPr>
            <w:tcW w:w="600" w:type="pct"/>
            <w:tcBorders>
              <w:top w:val="single" w:sz="2" w:space="0" w:color="auto"/>
              <w:left w:val="single" w:sz="2" w:space="0" w:color="auto"/>
              <w:bottom w:val="single" w:sz="2" w:space="0" w:color="auto"/>
              <w:right w:val="single" w:sz="2" w:space="0" w:color="auto"/>
            </w:tcBorders>
            <w:vAlign w:val="center"/>
          </w:tcPr>
          <w:p w14:paraId="250F89C3"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6024C41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7D84C1A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69056507"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0F019D14"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4BF3D272"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54,000,000.00</w:t>
            </w:r>
          </w:p>
        </w:tc>
        <w:tc>
          <w:tcPr>
            <w:tcW w:w="459" w:type="pct"/>
            <w:tcBorders>
              <w:top w:val="single" w:sz="2" w:space="0" w:color="auto"/>
              <w:left w:val="single" w:sz="2" w:space="0" w:color="auto"/>
              <w:bottom w:val="single" w:sz="2" w:space="0" w:color="auto"/>
              <w:right w:val="single" w:sz="2" w:space="0" w:color="auto"/>
            </w:tcBorders>
            <w:vAlign w:val="center"/>
          </w:tcPr>
          <w:p w14:paraId="63DD3282"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259028BA"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498943C0"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Sinocare Medical (Singapore) Pte.Ltd</w:t>
            </w:r>
          </w:p>
        </w:tc>
        <w:tc>
          <w:tcPr>
            <w:tcW w:w="551" w:type="pct"/>
            <w:tcBorders>
              <w:top w:val="single" w:sz="2" w:space="0" w:color="auto"/>
              <w:left w:val="single" w:sz="2" w:space="0" w:color="auto"/>
              <w:bottom w:val="single" w:sz="2" w:space="0" w:color="auto"/>
              <w:right w:val="single" w:sz="2" w:space="0" w:color="auto"/>
            </w:tcBorders>
            <w:vAlign w:val="center"/>
          </w:tcPr>
          <w:p w14:paraId="31F8EF9F"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2,277,777.00</w:t>
            </w:r>
          </w:p>
        </w:tc>
        <w:tc>
          <w:tcPr>
            <w:tcW w:w="600" w:type="pct"/>
            <w:tcBorders>
              <w:top w:val="single" w:sz="2" w:space="0" w:color="auto"/>
              <w:left w:val="single" w:sz="2" w:space="0" w:color="auto"/>
              <w:bottom w:val="single" w:sz="2" w:space="0" w:color="auto"/>
              <w:right w:val="single" w:sz="2" w:space="0" w:color="auto"/>
            </w:tcBorders>
            <w:vAlign w:val="center"/>
          </w:tcPr>
          <w:p w14:paraId="360D7C8E"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3E702C9A"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706BE1B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2,277,777.00</w:t>
            </w:r>
          </w:p>
        </w:tc>
        <w:tc>
          <w:tcPr>
            <w:tcW w:w="500" w:type="pct"/>
            <w:tcBorders>
              <w:top w:val="single" w:sz="2" w:space="0" w:color="auto"/>
              <w:left w:val="single" w:sz="2" w:space="0" w:color="auto"/>
              <w:bottom w:val="single" w:sz="2" w:space="0" w:color="auto"/>
              <w:right w:val="single" w:sz="2" w:space="0" w:color="auto"/>
            </w:tcBorders>
            <w:vAlign w:val="center"/>
          </w:tcPr>
          <w:p w14:paraId="75BE23A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1A6AD4A7"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0F6CBE7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9" w:type="pct"/>
            <w:tcBorders>
              <w:top w:val="single" w:sz="2" w:space="0" w:color="auto"/>
              <w:left w:val="single" w:sz="2" w:space="0" w:color="auto"/>
              <w:bottom w:val="single" w:sz="2" w:space="0" w:color="auto"/>
              <w:right w:val="single" w:sz="2" w:space="0" w:color="auto"/>
            </w:tcBorders>
            <w:vAlign w:val="center"/>
          </w:tcPr>
          <w:p w14:paraId="59D2E298" w14:textId="77777777" w:rsidR="00A46BF1" w:rsidRPr="007608CE" w:rsidRDefault="00A46BF1" w:rsidP="007608CE">
            <w:pPr>
              <w:spacing w:line="360" w:lineRule="auto"/>
              <w:jc w:val="right"/>
              <w:rPr>
                <w:rFonts w:ascii="Times New Roman" w:eastAsia="宋体" w:hAnsi="Times New Roman" w:cs="Times New Roman"/>
                <w:sz w:val="18"/>
                <w:szCs w:val="18"/>
              </w:rPr>
            </w:pPr>
          </w:p>
        </w:tc>
      </w:tr>
      <w:tr w:rsidR="00095F6F" w14:paraId="42BA0881"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vAlign w:val="center"/>
          </w:tcPr>
          <w:p w14:paraId="198A1B23"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长沙心诺健康产业投资有限公司</w:t>
            </w:r>
          </w:p>
        </w:tc>
        <w:tc>
          <w:tcPr>
            <w:tcW w:w="551" w:type="pct"/>
            <w:tcBorders>
              <w:top w:val="single" w:sz="2" w:space="0" w:color="auto"/>
              <w:left w:val="single" w:sz="2" w:space="0" w:color="auto"/>
              <w:bottom w:val="single" w:sz="2" w:space="0" w:color="auto"/>
              <w:right w:val="single" w:sz="2" w:space="0" w:color="auto"/>
            </w:tcBorders>
            <w:vAlign w:val="center"/>
          </w:tcPr>
          <w:p w14:paraId="623FCB61"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503,800,000.00</w:t>
            </w:r>
          </w:p>
        </w:tc>
        <w:tc>
          <w:tcPr>
            <w:tcW w:w="600" w:type="pct"/>
            <w:tcBorders>
              <w:top w:val="single" w:sz="2" w:space="0" w:color="auto"/>
              <w:left w:val="single" w:sz="2" w:space="0" w:color="auto"/>
              <w:bottom w:val="single" w:sz="2" w:space="0" w:color="auto"/>
              <w:right w:val="single" w:sz="2" w:space="0" w:color="auto"/>
            </w:tcBorders>
            <w:vAlign w:val="center"/>
          </w:tcPr>
          <w:p w14:paraId="446A34E2"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18,104,080.80</w:t>
            </w:r>
          </w:p>
        </w:tc>
        <w:tc>
          <w:tcPr>
            <w:tcW w:w="450" w:type="pct"/>
            <w:tcBorders>
              <w:top w:val="single" w:sz="2" w:space="0" w:color="auto"/>
              <w:left w:val="single" w:sz="2" w:space="0" w:color="auto"/>
              <w:bottom w:val="single" w:sz="2" w:space="0" w:color="auto"/>
              <w:right w:val="single" w:sz="2" w:space="0" w:color="auto"/>
            </w:tcBorders>
            <w:vAlign w:val="center"/>
          </w:tcPr>
          <w:p w14:paraId="397BAA7A"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50" w:type="pct"/>
            <w:tcBorders>
              <w:top w:val="single" w:sz="2" w:space="0" w:color="auto"/>
              <w:left w:val="single" w:sz="2" w:space="0" w:color="auto"/>
              <w:bottom w:val="single" w:sz="2" w:space="0" w:color="auto"/>
              <w:right w:val="single" w:sz="2" w:space="0" w:color="auto"/>
            </w:tcBorders>
            <w:vAlign w:val="center"/>
          </w:tcPr>
          <w:p w14:paraId="5847E52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00" w:type="pct"/>
            <w:tcBorders>
              <w:top w:val="single" w:sz="2" w:space="0" w:color="auto"/>
              <w:left w:val="single" w:sz="2" w:space="0" w:color="auto"/>
              <w:bottom w:val="single" w:sz="2" w:space="0" w:color="auto"/>
              <w:right w:val="single" w:sz="2" w:space="0" w:color="auto"/>
            </w:tcBorders>
            <w:vAlign w:val="center"/>
          </w:tcPr>
          <w:p w14:paraId="592E28E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5AE356A4"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5E7FCB0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503,800,000.00</w:t>
            </w:r>
          </w:p>
        </w:tc>
        <w:tc>
          <w:tcPr>
            <w:tcW w:w="459" w:type="pct"/>
            <w:tcBorders>
              <w:top w:val="single" w:sz="2" w:space="0" w:color="auto"/>
              <w:left w:val="single" w:sz="2" w:space="0" w:color="auto"/>
              <w:bottom w:val="single" w:sz="2" w:space="0" w:color="auto"/>
              <w:right w:val="single" w:sz="2" w:space="0" w:color="auto"/>
            </w:tcBorders>
            <w:vAlign w:val="center"/>
          </w:tcPr>
          <w:p w14:paraId="679D02F7"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18,104,080.80</w:t>
            </w:r>
          </w:p>
        </w:tc>
      </w:tr>
      <w:tr w:rsidR="00095F6F" w14:paraId="71F519EE" w14:textId="77777777" w:rsidTr="00DE073A">
        <w:trPr>
          <w:trHeight w:val="240"/>
        </w:trPr>
        <w:tc>
          <w:tcPr>
            <w:tcW w:w="1238" w:type="pct"/>
            <w:tcBorders>
              <w:top w:val="single" w:sz="2" w:space="0" w:color="auto"/>
              <w:left w:val="single" w:sz="2" w:space="0" w:color="auto"/>
              <w:bottom w:val="single" w:sz="2" w:space="0" w:color="auto"/>
              <w:right w:val="single" w:sz="2" w:space="0" w:color="auto"/>
            </w:tcBorders>
            <w:shd w:val="clear" w:color="auto" w:fill="D3D3D3"/>
            <w:vAlign w:val="center"/>
          </w:tcPr>
          <w:p w14:paraId="29946242"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合计</w:t>
            </w:r>
          </w:p>
        </w:tc>
        <w:tc>
          <w:tcPr>
            <w:tcW w:w="551" w:type="pct"/>
            <w:tcBorders>
              <w:top w:val="single" w:sz="2" w:space="0" w:color="auto"/>
              <w:left w:val="single" w:sz="2" w:space="0" w:color="auto"/>
              <w:bottom w:val="single" w:sz="2" w:space="0" w:color="auto"/>
              <w:right w:val="single" w:sz="2" w:space="0" w:color="auto"/>
            </w:tcBorders>
            <w:vAlign w:val="center"/>
          </w:tcPr>
          <w:p w14:paraId="3C8A53C5"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1,986,204,211.69</w:t>
            </w:r>
          </w:p>
        </w:tc>
        <w:tc>
          <w:tcPr>
            <w:tcW w:w="600" w:type="pct"/>
            <w:tcBorders>
              <w:top w:val="single" w:sz="2" w:space="0" w:color="auto"/>
              <w:left w:val="single" w:sz="2" w:space="0" w:color="auto"/>
              <w:bottom w:val="single" w:sz="2" w:space="0" w:color="auto"/>
              <w:right w:val="single" w:sz="2" w:space="0" w:color="auto"/>
            </w:tcBorders>
            <w:vAlign w:val="center"/>
          </w:tcPr>
          <w:p w14:paraId="21BC8595"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18,104,080.80</w:t>
            </w:r>
          </w:p>
        </w:tc>
        <w:tc>
          <w:tcPr>
            <w:tcW w:w="450" w:type="pct"/>
            <w:tcBorders>
              <w:top w:val="single" w:sz="2" w:space="0" w:color="auto"/>
              <w:left w:val="single" w:sz="2" w:space="0" w:color="auto"/>
              <w:bottom w:val="single" w:sz="2" w:space="0" w:color="auto"/>
              <w:right w:val="single" w:sz="2" w:space="0" w:color="auto"/>
            </w:tcBorders>
            <w:vAlign w:val="center"/>
          </w:tcPr>
          <w:p w14:paraId="585D76E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2,325,770.00</w:t>
            </w:r>
          </w:p>
        </w:tc>
        <w:tc>
          <w:tcPr>
            <w:tcW w:w="450" w:type="pct"/>
            <w:tcBorders>
              <w:top w:val="single" w:sz="2" w:space="0" w:color="auto"/>
              <w:left w:val="single" w:sz="2" w:space="0" w:color="auto"/>
              <w:bottom w:val="single" w:sz="2" w:space="0" w:color="auto"/>
              <w:right w:val="single" w:sz="2" w:space="0" w:color="auto"/>
            </w:tcBorders>
            <w:vAlign w:val="center"/>
          </w:tcPr>
          <w:p w14:paraId="14A64FB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2,477,777.00</w:t>
            </w:r>
          </w:p>
        </w:tc>
        <w:tc>
          <w:tcPr>
            <w:tcW w:w="500" w:type="pct"/>
            <w:tcBorders>
              <w:top w:val="single" w:sz="2" w:space="0" w:color="auto"/>
              <w:left w:val="single" w:sz="2" w:space="0" w:color="auto"/>
              <w:bottom w:val="single" w:sz="2" w:space="0" w:color="auto"/>
              <w:right w:val="single" w:sz="2" w:space="0" w:color="auto"/>
            </w:tcBorders>
            <w:vAlign w:val="center"/>
          </w:tcPr>
          <w:p w14:paraId="4B4DA967"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31" w:type="pct"/>
            <w:tcBorders>
              <w:top w:val="single" w:sz="2" w:space="0" w:color="auto"/>
              <w:left w:val="single" w:sz="2" w:space="0" w:color="auto"/>
              <w:bottom w:val="single" w:sz="2" w:space="0" w:color="auto"/>
              <w:right w:val="single" w:sz="2" w:space="0" w:color="auto"/>
            </w:tcBorders>
            <w:vAlign w:val="center"/>
          </w:tcPr>
          <w:p w14:paraId="7D68A08B"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521" w:type="pct"/>
            <w:tcBorders>
              <w:top w:val="single" w:sz="2" w:space="0" w:color="auto"/>
              <w:left w:val="single" w:sz="2" w:space="0" w:color="auto"/>
              <w:bottom w:val="single" w:sz="2" w:space="0" w:color="auto"/>
              <w:right w:val="single" w:sz="2" w:space="0" w:color="auto"/>
            </w:tcBorders>
            <w:vAlign w:val="center"/>
          </w:tcPr>
          <w:p w14:paraId="31E3E351"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1,986,052,204.69</w:t>
            </w:r>
          </w:p>
        </w:tc>
        <w:tc>
          <w:tcPr>
            <w:tcW w:w="459" w:type="pct"/>
            <w:tcBorders>
              <w:top w:val="single" w:sz="2" w:space="0" w:color="auto"/>
              <w:left w:val="single" w:sz="2" w:space="0" w:color="auto"/>
              <w:bottom w:val="single" w:sz="2" w:space="0" w:color="auto"/>
              <w:right w:val="single" w:sz="2" w:space="0" w:color="auto"/>
            </w:tcBorders>
            <w:vAlign w:val="center"/>
          </w:tcPr>
          <w:p w14:paraId="0E9466C8"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18,104,080.80</w:t>
            </w:r>
          </w:p>
        </w:tc>
      </w:tr>
    </w:tbl>
    <w:p w14:paraId="6B7395F1"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对联营、合营企业投资</w:t>
      </w:r>
    </w:p>
    <w:p w14:paraId="4C4C3C81"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CellMar>
          <w:left w:w="28" w:type="dxa"/>
          <w:right w:w="28" w:type="dxa"/>
        </w:tblCellMar>
        <w:tblLook w:val="04A0" w:firstRow="1" w:lastRow="0" w:firstColumn="1" w:lastColumn="0" w:noHBand="0" w:noVBand="1"/>
      </w:tblPr>
      <w:tblGrid>
        <w:gridCol w:w="1862"/>
        <w:gridCol w:w="1267"/>
        <w:gridCol w:w="1295"/>
        <w:gridCol w:w="566"/>
        <w:gridCol w:w="591"/>
        <w:gridCol w:w="1379"/>
        <w:gridCol w:w="821"/>
        <w:gridCol w:w="959"/>
        <w:gridCol w:w="959"/>
        <w:gridCol w:w="1371"/>
        <w:gridCol w:w="586"/>
        <w:gridCol w:w="1138"/>
        <w:gridCol w:w="1222"/>
      </w:tblGrid>
      <w:tr w:rsidR="00095F6F" w14:paraId="45A2D4C9" w14:textId="77777777" w:rsidTr="009436D5">
        <w:trPr>
          <w:trHeight w:val="240"/>
        </w:trPr>
        <w:tc>
          <w:tcPr>
            <w:tcW w:w="664"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23BA07BE"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被投资单位</w:t>
            </w:r>
          </w:p>
        </w:tc>
        <w:tc>
          <w:tcPr>
            <w:tcW w:w="452"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2C7C690"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期初余额（账面价值）</w:t>
            </w:r>
          </w:p>
        </w:tc>
        <w:tc>
          <w:tcPr>
            <w:tcW w:w="462"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519412E"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减值准备期初余额</w:t>
            </w:r>
          </w:p>
        </w:tc>
        <w:tc>
          <w:tcPr>
            <w:tcW w:w="2580" w:type="pct"/>
            <w:gridSpan w:val="8"/>
            <w:tcBorders>
              <w:top w:val="single" w:sz="2" w:space="0" w:color="auto"/>
              <w:left w:val="single" w:sz="2" w:space="0" w:color="auto"/>
              <w:bottom w:val="single" w:sz="2" w:space="0" w:color="auto"/>
              <w:right w:val="single" w:sz="2" w:space="0" w:color="auto"/>
            </w:tcBorders>
            <w:shd w:val="clear" w:color="auto" w:fill="D3D3D3"/>
            <w:vAlign w:val="center"/>
          </w:tcPr>
          <w:p w14:paraId="24E64466"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本期增减变动</w:t>
            </w:r>
          </w:p>
        </w:tc>
        <w:tc>
          <w:tcPr>
            <w:tcW w:w="40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30DAC9DC"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期末余额（账面价值）</w:t>
            </w:r>
          </w:p>
        </w:tc>
        <w:tc>
          <w:tcPr>
            <w:tcW w:w="436"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547EB75D"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减值准备期末余额</w:t>
            </w:r>
          </w:p>
        </w:tc>
      </w:tr>
      <w:tr w:rsidR="00095F6F" w14:paraId="69C577CA" w14:textId="77777777" w:rsidTr="009436D5">
        <w:trPr>
          <w:trHeight w:val="240"/>
        </w:trPr>
        <w:tc>
          <w:tcPr>
            <w:tcW w:w="664"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F36D2CA" w14:textId="77777777" w:rsidR="00A46BF1" w:rsidRPr="007608CE" w:rsidRDefault="00A46BF1" w:rsidP="007608CE">
            <w:pPr>
              <w:spacing w:line="360" w:lineRule="auto"/>
              <w:rPr>
                <w:rFonts w:ascii="Times New Roman" w:hAnsi="Times New Roman" w:cs="Times New Roman"/>
              </w:rPr>
            </w:pPr>
          </w:p>
        </w:tc>
        <w:tc>
          <w:tcPr>
            <w:tcW w:w="452"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5418073" w14:textId="77777777" w:rsidR="00A46BF1" w:rsidRPr="007608CE" w:rsidRDefault="00A46BF1" w:rsidP="007608CE">
            <w:pPr>
              <w:spacing w:line="360" w:lineRule="auto"/>
              <w:rPr>
                <w:rFonts w:ascii="Times New Roman" w:hAnsi="Times New Roman" w:cs="Times New Roman"/>
              </w:rPr>
            </w:pPr>
          </w:p>
        </w:tc>
        <w:tc>
          <w:tcPr>
            <w:tcW w:w="462"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4CE9994A" w14:textId="77777777" w:rsidR="00A46BF1" w:rsidRPr="007608CE" w:rsidRDefault="00A46BF1" w:rsidP="007608CE">
            <w:pPr>
              <w:spacing w:line="360" w:lineRule="auto"/>
              <w:rPr>
                <w:rFonts w:ascii="Times New Roman" w:hAnsi="Times New Roman" w:cs="Times New Roman"/>
              </w:rPr>
            </w:pPr>
          </w:p>
        </w:tc>
        <w:tc>
          <w:tcPr>
            <w:tcW w:w="202" w:type="pct"/>
            <w:tcBorders>
              <w:top w:val="single" w:sz="2" w:space="0" w:color="auto"/>
              <w:left w:val="single" w:sz="2" w:space="0" w:color="auto"/>
              <w:bottom w:val="single" w:sz="2" w:space="0" w:color="auto"/>
              <w:right w:val="single" w:sz="2" w:space="0" w:color="auto"/>
            </w:tcBorders>
            <w:shd w:val="clear" w:color="auto" w:fill="D3D3D3"/>
            <w:vAlign w:val="center"/>
          </w:tcPr>
          <w:p w14:paraId="38AA79BC"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追加投资</w:t>
            </w:r>
          </w:p>
        </w:tc>
        <w:tc>
          <w:tcPr>
            <w:tcW w:w="211" w:type="pct"/>
            <w:tcBorders>
              <w:top w:val="single" w:sz="2" w:space="0" w:color="auto"/>
              <w:left w:val="single" w:sz="2" w:space="0" w:color="auto"/>
              <w:bottom w:val="single" w:sz="2" w:space="0" w:color="auto"/>
              <w:right w:val="single" w:sz="2" w:space="0" w:color="auto"/>
            </w:tcBorders>
            <w:shd w:val="clear" w:color="auto" w:fill="D3D3D3"/>
            <w:vAlign w:val="center"/>
          </w:tcPr>
          <w:p w14:paraId="7F0CF091"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减少投资</w:t>
            </w:r>
          </w:p>
        </w:tc>
        <w:tc>
          <w:tcPr>
            <w:tcW w:w="492" w:type="pct"/>
            <w:tcBorders>
              <w:top w:val="single" w:sz="2" w:space="0" w:color="auto"/>
              <w:left w:val="single" w:sz="2" w:space="0" w:color="auto"/>
              <w:bottom w:val="single" w:sz="2" w:space="0" w:color="auto"/>
              <w:right w:val="single" w:sz="2" w:space="0" w:color="auto"/>
            </w:tcBorders>
            <w:shd w:val="clear" w:color="auto" w:fill="D3D3D3"/>
            <w:vAlign w:val="center"/>
          </w:tcPr>
          <w:p w14:paraId="2E75F19F"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权益法下确认的投资损益</w:t>
            </w:r>
          </w:p>
        </w:tc>
        <w:tc>
          <w:tcPr>
            <w:tcW w:w="293" w:type="pct"/>
            <w:tcBorders>
              <w:top w:val="single" w:sz="2" w:space="0" w:color="auto"/>
              <w:left w:val="single" w:sz="2" w:space="0" w:color="auto"/>
              <w:bottom w:val="single" w:sz="2" w:space="0" w:color="auto"/>
              <w:right w:val="single" w:sz="2" w:space="0" w:color="auto"/>
            </w:tcBorders>
            <w:shd w:val="clear" w:color="auto" w:fill="D3D3D3"/>
            <w:vAlign w:val="center"/>
          </w:tcPr>
          <w:p w14:paraId="7DC33FD8"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其他综合收益调整</w:t>
            </w:r>
          </w:p>
        </w:tc>
        <w:tc>
          <w:tcPr>
            <w:tcW w:w="342" w:type="pct"/>
            <w:tcBorders>
              <w:top w:val="single" w:sz="2" w:space="0" w:color="auto"/>
              <w:left w:val="single" w:sz="2" w:space="0" w:color="auto"/>
              <w:bottom w:val="single" w:sz="2" w:space="0" w:color="auto"/>
              <w:right w:val="single" w:sz="2" w:space="0" w:color="auto"/>
            </w:tcBorders>
            <w:shd w:val="clear" w:color="auto" w:fill="D3D3D3"/>
            <w:vAlign w:val="center"/>
          </w:tcPr>
          <w:p w14:paraId="46752E90"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其他权益变动</w:t>
            </w:r>
          </w:p>
        </w:tc>
        <w:tc>
          <w:tcPr>
            <w:tcW w:w="342" w:type="pct"/>
            <w:tcBorders>
              <w:top w:val="single" w:sz="2" w:space="0" w:color="auto"/>
              <w:left w:val="single" w:sz="2" w:space="0" w:color="auto"/>
              <w:bottom w:val="single" w:sz="2" w:space="0" w:color="auto"/>
              <w:right w:val="single" w:sz="2" w:space="0" w:color="auto"/>
            </w:tcBorders>
            <w:shd w:val="clear" w:color="auto" w:fill="D3D3D3"/>
            <w:vAlign w:val="center"/>
          </w:tcPr>
          <w:p w14:paraId="18883623"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宣告发放现金股利或利润</w:t>
            </w:r>
          </w:p>
        </w:tc>
        <w:tc>
          <w:tcPr>
            <w:tcW w:w="489" w:type="pct"/>
            <w:tcBorders>
              <w:top w:val="single" w:sz="2" w:space="0" w:color="auto"/>
              <w:left w:val="single" w:sz="2" w:space="0" w:color="auto"/>
              <w:bottom w:val="single" w:sz="2" w:space="0" w:color="auto"/>
              <w:right w:val="single" w:sz="2" w:space="0" w:color="auto"/>
            </w:tcBorders>
            <w:shd w:val="clear" w:color="auto" w:fill="D3D3D3"/>
            <w:vAlign w:val="center"/>
          </w:tcPr>
          <w:p w14:paraId="3C919ECD"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计提减值准备</w:t>
            </w:r>
          </w:p>
        </w:tc>
        <w:tc>
          <w:tcPr>
            <w:tcW w:w="209" w:type="pct"/>
            <w:tcBorders>
              <w:top w:val="single" w:sz="2" w:space="0" w:color="auto"/>
              <w:left w:val="single" w:sz="2" w:space="0" w:color="auto"/>
              <w:bottom w:val="single" w:sz="2" w:space="0" w:color="auto"/>
              <w:right w:val="single" w:sz="2" w:space="0" w:color="auto"/>
            </w:tcBorders>
            <w:shd w:val="clear" w:color="auto" w:fill="D3D3D3"/>
            <w:vAlign w:val="center"/>
          </w:tcPr>
          <w:p w14:paraId="39860041"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其他</w:t>
            </w:r>
          </w:p>
        </w:tc>
        <w:tc>
          <w:tcPr>
            <w:tcW w:w="40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64C49906" w14:textId="77777777" w:rsidR="00A46BF1" w:rsidRPr="007608CE" w:rsidRDefault="00A46BF1" w:rsidP="007608CE">
            <w:pPr>
              <w:spacing w:line="360" w:lineRule="auto"/>
              <w:rPr>
                <w:rFonts w:ascii="Times New Roman" w:hAnsi="Times New Roman" w:cs="Times New Roman"/>
              </w:rPr>
            </w:pPr>
          </w:p>
        </w:tc>
        <w:tc>
          <w:tcPr>
            <w:tcW w:w="436"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652F6C18" w14:textId="77777777" w:rsidR="00A46BF1" w:rsidRPr="007608CE" w:rsidRDefault="00A46BF1" w:rsidP="007608CE">
            <w:pPr>
              <w:spacing w:line="360" w:lineRule="auto"/>
              <w:rPr>
                <w:rFonts w:ascii="Times New Roman" w:hAnsi="Times New Roman" w:cs="Times New Roman"/>
              </w:rPr>
            </w:pPr>
          </w:p>
        </w:tc>
      </w:tr>
      <w:tr w:rsidR="00095F6F" w14:paraId="02EDB874" w14:textId="77777777" w:rsidTr="009436D5">
        <w:trPr>
          <w:trHeight w:val="240"/>
        </w:trPr>
        <w:tc>
          <w:tcPr>
            <w:tcW w:w="5000" w:type="pct"/>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6E35651F"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一、合营企业</w:t>
            </w:r>
          </w:p>
        </w:tc>
      </w:tr>
      <w:tr w:rsidR="00095F6F" w14:paraId="02CA2B46" w14:textId="77777777" w:rsidTr="009436D5">
        <w:trPr>
          <w:trHeight w:val="240"/>
        </w:trPr>
        <w:tc>
          <w:tcPr>
            <w:tcW w:w="5000" w:type="pct"/>
            <w:gridSpan w:val="13"/>
            <w:tcBorders>
              <w:top w:val="single" w:sz="2" w:space="0" w:color="auto"/>
              <w:left w:val="single" w:sz="2" w:space="0" w:color="auto"/>
              <w:bottom w:val="single" w:sz="2" w:space="0" w:color="auto"/>
              <w:right w:val="single" w:sz="2" w:space="0" w:color="auto"/>
            </w:tcBorders>
            <w:shd w:val="clear" w:color="auto" w:fill="D3D3D3"/>
            <w:vAlign w:val="center"/>
          </w:tcPr>
          <w:p w14:paraId="5BD0D86E"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二、联营企业</w:t>
            </w:r>
          </w:p>
        </w:tc>
      </w:tr>
      <w:tr w:rsidR="00095F6F" w14:paraId="6AF1CC0F" w14:textId="77777777" w:rsidTr="009436D5">
        <w:trPr>
          <w:trHeight w:val="240"/>
        </w:trPr>
        <w:tc>
          <w:tcPr>
            <w:tcW w:w="664" w:type="pct"/>
            <w:tcBorders>
              <w:top w:val="single" w:sz="2" w:space="0" w:color="auto"/>
              <w:left w:val="single" w:sz="2" w:space="0" w:color="auto"/>
              <w:bottom w:val="single" w:sz="2" w:space="0" w:color="auto"/>
              <w:right w:val="single" w:sz="2" w:space="0" w:color="auto"/>
            </w:tcBorders>
            <w:vAlign w:val="center"/>
          </w:tcPr>
          <w:p w14:paraId="3F16954F" w14:textId="77777777" w:rsidR="00A46BF1" w:rsidRPr="007608CE" w:rsidRDefault="00A46BF1" w:rsidP="007608CE">
            <w:pPr>
              <w:spacing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北京糖护科技有限公司</w:t>
            </w:r>
          </w:p>
        </w:tc>
        <w:tc>
          <w:tcPr>
            <w:tcW w:w="452" w:type="pct"/>
            <w:tcBorders>
              <w:top w:val="single" w:sz="2" w:space="0" w:color="auto"/>
              <w:left w:val="single" w:sz="2" w:space="0" w:color="auto"/>
              <w:bottom w:val="single" w:sz="2" w:space="0" w:color="auto"/>
              <w:right w:val="single" w:sz="2" w:space="0" w:color="auto"/>
            </w:tcBorders>
            <w:vAlign w:val="center"/>
          </w:tcPr>
          <w:p w14:paraId="606ABE35"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4,914,000.00</w:t>
            </w:r>
          </w:p>
        </w:tc>
        <w:tc>
          <w:tcPr>
            <w:tcW w:w="462" w:type="pct"/>
            <w:tcBorders>
              <w:top w:val="single" w:sz="2" w:space="0" w:color="auto"/>
              <w:left w:val="single" w:sz="2" w:space="0" w:color="auto"/>
              <w:bottom w:val="single" w:sz="2" w:space="0" w:color="auto"/>
              <w:right w:val="single" w:sz="2" w:space="0" w:color="auto"/>
            </w:tcBorders>
            <w:vAlign w:val="center"/>
          </w:tcPr>
          <w:p w14:paraId="7A0FCE2B"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10,573,708.33</w:t>
            </w:r>
          </w:p>
        </w:tc>
        <w:tc>
          <w:tcPr>
            <w:tcW w:w="202" w:type="pct"/>
            <w:tcBorders>
              <w:top w:val="single" w:sz="2" w:space="0" w:color="auto"/>
              <w:left w:val="single" w:sz="2" w:space="0" w:color="auto"/>
              <w:bottom w:val="single" w:sz="2" w:space="0" w:color="auto"/>
              <w:right w:val="single" w:sz="2" w:space="0" w:color="auto"/>
            </w:tcBorders>
            <w:vAlign w:val="center"/>
          </w:tcPr>
          <w:p w14:paraId="4B653C6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11" w:type="pct"/>
            <w:tcBorders>
              <w:top w:val="single" w:sz="2" w:space="0" w:color="auto"/>
              <w:left w:val="single" w:sz="2" w:space="0" w:color="auto"/>
              <w:bottom w:val="single" w:sz="2" w:space="0" w:color="auto"/>
              <w:right w:val="single" w:sz="2" w:space="0" w:color="auto"/>
            </w:tcBorders>
            <w:vAlign w:val="center"/>
          </w:tcPr>
          <w:p w14:paraId="05CC4F0F"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92" w:type="pct"/>
            <w:tcBorders>
              <w:top w:val="single" w:sz="2" w:space="0" w:color="auto"/>
              <w:left w:val="single" w:sz="2" w:space="0" w:color="auto"/>
              <w:bottom w:val="single" w:sz="2" w:space="0" w:color="auto"/>
              <w:right w:val="single" w:sz="2" w:space="0" w:color="auto"/>
            </w:tcBorders>
            <w:vAlign w:val="center"/>
          </w:tcPr>
          <w:p w14:paraId="0A01B90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-86,340.03</w:t>
            </w:r>
          </w:p>
        </w:tc>
        <w:tc>
          <w:tcPr>
            <w:tcW w:w="293" w:type="pct"/>
            <w:tcBorders>
              <w:top w:val="single" w:sz="2" w:space="0" w:color="auto"/>
              <w:left w:val="single" w:sz="2" w:space="0" w:color="auto"/>
              <w:bottom w:val="single" w:sz="2" w:space="0" w:color="auto"/>
              <w:right w:val="single" w:sz="2" w:space="0" w:color="auto"/>
            </w:tcBorders>
            <w:vAlign w:val="center"/>
          </w:tcPr>
          <w:p w14:paraId="7F2445CA"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342" w:type="pct"/>
            <w:tcBorders>
              <w:top w:val="single" w:sz="2" w:space="0" w:color="auto"/>
              <w:left w:val="single" w:sz="2" w:space="0" w:color="auto"/>
              <w:bottom w:val="single" w:sz="2" w:space="0" w:color="auto"/>
              <w:right w:val="single" w:sz="2" w:space="0" w:color="auto"/>
            </w:tcBorders>
            <w:vAlign w:val="center"/>
          </w:tcPr>
          <w:p w14:paraId="2D96471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8,453.61</w:t>
            </w:r>
          </w:p>
        </w:tc>
        <w:tc>
          <w:tcPr>
            <w:tcW w:w="342" w:type="pct"/>
            <w:tcBorders>
              <w:top w:val="single" w:sz="2" w:space="0" w:color="auto"/>
              <w:left w:val="single" w:sz="2" w:space="0" w:color="auto"/>
              <w:bottom w:val="single" w:sz="2" w:space="0" w:color="auto"/>
              <w:right w:val="single" w:sz="2" w:space="0" w:color="auto"/>
            </w:tcBorders>
            <w:vAlign w:val="center"/>
          </w:tcPr>
          <w:p w14:paraId="793184EE"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89" w:type="pct"/>
            <w:tcBorders>
              <w:top w:val="single" w:sz="2" w:space="0" w:color="auto"/>
              <w:left w:val="single" w:sz="2" w:space="0" w:color="auto"/>
              <w:bottom w:val="single" w:sz="2" w:space="0" w:color="auto"/>
              <w:right w:val="single" w:sz="2" w:space="0" w:color="auto"/>
            </w:tcBorders>
            <w:vAlign w:val="center"/>
          </w:tcPr>
          <w:p w14:paraId="7BC5A747"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1,764,729.78</w:t>
            </w:r>
          </w:p>
        </w:tc>
        <w:tc>
          <w:tcPr>
            <w:tcW w:w="209" w:type="pct"/>
            <w:tcBorders>
              <w:top w:val="single" w:sz="2" w:space="0" w:color="auto"/>
              <w:left w:val="single" w:sz="2" w:space="0" w:color="auto"/>
              <w:bottom w:val="single" w:sz="2" w:space="0" w:color="auto"/>
              <w:right w:val="single" w:sz="2" w:space="0" w:color="auto"/>
            </w:tcBorders>
            <w:vAlign w:val="center"/>
          </w:tcPr>
          <w:p w14:paraId="68AF42B4"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06" w:type="pct"/>
            <w:tcBorders>
              <w:top w:val="single" w:sz="2" w:space="0" w:color="auto"/>
              <w:left w:val="single" w:sz="2" w:space="0" w:color="auto"/>
              <w:bottom w:val="single" w:sz="2" w:space="0" w:color="auto"/>
              <w:right w:val="single" w:sz="2" w:space="0" w:color="auto"/>
            </w:tcBorders>
            <w:vAlign w:val="center"/>
          </w:tcPr>
          <w:p w14:paraId="269EF398"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3,071,383.80</w:t>
            </w:r>
          </w:p>
        </w:tc>
        <w:tc>
          <w:tcPr>
            <w:tcW w:w="436" w:type="pct"/>
            <w:tcBorders>
              <w:top w:val="single" w:sz="2" w:space="0" w:color="auto"/>
              <w:left w:val="single" w:sz="2" w:space="0" w:color="auto"/>
              <w:bottom w:val="single" w:sz="2" w:space="0" w:color="auto"/>
              <w:right w:val="single" w:sz="2" w:space="0" w:color="auto"/>
            </w:tcBorders>
            <w:vAlign w:val="center"/>
          </w:tcPr>
          <w:p w14:paraId="3AF3DFE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12,338,438.11</w:t>
            </w:r>
          </w:p>
        </w:tc>
      </w:tr>
      <w:tr w:rsidR="00095F6F" w14:paraId="5DB37E8F" w14:textId="77777777" w:rsidTr="009436D5">
        <w:trPr>
          <w:trHeight w:val="240"/>
        </w:trPr>
        <w:tc>
          <w:tcPr>
            <w:tcW w:w="664" w:type="pct"/>
            <w:tcBorders>
              <w:top w:val="single" w:sz="2" w:space="0" w:color="auto"/>
              <w:left w:val="single" w:sz="2" w:space="0" w:color="auto"/>
              <w:bottom w:val="single" w:sz="2" w:space="0" w:color="auto"/>
              <w:right w:val="single" w:sz="2" w:space="0" w:color="auto"/>
            </w:tcBorders>
            <w:shd w:val="clear" w:color="auto" w:fill="D3D3D3"/>
            <w:vAlign w:val="center"/>
          </w:tcPr>
          <w:p w14:paraId="2BDEBD92"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小计</w:t>
            </w:r>
          </w:p>
        </w:tc>
        <w:tc>
          <w:tcPr>
            <w:tcW w:w="452" w:type="pct"/>
            <w:tcBorders>
              <w:top w:val="single" w:sz="2" w:space="0" w:color="auto"/>
              <w:left w:val="single" w:sz="2" w:space="0" w:color="auto"/>
              <w:bottom w:val="single" w:sz="2" w:space="0" w:color="auto"/>
              <w:right w:val="single" w:sz="2" w:space="0" w:color="auto"/>
            </w:tcBorders>
            <w:vAlign w:val="center"/>
          </w:tcPr>
          <w:p w14:paraId="1B1B55CB"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4,914,000.00</w:t>
            </w:r>
          </w:p>
        </w:tc>
        <w:tc>
          <w:tcPr>
            <w:tcW w:w="462" w:type="pct"/>
            <w:tcBorders>
              <w:top w:val="single" w:sz="2" w:space="0" w:color="auto"/>
              <w:left w:val="single" w:sz="2" w:space="0" w:color="auto"/>
              <w:bottom w:val="single" w:sz="2" w:space="0" w:color="auto"/>
              <w:right w:val="single" w:sz="2" w:space="0" w:color="auto"/>
            </w:tcBorders>
            <w:vAlign w:val="center"/>
          </w:tcPr>
          <w:p w14:paraId="02B718BA"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10,573,708.33</w:t>
            </w:r>
          </w:p>
        </w:tc>
        <w:tc>
          <w:tcPr>
            <w:tcW w:w="202" w:type="pct"/>
            <w:tcBorders>
              <w:top w:val="single" w:sz="2" w:space="0" w:color="auto"/>
              <w:left w:val="single" w:sz="2" w:space="0" w:color="auto"/>
              <w:bottom w:val="single" w:sz="2" w:space="0" w:color="auto"/>
              <w:right w:val="single" w:sz="2" w:space="0" w:color="auto"/>
            </w:tcBorders>
            <w:vAlign w:val="center"/>
          </w:tcPr>
          <w:p w14:paraId="453C5217"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11" w:type="pct"/>
            <w:tcBorders>
              <w:top w:val="single" w:sz="2" w:space="0" w:color="auto"/>
              <w:left w:val="single" w:sz="2" w:space="0" w:color="auto"/>
              <w:bottom w:val="single" w:sz="2" w:space="0" w:color="auto"/>
              <w:right w:val="single" w:sz="2" w:space="0" w:color="auto"/>
            </w:tcBorders>
            <w:vAlign w:val="center"/>
          </w:tcPr>
          <w:p w14:paraId="362610E1"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92" w:type="pct"/>
            <w:tcBorders>
              <w:top w:val="single" w:sz="2" w:space="0" w:color="auto"/>
              <w:left w:val="single" w:sz="2" w:space="0" w:color="auto"/>
              <w:bottom w:val="single" w:sz="2" w:space="0" w:color="auto"/>
              <w:right w:val="single" w:sz="2" w:space="0" w:color="auto"/>
            </w:tcBorders>
            <w:vAlign w:val="center"/>
          </w:tcPr>
          <w:p w14:paraId="6D624E05"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-86,340.03</w:t>
            </w:r>
          </w:p>
        </w:tc>
        <w:tc>
          <w:tcPr>
            <w:tcW w:w="293" w:type="pct"/>
            <w:tcBorders>
              <w:top w:val="single" w:sz="2" w:space="0" w:color="auto"/>
              <w:left w:val="single" w:sz="2" w:space="0" w:color="auto"/>
              <w:bottom w:val="single" w:sz="2" w:space="0" w:color="auto"/>
              <w:right w:val="single" w:sz="2" w:space="0" w:color="auto"/>
            </w:tcBorders>
            <w:vAlign w:val="center"/>
          </w:tcPr>
          <w:p w14:paraId="6F57FE30"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342" w:type="pct"/>
            <w:tcBorders>
              <w:top w:val="single" w:sz="2" w:space="0" w:color="auto"/>
              <w:left w:val="single" w:sz="2" w:space="0" w:color="auto"/>
              <w:bottom w:val="single" w:sz="2" w:space="0" w:color="auto"/>
              <w:right w:val="single" w:sz="2" w:space="0" w:color="auto"/>
            </w:tcBorders>
            <w:vAlign w:val="center"/>
          </w:tcPr>
          <w:p w14:paraId="1DBF78B1"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8,453.61</w:t>
            </w:r>
          </w:p>
        </w:tc>
        <w:tc>
          <w:tcPr>
            <w:tcW w:w="342" w:type="pct"/>
            <w:tcBorders>
              <w:top w:val="single" w:sz="2" w:space="0" w:color="auto"/>
              <w:left w:val="single" w:sz="2" w:space="0" w:color="auto"/>
              <w:bottom w:val="single" w:sz="2" w:space="0" w:color="auto"/>
              <w:right w:val="single" w:sz="2" w:space="0" w:color="auto"/>
            </w:tcBorders>
            <w:vAlign w:val="center"/>
          </w:tcPr>
          <w:p w14:paraId="5585DE83"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89" w:type="pct"/>
            <w:tcBorders>
              <w:top w:val="single" w:sz="2" w:space="0" w:color="auto"/>
              <w:left w:val="single" w:sz="2" w:space="0" w:color="auto"/>
              <w:bottom w:val="single" w:sz="2" w:space="0" w:color="auto"/>
              <w:right w:val="single" w:sz="2" w:space="0" w:color="auto"/>
            </w:tcBorders>
            <w:vAlign w:val="center"/>
          </w:tcPr>
          <w:p w14:paraId="0BB63AF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1,764,729.78</w:t>
            </w:r>
          </w:p>
        </w:tc>
        <w:tc>
          <w:tcPr>
            <w:tcW w:w="209" w:type="pct"/>
            <w:tcBorders>
              <w:top w:val="single" w:sz="2" w:space="0" w:color="auto"/>
              <w:left w:val="single" w:sz="2" w:space="0" w:color="auto"/>
              <w:bottom w:val="single" w:sz="2" w:space="0" w:color="auto"/>
              <w:right w:val="single" w:sz="2" w:space="0" w:color="auto"/>
            </w:tcBorders>
            <w:vAlign w:val="center"/>
          </w:tcPr>
          <w:p w14:paraId="69017E88"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06" w:type="pct"/>
            <w:tcBorders>
              <w:top w:val="single" w:sz="2" w:space="0" w:color="auto"/>
              <w:left w:val="single" w:sz="2" w:space="0" w:color="auto"/>
              <w:bottom w:val="single" w:sz="2" w:space="0" w:color="auto"/>
              <w:right w:val="single" w:sz="2" w:space="0" w:color="auto"/>
            </w:tcBorders>
            <w:vAlign w:val="center"/>
          </w:tcPr>
          <w:p w14:paraId="79600EF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3,071,383.80</w:t>
            </w:r>
          </w:p>
        </w:tc>
        <w:tc>
          <w:tcPr>
            <w:tcW w:w="436" w:type="pct"/>
            <w:tcBorders>
              <w:top w:val="single" w:sz="2" w:space="0" w:color="auto"/>
              <w:left w:val="single" w:sz="2" w:space="0" w:color="auto"/>
              <w:bottom w:val="single" w:sz="2" w:space="0" w:color="auto"/>
              <w:right w:val="single" w:sz="2" w:space="0" w:color="auto"/>
            </w:tcBorders>
            <w:vAlign w:val="center"/>
          </w:tcPr>
          <w:p w14:paraId="752AA7E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12,338,438.11</w:t>
            </w:r>
          </w:p>
        </w:tc>
      </w:tr>
      <w:tr w:rsidR="00095F6F" w14:paraId="2A0AB748" w14:textId="77777777" w:rsidTr="009436D5">
        <w:trPr>
          <w:trHeight w:val="240"/>
        </w:trPr>
        <w:tc>
          <w:tcPr>
            <w:tcW w:w="664" w:type="pct"/>
            <w:tcBorders>
              <w:top w:val="single" w:sz="2" w:space="0" w:color="auto"/>
              <w:left w:val="single" w:sz="2" w:space="0" w:color="auto"/>
              <w:bottom w:val="single" w:sz="2" w:space="0" w:color="auto"/>
              <w:right w:val="single" w:sz="2" w:space="0" w:color="auto"/>
            </w:tcBorders>
            <w:shd w:val="clear" w:color="auto" w:fill="D3D3D3"/>
            <w:vAlign w:val="center"/>
          </w:tcPr>
          <w:p w14:paraId="0C83AEE3"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合计</w:t>
            </w:r>
          </w:p>
        </w:tc>
        <w:tc>
          <w:tcPr>
            <w:tcW w:w="452" w:type="pct"/>
            <w:tcBorders>
              <w:top w:val="single" w:sz="2" w:space="0" w:color="auto"/>
              <w:left w:val="single" w:sz="2" w:space="0" w:color="auto"/>
              <w:bottom w:val="single" w:sz="2" w:space="0" w:color="auto"/>
              <w:right w:val="single" w:sz="2" w:space="0" w:color="auto"/>
            </w:tcBorders>
            <w:vAlign w:val="center"/>
          </w:tcPr>
          <w:p w14:paraId="32D8EA6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4,914,000.00</w:t>
            </w:r>
          </w:p>
        </w:tc>
        <w:tc>
          <w:tcPr>
            <w:tcW w:w="462" w:type="pct"/>
            <w:tcBorders>
              <w:top w:val="single" w:sz="2" w:space="0" w:color="auto"/>
              <w:left w:val="single" w:sz="2" w:space="0" w:color="auto"/>
              <w:bottom w:val="single" w:sz="2" w:space="0" w:color="auto"/>
              <w:right w:val="single" w:sz="2" w:space="0" w:color="auto"/>
            </w:tcBorders>
            <w:vAlign w:val="center"/>
          </w:tcPr>
          <w:p w14:paraId="46A5F9CD"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10,573,708.33</w:t>
            </w:r>
          </w:p>
        </w:tc>
        <w:tc>
          <w:tcPr>
            <w:tcW w:w="202" w:type="pct"/>
            <w:tcBorders>
              <w:top w:val="single" w:sz="2" w:space="0" w:color="auto"/>
              <w:left w:val="single" w:sz="2" w:space="0" w:color="auto"/>
              <w:bottom w:val="single" w:sz="2" w:space="0" w:color="auto"/>
              <w:right w:val="single" w:sz="2" w:space="0" w:color="auto"/>
            </w:tcBorders>
            <w:vAlign w:val="center"/>
          </w:tcPr>
          <w:p w14:paraId="686D1762"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211" w:type="pct"/>
            <w:tcBorders>
              <w:top w:val="single" w:sz="2" w:space="0" w:color="auto"/>
              <w:left w:val="single" w:sz="2" w:space="0" w:color="auto"/>
              <w:bottom w:val="single" w:sz="2" w:space="0" w:color="auto"/>
              <w:right w:val="single" w:sz="2" w:space="0" w:color="auto"/>
            </w:tcBorders>
            <w:vAlign w:val="center"/>
          </w:tcPr>
          <w:p w14:paraId="3C26EDF5"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92" w:type="pct"/>
            <w:tcBorders>
              <w:top w:val="single" w:sz="2" w:space="0" w:color="auto"/>
              <w:left w:val="single" w:sz="2" w:space="0" w:color="auto"/>
              <w:bottom w:val="single" w:sz="2" w:space="0" w:color="auto"/>
              <w:right w:val="single" w:sz="2" w:space="0" w:color="auto"/>
            </w:tcBorders>
            <w:vAlign w:val="center"/>
          </w:tcPr>
          <w:p w14:paraId="3C83A44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-86,340.03</w:t>
            </w:r>
          </w:p>
        </w:tc>
        <w:tc>
          <w:tcPr>
            <w:tcW w:w="293" w:type="pct"/>
            <w:tcBorders>
              <w:top w:val="single" w:sz="2" w:space="0" w:color="auto"/>
              <w:left w:val="single" w:sz="2" w:space="0" w:color="auto"/>
              <w:bottom w:val="single" w:sz="2" w:space="0" w:color="auto"/>
              <w:right w:val="single" w:sz="2" w:space="0" w:color="auto"/>
            </w:tcBorders>
            <w:vAlign w:val="center"/>
          </w:tcPr>
          <w:p w14:paraId="2142DEB7"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342" w:type="pct"/>
            <w:tcBorders>
              <w:top w:val="single" w:sz="2" w:space="0" w:color="auto"/>
              <w:left w:val="single" w:sz="2" w:space="0" w:color="auto"/>
              <w:bottom w:val="single" w:sz="2" w:space="0" w:color="auto"/>
              <w:right w:val="single" w:sz="2" w:space="0" w:color="auto"/>
            </w:tcBorders>
            <w:vAlign w:val="center"/>
          </w:tcPr>
          <w:p w14:paraId="1D66C39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8,453.61</w:t>
            </w:r>
          </w:p>
        </w:tc>
        <w:tc>
          <w:tcPr>
            <w:tcW w:w="342" w:type="pct"/>
            <w:tcBorders>
              <w:top w:val="single" w:sz="2" w:space="0" w:color="auto"/>
              <w:left w:val="single" w:sz="2" w:space="0" w:color="auto"/>
              <w:bottom w:val="single" w:sz="2" w:space="0" w:color="auto"/>
              <w:right w:val="single" w:sz="2" w:space="0" w:color="auto"/>
            </w:tcBorders>
            <w:vAlign w:val="center"/>
          </w:tcPr>
          <w:p w14:paraId="0A691DD1"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89" w:type="pct"/>
            <w:tcBorders>
              <w:top w:val="single" w:sz="2" w:space="0" w:color="auto"/>
              <w:left w:val="single" w:sz="2" w:space="0" w:color="auto"/>
              <w:bottom w:val="single" w:sz="2" w:space="0" w:color="auto"/>
              <w:right w:val="single" w:sz="2" w:space="0" w:color="auto"/>
            </w:tcBorders>
            <w:vAlign w:val="center"/>
          </w:tcPr>
          <w:p w14:paraId="7DA99EBC"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1,764,729.78</w:t>
            </w:r>
          </w:p>
        </w:tc>
        <w:tc>
          <w:tcPr>
            <w:tcW w:w="209" w:type="pct"/>
            <w:tcBorders>
              <w:top w:val="single" w:sz="2" w:space="0" w:color="auto"/>
              <w:left w:val="single" w:sz="2" w:space="0" w:color="auto"/>
              <w:bottom w:val="single" w:sz="2" w:space="0" w:color="auto"/>
              <w:right w:val="single" w:sz="2" w:space="0" w:color="auto"/>
            </w:tcBorders>
            <w:vAlign w:val="center"/>
          </w:tcPr>
          <w:p w14:paraId="6F3B7AE5" w14:textId="77777777" w:rsidR="00A46BF1" w:rsidRPr="007608CE" w:rsidRDefault="00A46BF1" w:rsidP="007608CE">
            <w:pPr>
              <w:spacing w:line="360" w:lineRule="auto"/>
              <w:jc w:val="right"/>
              <w:rPr>
                <w:rFonts w:ascii="Times New Roman" w:eastAsia="宋体" w:hAnsi="Times New Roman" w:cs="Times New Roman"/>
                <w:sz w:val="18"/>
                <w:szCs w:val="18"/>
              </w:rPr>
            </w:pPr>
          </w:p>
        </w:tc>
        <w:tc>
          <w:tcPr>
            <w:tcW w:w="406" w:type="pct"/>
            <w:tcBorders>
              <w:top w:val="single" w:sz="2" w:space="0" w:color="auto"/>
              <w:left w:val="single" w:sz="2" w:space="0" w:color="auto"/>
              <w:bottom w:val="single" w:sz="2" w:space="0" w:color="auto"/>
              <w:right w:val="single" w:sz="2" w:space="0" w:color="auto"/>
            </w:tcBorders>
            <w:vAlign w:val="center"/>
          </w:tcPr>
          <w:p w14:paraId="57E692E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3,071,383.80</w:t>
            </w:r>
          </w:p>
        </w:tc>
        <w:tc>
          <w:tcPr>
            <w:tcW w:w="436" w:type="pct"/>
            <w:tcBorders>
              <w:top w:val="single" w:sz="2" w:space="0" w:color="auto"/>
              <w:left w:val="single" w:sz="2" w:space="0" w:color="auto"/>
              <w:bottom w:val="single" w:sz="2" w:space="0" w:color="auto"/>
              <w:right w:val="single" w:sz="2" w:space="0" w:color="auto"/>
            </w:tcBorders>
            <w:vAlign w:val="center"/>
          </w:tcPr>
          <w:p w14:paraId="439EC7E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12,338,438.11</w:t>
            </w:r>
          </w:p>
        </w:tc>
      </w:tr>
    </w:tbl>
    <w:p w14:paraId="3E45D1D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可收回金额按公允价值减去处置费用后的净额确定</w:t>
      </w:r>
    </w:p>
    <w:p w14:paraId="1790922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2044BD7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可收回金额按预计未来现金流量的现值确定</w:t>
      </w:r>
    </w:p>
    <w:p w14:paraId="08252E0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1563E4C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前述信息与以前年度减值测试采用的信息或外部信息明显不一致的差异原因</w:t>
      </w:r>
    </w:p>
    <w:p w14:paraId="344BF058" w14:textId="77777777" w:rsidR="00A46BF1" w:rsidRPr="007608CE" w:rsidRDefault="00A46BF1" w:rsidP="007608CE">
      <w:pPr>
        <w:spacing w:before="100" w:after="100" w:line="240" w:lineRule="exact"/>
        <w:rPr>
          <w:rFonts w:ascii="宋体" w:eastAsia="宋体" w:hAnsi="宋体" w:cs="宋体"/>
          <w:sz w:val="18"/>
          <w:szCs w:val="18"/>
        </w:rPr>
      </w:pPr>
      <w:r w:rsidRPr="007608CE">
        <w:rPr>
          <w:rFonts w:ascii="宋体" w:eastAsia="宋体" w:hAnsi="宋体" w:cs="宋体" w:hint="eastAsia"/>
          <w:sz w:val="18"/>
          <w:szCs w:val="18"/>
        </w:rPr>
        <w:t>不适用</w:t>
      </w:r>
    </w:p>
    <w:p w14:paraId="60504233"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公司以前年度减值测试采用信息与当年实际情况明显不一致的差异原因</w:t>
      </w:r>
    </w:p>
    <w:p w14:paraId="02087D64" w14:textId="77777777" w:rsidR="00A46BF1" w:rsidRPr="007608CE" w:rsidRDefault="00A46BF1" w:rsidP="007608CE">
      <w:pPr>
        <w:spacing w:before="100" w:after="100" w:line="240" w:lineRule="exact"/>
        <w:rPr>
          <w:rFonts w:ascii="宋体" w:eastAsia="宋体" w:hAnsi="宋体" w:cs="宋体"/>
          <w:sz w:val="18"/>
          <w:szCs w:val="18"/>
        </w:rPr>
      </w:pPr>
      <w:r w:rsidRPr="007608CE">
        <w:rPr>
          <w:rFonts w:ascii="宋体" w:eastAsia="宋体" w:hAnsi="宋体" w:cs="宋体" w:hint="eastAsia"/>
          <w:sz w:val="18"/>
          <w:szCs w:val="18"/>
        </w:rPr>
        <w:t>不适用</w:t>
      </w:r>
    </w:p>
    <w:p w14:paraId="6124FCBB" w14:textId="77777777" w:rsidR="007608CE" w:rsidRDefault="007608CE" w:rsidP="00A46BF1">
      <w:pPr>
        <w:pStyle w:val="3"/>
        <w:spacing w:line="280" w:lineRule="exact"/>
        <w:jc w:val="left"/>
        <w:rPr>
          <w:rFonts w:ascii="宋体" w:hAnsi="宋体" w:cs="宋体"/>
          <w:b/>
          <w:bCs/>
        </w:rPr>
        <w:sectPr w:rsidR="007608CE" w:rsidSect="007608CE">
          <w:pgSz w:w="16840" w:h="11905" w:orient="landscape"/>
          <w:pgMar w:top="1134" w:right="1440" w:bottom="1134" w:left="1440" w:header="850" w:footer="992" w:gutter="0"/>
          <w:cols w:space="720"/>
          <w:docGrid w:type="linesAndChars" w:linePitch="312"/>
        </w:sectPr>
      </w:pPr>
    </w:p>
    <w:p w14:paraId="1ABF1728" w14:textId="730D528E" w:rsidR="00A46BF1" w:rsidRDefault="00A46BF1" w:rsidP="00A46BF1">
      <w:pPr>
        <w:pStyle w:val="3"/>
        <w:spacing w:line="280" w:lineRule="exact"/>
        <w:jc w:val="left"/>
        <w:rPr>
          <w:rFonts w:ascii="宋体" w:hAnsi="宋体" w:cs="宋体"/>
          <w:b/>
          <w:bCs/>
        </w:rPr>
      </w:pPr>
      <w:r>
        <w:rPr>
          <w:rFonts w:ascii="宋体" w:hAnsi="宋体" w:cs="宋体"/>
          <w:b/>
          <w:bCs/>
        </w:rPr>
        <w:t>4、营业收入和营业成本</w:t>
      </w:r>
    </w:p>
    <w:p w14:paraId="2FE82B5B"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1927"/>
        <w:gridCol w:w="1928"/>
        <w:gridCol w:w="1928"/>
        <w:gridCol w:w="1928"/>
        <w:gridCol w:w="1928"/>
      </w:tblGrid>
      <w:tr w:rsidR="00095F6F" w14:paraId="6885D98F" w14:textId="77777777" w:rsidTr="00A46BF1">
        <w:trPr>
          <w:trHeight w:val="240"/>
        </w:trPr>
        <w:tc>
          <w:tcPr>
            <w:tcW w:w="1928"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8D41A05"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项目</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7BF73B75"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本期发生额</w:t>
            </w:r>
          </w:p>
        </w:tc>
        <w:tc>
          <w:tcPr>
            <w:tcW w:w="385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6B0EB44"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上期发生额</w:t>
            </w:r>
          </w:p>
        </w:tc>
      </w:tr>
      <w:tr w:rsidR="00095F6F" w14:paraId="5863ACCF" w14:textId="77777777" w:rsidTr="00A46BF1">
        <w:trPr>
          <w:trHeight w:val="240"/>
        </w:trPr>
        <w:tc>
          <w:tcPr>
            <w:tcW w:w="1928"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650CE101" w14:textId="77777777" w:rsidR="00A46BF1" w:rsidRPr="007608CE" w:rsidRDefault="00A46BF1" w:rsidP="007608CE">
            <w:pPr>
              <w:spacing w:line="360" w:lineRule="auto"/>
              <w:rPr>
                <w:rFonts w:ascii="Times New Roman" w:hAnsi="Times New Roman" w:cs="Times New Roman"/>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3A20E25E"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1A99056B"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成本</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B71A878"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收入</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5258F230" w14:textId="77777777" w:rsidR="00A46BF1" w:rsidRPr="007608CE" w:rsidRDefault="00A46BF1" w:rsidP="007608CE">
            <w:pPr>
              <w:spacing w:before="40" w:after="40" w:line="360" w:lineRule="auto"/>
              <w:jc w:val="center"/>
              <w:rPr>
                <w:rFonts w:ascii="Times New Roman" w:eastAsia="宋体" w:hAnsi="Times New Roman" w:cs="Times New Roman"/>
                <w:sz w:val="18"/>
                <w:szCs w:val="18"/>
              </w:rPr>
            </w:pPr>
            <w:r w:rsidRPr="007608CE">
              <w:rPr>
                <w:rFonts w:ascii="Times New Roman" w:eastAsia="宋体" w:hAnsi="Times New Roman" w:cs="Times New Roman"/>
                <w:sz w:val="18"/>
                <w:szCs w:val="18"/>
              </w:rPr>
              <w:t>成本</w:t>
            </w:r>
          </w:p>
        </w:tc>
      </w:tr>
      <w:tr w:rsidR="00095F6F" w14:paraId="504D3E29"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4C16EFBD"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主营业务</w:t>
            </w:r>
          </w:p>
        </w:tc>
        <w:tc>
          <w:tcPr>
            <w:tcW w:w="1928" w:type="dxa"/>
            <w:tcBorders>
              <w:top w:val="single" w:sz="2" w:space="0" w:color="auto"/>
              <w:left w:val="single" w:sz="2" w:space="0" w:color="auto"/>
              <w:bottom w:val="single" w:sz="2" w:space="0" w:color="auto"/>
              <w:right w:val="single" w:sz="2" w:space="0" w:color="auto"/>
            </w:tcBorders>
            <w:vAlign w:val="center"/>
          </w:tcPr>
          <w:p w14:paraId="26F80EF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2,835,362,855.71</w:t>
            </w:r>
          </w:p>
        </w:tc>
        <w:tc>
          <w:tcPr>
            <w:tcW w:w="1928" w:type="dxa"/>
            <w:tcBorders>
              <w:top w:val="single" w:sz="2" w:space="0" w:color="auto"/>
              <w:left w:val="single" w:sz="2" w:space="0" w:color="auto"/>
              <w:bottom w:val="single" w:sz="2" w:space="0" w:color="auto"/>
              <w:right w:val="single" w:sz="2" w:space="0" w:color="auto"/>
            </w:tcBorders>
            <w:vAlign w:val="center"/>
          </w:tcPr>
          <w:p w14:paraId="1561C88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1,252,317,663.93</w:t>
            </w:r>
          </w:p>
        </w:tc>
        <w:tc>
          <w:tcPr>
            <w:tcW w:w="1928" w:type="dxa"/>
            <w:tcBorders>
              <w:top w:val="single" w:sz="2" w:space="0" w:color="auto"/>
              <w:left w:val="single" w:sz="2" w:space="0" w:color="auto"/>
              <w:bottom w:val="single" w:sz="2" w:space="0" w:color="auto"/>
              <w:right w:val="single" w:sz="2" w:space="0" w:color="auto"/>
            </w:tcBorders>
            <w:vAlign w:val="center"/>
          </w:tcPr>
          <w:p w14:paraId="6356DDD9"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2,734,798,931.42</w:t>
            </w:r>
          </w:p>
        </w:tc>
        <w:tc>
          <w:tcPr>
            <w:tcW w:w="1928" w:type="dxa"/>
            <w:tcBorders>
              <w:top w:val="single" w:sz="2" w:space="0" w:color="auto"/>
              <w:left w:val="single" w:sz="2" w:space="0" w:color="auto"/>
              <w:bottom w:val="single" w:sz="2" w:space="0" w:color="auto"/>
              <w:right w:val="single" w:sz="2" w:space="0" w:color="auto"/>
            </w:tcBorders>
            <w:vAlign w:val="center"/>
          </w:tcPr>
          <w:p w14:paraId="1689C2DF"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1,112,772,730.04</w:t>
            </w:r>
          </w:p>
        </w:tc>
      </w:tr>
      <w:tr w:rsidR="00095F6F" w14:paraId="1BCC9F55"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BDF553A"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其他业务</w:t>
            </w:r>
          </w:p>
        </w:tc>
        <w:tc>
          <w:tcPr>
            <w:tcW w:w="1928" w:type="dxa"/>
            <w:tcBorders>
              <w:top w:val="single" w:sz="2" w:space="0" w:color="auto"/>
              <w:left w:val="single" w:sz="2" w:space="0" w:color="auto"/>
              <w:bottom w:val="single" w:sz="2" w:space="0" w:color="auto"/>
              <w:right w:val="single" w:sz="2" w:space="0" w:color="auto"/>
            </w:tcBorders>
            <w:vAlign w:val="center"/>
          </w:tcPr>
          <w:p w14:paraId="41D59B9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9,857,897.74</w:t>
            </w:r>
          </w:p>
        </w:tc>
        <w:tc>
          <w:tcPr>
            <w:tcW w:w="1928" w:type="dxa"/>
            <w:tcBorders>
              <w:top w:val="single" w:sz="2" w:space="0" w:color="auto"/>
              <w:left w:val="single" w:sz="2" w:space="0" w:color="auto"/>
              <w:bottom w:val="single" w:sz="2" w:space="0" w:color="auto"/>
              <w:right w:val="single" w:sz="2" w:space="0" w:color="auto"/>
            </w:tcBorders>
            <w:vAlign w:val="center"/>
          </w:tcPr>
          <w:p w14:paraId="3ABDC92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1,248,870.52</w:t>
            </w:r>
          </w:p>
        </w:tc>
        <w:tc>
          <w:tcPr>
            <w:tcW w:w="1928" w:type="dxa"/>
            <w:tcBorders>
              <w:top w:val="single" w:sz="2" w:space="0" w:color="auto"/>
              <w:left w:val="single" w:sz="2" w:space="0" w:color="auto"/>
              <w:bottom w:val="single" w:sz="2" w:space="0" w:color="auto"/>
              <w:right w:val="single" w:sz="2" w:space="0" w:color="auto"/>
            </w:tcBorders>
            <w:vAlign w:val="center"/>
          </w:tcPr>
          <w:p w14:paraId="1DDA3E26"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19,446,007.87</w:t>
            </w:r>
          </w:p>
        </w:tc>
        <w:tc>
          <w:tcPr>
            <w:tcW w:w="1928" w:type="dxa"/>
            <w:tcBorders>
              <w:top w:val="single" w:sz="2" w:space="0" w:color="auto"/>
              <w:left w:val="single" w:sz="2" w:space="0" w:color="auto"/>
              <w:bottom w:val="single" w:sz="2" w:space="0" w:color="auto"/>
              <w:right w:val="single" w:sz="2" w:space="0" w:color="auto"/>
            </w:tcBorders>
            <w:vAlign w:val="center"/>
          </w:tcPr>
          <w:p w14:paraId="588F0A00"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2,590,054.74</w:t>
            </w:r>
          </w:p>
        </w:tc>
      </w:tr>
      <w:tr w:rsidR="00095F6F" w14:paraId="40F290FF" w14:textId="77777777" w:rsidTr="00A46BF1">
        <w:trPr>
          <w:trHeight w:val="240"/>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14:paraId="713D0793" w14:textId="77777777" w:rsidR="00A46BF1" w:rsidRPr="007608CE" w:rsidRDefault="00A46BF1" w:rsidP="007608CE">
            <w:pPr>
              <w:spacing w:before="40" w:after="40" w:line="360" w:lineRule="auto"/>
              <w:rPr>
                <w:rFonts w:ascii="Times New Roman" w:eastAsia="宋体" w:hAnsi="Times New Roman" w:cs="Times New Roman"/>
                <w:sz w:val="18"/>
                <w:szCs w:val="18"/>
              </w:rPr>
            </w:pPr>
            <w:r w:rsidRPr="007608CE">
              <w:rPr>
                <w:rFonts w:ascii="Times New Roman" w:eastAsia="宋体" w:hAnsi="Times New Roman" w:cs="Times New Roman"/>
                <w:sz w:val="18"/>
                <w:szCs w:val="18"/>
              </w:rPr>
              <w:t>合计</w:t>
            </w:r>
          </w:p>
        </w:tc>
        <w:tc>
          <w:tcPr>
            <w:tcW w:w="1928" w:type="dxa"/>
            <w:tcBorders>
              <w:top w:val="single" w:sz="2" w:space="0" w:color="auto"/>
              <w:left w:val="single" w:sz="2" w:space="0" w:color="auto"/>
              <w:bottom w:val="single" w:sz="2" w:space="0" w:color="auto"/>
              <w:right w:val="single" w:sz="2" w:space="0" w:color="auto"/>
            </w:tcBorders>
            <w:vAlign w:val="center"/>
          </w:tcPr>
          <w:p w14:paraId="4D588724"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2,845,220,753.45</w:t>
            </w:r>
          </w:p>
        </w:tc>
        <w:tc>
          <w:tcPr>
            <w:tcW w:w="1928" w:type="dxa"/>
            <w:tcBorders>
              <w:top w:val="single" w:sz="2" w:space="0" w:color="auto"/>
              <w:left w:val="single" w:sz="2" w:space="0" w:color="auto"/>
              <w:bottom w:val="single" w:sz="2" w:space="0" w:color="auto"/>
              <w:right w:val="single" w:sz="2" w:space="0" w:color="auto"/>
            </w:tcBorders>
            <w:vAlign w:val="center"/>
          </w:tcPr>
          <w:p w14:paraId="584560D8"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1,253,566,534.45</w:t>
            </w:r>
          </w:p>
        </w:tc>
        <w:tc>
          <w:tcPr>
            <w:tcW w:w="1928" w:type="dxa"/>
            <w:tcBorders>
              <w:top w:val="single" w:sz="2" w:space="0" w:color="auto"/>
              <w:left w:val="single" w:sz="2" w:space="0" w:color="auto"/>
              <w:bottom w:val="single" w:sz="2" w:space="0" w:color="auto"/>
              <w:right w:val="single" w:sz="2" w:space="0" w:color="auto"/>
            </w:tcBorders>
            <w:vAlign w:val="center"/>
          </w:tcPr>
          <w:p w14:paraId="78A12677"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2,754,244,939.29</w:t>
            </w:r>
          </w:p>
        </w:tc>
        <w:tc>
          <w:tcPr>
            <w:tcW w:w="1928" w:type="dxa"/>
            <w:tcBorders>
              <w:top w:val="single" w:sz="2" w:space="0" w:color="auto"/>
              <w:left w:val="single" w:sz="2" w:space="0" w:color="auto"/>
              <w:bottom w:val="single" w:sz="2" w:space="0" w:color="auto"/>
              <w:right w:val="single" w:sz="2" w:space="0" w:color="auto"/>
            </w:tcBorders>
            <w:vAlign w:val="center"/>
          </w:tcPr>
          <w:p w14:paraId="594DA7ED" w14:textId="77777777" w:rsidR="00A46BF1" w:rsidRPr="007608CE" w:rsidRDefault="00A46BF1" w:rsidP="007608CE">
            <w:pPr>
              <w:spacing w:line="360" w:lineRule="auto"/>
              <w:jc w:val="right"/>
              <w:rPr>
                <w:rFonts w:ascii="Times New Roman" w:eastAsia="宋体" w:hAnsi="Times New Roman" w:cs="Times New Roman"/>
                <w:sz w:val="18"/>
                <w:szCs w:val="18"/>
              </w:rPr>
            </w:pPr>
            <w:r w:rsidRPr="007608CE">
              <w:rPr>
                <w:rFonts w:ascii="Times New Roman" w:eastAsia="宋体" w:hAnsi="Times New Roman" w:cs="Times New Roman"/>
                <w:sz w:val="18"/>
                <w:szCs w:val="18"/>
              </w:rPr>
              <w:t>1,115,362,784.78</w:t>
            </w:r>
          </w:p>
        </w:tc>
      </w:tr>
    </w:tbl>
    <w:p w14:paraId="38C78356"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营业收入、营业成本的分解信息：</w:t>
      </w:r>
    </w:p>
    <w:p w14:paraId="59065AD3"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5000" w:type="pct"/>
        <w:tblLook w:val="04A0" w:firstRow="1" w:lastRow="0" w:firstColumn="1" w:lastColumn="0" w:noHBand="0" w:noVBand="1"/>
      </w:tblPr>
      <w:tblGrid>
        <w:gridCol w:w="2095"/>
        <w:gridCol w:w="1939"/>
        <w:gridCol w:w="1939"/>
        <w:gridCol w:w="1939"/>
        <w:gridCol w:w="1941"/>
      </w:tblGrid>
      <w:tr w:rsidR="00095F6F" w14:paraId="14395536" w14:textId="77777777" w:rsidTr="007608CE">
        <w:trPr>
          <w:trHeight w:val="240"/>
        </w:trPr>
        <w:tc>
          <w:tcPr>
            <w:tcW w:w="1063" w:type="pct"/>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63D72FA9"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合同分类</w:t>
            </w:r>
          </w:p>
        </w:tc>
        <w:tc>
          <w:tcPr>
            <w:tcW w:w="1968"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14C4C85"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分部</w:t>
            </w:r>
            <w:r w:rsidRPr="00B90D21">
              <w:rPr>
                <w:rFonts w:ascii="Times New Roman" w:eastAsia="宋体" w:hAnsi="Times New Roman" w:cs="Times New Roman"/>
                <w:sz w:val="18"/>
                <w:szCs w:val="18"/>
              </w:rPr>
              <w:t>1</w:t>
            </w:r>
          </w:p>
        </w:tc>
        <w:tc>
          <w:tcPr>
            <w:tcW w:w="1969" w:type="pct"/>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5D30BE19"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合计</w:t>
            </w:r>
          </w:p>
        </w:tc>
      </w:tr>
      <w:tr w:rsidR="00095F6F" w14:paraId="2799057D" w14:textId="77777777" w:rsidTr="007608CE">
        <w:trPr>
          <w:trHeight w:val="240"/>
        </w:trPr>
        <w:tc>
          <w:tcPr>
            <w:tcW w:w="1063" w:type="pct"/>
            <w:vMerge/>
            <w:tcBorders>
              <w:top w:val="single" w:sz="2" w:space="0" w:color="auto"/>
              <w:left w:val="single" w:sz="2" w:space="0" w:color="auto"/>
              <w:bottom w:val="single" w:sz="2" w:space="0" w:color="auto"/>
              <w:right w:val="single" w:sz="2" w:space="0" w:color="auto"/>
            </w:tcBorders>
            <w:shd w:val="clear" w:color="auto" w:fill="D3D3D3"/>
            <w:vAlign w:val="center"/>
          </w:tcPr>
          <w:p w14:paraId="54B0C319"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1C3977A4"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营业收入</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63AF9515"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营业成本</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53540633"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营业收入</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597EC2D8" w14:textId="77777777" w:rsidR="003D1F21" w:rsidRPr="00B90D21" w:rsidRDefault="003D1F21" w:rsidP="00B90D21">
            <w:pPr>
              <w:spacing w:before="40" w:after="40" w:line="360" w:lineRule="auto"/>
              <w:jc w:val="center"/>
              <w:rPr>
                <w:rFonts w:ascii="Times New Roman" w:eastAsia="宋体" w:hAnsi="Times New Roman" w:cs="Times New Roman"/>
                <w:sz w:val="18"/>
                <w:szCs w:val="18"/>
              </w:rPr>
            </w:pPr>
            <w:r w:rsidRPr="00B90D21">
              <w:rPr>
                <w:rFonts w:ascii="Times New Roman" w:eastAsia="宋体" w:hAnsi="Times New Roman" w:cs="Times New Roman"/>
                <w:sz w:val="18"/>
                <w:szCs w:val="18"/>
              </w:rPr>
              <w:t>营业成本</w:t>
            </w:r>
          </w:p>
        </w:tc>
      </w:tr>
      <w:tr w:rsidR="00095F6F" w14:paraId="6C22695B"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3430342B"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按经营地区分类</w:t>
            </w:r>
          </w:p>
        </w:tc>
        <w:tc>
          <w:tcPr>
            <w:tcW w:w="984" w:type="pct"/>
            <w:tcBorders>
              <w:top w:val="single" w:sz="2" w:space="0" w:color="auto"/>
              <w:left w:val="single" w:sz="2" w:space="0" w:color="auto"/>
              <w:bottom w:val="single" w:sz="2" w:space="0" w:color="auto"/>
              <w:right w:val="single" w:sz="2" w:space="0" w:color="auto"/>
            </w:tcBorders>
            <w:vAlign w:val="center"/>
          </w:tcPr>
          <w:p w14:paraId="384E31A2"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2AD2EFC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41F3B924"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3E12630F"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r w:rsidR="00095F6F" w14:paraId="0CD30BDA"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5957FDFC"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 xml:space="preserve">　其中：</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1FB79992"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618B3487"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2C1EBF75"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32A3ACD8" w14:textId="77777777" w:rsidR="003D1F21" w:rsidRPr="00B90D21" w:rsidRDefault="003D1F21" w:rsidP="00B90D21">
            <w:pPr>
              <w:spacing w:line="360" w:lineRule="auto"/>
              <w:rPr>
                <w:rFonts w:ascii="Times New Roman" w:hAnsi="Times New Roman" w:cs="Times New Roman"/>
              </w:rPr>
            </w:pPr>
          </w:p>
        </w:tc>
      </w:tr>
      <w:tr w:rsidR="00095F6F" w14:paraId="4A34FA81"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9D334B9"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境内</w:t>
            </w:r>
          </w:p>
        </w:tc>
        <w:tc>
          <w:tcPr>
            <w:tcW w:w="984" w:type="pct"/>
            <w:tcBorders>
              <w:top w:val="single" w:sz="2" w:space="0" w:color="auto"/>
              <w:left w:val="single" w:sz="2" w:space="0" w:color="auto"/>
              <w:bottom w:val="single" w:sz="2" w:space="0" w:color="auto"/>
              <w:right w:val="single" w:sz="2" w:space="0" w:color="auto"/>
            </w:tcBorders>
            <w:vAlign w:val="center"/>
          </w:tcPr>
          <w:p w14:paraId="569A6403"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2,765,170,814.23</w:t>
            </w:r>
          </w:p>
        </w:tc>
        <w:tc>
          <w:tcPr>
            <w:tcW w:w="984" w:type="pct"/>
            <w:tcBorders>
              <w:top w:val="single" w:sz="2" w:space="0" w:color="auto"/>
              <w:left w:val="single" w:sz="2" w:space="0" w:color="auto"/>
              <w:bottom w:val="single" w:sz="2" w:space="0" w:color="auto"/>
              <w:right w:val="single" w:sz="2" w:space="0" w:color="auto"/>
            </w:tcBorders>
            <w:vAlign w:val="center"/>
          </w:tcPr>
          <w:p w14:paraId="7BFBB9E0"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1,217,222,699.43</w:t>
            </w:r>
          </w:p>
        </w:tc>
        <w:tc>
          <w:tcPr>
            <w:tcW w:w="984" w:type="pct"/>
            <w:tcBorders>
              <w:top w:val="single" w:sz="2" w:space="0" w:color="auto"/>
              <w:left w:val="single" w:sz="2" w:space="0" w:color="auto"/>
              <w:bottom w:val="single" w:sz="2" w:space="0" w:color="auto"/>
              <w:right w:val="single" w:sz="2" w:space="0" w:color="auto"/>
            </w:tcBorders>
            <w:vAlign w:val="center"/>
          </w:tcPr>
          <w:p w14:paraId="730689AF"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2,765,170,814.23</w:t>
            </w:r>
          </w:p>
        </w:tc>
        <w:tc>
          <w:tcPr>
            <w:tcW w:w="984" w:type="pct"/>
            <w:tcBorders>
              <w:top w:val="single" w:sz="2" w:space="0" w:color="auto"/>
              <w:left w:val="single" w:sz="2" w:space="0" w:color="auto"/>
              <w:bottom w:val="single" w:sz="2" w:space="0" w:color="auto"/>
              <w:right w:val="single" w:sz="2" w:space="0" w:color="auto"/>
            </w:tcBorders>
            <w:vAlign w:val="center"/>
          </w:tcPr>
          <w:p w14:paraId="5CDCE6B9"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1,217,222,699.43</w:t>
            </w:r>
          </w:p>
        </w:tc>
      </w:tr>
      <w:tr w:rsidR="00095F6F" w14:paraId="23160838"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AA57AF6"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境外</w:t>
            </w:r>
          </w:p>
        </w:tc>
        <w:tc>
          <w:tcPr>
            <w:tcW w:w="984" w:type="pct"/>
            <w:tcBorders>
              <w:top w:val="single" w:sz="2" w:space="0" w:color="auto"/>
              <w:left w:val="single" w:sz="2" w:space="0" w:color="auto"/>
              <w:bottom w:val="single" w:sz="2" w:space="0" w:color="auto"/>
              <w:right w:val="single" w:sz="2" w:space="0" w:color="auto"/>
            </w:tcBorders>
            <w:vAlign w:val="center"/>
          </w:tcPr>
          <w:p w14:paraId="596AF02E"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80,049,939.22</w:t>
            </w:r>
          </w:p>
        </w:tc>
        <w:tc>
          <w:tcPr>
            <w:tcW w:w="984" w:type="pct"/>
            <w:tcBorders>
              <w:top w:val="single" w:sz="2" w:space="0" w:color="auto"/>
              <w:left w:val="single" w:sz="2" w:space="0" w:color="auto"/>
              <w:bottom w:val="single" w:sz="2" w:space="0" w:color="auto"/>
              <w:right w:val="single" w:sz="2" w:space="0" w:color="auto"/>
            </w:tcBorders>
            <w:vAlign w:val="center"/>
          </w:tcPr>
          <w:p w14:paraId="768CF31E"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36,343,835.02</w:t>
            </w:r>
          </w:p>
        </w:tc>
        <w:tc>
          <w:tcPr>
            <w:tcW w:w="984" w:type="pct"/>
            <w:tcBorders>
              <w:top w:val="single" w:sz="2" w:space="0" w:color="auto"/>
              <w:left w:val="single" w:sz="2" w:space="0" w:color="auto"/>
              <w:bottom w:val="single" w:sz="2" w:space="0" w:color="auto"/>
              <w:right w:val="single" w:sz="2" w:space="0" w:color="auto"/>
            </w:tcBorders>
            <w:vAlign w:val="center"/>
          </w:tcPr>
          <w:p w14:paraId="518A5AC7"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80,049,939.22</w:t>
            </w:r>
          </w:p>
        </w:tc>
        <w:tc>
          <w:tcPr>
            <w:tcW w:w="984" w:type="pct"/>
            <w:tcBorders>
              <w:top w:val="single" w:sz="2" w:space="0" w:color="auto"/>
              <w:left w:val="single" w:sz="2" w:space="0" w:color="auto"/>
              <w:bottom w:val="single" w:sz="2" w:space="0" w:color="auto"/>
              <w:right w:val="single" w:sz="2" w:space="0" w:color="auto"/>
            </w:tcBorders>
            <w:vAlign w:val="center"/>
          </w:tcPr>
          <w:p w14:paraId="43C958BD"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36,343,835.02</w:t>
            </w:r>
          </w:p>
        </w:tc>
      </w:tr>
      <w:tr w:rsidR="00095F6F" w14:paraId="5F0BC393"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54E33051"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按商品转让的时间分类</w:t>
            </w:r>
          </w:p>
        </w:tc>
        <w:tc>
          <w:tcPr>
            <w:tcW w:w="984" w:type="pct"/>
            <w:tcBorders>
              <w:top w:val="single" w:sz="2" w:space="0" w:color="auto"/>
              <w:left w:val="single" w:sz="2" w:space="0" w:color="auto"/>
              <w:bottom w:val="single" w:sz="2" w:space="0" w:color="auto"/>
              <w:right w:val="single" w:sz="2" w:space="0" w:color="auto"/>
            </w:tcBorders>
            <w:vAlign w:val="center"/>
          </w:tcPr>
          <w:p w14:paraId="2AC165B3"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58674870"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66A22449"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7556E6BF"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r w:rsidR="00095F6F" w14:paraId="73E18B96"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0AA56304"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 xml:space="preserve">　其中：</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05D449DA"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3C21E8EB"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1115A074"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05B948F4" w14:textId="77777777" w:rsidR="003D1F21" w:rsidRPr="00B90D21" w:rsidRDefault="003D1F21" w:rsidP="00B90D21">
            <w:pPr>
              <w:spacing w:line="360" w:lineRule="auto"/>
              <w:rPr>
                <w:rFonts w:ascii="Times New Roman" w:hAnsi="Times New Roman" w:cs="Times New Roman"/>
              </w:rPr>
            </w:pPr>
          </w:p>
        </w:tc>
      </w:tr>
      <w:tr w:rsidR="00095F6F" w14:paraId="6B97A48D"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AAE03B8"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在某一时点确认收入</w:t>
            </w:r>
          </w:p>
        </w:tc>
        <w:tc>
          <w:tcPr>
            <w:tcW w:w="984" w:type="pct"/>
            <w:tcBorders>
              <w:top w:val="single" w:sz="2" w:space="0" w:color="auto"/>
              <w:left w:val="single" w:sz="2" w:space="0" w:color="auto"/>
              <w:bottom w:val="single" w:sz="2" w:space="0" w:color="auto"/>
              <w:right w:val="single" w:sz="2" w:space="0" w:color="auto"/>
            </w:tcBorders>
            <w:vAlign w:val="center"/>
          </w:tcPr>
          <w:p w14:paraId="10D18C01"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51F4B3E4"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4731657B"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4D0EF63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r w:rsidR="00095F6F" w14:paraId="517E8911"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7F9B8023"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按销售渠道分类</w:t>
            </w:r>
          </w:p>
        </w:tc>
        <w:tc>
          <w:tcPr>
            <w:tcW w:w="984" w:type="pct"/>
            <w:tcBorders>
              <w:top w:val="single" w:sz="2" w:space="0" w:color="auto"/>
              <w:left w:val="single" w:sz="2" w:space="0" w:color="auto"/>
              <w:bottom w:val="single" w:sz="2" w:space="0" w:color="auto"/>
              <w:right w:val="single" w:sz="2" w:space="0" w:color="auto"/>
            </w:tcBorders>
            <w:vAlign w:val="center"/>
          </w:tcPr>
          <w:p w14:paraId="0B8FB46E"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2309A13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051FCA7B"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2FA78AC1"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r w:rsidR="00095F6F" w14:paraId="56A4317F"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3CB8FC72"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 xml:space="preserve">　其中：</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1FB96A3F"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272DBBA5"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2A737E88" w14:textId="77777777" w:rsidR="003D1F21" w:rsidRPr="00B90D21" w:rsidRDefault="003D1F21" w:rsidP="00B90D21">
            <w:pPr>
              <w:spacing w:line="360" w:lineRule="auto"/>
              <w:rPr>
                <w:rFonts w:ascii="Times New Roman" w:hAnsi="Times New Roman" w:cs="Times New Roman"/>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2BCA0332" w14:textId="77777777" w:rsidR="003D1F21" w:rsidRPr="00B90D21" w:rsidRDefault="003D1F21" w:rsidP="00B90D21">
            <w:pPr>
              <w:spacing w:line="360" w:lineRule="auto"/>
              <w:rPr>
                <w:rFonts w:ascii="Times New Roman" w:hAnsi="Times New Roman" w:cs="Times New Roman"/>
              </w:rPr>
            </w:pPr>
          </w:p>
        </w:tc>
      </w:tr>
      <w:tr w:rsidR="00095F6F" w14:paraId="7FEB36FD"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3682CB7F"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直销</w:t>
            </w:r>
          </w:p>
        </w:tc>
        <w:tc>
          <w:tcPr>
            <w:tcW w:w="984" w:type="pct"/>
            <w:tcBorders>
              <w:top w:val="single" w:sz="2" w:space="0" w:color="auto"/>
              <w:left w:val="single" w:sz="2" w:space="0" w:color="auto"/>
              <w:bottom w:val="single" w:sz="2" w:space="0" w:color="auto"/>
              <w:right w:val="single" w:sz="2" w:space="0" w:color="auto"/>
            </w:tcBorders>
            <w:vAlign w:val="center"/>
          </w:tcPr>
          <w:p w14:paraId="52C59F2D"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558,601,926.67</w:t>
            </w:r>
          </w:p>
        </w:tc>
        <w:tc>
          <w:tcPr>
            <w:tcW w:w="984" w:type="pct"/>
            <w:tcBorders>
              <w:top w:val="single" w:sz="2" w:space="0" w:color="auto"/>
              <w:left w:val="single" w:sz="2" w:space="0" w:color="auto"/>
              <w:bottom w:val="single" w:sz="2" w:space="0" w:color="auto"/>
              <w:right w:val="single" w:sz="2" w:space="0" w:color="auto"/>
            </w:tcBorders>
            <w:vAlign w:val="center"/>
          </w:tcPr>
          <w:p w14:paraId="02786B9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265,157,153.68</w:t>
            </w:r>
          </w:p>
        </w:tc>
        <w:tc>
          <w:tcPr>
            <w:tcW w:w="984" w:type="pct"/>
            <w:tcBorders>
              <w:top w:val="single" w:sz="2" w:space="0" w:color="auto"/>
              <w:left w:val="single" w:sz="2" w:space="0" w:color="auto"/>
              <w:bottom w:val="single" w:sz="2" w:space="0" w:color="auto"/>
              <w:right w:val="single" w:sz="2" w:space="0" w:color="auto"/>
            </w:tcBorders>
            <w:vAlign w:val="center"/>
          </w:tcPr>
          <w:p w14:paraId="62519920"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558,601,926.67</w:t>
            </w:r>
          </w:p>
        </w:tc>
        <w:tc>
          <w:tcPr>
            <w:tcW w:w="984" w:type="pct"/>
            <w:tcBorders>
              <w:top w:val="single" w:sz="2" w:space="0" w:color="auto"/>
              <w:left w:val="single" w:sz="2" w:space="0" w:color="auto"/>
              <w:bottom w:val="single" w:sz="2" w:space="0" w:color="auto"/>
              <w:right w:val="single" w:sz="2" w:space="0" w:color="auto"/>
            </w:tcBorders>
            <w:vAlign w:val="center"/>
          </w:tcPr>
          <w:p w14:paraId="6F6C53C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265,157,153.68</w:t>
            </w:r>
          </w:p>
        </w:tc>
      </w:tr>
      <w:tr w:rsidR="00095F6F" w14:paraId="6A732251"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3B91E5A"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经销</w:t>
            </w:r>
          </w:p>
        </w:tc>
        <w:tc>
          <w:tcPr>
            <w:tcW w:w="984" w:type="pct"/>
            <w:tcBorders>
              <w:top w:val="single" w:sz="2" w:space="0" w:color="auto"/>
              <w:left w:val="single" w:sz="2" w:space="0" w:color="auto"/>
              <w:bottom w:val="single" w:sz="2" w:space="0" w:color="auto"/>
              <w:right w:val="single" w:sz="2" w:space="0" w:color="auto"/>
            </w:tcBorders>
            <w:vAlign w:val="center"/>
          </w:tcPr>
          <w:p w14:paraId="2FCE3C76"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2,286,618,826.78</w:t>
            </w:r>
          </w:p>
        </w:tc>
        <w:tc>
          <w:tcPr>
            <w:tcW w:w="984" w:type="pct"/>
            <w:tcBorders>
              <w:top w:val="single" w:sz="2" w:space="0" w:color="auto"/>
              <w:left w:val="single" w:sz="2" w:space="0" w:color="auto"/>
              <w:bottom w:val="single" w:sz="2" w:space="0" w:color="auto"/>
              <w:right w:val="single" w:sz="2" w:space="0" w:color="auto"/>
            </w:tcBorders>
            <w:vAlign w:val="center"/>
          </w:tcPr>
          <w:p w14:paraId="15F24593"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988,409,380.77</w:t>
            </w:r>
          </w:p>
        </w:tc>
        <w:tc>
          <w:tcPr>
            <w:tcW w:w="984" w:type="pct"/>
            <w:tcBorders>
              <w:top w:val="single" w:sz="2" w:space="0" w:color="auto"/>
              <w:left w:val="single" w:sz="2" w:space="0" w:color="auto"/>
              <w:bottom w:val="single" w:sz="2" w:space="0" w:color="auto"/>
              <w:right w:val="single" w:sz="2" w:space="0" w:color="auto"/>
            </w:tcBorders>
            <w:vAlign w:val="center"/>
          </w:tcPr>
          <w:p w14:paraId="0C3E8179"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2,286,618,826.78</w:t>
            </w:r>
          </w:p>
        </w:tc>
        <w:tc>
          <w:tcPr>
            <w:tcW w:w="984" w:type="pct"/>
            <w:tcBorders>
              <w:top w:val="single" w:sz="2" w:space="0" w:color="auto"/>
              <w:left w:val="single" w:sz="2" w:space="0" w:color="auto"/>
              <w:bottom w:val="single" w:sz="2" w:space="0" w:color="auto"/>
              <w:right w:val="single" w:sz="2" w:space="0" w:color="auto"/>
            </w:tcBorders>
            <w:vAlign w:val="center"/>
          </w:tcPr>
          <w:p w14:paraId="54F9BEB8"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988,409,380.77</w:t>
            </w:r>
          </w:p>
        </w:tc>
      </w:tr>
      <w:tr w:rsidR="00095F6F" w14:paraId="1E0CFCCA"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578A6F18"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按行业分类</w:t>
            </w:r>
          </w:p>
        </w:tc>
        <w:tc>
          <w:tcPr>
            <w:tcW w:w="984" w:type="pct"/>
            <w:tcBorders>
              <w:top w:val="single" w:sz="2" w:space="0" w:color="auto"/>
              <w:left w:val="single" w:sz="2" w:space="0" w:color="auto"/>
              <w:bottom w:val="single" w:sz="2" w:space="0" w:color="auto"/>
              <w:right w:val="single" w:sz="2" w:space="0" w:color="auto"/>
            </w:tcBorders>
            <w:vAlign w:val="center"/>
          </w:tcPr>
          <w:p w14:paraId="74D4D105"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23639CD6"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22713237"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6BA01F46"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r w:rsidR="00095F6F" w14:paraId="0C5F0307"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4821953C"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其中：</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4B67072C" w14:textId="77777777" w:rsidR="003D1F21" w:rsidRPr="00B90D21" w:rsidRDefault="003D1F21" w:rsidP="00B90D21">
            <w:pPr>
              <w:spacing w:line="360" w:lineRule="auto"/>
              <w:jc w:val="right"/>
              <w:rPr>
                <w:rFonts w:ascii="Times New Roman" w:eastAsia="宋体" w:hAnsi="Times New Roman" w:cs="Times New Roman"/>
                <w:sz w:val="18"/>
                <w:szCs w:val="18"/>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4A8AFDCC" w14:textId="77777777" w:rsidR="003D1F21" w:rsidRPr="00B90D21" w:rsidRDefault="003D1F21" w:rsidP="00B90D21">
            <w:pPr>
              <w:spacing w:line="360" w:lineRule="auto"/>
              <w:jc w:val="right"/>
              <w:rPr>
                <w:rFonts w:ascii="Times New Roman" w:eastAsia="宋体" w:hAnsi="Times New Roman" w:cs="Times New Roman"/>
                <w:sz w:val="18"/>
                <w:szCs w:val="18"/>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094E5E22" w14:textId="77777777" w:rsidR="003D1F21" w:rsidRPr="00B90D21" w:rsidRDefault="003D1F21" w:rsidP="00B90D21">
            <w:pPr>
              <w:spacing w:line="360" w:lineRule="auto"/>
              <w:jc w:val="right"/>
              <w:rPr>
                <w:rFonts w:ascii="Times New Roman" w:eastAsia="宋体" w:hAnsi="Times New Roman" w:cs="Times New Roman"/>
                <w:sz w:val="18"/>
                <w:szCs w:val="18"/>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1E7DEADD" w14:textId="77777777" w:rsidR="003D1F21" w:rsidRPr="00B90D21" w:rsidRDefault="003D1F21" w:rsidP="00B90D21">
            <w:pPr>
              <w:spacing w:line="360" w:lineRule="auto"/>
              <w:jc w:val="right"/>
              <w:rPr>
                <w:rFonts w:ascii="Times New Roman" w:eastAsia="宋体" w:hAnsi="Times New Roman" w:cs="Times New Roman"/>
                <w:sz w:val="18"/>
                <w:szCs w:val="18"/>
              </w:rPr>
            </w:pPr>
          </w:p>
        </w:tc>
      </w:tr>
      <w:tr w:rsidR="00095F6F" w14:paraId="153C8B62"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3D8787F"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医疗器械行业</w:t>
            </w:r>
          </w:p>
        </w:tc>
        <w:tc>
          <w:tcPr>
            <w:tcW w:w="984" w:type="pct"/>
            <w:tcBorders>
              <w:top w:val="single" w:sz="2" w:space="0" w:color="auto"/>
              <w:left w:val="single" w:sz="2" w:space="0" w:color="auto"/>
              <w:bottom w:val="single" w:sz="2" w:space="0" w:color="auto"/>
              <w:right w:val="single" w:sz="2" w:space="0" w:color="auto"/>
            </w:tcBorders>
            <w:vAlign w:val="center"/>
          </w:tcPr>
          <w:p w14:paraId="629371E2"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2,835,362,855.71</w:t>
            </w:r>
          </w:p>
        </w:tc>
        <w:tc>
          <w:tcPr>
            <w:tcW w:w="984" w:type="pct"/>
            <w:tcBorders>
              <w:top w:val="single" w:sz="2" w:space="0" w:color="auto"/>
              <w:left w:val="single" w:sz="2" w:space="0" w:color="auto"/>
              <w:bottom w:val="single" w:sz="2" w:space="0" w:color="auto"/>
              <w:right w:val="single" w:sz="2" w:space="0" w:color="auto"/>
            </w:tcBorders>
            <w:vAlign w:val="center"/>
          </w:tcPr>
          <w:p w14:paraId="4D84CB75"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1,252,317,663.93</w:t>
            </w:r>
          </w:p>
        </w:tc>
        <w:tc>
          <w:tcPr>
            <w:tcW w:w="984" w:type="pct"/>
            <w:tcBorders>
              <w:top w:val="single" w:sz="2" w:space="0" w:color="auto"/>
              <w:left w:val="single" w:sz="2" w:space="0" w:color="auto"/>
              <w:bottom w:val="single" w:sz="2" w:space="0" w:color="auto"/>
              <w:right w:val="single" w:sz="2" w:space="0" w:color="auto"/>
            </w:tcBorders>
            <w:vAlign w:val="center"/>
          </w:tcPr>
          <w:p w14:paraId="497600F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2,835,362,855.71</w:t>
            </w:r>
          </w:p>
        </w:tc>
        <w:tc>
          <w:tcPr>
            <w:tcW w:w="984" w:type="pct"/>
            <w:tcBorders>
              <w:top w:val="single" w:sz="2" w:space="0" w:color="auto"/>
              <w:left w:val="single" w:sz="2" w:space="0" w:color="auto"/>
              <w:bottom w:val="single" w:sz="2" w:space="0" w:color="auto"/>
              <w:right w:val="single" w:sz="2" w:space="0" w:color="auto"/>
            </w:tcBorders>
            <w:vAlign w:val="center"/>
          </w:tcPr>
          <w:p w14:paraId="4F106138"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1,252,317,663.93</w:t>
            </w:r>
          </w:p>
        </w:tc>
      </w:tr>
      <w:tr w:rsidR="00095F6F" w14:paraId="1BAB8A9C"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23111067"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其他行业</w:t>
            </w:r>
          </w:p>
        </w:tc>
        <w:tc>
          <w:tcPr>
            <w:tcW w:w="984" w:type="pct"/>
            <w:tcBorders>
              <w:top w:val="single" w:sz="2" w:space="0" w:color="auto"/>
              <w:left w:val="single" w:sz="2" w:space="0" w:color="auto"/>
              <w:bottom w:val="single" w:sz="2" w:space="0" w:color="auto"/>
              <w:right w:val="single" w:sz="2" w:space="0" w:color="auto"/>
            </w:tcBorders>
            <w:vAlign w:val="center"/>
          </w:tcPr>
          <w:p w14:paraId="60AF13B6"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9,857,897.74</w:t>
            </w:r>
          </w:p>
        </w:tc>
        <w:tc>
          <w:tcPr>
            <w:tcW w:w="984" w:type="pct"/>
            <w:tcBorders>
              <w:top w:val="single" w:sz="2" w:space="0" w:color="auto"/>
              <w:left w:val="single" w:sz="2" w:space="0" w:color="auto"/>
              <w:bottom w:val="single" w:sz="2" w:space="0" w:color="auto"/>
              <w:right w:val="single" w:sz="2" w:space="0" w:color="auto"/>
            </w:tcBorders>
            <w:vAlign w:val="center"/>
          </w:tcPr>
          <w:p w14:paraId="37941438"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1,248,870.52</w:t>
            </w:r>
          </w:p>
        </w:tc>
        <w:tc>
          <w:tcPr>
            <w:tcW w:w="984" w:type="pct"/>
            <w:tcBorders>
              <w:top w:val="single" w:sz="2" w:space="0" w:color="auto"/>
              <w:left w:val="single" w:sz="2" w:space="0" w:color="auto"/>
              <w:bottom w:val="single" w:sz="2" w:space="0" w:color="auto"/>
              <w:right w:val="single" w:sz="2" w:space="0" w:color="auto"/>
            </w:tcBorders>
            <w:vAlign w:val="center"/>
          </w:tcPr>
          <w:p w14:paraId="04BF7423"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9,857,897.74</w:t>
            </w:r>
          </w:p>
        </w:tc>
        <w:tc>
          <w:tcPr>
            <w:tcW w:w="984" w:type="pct"/>
            <w:tcBorders>
              <w:top w:val="single" w:sz="2" w:space="0" w:color="auto"/>
              <w:left w:val="single" w:sz="2" w:space="0" w:color="auto"/>
              <w:bottom w:val="single" w:sz="2" w:space="0" w:color="auto"/>
              <w:right w:val="single" w:sz="2" w:space="0" w:color="auto"/>
            </w:tcBorders>
            <w:vAlign w:val="center"/>
          </w:tcPr>
          <w:p w14:paraId="3FD70B67"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1,248,870.52</w:t>
            </w:r>
          </w:p>
        </w:tc>
      </w:tr>
      <w:tr w:rsidR="00095F6F" w14:paraId="277A98AF"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3D0A9617" w14:textId="77777777" w:rsidR="003D1F21" w:rsidRPr="00B90D21" w:rsidRDefault="003D1F21" w:rsidP="007608CE">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按产品类型分类</w:t>
            </w:r>
          </w:p>
        </w:tc>
        <w:tc>
          <w:tcPr>
            <w:tcW w:w="984" w:type="pct"/>
            <w:tcBorders>
              <w:top w:val="single" w:sz="2" w:space="0" w:color="auto"/>
              <w:left w:val="single" w:sz="2" w:space="0" w:color="auto"/>
              <w:bottom w:val="single" w:sz="2" w:space="0" w:color="auto"/>
              <w:right w:val="single" w:sz="2" w:space="0" w:color="auto"/>
            </w:tcBorders>
            <w:vAlign w:val="center"/>
          </w:tcPr>
          <w:p w14:paraId="5A2CD55C" w14:textId="77777777" w:rsidR="003D1F21" w:rsidRPr="00B90D21" w:rsidRDefault="003D1F21" w:rsidP="007608CE">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0501FE92" w14:textId="77777777" w:rsidR="003D1F21" w:rsidRPr="00B90D21" w:rsidRDefault="003D1F21" w:rsidP="007608CE">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658949A4" w14:textId="77777777" w:rsidR="003D1F21" w:rsidRPr="00B90D21" w:rsidRDefault="003D1F21" w:rsidP="007608CE">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5EDB1333" w14:textId="77777777" w:rsidR="003D1F21" w:rsidRPr="00B90D21" w:rsidRDefault="003D1F21" w:rsidP="007608CE">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r w:rsidR="00095F6F" w14:paraId="2CC84822"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609A1533" w14:textId="77777777" w:rsidR="003D1F21" w:rsidRPr="00B90D21" w:rsidRDefault="003D1F21" w:rsidP="007608CE">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其中：</w:t>
            </w: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122C1E9F" w14:textId="77777777" w:rsidR="003D1F21" w:rsidRPr="00B90D21" w:rsidRDefault="003D1F21" w:rsidP="007608CE">
            <w:pPr>
              <w:spacing w:before="40" w:after="40" w:line="360" w:lineRule="auto"/>
              <w:rPr>
                <w:rFonts w:ascii="Times New Roman" w:eastAsia="宋体" w:hAnsi="Times New Roman" w:cs="Times New Roman"/>
                <w:sz w:val="18"/>
                <w:szCs w:val="18"/>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419F6C1D" w14:textId="77777777" w:rsidR="003D1F21" w:rsidRPr="00B90D21" w:rsidRDefault="003D1F21" w:rsidP="007608CE">
            <w:pPr>
              <w:spacing w:before="40" w:after="40" w:line="360" w:lineRule="auto"/>
              <w:rPr>
                <w:rFonts w:ascii="Times New Roman" w:eastAsia="宋体" w:hAnsi="Times New Roman" w:cs="Times New Roman"/>
                <w:sz w:val="18"/>
                <w:szCs w:val="18"/>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30A4F6E2" w14:textId="77777777" w:rsidR="003D1F21" w:rsidRPr="00B90D21" w:rsidRDefault="003D1F21" w:rsidP="007608CE">
            <w:pPr>
              <w:spacing w:before="40" w:after="40" w:line="360" w:lineRule="auto"/>
              <w:rPr>
                <w:rFonts w:ascii="Times New Roman" w:eastAsia="宋体" w:hAnsi="Times New Roman" w:cs="Times New Roman"/>
                <w:sz w:val="18"/>
                <w:szCs w:val="18"/>
              </w:rPr>
            </w:pPr>
          </w:p>
        </w:tc>
        <w:tc>
          <w:tcPr>
            <w:tcW w:w="984" w:type="pct"/>
            <w:tcBorders>
              <w:top w:val="single" w:sz="2" w:space="0" w:color="auto"/>
              <w:left w:val="single" w:sz="2" w:space="0" w:color="auto"/>
              <w:bottom w:val="single" w:sz="2" w:space="0" w:color="auto"/>
              <w:right w:val="single" w:sz="2" w:space="0" w:color="auto"/>
            </w:tcBorders>
            <w:shd w:val="clear" w:color="auto" w:fill="D3D3D3"/>
            <w:vAlign w:val="center"/>
          </w:tcPr>
          <w:p w14:paraId="43A000F6" w14:textId="77777777" w:rsidR="003D1F21" w:rsidRPr="00B90D21" w:rsidRDefault="003D1F21" w:rsidP="007608CE">
            <w:pPr>
              <w:spacing w:before="40" w:after="40" w:line="360" w:lineRule="auto"/>
              <w:rPr>
                <w:rFonts w:ascii="Times New Roman" w:eastAsia="宋体" w:hAnsi="Times New Roman" w:cs="Times New Roman"/>
                <w:sz w:val="18"/>
                <w:szCs w:val="18"/>
              </w:rPr>
            </w:pPr>
          </w:p>
        </w:tc>
      </w:tr>
      <w:tr w:rsidR="00095F6F" w14:paraId="556CC3D2"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583E2B7"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血糖监测系统</w:t>
            </w:r>
          </w:p>
        </w:tc>
        <w:tc>
          <w:tcPr>
            <w:tcW w:w="984" w:type="pct"/>
            <w:tcBorders>
              <w:top w:val="single" w:sz="2" w:space="0" w:color="auto"/>
              <w:left w:val="single" w:sz="2" w:space="0" w:color="auto"/>
              <w:bottom w:val="single" w:sz="2" w:space="0" w:color="auto"/>
              <w:right w:val="single" w:sz="2" w:space="0" w:color="auto"/>
            </w:tcBorders>
            <w:vAlign w:val="center"/>
          </w:tcPr>
          <w:p w14:paraId="7F9D389B"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2,413,964,945.14</w:t>
            </w:r>
          </w:p>
        </w:tc>
        <w:tc>
          <w:tcPr>
            <w:tcW w:w="984" w:type="pct"/>
            <w:tcBorders>
              <w:top w:val="single" w:sz="2" w:space="0" w:color="auto"/>
              <w:left w:val="single" w:sz="2" w:space="0" w:color="auto"/>
              <w:bottom w:val="single" w:sz="2" w:space="0" w:color="auto"/>
              <w:right w:val="single" w:sz="2" w:space="0" w:color="auto"/>
            </w:tcBorders>
            <w:vAlign w:val="center"/>
          </w:tcPr>
          <w:p w14:paraId="4D918001"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1,007,284,717.45</w:t>
            </w:r>
          </w:p>
        </w:tc>
        <w:tc>
          <w:tcPr>
            <w:tcW w:w="984" w:type="pct"/>
            <w:tcBorders>
              <w:top w:val="single" w:sz="2" w:space="0" w:color="auto"/>
              <w:left w:val="single" w:sz="2" w:space="0" w:color="auto"/>
              <w:bottom w:val="single" w:sz="2" w:space="0" w:color="auto"/>
              <w:right w:val="single" w:sz="2" w:space="0" w:color="auto"/>
            </w:tcBorders>
            <w:vAlign w:val="center"/>
          </w:tcPr>
          <w:p w14:paraId="12183E65"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2,413,964,945.14</w:t>
            </w:r>
          </w:p>
        </w:tc>
        <w:tc>
          <w:tcPr>
            <w:tcW w:w="984" w:type="pct"/>
            <w:tcBorders>
              <w:top w:val="single" w:sz="2" w:space="0" w:color="auto"/>
              <w:left w:val="single" w:sz="2" w:space="0" w:color="auto"/>
              <w:bottom w:val="single" w:sz="2" w:space="0" w:color="auto"/>
              <w:right w:val="single" w:sz="2" w:space="0" w:color="auto"/>
            </w:tcBorders>
            <w:vAlign w:val="center"/>
          </w:tcPr>
          <w:p w14:paraId="471E60F6"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1,007,284,717.45</w:t>
            </w:r>
          </w:p>
        </w:tc>
      </w:tr>
      <w:tr w:rsidR="00095F6F" w14:paraId="6C99474B"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36622A3" w14:textId="3F4C34EB" w:rsidR="003D1F21" w:rsidRPr="00B90D21" w:rsidRDefault="00EF7774" w:rsidP="00B90D21">
            <w:pPr>
              <w:spacing w:line="360" w:lineRule="auto"/>
              <w:rPr>
                <w:rFonts w:ascii="Times New Roman" w:eastAsia="宋体" w:hAnsi="Times New Roman" w:cs="Times New Roman"/>
                <w:sz w:val="18"/>
                <w:szCs w:val="18"/>
              </w:rPr>
            </w:pPr>
            <w:r>
              <w:rPr>
                <w:rFonts w:ascii="Times New Roman" w:eastAsia="宋体" w:hAnsi="Times New Roman" w:cs="Times New Roman"/>
                <w:sz w:val="18"/>
                <w:szCs w:val="18"/>
              </w:rPr>
              <w:t>i</w:t>
            </w:r>
            <w:r w:rsidRPr="00B90D21">
              <w:rPr>
                <w:rFonts w:ascii="Times New Roman" w:eastAsia="宋体" w:hAnsi="Times New Roman" w:cs="Times New Roman"/>
                <w:sz w:val="18"/>
                <w:szCs w:val="18"/>
              </w:rPr>
              <w:t>POCT</w:t>
            </w:r>
            <w:r w:rsidR="003D1F21" w:rsidRPr="00B90D21">
              <w:rPr>
                <w:rFonts w:ascii="Times New Roman" w:eastAsia="宋体" w:hAnsi="Times New Roman" w:cs="Times New Roman"/>
                <w:sz w:val="18"/>
                <w:szCs w:val="18"/>
              </w:rPr>
              <w:t>监测系统</w:t>
            </w:r>
          </w:p>
        </w:tc>
        <w:tc>
          <w:tcPr>
            <w:tcW w:w="984" w:type="pct"/>
            <w:tcBorders>
              <w:top w:val="single" w:sz="2" w:space="0" w:color="auto"/>
              <w:left w:val="single" w:sz="2" w:space="0" w:color="auto"/>
              <w:bottom w:val="single" w:sz="2" w:space="0" w:color="auto"/>
              <w:right w:val="single" w:sz="2" w:space="0" w:color="auto"/>
            </w:tcBorders>
            <w:vAlign w:val="center"/>
          </w:tcPr>
          <w:p w14:paraId="404BAD7E"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160,404,187.86</w:t>
            </w:r>
          </w:p>
        </w:tc>
        <w:tc>
          <w:tcPr>
            <w:tcW w:w="984" w:type="pct"/>
            <w:tcBorders>
              <w:top w:val="single" w:sz="2" w:space="0" w:color="auto"/>
              <w:left w:val="single" w:sz="2" w:space="0" w:color="auto"/>
              <w:bottom w:val="single" w:sz="2" w:space="0" w:color="auto"/>
              <w:right w:val="single" w:sz="2" w:space="0" w:color="auto"/>
            </w:tcBorders>
            <w:vAlign w:val="center"/>
          </w:tcPr>
          <w:p w14:paraId="324B924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70,909,479.78</w:t>
            </w:r>
          </w:p>
        </w:tc>
        <w:tc>
          <w:tcPr>
            <w:tcW w:w="984" w:type="pct"/>
            <w:tcBorders>
              <w:top w:val="single" w:sz="2" w:space="0" w:color="auto"/>
              <w:left w:val="single" w:sz="2" w:space="0" w:color="auto"/>
              <w:bottom w:val="single" w:sz="2" w:space="0" w:color="auto"/>
              <w:right w:val="single" w:sz="2" w:space="0" w:color="auto"/>
            </w:tcBorders>
            <w:vAlign w:val="center"/>
          </w:tcPr>
          <w:p w14:paraId="09CBBC42"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160,404,187.86</w:t>
            </w:r>
          </w:p>
        </w:tc>
        <w:tc>
          <w:tcPr>
            <w:tcW w:w="984" w:type="pct"/>
            <w:tcBorders>
              <w:top w:val="single" w:sz="2" w:space="0" w:color="auto"/>
              <w:left w:val="single" w:sz="2" w:space="0" w:color="auto"/>
              <w:bottom w:val="single" w:sz="2" w:space="0" w:color="auto"/>
              <w:right w:val="single" w:sz="2" w:space="0" w:color="auto"/>
            </w:tcBorders>
            <w:vAlign w:val="center"/>
          </w:tcPr>
          <w:p w14:paraId="6801D6C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70,909,479.78</w:t>
            </w:r>
          </w:p>
        </w:tc>
      </w:tr>
      <w:tr w:rsidR="00095F6F" w14:paraId="6E90A5A1"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0F4CDF6F"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血脂检测系统</w:t>
            </w:r>
          </w:p>
        </w:tc>
        <w:tc>
          <w:tcPr>
            <w:tcW w:w="984" w:type="pct"/>
            <w:tcBorders>
              <w:top w:val="single" w:sz="2" w:space="0" w:color="auto"/>
              <w:left w:val="single" w:sz="2" w:space="0" w:color="auto"/>
              <w:bottom w:val="single" w:sz="2" w:space="0" w:color="auto"/>
              <w:right w:val="single" w:sz="2" w:space="0" w:color="auto"/>
            </w:tcBorders>
            <w:vAlign w:val="center"/>
          </w:tcPr>
          <w:p w14:paraId="13245A9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23,144,084.59</w:t>
            </w:r>
          </w:p>
        </w:tc>
        <w:tc>
          <w:tcPr>
            <w:tcW w:w="984" w:type="pct"/>
            <w:tcBorders>
              <w:top w:val="single" w:sz="2" w:space="0" w:color="auto"/>
              <w:left w:val="single" w:sz="2" w:space="0" w:color="auto"/>
              <w:bottom w:val="single" w:sz="2" w:space="0" w:color="auto"/>
              <w:right w:val="single" w:sz="2" w:space="0" w:color="auto"/>
            </w:tcBorders>
            <w:vAlign w:val="center"/>
          </w:tcPr>
          <w:p w14:paraId="74B47F0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13,592,403.10</w:t>
            </w:r>
          </w:p>
        </w:tc>
        <w:tc>
          <w:tcPr>
            <w:tcW w:w="984" w:type="pct"/>
            <w:tcBorders>
              <w:top w:val="single" w:sz="2" w:space="0" w:color="auto"/>
              <w:left w:val="single" w:sz="2" w:space="0" w:color="auto"/>
              <w:bottom w:val="single" w:sz="2" w:space="0" w:color="auto"/>
              <w:right w:val="single" w:sz="2" w:space="0" w:color="auto"/>
            </w:tcBorders>
            <w:vAlign w:val="center"/>
          </w:tcPr>
          <w:p w14:paraId="1E45982D"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23,144,084.59</w:t>
            </w:r>
          </w:p>
        </w:tc>
        <w:tc>
          <w:tcPr>
            <w:tcW w:w="984" w:type="pct"/>
            <w:tcBorders>
              <w:top w:val="single" w:sz="2" w:space="0" w:color="auto"/>
              <w:left w:val="single" w:sz="2" w:space="0" w:color="auto"/>
              <w:bottom w:val="single" w:sz="2" w:space="0" w:color="auto"/>
              <w:right w:val="single" w:sz="2" w:space="0" w:color="auto"/>
            </w:tcBorders>
            <w:vAlign w:val="center"/>
          </w:tcPr>
          <w:p w14:paraId="6EEBC6BE"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13,592,403.10</w:t>
            </w:r>
          </w:p>
        </w:tc>
      </w:tr>
      <w:tr w:rsidR="00095F6F" w14:paraId="2F871C75"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02D65458"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糖化血红蛋白检测系统</w:t>
            </w:r>
          </w:p>
        </w:tc>
        <w:tc>
          <w:tcPr>
            <w:tcW w:w="984" w:type="pct"/>
            <w:tcBorders>
              <w:top w:val="single" w:sz="2" w:space="0" w:color="auto"/>
              <w:left w:val="single" w:sz="2" w:space="0" w:color="auto"/>
              <w:bottom w:val="single" w:sz="2" w:space="0" w:color="auto"/>
              <w:right w:val="single" w:sz="2" w:space="0" w:color="auto"/>
            </w:tcBorders>
            <w:vAlign w:val="center"/>
          </w:tcPr>
          <w:p w14:paraId="736E52FC"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10,201,887.20</w:t>
            </w:r>
          </w:p>
        </w:tc>
        <w:tc>
          <w:tcPr>
            <w:tcW w:w="984" w:type="pct"/>
            <w:tcBorders>
              <w:top w:val="single" w:sz="2" w:space="0" w:color="auto"/>
              <w:left w:val="single" w:sz="2" w:space="0" w:color="auto"/>
              <w:bottom w:val="single" w:sz="2" w:space="0" w:color="auto"/>
              <w:right w:val="single" w:sz="2" w:space="0" w:color="auto"/>
            </w:tcBorders>
            <w:vAlign w:val="center"/>
          </w:tcPr>
          <w:p w14:paraId="6A729564"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7,739,901.83</w:t>
            </w:r>
          </w:p>
        </w:tc>
        <w:tc>
          <w:tcPr>
            <w:tcW w:w="984" w:type="pct"/>
            <w:tcBorders>
              <w:top w:val="single" w:sz="2" w:space="0" w:color="auto"/>
              <w:left w:val="single" w:sz="2" w:space="0" w:color="auto"/>
              <w:bottom w:val="single" w:sz="2" w:space="0" w:color="auto"/>
              <w:right w:val="single" w:sz="2" w:space="0" w:color="auto"/>
            </w:tcBorders>
            <w:vAlign w:val="center"/>
          </w:tcPr>
          <w:p w14:paraId="6DA5FE5D"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10,201,887.20</w:t>
            </w:r>
          </w:p>
        </w:tc>
        <w:tc>
          <w:tcPr>
            <w:tcW w:w="984" w:type="pct"/>
            <w:tcBorders>
              <w:top w:val="single" w:sz="2" w:space="0" w:color="auto"/>
              <w:left w:val="single" w:sz="2" w:space="0" w:color="auto"/>
              <w:bottom w:val="single" w:sz="2" w:space="0" w:color="auto"/>
              <w:right w:val="single" w:sz="2" w:space="0" w:color="auto"/>
            </w:tcBorders>
            <w:vAlign w:val="center"/>
          </w:tcPr>
          <w:p w14:paraId="141C15EC"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7,739,901.83</w:t>
            </w:r>
          </w:p>
        </w:tc>
      </w:tr>
      <w:tr w:rsidR="00095F6F" w14:paraId="6D53AD6C"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EE3902F"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血压计</w:t>
            </w:r>
          </w:p>
        </w:tc>
        <w:tc>
          <w:tcPr>
            <w:tcW w:w="984" w:type="pct"/>
            <w:tcBorders>
              <w:top w:val="single" w:sz="2" w:space="0" w:color="auto"/>
              <w:left w:val="single" w:sz="2" w:space="0" w:color="auto"/>
              <w:bottom w:val="single" w:sz="2" w:space="0" w:color="auto"/>
              <w:right w:val="single" w:sz="2" w:space="0" w:color="auto"/>
            </w:tcBorders>
            <w:vAlign w:val="center"/>
          </w:tcPr>
          <w:p w14:paraId="0B1F44A7"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144,565,865.81</w:t>
            </w:r>
          </w:p>
        </w:tc>
        <w:tc>
          <w:tcPr>
            <w:tcW w:w="984" w:type="pct"/>
            <w:tcBorders>
              <w:top w:val="single" w:sz="2" w:space="0" w:color="auto"/>
              <w:left w:val="single" w:sz="2" w:space="0" w:color="auto"/>
              <w:bottom w:val="single" w:sz="2" w:space="0" w:color="auto"/>
              <w:right w:val="single" w:sz="2" w:space="0" w:color="auto"/>
            </w:tcBorders>
            <w:vAlign w:val="center"/>
          </w:tcPr>
          <w:p w14:paraId="49996B85"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111,338,174.43</w:t>
            </w:r>
          </w:p>
        </w:tc>
        <w:tc>
          <w:tcPr>
            <w:tcW w:w="984" w:type="pct"/>
            <w:tcBorders>
              <w:top w:val="single" w:sz="2" w:space="0" w:color="auto"/>
              <w:left w:val="single" w:sz="2" w:space="0" w:color="auto"/>
              <w:bottom w:val="single" w:sz="2" w:space="0" w:color="auto"/>
              <w:right w:val="single" w:sz="2" w:space="0" w:color="auto"/>
            </w:tcBorders>
            <w:vAlign w:val="center"/>
          </w:tcPr>
          <w:p w14:paraId="0974F389"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144,565,865.81</w:t>
            </w:r>
          </w:p>
        </w:tc>
        <w:tc>
          <w:tcPr>
            <w:tcW w:w="984" w:type="pct"/>
            <w:tcBorders>
              <w:top w:val="single" w:sz="2" w:space="0" w:color="auto"/>
              <w:left w:val="single" w:sz="2" w:space="0" w:color="auto"/>
              <w:bottom w:val="single" w:sz="2" w:space="0" w:color="auto"/>
              <w:right w:val="single" w:sz="2" w:space="0" w:color="auto"/>
            </w:tcBorders>
            <w:vAlign w:val="center"/>
          </w:tcPr>
          <w:p w14:paraId="66AF9473"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111,338,174.43</w:t>
            </w:r>
          </w:p>
        </w:tc>
      </w:tr>
      <w:tr w:rsidR="00095F6F" w14:paraId="77436348"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1DA1D6C6"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经营品</w:t>
            </w:r>
          </w:p>
        </w:tc>
        <w:tc>
          <w:tcPr>
            <w:tcW w:w="984" w:type="pct"/>
            <w:tcBorders>
              <w:top w:val="single" w:sz="2" w:space="0" w:color="auto"/>
              <w:left w:val="single" w:sz="2" w:space="0" w:color="auto"/>
              <w:bottom w:val="single" w:sz="2" w:space="0" w:color="auto"/>
              <w:right w:val="single" w:sz="2" w:space="0" w:color="auto"/>
            </w:tcBorders>
            <w:vAlign w:val="center"/>
          </w:tcPr>
          <w:p w14:paraId="64B9201A"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65,989,058.48</w:t>
            </w:r>
          </w:p>
        </w:tc>
        <w:tc>
          <w:tcPr>
            <w:tcW w:w="984" w:type="pct"/>
            <w:tcBorders>
              <w:top w:val="single" w:sz="2" w:space="0" w:color="auto"/>
              <w:left w:val="single" w:sz="2" w:space="0" w:color="auto"/>
              <w:bottom w:val="single" w:sz="2" w:space="0" w:color="auto"/>
              <w:right w:val="single" w:sz="2" w:space="0" w:color="auto"/>
            </w:tcBorders>
            <w:vAlign w:val="center"/>
          </w:tcPr>
          <w:p w14:paraId="2D116BCD"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33,198,765.61</w:t>
            </w:r>
          </w:p>
        </w:tc>
        <w:tc>
          <w:tcPr>
            <w:tcW w:w="984" w:type="pct"/>
            <w:tcBorders>
              <w:top w:val="single" w:sz="2" w:space="0" w:color="auto"/>
              <w:left w:val="single" w:sz="2" w:space="0" w:color="auto"/>
              <w:bottom w:val="single" w:sz="2" w:space="0" w:color="auto"/>
              <w:right w:val="single" w:sz="2" w:space="0" w:color="auto"/>
            </w:tcBorders>
            <w:vAlign w:val="center"/>
          </w:tcPr>
          <w:p w14:paraId="5FBE7B59"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65,989,058.48</w:t>
            </w:r>
          </w:p>
        </w:tc>
        <w:tc>
          <w:tcPr>
            <w:tcW w:w="984" w:type="pct"/>
            <w:tcBorders>
              <w:top w:val="single" w:sz="2" w:space="0" w:color="auto"/>
              <w:left w:val="single" w:sz="2" w:space="0" w:color="auto"/>
              <w:bottom w:val="single" w:sz="2" w:space="0" w:color="auto"/>
              <w:right w:val="single" w:sz="2" w:space="0" w:color="auto"/>
            </w:tcBorders>
            <w:vAlign w:val="center"/>
          </w:tcPr>
          <w:p w14:paraId="298EE757"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33,198,765.61</w:t>
            </w:r>
          </w:p>
        </w:tc>
      </w:tr>
      <w:tr w:rsidR="00095F6F" w14:paraId="3898BC2D"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vAlign w:val="center"/>
          </w:tcPr>
          <w:p w14:paraId="43945881" w14:textId="77777777" w:rsidR="003D1F21" w:rsidRPr="00B90D21" w:rsidRDefault="003D1F21" w:rsidP="00B90D21">
            <w:pPr>
              <w:spacing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其他</w:t>
            </w:r>
          </w:p>
        </w:tc>
        <w:tc>
          <w:tcPr>
            <w:tcW w:w="984" w:type="pct"/>
            <w:tcBorders>
              <w:top w:val="single" w:sz="2" w:space="0" w:color="auto"/>
              <w:left w:val="single" w:sz="2" w:space="0" w:color="auto"/>
              <w:bottom w:val="single" w:sz="2" w:space="0" w:color="auto"/>
              <w:right w:val="single" w:sz="2" w:space="0" w:color="auto"/>
            </w:tcBorders>
            <w:vAlign w:val="center"/>
          </w:tcPr>
          <w:p w14:paraId="2D141D90"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26,950,724.37</w:t>
            </w:r>
          </w:p>
        </w:tc>
        <w:tc>
          <w:tcPr>
            <w:tcW w:w="984" w:type="pct"/>
            <w:tcBorders>
              <w:top w:val="single" w:sz="2" w:space="0" w:color="auto"/>
              <w:left w:val="single" w:sz="2" w:space="0" w:color="auto"/>
              <w:bottom w:val="single" w:sz="2" w:space="0" w:color="auto"/>
              <w:right w:val="single" w:sz="2" w:space="0" w:color="auto"/>
            </w:tcBorders>
            <w:vAlign w:val="center"/>
          </w:tcPr>
          <w:p w14:paraId="77BEE8D6"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9,503,092.25</w:t>
            </w:r>
          </w:p>
        </w:tc>
        <w:tc>
          <w:tcPr>
            <w:tcW w:w="984" w:type="pct"/>
            <w:tcBorders>
              <w:top w:val="single" w:sz="2" w:space="0" w:color="auto"/>
              <w:left w:val="single" w:sz="2" w:space="0" w:color="auto"/>
              <w:bottom w:val="single" w:sz="2" w:space="0" w:color="auto"/>
              <w:right w:val="single" w:sz="2" w:space="0" w:color="auto"/>
            </w:tcBorders>
            <w:vAlign w:val="center"/>
          </w:tcPr>
          <w:p w14:paraId="47703739"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26,950,724.37</w:t>
            </w:r>
          </w:p>
        </w:tc>
        <w:tc>
          <w:tcPr>
            <w:tcW w:w="984" w:type="pct"/>
            <w:tcBorders>
              <w:top w:val="single" w:sz="2" w:space="0" w:color="auto"/>
              <w:left w:val="single" w:sz="2" w:space="0" w:color="auto"/>
              <w:bottom w:val="single" w:sz="2" w:space="0" w:color="auto"/>
              <w:right w:val="single" w:sz="2" w:space="0" w:color="auto"/>
            </w:tcBorders>
            <w:vAlign w:val="center"/>
          </w:tcPr>
          <w:p w14:paraId="370364DE"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9,503,092.25</w:t>
            </w:r>
          </w:p>
        </w:tc>
      </w:tr>
      <w:tr w:rsidR="00095F6F" w14:paraId="504059B2" w14:textId="77777777" w:rsidTr="007608CE">
        <w:trPr>
          <w:trHeight w:val="240"/>
        </w:trPr>
        <w:tc>
          <w:tcPr>
            <w:tcW w:w="1063" w:type="pct"/>
            <w:tcBorders>
              <w:top w:val="single" w:sz="2" w:space="0" w:color="auto"/>
              <w:left w:val="single" w:sz="2" w:space="0" w:color="auto"/>
              <w:bottom w:val="single" w:sz="2" w:space="0" w:color="auto"/>
              <w:right w:val="single" w:sz="2" w:space="0" w:color="auto"/>
            </w:tcBorders>
            <w:shd w:val="clear" w:color="auto" w:fill="D3D3D3"/>
            <w:vAlign w:val="center"/>
          </w:tcPr>
          <w:p w14:paraId="20004C09" w14:textId="77777777" w:rsidR="003D1F21" w:rsidRPr="00B90D21" w:rsidRDefault="003D1F21" w:rsidP="00B90D21">
            <w:pPr>
              <w:spacing w:before="40" w:after="40" w:line="360" w:lineRule="auto"/>
              <w:rPr>
                <w:rFonts w:ascii="Times New Roman" w:eastAsia="宋体" w:hAnsi="Times New Roman" w:cs="Times New Roman"/>
                <w:sz w:val="18"/>
                <w:szCs w:val="18"/>
              </w:rPr>
            </w:pPr>
            <w:r w:rsidRPr="00B90D21">
              <w:rPr>
                <w:rFonts w:ascii="Times New Roman" w:eastAsia="宋体" w:hAnsi="Times New Roman" w:cs="Times New Roman"/>
                <w:sz w:val="18"/>
                <w:szCs w:val="18"/>
              </w:rPr>
              <w:t>合计</w:t>
            </w:r>
          </w:p>
        </w:tc>
        <w:tc>
          <w:tcPr>
            <w:tcW w:w="984" w:type="pct"/>
            <w:tcBorders>
              <w:top w:val="single" w:sz="2" w:space="0" w:color="auto"/>
              <w:left w:val="single" w:sz="2" w:space="0" w:color="auto"/>
              <w:bottom w:val="single" w:sz="2" w:space="0" w:color="auto"/>
              <w:right w:val="single" w:sz="2" w:space="0" w:color="auto"/>
            </w:tcBorders>
            <w:vAlign w:val="center"/>
          </w:tcPr>
          <w:p w14:paraId="4671B7BB"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13A25F32"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c>
          <w:tcPr>
            <w:tcW w:w="984" w:type="pct"/>
            <w:tcBorders>
              <w:top w:val="single" w:sz="2" w:space="0" w:color="auto"/>
              <w:left w:val="single" w:sz="2" w:space="0" w:color="auto"/>
              <w:bottom w:val="single" w:sz="2" w:space="0" w:color="auto"/>
              <w:right w:val="single" w:sz="2" w:space="0" w:color="auto"/>
            </w:tcBorders>
            <w:vAlign w:val="center"/>
          </w:tcPr>
          <w:p w14:paraId="6D78D1F0"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2,845,220,753.45</w:t>
            </w:r>
          </w:p>
        </w:tc>
        <w:tc>
          <w:tcPr>
            <w:tcW w:w="984" w:type="pct"/>
            <w:tcBorders>
              <w:top w:val="single" w:sz="2" w:space="0" w:color="auto"/>
              <w:left w:val="single" w:sz="2" w:space="0" w:color="auto"/>
              <w:bottom w:val="single" w:sz="2" w:space="0" w:color="auto"/>
              <w:right w:val="single" w:sz="2" w:space="0" w:color="auto"/>
            </w:tcBorders>
            <w:vAlign w:val="center"/>
          </w:tcPr>
          <w:p w14:paraId="4F1ACE6F" w14:textId="77777777" w:rsidR="003D1F21" w:rsidRPr="00B90D21" w:rsidRDefault="003D1F21" w:rsidP="00B90D21">
            <w:pPr>
              <w:spacing w:line="360" w:lineRule="auto"/>
              <w:jc w:val="right"/>
              <w:rPr>
                <w:rFonts w:ascii="Times New Roman" w:eastAsia="宋体" w:hAnsi="Times New Roman" w:cs="Times New Roman"/>
                <w:sz w:val="18"/>
                <w:szCs w:val="18"/>
              </w:rPr>
            </w:pPr>
            <w:r w:rsidRPr="00B90D21">
              <w:rPr>
                <w:rFonts w:ascii="Times New Roman" w:eastAsia="宋体" w:hAnsi="Times New Roman" w:cs="Times New Roman"/>
                <w:sz w:val="18"/>
                <w:szCs w:val="18"/>
              </w:rPr>
              <w:t>1,253,566,534.45</w:t>
            </w:r>
          </w:p>
        </w:tc>
      </w:tr>
    </w:tbl>
    <w:p w14:paraId="709A412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与履约义务相关的信息：</w:t>
      </w:r>
    </w:p>
    <w:p w14:paraId="68C2D9EC" w14:textId="77777777" w:rsidR="00A46BF1" w:rsidRDefault="00A46BF1" w:rsidP="00A46BF1">
      <w:pPr>
        <w:spacing w:line="0" w:lineRule="atLeast"/>
      </w:pPr>
    </w:p>
    <w:tbl>
      <w:tblPr>
        <w:tblW w:w="9639" w:type="dxa"/>
        <w:tblInd w:w="108" w:type="dxa"/>
        <w:tblLayout w:type="fixed"/>
        <w:tblCellMar>
          <w:left w:w="28" w:type="dxa"/>
          <w:right w:w="28" w:type="dxa"/>
        </w:tblCellMar>
        <w:tblLook w:val="04A0" w:firstRow="1" w:lastRow="0" w:firstColumn="1" w:lastColumn="0" w:noHBand="0" w:noVBand="1"/>
      </w:tblPr>
      <w:tblGrid>
        <w:gridCol w:w="1054"/>
        <w:gridCol w:w="1700"/>
        <w:gridCol w:w="2128"/>
        <w:gridCol w:w="1275"/>
        <w:gridCol w:w="993"/>
        <w:gridCol w:w="1275"/>
        <w:gridCol w:w="1214"/>
      </w:tblGrid>
      <w:tr w:rsidR="00095F6F" w14:paraId="4263EC7C" w14:textId="77777777" w:rsidTr="003D1F21">
        <w:trPr>
          <w:trHeight w:val="240"/>
        </w:trPr>
        <w:tc>
          <w:tcPr>
            <w:tcW w:w="1054" w:type="dxa"/>
            <w:tcBorders>
              <w:top w:val="single" w:sz="2" w:space="0" w:color="auto"/>
              <w:left w:val="single" w:sz="2" w:space="0" w:color="auto"/>
              <w:bottom w:val="single" w:sz="2" w:space="0" w:color="auto"/>
              <w:right w:val="single" w:sz="2" w:space="0" w:color="auto"/>
            </w:tcBorders>
            <w:shd w:val="clear" w:color="auto" w:fill="D3D3D3"/>
            <w:vAlign w:val="center"/>
          </w:tcPr>
          <w:p w14:paraId="162F21B5"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项目</w:t>
            </w:r>
          </w:p>
        </w:tc>
        <w:tc>
          <w:tcPr>
            <w:tcW w:w="1700" w:type="dxa"/>
            <w:tcBorders>
              <w:top w:val="single" w:sz="2" w:space="0" w:color="auto"/>
              <w:left w:val="single" w:sz="2" w:space="0" w:color="auto"/>
              <w:bottom w:val="single" w:sz="2" w:space="0" w:color="auto"/>
              <w:right w:val="single" w:sz="2" w:space="0" w:color="auto"/>
            </w:tcBorders>
            <w:shd w:val="clear" w:color="auto" w:fill="D3D3D3"/>
            <w:vAlign w:val="center"/>
          </w:tcPr>
          <w:p w14:paraId="292CD09B"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履行履约义务的时间</w:t>
            </w:r>
          </w:p>
        </w:tc>
        <w:tc>
          <w:tcPr>
            <w:tcW w:w="2128" w:type="dxa"/>
            <w:tcBorders>
              <w:top w:val="single" w:sz="2" w:space="0" w:color="auto"/>
              <w:left w:val="single" w:sz="2" w:space="0" w:color="auto"/>
              <w:bottom w:val="single" w:sz="2" w:space="0" w:color="auto"/>
              <w:right w:val="single" w:sz="2" w:space="0" w:color="auto"/>
            </w:tcBorders>
            <w:shd w:val="clear" w:color="auto" w:fill="D3D3D3"/>
            <w:vAlign w:val="center"/>
          </w:tcPr>
          <w:p w14:paraId="374B9876"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重要的支付条款</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6A24ABA6"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公司承诺转让商品的性质</w:t>
            </w:r>
          </w:p>
        </w:tc>
        <w:tc>
          <w:tcPr>
            <w:tcW w:w="993" w:type="dxa"/>
            <w:tcBorders>
              <w:top w:val="single" w:sz="2" w:space="0" w:color="auto"/>
              <w:left w:val="single" w:sz="2" w:space="0" w:color="auto"/>
              <w:bottom w:val="single" w:sz="2" w:space="0" w:color="auto"/>
              <w:right w:val="single" w:sz="2" w:space="0" w:color="auto"/>
            </w:tcBorders>
            <w:shd w:val="clear" w:color="auto" w:fill="D3D3D3"/>
            <w:vAlign w:val="center"/>
          </w:tcPr>
          <w:p w14:paraId="1BD9F5C5"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是否为主要责任人</w:t>
            </w:r>
          </w:p>
        </w:tc>
        <w:tc>
          <w:tcPr>
            <w:tcW w:w="1275" w:type="dxa"/>
            <w:tcBorders>
              <w:top w:val="single" w:sz="2" w:space="0" w:color="auto"/>
              <w:left w:val="single" w:sz="2" w:space="0" w:color="auto"/>
              <w:bottom w:val="single" w:sz="2" w:space="0" w:color="auto"/>
              <w:right w:val="single" w:sz="2" w:space="0" w:color="auto"/>
            </w:tcBorders>
            <w:shd w:val="clear" w:color="auto" w:fill="D3D3D3"/>
            <w:vAlign w:val="center"/>
          </w:tcPr>
          <w:p w14:paraId="13B640B7"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公司承担的预期将退还给客户的款项</w:t>
            </w:r>
          </w:p>
        </w:tc>
        <w:tc>
          <w:tcPr>
            <w:tcW w:w="1214" w:type="dxa"/>
            <w:tcBorders>
              <w:top w:val="single" w:sz="2" w:space="0" w:color="auto"/>
              <w:left w:val="single" w:sz="2" w:space="0" w:color="auto"/>
              <w:bottom w:val="single" w:sz="2" w:space="0" w:color="auto"/>
              <w:right w:val="single" w:sz="2" w:space="0" w:color="auto"/>
            </w:tcBorders>
            <w:shd w:val="clear" w:color="auto" w:fill="D3D3D3"/>
            <w:vAlign w:val="center"/>
          </w:tcPr>
          <w:p w14:paraId="51DD5E28" w14:textId="77777777" w:rsidR="00A46BF1" w:rsidRPr="00E3667B" w:rsidRDefault="00A46BF1" w:rsidP="00E3667B">
            <w:pPr>
              <w:spacing w:before="40" w:after="40"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公司提供的质量保证类型及相关义务</w:t>
            </w:r>
          </w:p>
        </w:tc>
      </w:tr>
      <w:tr w:rsidR="00095F6F" w14:paraId="16903B51" w14:textId="77777777" w:rsidTr="003D1F21">
        <w:trPr>
          <w:trHeight w:val="240"/>
        </w:trPr>
        <w:tc>
          <w:tcPr>
            <w:tcW w:w="1054" w:type="dxa"/>
            <w:tcBorders>
              <w:top w:val="single" w:sz="2" w:space="0" w:color="auto"/>
              <w:left w:val="single" w:sz="2" w:space="0" w:color="auto"/>
              <w:bottom w:val="single" w:sz="2" w:space="0" w:color="auto"/>
              <w:right w:val="single" w:sz="2" w:space="0" w:color="auto"/>
            </w:tcBorders>
            <w:vAlign w:val="center"/>
          </w:tcPr>
          <w:p w14:paraId="16ADD7DD"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国内销售</w:t>
            </w:r>
          </w:p>
        </w:tc>
        <w:tc>
          <w:tcPr>
            <w:tcW w:w="1700" w:type="dxa"/>
            <w:tcBorders>
              <w:top w:val="single" w:sz="2" w:space="0" w:color="auto"/>
              <w:left w:val="single" w:sz="2" w:space="0" w:color="auto"/>
              <w:bottom w:val="single" w:sz="2" w:space="0" w:color="auto"/>
              <w:right w:val="single" w:sz="2" w:space="0" w:color="auto"/>
            </w:tcBorders>
            <w:vAlign w:val="center"/>
          </w:tcPr>
          <w:p w14:paraId="263EFE85" w14:textId="729322CB" w:rsidR="00A46BF1" w:rsidRPr="00E3667B" w:rsidRDefault="00E3667B"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以物运送至约定地点，客户确认收到商品之日确定</w:t>
            </w:r>
          </w:p>
        </w:tc>
        <w:tc>
          <w:tcPr>
            <w:tcW w:w="2128" w:type="dxa"/>
            <w:tcBorders>
              <w:top w:val="single" w:sz="2" w:space="0" w:color="auto"/>
              <w:left w:val="single" w:sz="2" w:space="0" w:color="auto"/>
              <w:bottom w:val="single" w:sz="2" w:space="0" w:color="auto"/>
              <w:right w:val="single" w:sz="2" w:space="0" w:color="auto"/>
            </w:tcBorders>
            <w:vAlign w:val="center"/>
          </w:tcPr>
          <w:p w14:paraId="59B707DC"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w:t>
            </w:r>
            <w:r w:rsidRPr="00E3667B">
              <w:rPr>
                <w:rFonts w:ascii="Times New Roman" w:eastAsia="宋体" w:hAnsi="Times New Roman" w:cs="Times New Roman"/>
                <w:sz w:val="18"/>
                <w:szCs w:val="18"/>
              </w:rPr>
              <w:t>1</w:t>
            </w:r>
            <w:r w:rsidRPr="00E3667B">
              <w:rPr>
                <w:rFonts w:ascii="Times New Roman" w:eastAsia="宋体" w:hAnsi="Times New Roman" w:cs="Times New Roman"/>
                <w:sz w:val="18"/>
                <w:szCs w:val="18"/>
              </w:rPr>
              <w:t>）电商平台：客户确认收货后平台结算；</w:t>
            </w:r>
          </w:p>
          <w:p w14:paraId="5DB57111"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w:t>
            </w:r>
            <w:r w:rsidRPr="00E3667B">
              <w:rPr>
                <w:rFonts w:ascii="Times New Roman" w:eastAsia="宋体" w:hAnsi="Times New Roman" w:cs="Times New Roman"/>
                <w:sz w:val="18"/>
                <w:szCs w:val="18"/>
              </w:rPr>
              <w:t>2</w:t>
            </w:r>
            <w:r w:rsidRPr="00E3667B">
              <w:rPr>
                <w:rFonts w:ascii="Times New Roman" w:eastAsia="宋体" w:hAnsi="Times New Roman" w:cs="Times New Roman"/>
                <w:sz w:val="18"/>
                <w:szCs w:val="18"/>
              </w:rPr>
              <w:t>）经销商：交付后在信用期内付款；</w:t>
            </w:r>
          </w:p>
          <w:p w14:paraId="14BF7378"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w:t>
            </w:r>
            <w:r w:rsidRPr="00E3667B">
              <w:rPr>
                <w:rFonts w:ascii="Times New Roman" w:eastAsia="宋体" w:hAnsi="Times New Roman" w:cs="Times New Roman"/>
                <w:sz w:val="18"/>
                <w:szCs w:val="18"/>
              </w:rPr>
              <w:t>3</w:t>
            </w:r>
            <w:r w:rsidRPr="00E3667B">
              <w:rPr>
                <w:rFonts w:ascii="Times New Roman" w:eastAsia="宋体" w:hAnsi="Times New Roman" w:cs="Times New Roman"/>
                <w:sz w:val="18"/>
                <w:szCs w:val="18"/>
              </w:rPr>
              <w:t>）一件代发客户：先款后货，对账结算。</w:t>
            </w:r>
          </w:p>
        </w:tc>
        <w:tc>
          <w:tcPr>
            <w:tcW w:w="1275" w:type="dxa"/>
            <w:tcBorders>
              <w:top w:val="single" w:sz="2" w:space="0" w:color="auto"/>
              <w:left w:val="single" w:sz="2" w:space="0" w:color="auto"/>
              <w:bottom w:val="single" w:sz="2" w:space="0" w:color="auto"/>
              <w:right w:val="single" w:sz="2" w:space="0" w:color="auto"/>
            </w:tcBorders>
            <w:vAlign w:val="center"/>
          </w:tcPr>
          <w:p w14:paraId="0FBD715A" w14:textId="77777777" w:rsidR="00A46BF1" w:rsidRPr="00E3667B" w:rsidRDefault="00A46BF1" w:rsidP="003D1F21">
            <w:pPr>
              <w:spacing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货物</w:t>
            </w:r>
          </w:p>
        </w:tc>
        <w:tc>
          <w:tcPr>
            <w:tcW w:w="993" w:type="dxa"/>
            <w:tcBorders>
              <w:top w:val="single" w:sz="2" w:space="0" w:color="auto"/>
              <w:left w:val="single" w:sz="2" w:space="0" w:color="auto"/>
              <w:bottom w:val="single" w:sz="2" w:space="0" w:color="auto"/>
              <w:right w:val="single" w:sz="2" w:space="0" w:color="auto"/>
            </w:tcBorders>
            <w:vAlign w:val="center"/>
          </w:tcPr>
          <w:p w14:paraId="71B24A5B" w14:textId="77777777" w:rsidR="00A46BF1" w:rsidRPr="00E3667B" w:rsidRDefault="00A46BF1" w:rsidP="003D1F21">
            <w:pPr>
              <w:spacing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是</w:t>
            </w:r>
          </w:p>
        </w:tc>
        <w:tc>
          <w:tcPr>
            <w:tcW w:w="1275" w:type="dxa"/>
            <w:tcBorders>
              <w:top w:val="single" w:sz="2" w:space="0" w:color="auto"/>
              <w:left w:val="single" w:sz="2" w:space="0" w:color="auto"/>
              <w:bottom w:val="single" w:sz="2" w:space="0" w:color="auto"/>
              <w:right w:val="single" w:sz="2" w:space="0" w:color="auto"/>
            </w:tcBorders>
            <w:vAlign w:val="center"/>
          </w:tcPr>
          <w:p w14:paraId="5FDB7BE5" w14:textId="77777777" w:rsidR="00A46BF1" w:rsidRPr="00E3667B" w:rsidRDefault="00A46BF1" w:rsidP="003D1F21">
            <w:pPr>
              <w:spacing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否</w:t>
            </w:r>
          </w:p>
        </w:tc>
        <w:tc>
          <w:tcPr>
            <w:tcW w:w="1214" w:type="dxa"/>
            <w:tcBorders>
              <w:top w:val="single" w:sz="2" w:space="0" w:color="auto"/>
              <w:left w:val="single" w:sz="2" w:space="0" w:color="auto"/>
              <w:bottom w:val="single" w:sz="2" w:space="0" w:color="auto"/>
              <w:right w:val="single" w:sz="2" w:space="0" w:color="auto"/>
            </w:tcBorders>
            <w:vAlign w:val="center"/>
          </w:tcPr>
          <w:p w14:paraId="022CDD55"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产品质量保证</w:t>
            </w:r>
          </w:p>
        </w:tc>
      </w:tr>
      <w:tr w:rsidR="00095F6F" w14:paraId="5BF732E1" w14:textId="77777777" w:rsidTr="003D1F21">
        <w:trPr>
          <w:trHeight w:val="240"/>
        </w:trPr>
        <w:tc>
          <w:tcPr>
            <w:tcW w:w="1054" w:type="dxa"/>
            <w:tcBorders>
              <w:top w:val="single" w:sz="2" w:space="0" w:color="auto"/>
              <w:left w:val="single" w:sz="2" w:space="0" w:color="auto"/>
              <w:bottom w:val="single" w:sz="2" w:space="0" w:color="auto"/>
              <w:right w:val="single" w:sz="2" w:space="0" w:color="auto"/>
            </w:tcBorders>
            <w:vAlign w:val="center"/>
          </w:tcPr>
          <w:p w14:paraId="7015D858"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国际销售</w:t>
            </w:r>
          </w:p>
        </w:tc>
        <w:tc>
          <w:tcPr>
            <w:tcW w:w="1700" w:type="dxa"/>
            <w:tcBorders>
              <w:top w:val="single" w:sz="2" w:space="0" w:color="auto"/>
              <w:left w:val="single" w:sz="2" w:space="0" w:color="auto"/>
              <w:bottom w:val="single" w:sz="2" w:space="0" w:color="auto"/>
              <w:right w:val="single" w:sz="2" w:space="0" w:color="auto"/>
            </w:tcBorders>
            <w:vAlign w:val="center"/>
          </w:tcPr>
          <w:p w14:paraId="11199DAF" w14:textId="684FB479" w:rsidR="00A46BF1" w:rsidRPr="00E3667B" w:rsidRDefault="00E3667B"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根据不同国际贸易条款，以取得报关单和提运单之日确定</w:t>
            </w:r>
          </w:p>
        </w:tc>
        <w:tc>
          <w:tcPr>
            <w:tcW w:w="2128" w:type="dxa"/>
            <w:tcBorders>
              <w:top w:val="single" w:sz="2" w:space="0" w:color="auto"/>
              <w:left w:val="single" w:sz="2" w:space="0" w:color="auto"/>
              <w:bottom w:val="single" w:sz="2" w:space="0" w:color="auto"/>
              <w:right w:val="single" w:sz="2" w:space="0" w:color="auto"/>
            </w:tcBorders>
            <w:vAlign w:val="center"/>
          </w:tcPr>
          <w:p w14:paraId="1EC303D7"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w:t>
            </w:r>
            <w:r w:rsidRPr="00E3667B">
              <w:rPr>
                <w:rFonts w:ascii="Times New Roman" w:eastAsia="宋体" w:hAnsi="Times New Roman" w:cs="Times New Roman"/>
                <w:sz w:val="18"/>
                <w:szCs w:val="18"/>
              </w:rPr>
              <w:t>1</w:t>
            </w:r>
            <w:r w:rsidRPr="00E3667B">
              <w:rPr>
                <w:rFonts w:ascii="Times New Roman" w:eastAsia="宋体" w:hAnsi="Times New Roman" w:cs="Times New Roman"/>
                <w:sz w:val="18"/>
                <w:szCs w:val="18"/>
              </w:rPr>
              <w:t>）电商平台：客户确认收货后平台结算；</w:t>
            </w:r>
          </w:p>
          <w:p w14:paraId="3A770A99"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w:t>
            </w:r>
            <w:r w:rsidRPr="00E3667B">
              <w:rPr>
                <w:rFonts w:ascii="Times New Roman" w:eastAsia="宋体" w:hAnsi="Times New Roman" w:cs="Times New Roman"/>
                <w:sz w:val="18"/>
                <w:szCs w:val="18"/>
              </w:rPr>
              <w:t>2</w:t>
            </w:r>
            <w:r w:rsidRPr="00E3667B">
              <w:rPr>
                <w:rFonts w:ascii="Times New Roman" w:eastAsia="宋体" w:hAnsi="Times New Roman" w:cs="Times New Roman"/>
                <w:sz w:val="18"/>
                <w:szCs w:val="18"/>
              </w:rPr>
              <w:t>）经销商：交付后在信用期内付款。</w:t>
            </w:r>
          </w:p>
        </w:tc>
        <w:tc>
          <w:tcPr>
            <w:tcW w:w="1275" w:type="dxa"/>
            <w:tcBorders>
              <w:top w:val="single" w:sz="2" w:space="0" w:color="auto"/>
              <w:left w:val="single" w:sz="2" w:space="0" w:color="auto"/>
              <w:bottom w:val="single" w:sz="2" w:space="0" w:color="auto"/>
              <w:right w:val="single" w:sz="2" w:space="0" w:color="auto"/>
            </w:tcBorders>
            <w:vAlign w:val="center"/>
          </w:tcPr>
          <w:p w14:paraId="03DE71F8" w14:textId="77777777" w:rsidR="00A46BF1" w:rsidRPr="00E3667B" w:rsidRDefault="00A46BF1" w:rsidP="003D1F21">
            <w:pPr>
              <w:spacing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货物</w:t>
            </w:r>
          </w:p>
        </w:tc>
        <w:tc>
          <w:tcPr>
            <w:tcW w:w="993" w:type="dxa"/>
            <w:tcBorders>
              <w:top w:val="single" w:sz="2" w:space="0" w:color="auto"/>
              <w:left w:val="single" w:sz="2" w:space="0" w:color="auto"/>
              <w:bottom w:val="single" w:sz="2" w:space="0" w:color="auto"/>
              <w:right w:val="single" w:sz="2" w:space="0" w:color="auto"/>
            </w:tcBorders>
            <w:vAlign w:val="center"/>
          </w:tcPr>
          <w:p w14:paraId="07C6D72B" w14:textId="77777777" w:rsidR="00A46BF1" w:rsidRPr="00E3667B" w:rsidRDefault="00A46BF1" w:rsidP="003D1F21">
            <w:pPr>
              <w:spacing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是</w:t>
            </w:r>
          </w:p>
        </w:tc>
        <w:tc>
          <w:tcPr>
            <w:tcW w:w="1275" w:type="dxa"/>
            <w:tcBorders>
              <w:top w:val="single" w:sz="2" w:space="0" w:color="auto"/>
              <w:left w:val="single" w:sz="2" w:space="0" w:color="auto"/>
              <w:bottom w:val="single" w:sz="2" w:space="0" w:color="auto"/>
              <w:right w:val="single" w:sz="2" w:space="0" w:color="auto"/>
            </w:tcBorders>
            <w:vAlign w:val="center"/>
          </w:tcPr>
          <w:p w14:paraId="72393634" w14:textId="77777777" w:rsidR="00A46BF1" w:rsidRPr="00E3667B" w:rsidRDefault="00A46BF1" w:rsidP="003D1F21">
            <w:pPr>
              <w:spacing w:line="360" w:lineRule="auto"/>
              <w:jc w:val="center"/>
              <w:rPr>
                <w:rFonts w:ascii="Times New Roman" w:eastAsia="宋体" w:hAnsi="Times New Roman" w:cs="Times New Roman"/>
                <w:sz w:val="18"/>
                <w:szCs w:val="18"/>
              </w:rPr>
            </w:pPr>
            <w:r w:rsidRPr="00E3667B">
              <w:rPr>
                <w:rFonts w:ascii="Times New Roman" w:eastAsia="宋体" w:hAnsi="Times New Roman" w:cs="Times New Roman"/>
                <w:sz w:val="18"/>
                <w:szCs w:val="18"/>
              </w:rPr>
              <w:t>否</w:t>
            </w:r>
          </w:p>
        </w:tc>
        <w:tc>
          <w:tcPr>
            <w:tcW w:w="1214" w:type="dxa"/>
            <w:tcBorders>
              <w:top w:val="single" w:sz="2" w:space="0" w:color="auto"/>
              <w:left w:val="single" w:sz="2" w:space="0" w:color="auto"/>
              <w:bottom w:val="single" w:sz="2" w:space="0" w:color="auto"/>
              <w:right w:val="single" w:sz="2" w:space="0" w:color="auto"/>
            </w:tcBorders>
            <w:vAlign w:val="center"/>
          </w:tcPr>
          <w:p w14:paraId="17E161D4" w14:textId="77777777" w:rsidR="00A46BF1" w:rsidRPr="00E3667B" w:rsidRDefault="00A46BF1" w:rsidP="00E3667B">
            <w:pPr>
              <w:spacing w:line="360" w:lineRule="auto"/>
              <w:rPr>
                <w:rFonts w:ascii="Times New Roman" w:eastAsia="宋体" w:hAnsi="Times New Roman" w:cs="Times New Roman"/>
                <w:sz w:val="18"/>
                <w:szCs w:val="18"/>
              </w:rPr>
            </w:pPr>
            <w:r w:rsidRPr="00E3667B">
              <w:rPr>
                <w:rFonts w:ascii="Times New Roman" w:eastAsia="宋体" w:hAnsi="Times New Roman" w:cs="Times New Roman"/>
                <w:sz w:val="18"/>
                <w:szCs w:val="18"/>
              </w:rPr>
              <w:t>产品质量保证</w:t>
            </w:r>
          </w:p>
        </w:tc>
      </w:tr>
    </w:tbl>
    <w:p w14:paraId="18A66911"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4319792F" w14:textId="7631177C"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hint="eastAsia"/>
          <w:sz w:val="21"/>
          <w:szCs w:val="21"/>
        </w:rPr>
        <w:t>国内销售项目以物运送至约定地点，客户确认收到商品之日确定履行履约义务的时间，国际销售根据不同国际贸易条款，以取得报关单和提运单之日确定履行履约义务的时间。</w:t>
      </w:r>
    </w:p>
    <w:p w14:paraId="434AC8E8"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与分摊至剩余履约义务的交易价格相关的信息：</w:t>
      </w:r>
    </w:p>
    <w:p w14:paraId="270A350A" w14:textId="453E9D14" w:rsidR="00A46BF1" w:rsidRPr="00A83985" w:rsidRDefault="00A46BF1" w:rsidP="00A83985">
      <w:pPr>
        <w:pStyle w:val="a9"/>
        <w:spacing w:before="0" w:beforeAutospacing="0" w:after="0" w:afterAutospacing="0" w:line="360" w:lineRule="auto"/>
        <w:ind w:firstLineChars="200" w:firstLine="420"/>
        <w:jc w:val="both"/>
        <w:rPr>
          <w:rFonts w:ascii="Times New Roman" w:hAnsi="Times New Roman" w:cs="Times New Roman"/>
          <w:sz w:val="21"/>
          <w:szCs w:val="21"/>
        </w:rPr>
      </w:pPr>
      <w:r w:rsidRPr="00A83985">
        <w:rPr>
          <w:rFonts w:ascii="Times New Roman" w:hAnsi="Times New Roman" w:cs="Times New Roman"/>
          <w:sz w:val="21"/>
          <w:szCs w:val="21"/>
        </w:rPr>
        <w:t>本报告期末已签订合同、但尚未履行或尚未履行完毕的履约义务所对应的收入金额为</w:t>
      </w:r>
      <w:r w:rsidRPr="00A83985">
        <w:rPr>
          <w:rFonts w:ascii="Times New Roman" w:hAnsi="Times New Roman" w:cs="Times New Roman"/>
          <w:sz w:val="21"/>
          <w:szCs w:val="21"/>
        </w:rPr>
        <w:t>72,533,022.18</w:t>
      </w:r>
      <w:r w:rsidRPr="00A83985">
        <w:rPr>
          <w:rFonts w:ascii="Times New Roman" w:hAnsi="Times New Roman" w:cs="Times New Roman"/>
          <w:sz w:val="21"/>
          <w:szCs w:val="21"/>
        </w:rPr>
        <w:t>元，其中，</w:t>
      </w:r>
      <w:r w:rsidRPr="00A83985">
        <w:rPr>
          <w:rFonts w:ascii="Times New Roman" w:hAnsi="Times New Roman" w:cs="Times New Roman"/>
          <w:sz w:val="21"/>
          <w:szCs w:val="21"/>
        </w:rPr>
        <w:t>72,533,022.18</w:t>
      </w:r>
      <w:r w:rsidRPr="00A83985">
        <w:rPr>
          <w:rFonts w:ascii="Times New Roman" w:hAnsi="Times New Roman" w:cs="Times New Roman"/>
          <w:sz w:val="21"/>
          <w:szCs w:val="21"/>
        </w:rPr>
        <w:t>元预计将于</w:t>
      </w:r>
      <w:r w:rsidRPr="00A83985">
        <w:rPr>
          <w:rFonts w:ascii="Times New Roman" w:hAnsi="Times New Roman" w:cs="Times New Roman"/>
          <w:sz w:val="21"/>
          <w:szCs w:val="21"/>
        </w:rPr>
        <w:t>2026</w:t>
      </w:r>
      <w:r w:rsidRPr="00A83985">
        <w:rPr>
          <w:rFonts w:ascii="Times New Roman" w:hAnsi="Times New Roman" w:cs="Times New Roman"/>
          <w:sz w:val="21"/>
          <w:szCs w:val="21"/>
        </w:rPr>
        <w:t>年度确认收入。</w:t>
      </w:r>
    </w:p>
    <w:p w14:paraId="4DA1826B"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重大合同变更或重大交易价格调整</w:t>
      </w:r>
    </w:p>
    <w:p w14:paraId="48152F24"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213"/>
        <w:gridCol w:w="3213"/>
        <w:gridCol w:w="3213"/>
      </w:tblGrid>
      <w:tr w:rsidR="00095F6F" w14:paraId="6B09469A" w14:textId="77777777" w:rsidTr="00A46BF1">
        <w:trPr>
          <w:trHeight w:val="240"/>
        </w:trPr>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6FBE63F9"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项目</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760E36DF"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会计处理方法</w:t>
            </w:r>
          </w:p>
        </w:tc>
        <w:tc>
          <w:tcPr>
            <w:tcW w:w="3213" w:type="dxa"/>
            <w:tcBorders>
              <w:top w:val="single" w:sz="2" w:space="0" w:color="auto"/>
              <w:left w:val="single" w:sz="2" w:space="0" w:color="auto"/>
              <w:bottom w:val="single" w:sz="2" w:space="0" w:color="auto"/>
              <w:right w:val="single" w:sz="2" w:space="0" w:color="auto"/>
            </w:tcBorders>
            <w:shd w:val="clear" w:color="auto" w:fill="D3D3D3"/>
            <w:vAlign w:val="center"/>
          </w:tcPr>
          <w:p w14:paraId="1A5C0D1D" w14:textId="77777777" w:rsidR="00A46BF1" w:rsidRDefault="00A46BF1" w:rsidP="00A46BF1">
            <w:pPr>
              <w:spacing w:before="40" w:after="40" w:line="240" w:lineRule="exact"/>
              <w:jc w:val="center"/>
              <w:rPr>
                <w:rFonts w:ascii="宋体" w:eastAsia="宋体" w:hAnsi="宋体" w:cs="宋体"/>
                <w:sz w:val="18"/>
                <w:szCs w:val="18"/>
              </w:rPr>
            </w:pPr>
            <w:r>
              <w:rPr>
                <w:rFonts w:ascii="宋体" w:eastAsia="宋体" w:hAnsi="宋体" w:cs="宋体"/>
                <w:sz w:val="18"/>
                <w:szCs w:val="18"/>
              </w:rPr>
              <w:t>对收入的影响金额</w:t>
            </w:r>
          </w:p>
        </w:tc>
      </w:tr>
    </w:tbl>
    <w:p w14:paraId="543EC63E"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其他说明：</w:t>
      </w:r>
    </w:p>
    <w:p w14:paraId="0748161D" w14:textId="77777777" w:rsidR="00A46BF1" w:rsidRPr="00845CD2" w:rsidRDefault="00A46BF1" w:rsidP="00845CD2">
      <w:pPr>
        <w:spacing w:before="100" w:after="100" w:line="240" w:lineRule="exact"/>
        <w:rPr>
          <w:rFonts w:ascii="宋体" w:eastAsia="宋体" w:hAnsi="宋体" w:cs="宋体"/>
          <w:sz w:val="18"/>
          <w:szCs w:val="18"/>
        </w:rPr>
      </w:pPr>
      <w:r w:rsidRPr="00845CD2">
        <w:rPr>
          <w:rFonts w:ascii="宋体" w:eastAsia="宋体" w:hAnsi="宋体" w:cs="宋体" w:hint="eastAsia"/>
          <w:sz w:val="18"/>
          <w:szCs w:val="18"/>
        </w:rPr>
        <w:t>无</w:t>
      </w:r>
    </w:p>
    <w:p w14:paraId="738504FD" w14:textId="77777777" w:rsidR="00A46BF1" w:rsidRDefault="00A46BF1" w:rsidP="00A46BF1">
      <w:pPr>
        <w:pStyle w:val="3"/>
        <w:spacing w:line="280" w:lineRule="exact"/>
        <w:jc w:val="left"/>
        <w:rPr>
          <w:rFonts w:ascii="宋体" w:hAnsi="宋体" w:cs="宋体"/>
          <w:b/>
          <w:bCs/>
        </w:rPr>
      </w:pPr>
      <w:r>
        <w:rPr>
          <w:rFonts w:ascii="宋体" w:hAnsi="宋体" w:cs="宋体"/>
          <w:b/>
          <w:bCs/>
        </w:rPr>
        <w:t>5、投资收益</w:t>
      </w:r>
    </w:p>
    <w:p w14:paraId="511D4F6D" w14:textId="77777777" w:rsidR="00A46BF1" w:rsidRDefault="00A46BF1" w:rsidP="00A46BF1">
      <w:pPr>
        <w:spacing w:before="40" w:after="4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3544"/>
        <w:gridCol w:w="3047"/>
        <w:gridCol w:w="3048"/>
      </w:tblGrid>
      <w:tr w:rsidR="00095F6F" w14:paraId="6E8C0404" w14:textId="77777777" w:rsidTr="00845CD2">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C7CE9A1"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项目</w:t>
            </w:r>
          </w:p>
        </w:tc>
        <w:tc>
          <w:tcPr>
            <w:tcW w:w="3047" w:type="dxa"/>
            <w:tcBorders>
              <w:top w:val="single" w:sz="2" w:space="0" w:color="auto"/>
              <w:left w:val="single" w:sz="2" w:space="0" w:color="auto"/>
              <w:bottom w:val="single" w:sz="2" w:space="0" w:color="auto"/>
              <w:right w:val="single" w:sz="2" w:space="0" w:color="auto"/>
            </w:tcBorders>
            <w:shd w:val="clear" w:color="auto" w:fill="D3D3D3"/>
            <w:vAlign w:val="center"/>
          </w:tcPr>
          <w:p w14:paraId="0F1BA7F3"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本期发生额</w:t>
            </w:r>
          </w:p>
        </w:tc>
        <w:tc>
          <w:tcPr>
            <w:tcW w:w="3048" w:type="dxa"/>
            <w:tcBorders>
              <w:top w:val="single" w:sz="2" w:space="0" w:color="auto"/>
              <w:left w:val="single" w:sz="2" w:space="0" w:color="auto"/>
              <w:bottom w:val="single" w:sz="2" w:space="0" w:color="auto"/>
              <w:right w:val="single" w:sz="2" w:space="0" w:color="auto"/>
            </w:tcBorders>
            <w:shd w:val="clear" w:color="auto" w:fill="D3D3D3"/>
            <w:vAlign w:val="center"/>
          </w:tcPr>
          <w:p w14:paraId="3306BC77"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上期发生额</w:t>
            </w:r>
          </w:p>
        </w:tc>
      </w:tr>
      <w:tr w:rsidR="00095F6F" w14:paraId="180C3619" w14:textId="77777777" w:rsidTr="00845CD2">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5041D357"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成本法核算的长期股权投资收益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08558E1F"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3,914,353.48</w:t>
            </w:r>
          </w:p>
        </w:tc>
        <w:tc>
          <w:tcPr>
            <w:tcW w:w="3048" w:type="dxa"/>
            <w:tcBorders>
              <w:top w:val="single" w:sz="2" w:space="0" w:color="auto"/>
              <w:left w:val="single" w:sz="2" w:space="0" w:color="auto"/>
              <w:bottom w:val="single" w:sz="2" w:space="0" w:color="auto"/>
              <w:right w:val="single" w:sz="2" w:space="0" w:color="auto"/>
            </w:tcBorders>
            <w:vAlign w:val="center"/>
          </w:tcPr>
          <w:p w14:paraId="5539E2BF" w14:textId="77777777" w:rsidR="00A46BF1" w:rsidRPr="00845CD2" w:rsidRDefault="00A46BF1" w:rsidP="00845CD2">
            <w:pPr>
              <w:spacing w:line="360" w:lineRule="auto"/>
              <w:jc w:val="right"/>
              <w:rPr>
                <w:rFonts w:ascii="Times New Roman" w:eastAsia="宋体" w:hAnsi="Times New Roman" w:cs="Times New Roman"/>
                <w:sz w:val="18"/>
                <w:szCs w:val="18"/>
              </w:rPr>
            </w:pPr>
          </w:p>
        </w:tc>
      </w:tr>
      <w:tr w:rsidR="00095F6F" w14:paraId="11D2203C" w14:textId="77777777" w:rsidTr="00845CD2">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699359C3"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权益法核算的长期股权投资收益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54E76CD9"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-86,340.03</w:t>
            </w:r>
          </w:p>
        </w:tc>
        <w:tc>
          <w:tcPr>
            <w:tcW w:w="3048" w:type="dxa"/>
            <w:tcBorders>
              <w:top w:val="single" w:sz="2" w:space="0" w:color="auto"/>
              <w:left w:val="single" w:sz="2" w:space="0" w:color="auto"/>
              <w:bottom w:val="single" w:sz="2" w:space="0" w:color="auto"/>
              <w:right w:val="single" w:sz="2" w:space="0" w:color="auto"/>
            </w:tcBorders>
            <w:vAlign w:val="center"/>
          </w:tcPr>
          <w:p w14:paraId="4D47A6F5"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-911,001.94</w:t>
            </w:r>
          </w:p>
        </w:tc>
      </w:tr>
      <w:tr w:rsidR="00095F6F" w14:paraId="2B078E86" w14:textId="77777777" w:rsidTr="00845CD2">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47ADCFFD"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处置长期股权投资产生的投资收益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72110236"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-179,824.02</w:t>
            </w:r>
          </w:p>
        </w:tc>
        <w:tc>
          <w:tcPr>
            <w:tcW w:w="3048" w:type="dxa"/>
            <w:tcBorders>
              <w:top w:val="single" w:sz="2" w:space="0" w:color="auto"/>
              <w:left w:val="single" w:sz="2" w:space="0" w:color="auto"/>
              <w:bottom w:val="single" w:sz="2" w:space="0" w:color="auto"/>
              <w:right w:val="single" w:sz="2" w:space="0" w:color="auto"/>
            </w:tcBorders>
            <w:vAlign w:val="center"/>
          </w:tcPr>
          <w:p w14:paraId="118EC1A3" w14:textId="77777777" w:rsidR="00A46BF1" w:rsidRPr="00845CD2" w:rsidRDefault="00A46BF1" w:rsidP="00845CD2">
            <w:pPr>
              <w:spacing w:line="360" w:lineRule="auto"/>
              <w:jc w:val="right"/>
              <w:rPr>
                <w:rFonts w:ascii="Times New Roman" w:eastAsia="宋体" w:hAnsi="Times New Roman" w:cs="Times New Roman"/>
                <w:sz w:val="18"/>
                <w:szCs w:val="18"/>
              </w:rPr>
            </w:pPr>
          </w:p>
        </w:tc>
      </w:tr>
      <w:tr w:rsidR="00095F6F" w14:paraId="26836742" w14:textId="77777777" w:rsidTr="00845CD2">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2A26DC3F"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交易性金融资产在持有期间的投资收益</w:t>
            </w:r>
          </w:p>
        </w:tc>
        <w:tc>
          <w:tcPr>
            <w:tcW w:w="3047" w:type="dxa"/>
            <w:tcBorders>
              <w:top w:val="single" w:sz="2" w:space="0" w:color="auto"/>
              <w:left w:val="single" w:sz="2" w:space="0" w:color="auto"/>
              <w:bottom w:val="single" w:sz="2" w:space="0" w:color="auto"/>
              <w:right w:val="single" w:sz="2" w:space="0" w:color="auto"/>
            </w:tcBorders>
            <w:vAlign w:val="center"/>
          </w:tcPr>
          <w:p w14:paraId="2FDC22CC"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1,580,438.22</w:t>
            </w:r>
          </w:p>
        </w:tc>
        <w:tc>
          <w:tcPr>
            <w:tcW w:w="3048" w:type="dxa"/>
            <w:tcBorders>
              <w:top w:val="single" w:sz="2" w:space="0" w:color="auto"/>
              <w:left w:val="single" w:sz="2" w:space="0" w:color="auto"/>
              <w:bottom w:val="single" w:sz="2" w:space="0" w:color="auto"/>
              <w:right w:val="single" w:sz="2" w:space="0" w:color="auto"/>
            </w:tcBorders>
            <w:vAlign w:val="center"/>
          </w:tcPr>
          <w:p w14:paraId="2B2FB1A5"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729,850.20</w:t>
            </w:r>
          </w:p>
        </w:tc>
      </w:tr>
      <w:tr w:rsidR="00095F6F" w14:paraId="6BAB0BFC" w14:textId="77777777" w:rsidTr="00845CD2">
        <w:trPr>
          <w:trHeight w:val="240"/>
        </w:trPr>
        <w:tc>
          <w:tcPr>
            <w:tcW w:w="3544" w:type="dxa"/>
            <w:tcBorders>
              <w:top w:val="single" w:sz="2" w:space="0" w:color="auto"/>
              <w:left w:val="single" w:sz="2" w:space="0" w:color="auto"/>
              <w:bottom w:val="single" w:sz="2" w:space="0" w:color="auto"/>
              <w:right w:val="single" w:sz="2" w:space="0" w:color="auto"/>
            </w:tcBorders>
            <w:shd w:val="clear" w:color="auto" w:fill="D3D3D3"/>
            <w:vAlign w:val="center"/>
          </w:tcPr>
          <w:p w14:paraId="363E474C"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合计</w:t>
            </w:r>
          </w:p>
        </w:tc>
        <w:tc>
          <w:tcPr>
            <w:tcW w:w="3047" w:type="dxa"/>
            <w:tcBorders>
              <w:top w:val="single" w:sz="2" w:space="0" w:color="auto"/>
              <w:left w:val="single" w:sz="2" w:space="0" w:color="auto"/>
              <w:bottom w:val="single" w:sz="2" w:space="0" w:color="auto"/>
              <w:right w:val="single" w:sz="2" w:space="0" w:color="auto"/>
            </w:tcBorders>
            <w:vAlign w:val="center"/>
          </w:tcPr>
          <w:p w14:paraId="0E420A66"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5,228,627.65</w:t>
            </w:r>
          </w:p>
        </w:tc>
        <w:tc>
          <w:tcPr>
            <w:tcW w:w="3048" w:type="dxa"/>
            <w:tcBorders>
              <w:top w:val="single" w:sz="2" w:space="0" w:color="auto"/>
              <w:left w:val="single" w:sz="2" w:space="0" w:color="auto"/>
              <w:bottom w:val="single" w:sz="2" w:space="0" w:color="auto"/>
              <w:right w:val="single" w:sz="2" w:space="0" w:color="auto"/>
            </w:tcBorders>
            <w:vAlign w:val="center"/>
          </w:tcPr>
          <w:p w14:paraId="1695B217"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-181,151.74</w:t>
            </w:r>
          </w:p>
        </w:tc>
      </w:tr>
    </w:tbl>
    <w:p w14:paraId="649A631E" w14:textId="77777777" w:rsidR="00A46BF1" w:rsidRDefault="00A46BF1" w:rsidP="00A46BF1">
      <w:pPr>
        <w:pStyle w:val="2"/>
        <w:spacing w:before="300" w:after="300" w:line="320" w:lineRule="exact"/>
        <w:rPr>
          <w:rFonts w:ascii="宋体" w:eastAsia="宋体" w:hAnsi="宋体" w:cs="宋体"/>
          <w:b/>
          <w:bCs/>
          <w:sz w:val="24"/>
          <w:szCs w:val="24"/>
        </w:rPr>
      </w:pPr>
      <w:r>
        <w:rPr>
          <w:rFonts w:ascii="宋体" w:eastAsia="宋体" w:hAnsi="宋体" w:cs="宋体"/>
          <w:b/>
          <w:bCs/>
          <w:sz w:val="24"/>
          <w:szCs w:val="24"/>
        </w:rPr>
        <w:t>二十、补充资料</w:t>
      </w:r>
    </w:p>
    <w:p w14:paraId="11D9592E" w14:textId="77777777" w:rsidR="00A46BF1" w:rsidRDefault="00A46BF1" w:rsidP="00A46BF1">
      <w:pPr>
        <w:pStyle w:val="3"/>
        <w:spacing w:line="280" w:lineRule="exact"/>
        <w:jc w:val="left"/>
        <w:rPr>
          <w:rFonts w:ascii="宋体" w:hAnsi="宋体" w:cs="宋体"/>
          <w:b/>
          <w:bCs/>
        </w:rPr>
      </w:pPr>
      <w:r>
        <w:rPr>
          <w:rFonts w:ascii="宋体" w:hAnsi="宋体" w:cs="宋体"/>
          <w:b/>
          <w:bCs/>
        </w:rPr>
        <w:t>1、当期非经常性损益明细表</w:t>
      </w:r>
    </w:p>
    <w:p w14:paraId="5A3F0709"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sym w:font="Wingdings 2" w:char="F052"/>
      </w:r>
      <w:r>
        <w:rPr>
          <w:rFonts w:ascii="宋体" w:eastAsia="宋体" w:hAnsi="宋体" w:cs="宋体"/>
          <w:sz w:val="18"/>
          <w:szCs w:val="18"/>
        </w:rPr>
        <w:t>适用 □不适用</w:t>
      </w:r>
    </w:p>
    <w:p w14:paraId="3EFDCF7E" w14:textId="77777777" w:rsidR="00A46BF1" w:rsidRDefault="00A46BF1" w:rsidP="00A46BF1">
      <w:pPr>
        <w:spacing w:before="120" w:after="120" w:line="240" w:lineRule="exact"/>
        <w:jc w:val="right"/>
        <w:rPr>
          <w:rFonts w:ascii="宋体" w:eastAsia="宋体" w:hAnsi="宋体" w:cs="宋体"/>
          <w:sz w:val="18"/>
          <w:szCs w:val="18"/>
        </w:rPr>
      </w:pPr>
      <w:r>
        <w:rPr>
          <w:rFonts w:ascii="宋体" w:eastAsia="宋体" w:hAnsi="宋体" w:cs="宋体"/>
          <w:sz w:val="18"/>
          <w:szCs w:val="18"/>
        </w:rPr>
        <w:t>单位：元</w:t>
      </w:r>
    </w:p>
    <w:tbl>
      <w:tblPr>
        <w:tblW w:w="9639" w:type="dxa"/>
        <w:tblInd w:w="108" w:type="dxa"/>
        <w:tblLayout w:type="fixed"/>
        <w:tblLook w:val="04A0" w:firstRow="1" w:lastRow="0" w:firstColumn="1" w:lastColumn="0" w:noHBand="0" w:noVBand="1"/>
      </w:tblPr>
      <w:tblGrid>
        <w:gridCol w:w="6804"/>
        <w:gridCol w:w="1276"/>
        <w:gridCol w:w="1559"/>
      </w:tblGrid>
      <w:tr w:rsidR="00095F6F" w14:paraId="07005F3A"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2A0DEBD7"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项目</w:t>
            </w:r>
          </w:p>
        </w:tc>
        <w:tc>
          <w:tcPr>
            <w:tcW w:w="1276" w:type="dxa"/>
            <w:tcBorders>
              <w:top w:val="single" w:sz="2" w:space="0" w:color="auto"/>
              <w:left w:val="single" w:sz="2" w:space="0" w:color="auto"/>
              <w:bottom w:val="single" w:sz="2" w:space="0" w:color="auto"/>
              <w:right w:val="single" w:sz="2" w:space="0" w:color="auto"/>
            </w:tcBorders>
            <w:shd w:val="clear" w:color="auto" w:fill="D3D3D3"/>
            <w:vAlign w:val="center"/>
          </w:tcPr>
          <w:p w14:paraId="731D737D"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金额</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4BE48130"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说明</w:t>
            </w:r>
          </w:p>
        </w:tc>
      </w:tr>
      <w:tr w:rsidR="00095F6F" w14:paraId="46BC458E"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75962738"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非流动性资产处置损益</w:t>
            </w:r>
          </w:p>
        </w:tc>
        <w:tc>
          <w:tcPr>
            <w:tcW w:w="1276" w:type="dxa"/>
            <w:tcBorders>
              <w:top w:val="single" w:sz="2" w:space="0" w:color="auto"/>
              <w:left w:val="single" w:sz="2" w:space="0" w:color="auto"/>
              <w:bottom w:val="single" w:sz="2" w:space="0" w:color="auto"/>
              <w:right w:val="single" w:sz="2" w:space="0" w:color="auto"/>
            </w:tcBorders>
            <w:vAlign w:val="center"/>
          </w:tcPr>
          <w:p w14:paraId="1C6B7CD1"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-1,143,532.66</w:t>
            </w:r>
          </w:p>
        </w:tc>
        <w:tc>
          <w:tcPr>
            <w:tcW w:w="1559" w:type="dxa"/>
            <w:tcBorders>
              <w:top w:val="single" w:sz="2" w:space="0" w:color="auto"/>
              <w:left w:val="single" w:sz="2" w:space="0" w:color="auto"/>
              <w:bottom w:val="single" w:sz="2" w:space="0" w:color="auto"/>
              <w:right w:val="single" w:sz="2" w:space="0" w:color="auto"/>
            </w:tcBorders>
            <w:vAlign w:val="center"/>
          </w:tcPr>
          <w:p w14:paraId="62A01FF0" w14:textId="77777777" w:rsidR="00A46BF1" w:rsidRPr="00845CD2" w:rsidRDefault="00A46BF1" w:rsidP="00845CD2">
            <w:pPr>
              <w:spacing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资产处置收益</w:t>
            </w:r>
          </w:p>
        </w:tc>
      </w:tr>
      <w:tr w:rsidR="00095F6F" w14:paraId="0B7FAD86"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0290808A"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计入当期损益的政府补助（与公司正常经营业务密切相关，符合国家政策规定、按照确定的标准享有、对公司损益产生持续影响的政府补助除外）</w:t>
            </w:r>
          </w:p>
        </w:tc>
        <w:tc>
          <w:tcPr>
            <w:tcW w:w="1276" w:type="dxa"/>
            <w:tcBorders>
              <w:top w:val="single" w:sz="2" w:space="0" w:color="auto"/>
              <w:left w:val="single" w:sz="2" w:space="0" w:color="auto"/>
              <w:bottom w:val="single" w:sz="2" w:space="0" w:color="auto"/>
              <w:right w:val="single" w:sz="2" w:space="0" w:color="auto"/>
            </w:tcBorders>
            <w:vAlign w:val="center"/>
          </w:tcPr>
          <w:p w14:paraId="7C9FD1F2"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27,849,487.54</w:t>
            </w:r>
          </w:p>
        </w:tc>
        <w:tc>
          <w:tcPr>
            <w:tcW w:w="1559" w:type="dxa"/>
            <w:tcBorders>
              <w:top w:val="single" w:sz="2" w:space="0" w:color="auto"/>
              <w:left w:val="single" w:sz="2" w:space="0" w:color="auto"/>
              <w:bottom w:val="single" w:sz="2" w:space="0" w:color="auto"/>
              <w:right w:val="single" w:sz="2" w:space="0" w:color="auto"/>
            </w:tcBorders>
            <w:vAlign w:val="center"/>
          </w:tcPr>
          <w:p w14:paraId="1A462A61" w14:textId="77777777" w:rsidR="00A46BF1" w:rsidRPr="00845CD2" w:rsidRDefault="00A46BF1" w:rsidP="00845CD2">
            <w:pPr>
              <w:spacing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政府补助</w:t>
            </w:r>
          </w:p>
        </w:tc>
      </w:tr>
      <w:tr w:rsidR="00095F6F" w14:paraId="2FE8759C"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43478191"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除同公司正常经营业务相关的有效套期保值业务外，非金融企业持有金融资产和金融负债产生的公允价值变动损益以及处置金融资产和金融负债产生的损益</w:t>
            </w:r>
          </w:p>
        </w:tc>
        <w:tc>
          <w:tcPr>
            <w:tcW w:w="1276" w:type="dxa"/>
            <w:tcBorders>
              <w:top w:val="single" w:sz="2" w:space="0" w:color="auto"/>
              <w:left w:val="single" w:sz="2" w:space="0" w:color="auto"/>
              <w:bottom w:val="single" w:sz="2" w:space="0" w:color="auto"/>
              <w:right w:val="single" w:sz="2" w:space="0" w:color="auto"/>
            </w:tcBorders>
            <w:vAlign w:val="center"/>
          </w:tcPr>
          <w:p w14:paraId="29426B5F"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2,941,034.88</w:t>
            </w:r>
          </w:p>
        </w:tc>
        <w:tc>
          <w:tcPr>
            <w:tcW w:w="1559" w:type="dxa"/>
            <w:tcBorders>
              <w:top w:val="single" w:sz="2" w:space="0" w:color="auto"/>
              <w:left w:val="single" w:sz="2" w:space="0" w:color="auto"/>
              <w:bottom w:val="single" w:sz="2" w:space="0" w:color="auto"/>
              <w:right w:val="single" w:sz="2" w:space="0" w:color="auto"/>
            </w:tcBorders>
            <w:vAlign w:val="center"/>
          </w:tcPr>
          <w:p w14:paraId="741DF13A" w14:textId="77777777" w:rsidR="00A46BF1" w:rsidRPr="00845CD2" w:rsidRDefault="00A46BF1" w:rsidP="00845CD2">
            <w:pPr>
              <w:spacing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交易性金融资产</w:t>
            </w:r>
          </w:p>
        </w:tc>
      </w:tr>
      <w:tr w:rsidR="00095F6F" w14:paraId="5E9F4433"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3E82E2A0"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单独进行减值测试的应收款项减值准备转回</w:t>
            </w:r>
          </w:p>
        </w:tc>
        <w:tc>
          <w:tcPr>
            <w:tcW w:w="1276" w:type="dxa"/>
            <w:tcBorders>
              <w:top w:val="single" w:sz="2" w:space="0" w:color="auto"/>
              <w:left w:val="single" w:sz="2" w:space="0" w:color="auto"/>
              <w:bottom w:val="single" w:sz="2" w:space="0" w:color="auto"/>
              <w:right w:val="single" w:sz="2" w:space="0" w:color="auto"/>
            </w:tcBorders>
            <w:vAlign w:val="center"/>
          </w:tcPr>
          <w:p w14:paraId="3E3CFB14"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20,000.00</w:t>
            </w:r>
          </w:p>
        </w:tc>
        <w:tc>
          <w:tcPr>
            <w:tcW w:w="1559" w:type="dxa"/>
            <w:tcBorders>
              <w:top w:val="single" w:sz="2" w:space="0" w:color="auto"/>
              <w:left w:val="single" w:sz="2" w:space="0" w:color="auto"/>
              <w:bottom w:val="single" w:sz="2" w:space="0" w:color="auto"/>
              <w:right w:val="single" w:sz="2" w:space="0" w:color="auto"/>
            </w:tcBorders>
            <w:vAlign w:val="center"/>
          </w:tcPr>
          <w:p w14:paraId="4478F7C5" w14:textId="77777777" w:rsidR="00A46BF1" w:rsidRPr="00845CD2" w:rsidRDefault="00A46BF1" w:rsidP="00845CD2">
            <w:pPr>
              <w:spacing w:line="360" w:lineRule="auto"/>
              <w:rPr>
                <w:rFonts w:ascii="Times New Roman" w:eastAsia="宋体" w:hAnsi="Times New Roman" w:cs="Times New Roman"/>
                <w:sz w:val="18"/>
                <w:szCs w:val="18"/>
              </w:rPr>
            </w:pPr>
          </w:p>
        </w:tc>
      </w:tr>
      <w:tr w:rsidR="00095F6F" w14:paraId="1BF38A1F"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1F06ACE9"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除上述各项之外的其他营业外收入和支出</w:t>
            </w:r>
          </w:p>
        </w:tc>
        <w:tc>
          <w:tcPr>
            <w:tcW w:w="1276" w:type="dxa"/>
            <w:tcBorders>
              <w:top w:val="single" w:sz="2" w:space="0" w:color="auto"/>
              <w:left w:val="single" w:sz="2" w:space="0" w:color="auto"/>
              <w:bottom w:val="single" w:sz="2" w:space="0" w:color="auto"/>
              <w:right w:val="single" w:sz="2" w:space="0" w:color="auto"/>
            </w:tcBorders>
            <w:vAlign w:val="center"/>
          </w:tcPr>
          <w:p w14:paraId="5E242FFF"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10,047,011.74</w:t>
            </w:r>
          </w:p>
        </w:tc>
        <w:tc>
          <w:tcPr>
            <w:tcW w:w="1559" w:type="dxa"/>
            <w:tcBorders>
              <w:top w:val="single" w:sz="2" w:space="0" w:color="auto"/>
              <w:left w:val="single" w:sz="2" w:space="0" w:color="auto"/>
              <w:bottom w:val="single" w:sz="2" w:space="0" w:color="auto"/>
              <w:right w:val="single" w:sz="2" w:space="0" w:color="auto"/>
            </w:tcBorders>
            <w:vAlign w:val="center"/>
          </w:tcPr>
          <w:p w14:paraId="2D52432C" w14:textId="77777777" w:rsidR="00A46BF1" w:rsidRPr="00845CD2" w:rsidRDefault="00A46BF1" w:rsidP="00845CD2">
            <w:pPr>
              <w:spacing w:line="360" w:lineRule="auto"/>
              <w:rPr>
                <w:rFonts w:ascii="Times New Roman" w:eastAsia="宋体" w:hAnsi="Times New Roman" w:cs="Times New Roman"/>
                <w:sz w:val="18"/>
                <w:szCs w:val="18"/>
              </w:rPr>
            </w:pPr>
          </w:p>
        </w:tc>
      </w:tr>
      <w:tr w:rsidR="00095F6F" w14:paraId="38ADD5B0"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1FE2716A"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减：所得税影响额</w:t>
            </w:r>
          </w:p>
        </w:tc>
        <w:tc>
          <w:tcPr>
            <w:tcW w:w="1276" w:type="dxa"/>
            <w:tcBorders>
              <w:top w:val="single" w:sz="2" w:space="0" w:color="auto"/>
              <w:left w:val="single" w:sz="2" w:space="0" w:color="auto"/>
              <w:bottom w:val="single" w:sz="2" w:space="0" w:color="auto"/>
              <w:right w:val="single" w:sz="2" w:space="0" w:color="auto"/>
            </w:tcBorders>
            <w:vAlign w:val="center"/>
          </w:tcPr>
          <w:p w14:paraId="4D25C2C1"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5,898,050.74</w:t>
            </w:r>
          </w:p>
        </w:tc>
        <w:tc>
          <w:tcPr>
            <w:tcW w:w="1559" w:type="dxa"/>
            <w:tcBorders>
              <w:top w:val="single" w:sz="2" w:space="0" w:color="auto"/>
              <w:left w:val="single" w:sz="2" w:space="0" w:color="auto"/>
              <w:bottom w:val="single" w:sz="2" w:space="0" w:color="auto"/>
              <w:right w:val="single" w:sz="2" w:space="0" w:color="auto"/>
            </w:tcBorders>
            <w:vAlign w:val="center"/>
          </w:tcPr>
          <w:p w14:paraId="3CAD3863" w14:textId="77777777" w:rsidR="00A46BF1" w:rsidRPr="00845CD2" w:rsidRDefault="00A46BF1" w:rsidP="00845CD2">
            <w:pPr>
              <w:spacing w:line="360" w:lineRule="auto"/>
              <w:rPr>
                <w:rFonts w:ascii="Times New Roman" w:eastAsia="宋体" w:hAnsi="Times New Roman" w:cs="Times New Roman"/>
                <w:sz w:val="18"/>
                <w:szCs w:val="18"/>
              </w:rPr>
            </w:pPr>
          </w:p>
        </w:tc>
      </w:tr>
      <w:tr w:rsidR="00095F6F" w14:paraId="0975DA4F"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5B57207E" w14:textId="77777777" w:rsidR="00A46BF1" w:rsidRPr="00845CD2" w:rsidRDefault="00A46BF1" w:rsidP="00845CD2">
            <w:pPr>
              <w:spacing w:before="40" w:after="40" w:line="360" w:lineRule="auto"/>
              <w:ind w:firstLineChars="200" w:firstLine="360"/>
              <w:rPr>
                <w:rFonts w:ascii="Times New Roman" w:eastAsia="宋体" w:hAnsi="Times New Roman" w:cs="Times New Roman"/>
                <w:sz w:val="18"/>
                <w:szCs w:val="18"/>
              </w:rPr>
            </w:pPr>
            <w:r w:rsidRPr="00845CD2">
              <w:rPr>
                <w:rFonts w:ascii="Times New Roman" w:eastAsia="宋体" w:hAnsi="Times New Roman" w:cs="Times New Roman"/>
                <w:sz w:val="18"/>
                <w:szCs w:val="18"/>
              </w:rPr>
              <w:t>少数股东权益影响额（税后）</w:t>
            </w:r>
          </w:p>
        </w:tc>
        <w:tc>
          <w:tcPr>
            <w:tcW w:w="1276" w:type="dxa"/>
            <w:tcBorders>
              <w:top w:val="single" w:sz="2" w:space="0" w:color="auto"/>
              <w:left w:val="single" w:sz="2" w:space="0" w:color="auto"/>
              <w:bottom w:val="single" w:sz="2" w:space="0" w:color="auto"/>
              <w:right w:val="single" w:sz="2" w:space="0" w:color="auto"/>
            </w:tcBorders>
            <w:vAlign w:val="center"/>
          </w:tcPr>
          <w:p w14:paraId="388676E3"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187,640.05</w:t>
            </w:r>
          </w:p>
        </w:tc>
        <w:tc>
          <w:tcPr>
            <w:tcW w:w="1559" w:type="dxa"/>
            <w:tcBorders>
              <w:top w:val="single" w:sz="2" w:space="0" w:color="auto"/>
              <w:left w:val="single" w:sz="2" w:space="0" w:color="auto"/>
              <w:bottom w:val="single" w:sz="2" w:space="0" w:color="auto"/>
              <w:right w:val="single" w:sz="2" w:space="0" w:color="auto"/>
            </w:tcBorders>
            <w:vAlign w:val="center"/>
          </w:tcPr>
          <w:p w14:paraId="198BB8A3" w14:textId="77777777" w:rsidR="00A46BF1" w:rsidRPr="00845CD2" w:rsidRDefault="00A46BF1" w:rsidP="00845CD2">
            <w:pPr>
              <w:spacing w:line="360" w:lineRule="auto"/>
              <w:rPr>
                <w:rFonts w:ascii="Times New Roman" w:eastAsia="宋体" w:hAnsi="Times New Roman" w:cs="Times New Roman"/>
                <w:sz w:val="18"/>
                <w:szCs w:val="18"/>
              </w:rPr>
            </w:pPr>
          </w:p>
        </w:tc>
      </w:tr>
      <w:tr w:rsidR="00095F6F" w14:paraId="2DF69062" w14:textId="77777777" w:rsidTr="00845CD2">
        <w:trPr>
          <w:trHeight w:val="240"/>
        </w:trPr>
        <w:tc>
          <w:tcPr>
            <w:tcW w:w="6804" w:type="dxa"/>
            <w:tcBorders>
              <w:top w:val="single" w:sz="2" w:space="0" w:color="auto"/>
              <w:left w:val="single" w:sz="2" w:space="0" w:color="auto"/>
              <w:bottom w:val="single" w:sz="2" w:space="0" w:color="auto"/>
              <w:right w:val="single" w:sz="2" w:space="0" w:color="auto"/>
            </w:tcBorders>
            <w:shd w:val="clear" w:color="auto" w:fill="D3D3D3"/>
            <w:vAlign w:val="center"/>
          </w:tcPr>
          <w:p w14:paraId="7748B778" w14:textId="77777777" w:rsidR="00A46BF1" w:rsidRPr="00845CD2" w:rsidRDefault="00A46BF1" w:rsidP="00845CD2">
            <w:pPr>
              <w:spacing w:before="40" w:after="40" w:line="360" w:lineRule="auto"/>
              <w:rPr>
                <w:rFonts w:ascii="Times New Roman" w:eastAsia="宋体" w:hAnsi="Times New Roman" w:cs="Times New Roman"/>
                <w:sz w:val="18"/>
                <w:szCs w:val="18"/>
              </w:rPr>
            </w:pPr>
            <w:r w:rsidRPr="00845CD2">
              <w:rPr>
                <w:rFonts w:ascii="Times New Roman" w:eastAsia="宋体" w:hAnsi="Times New Roman" w:cs="Times New Roman"/>
                <w:sz w:val="18"/>
                <w:szCs w:val="18"/>
              </w:rPr>
              <w:t>合计</w:t>
            </w:r>
          </w:p>
        </w:tc>
        <w:tc>
          <w:tcPr>
            <w:tcW w:w="1276" w:type="dxa"/>
            <w:tcBorders>
              <w:top w:val="single" w:sz="2" w:space="0" w:color="auto"/>
              <w:left w:val="single" w:sz="2" w:space="0" w:color="auto"/>
              <w:bottom w:val="single" w:sz="2" w:space="0" w:color="auto"/>
              <w:right w:val="single" w:sz="2" w:space="0" w:color="auto"/>
            </w:tcBorders>
            <w:vAlign w:val="center"/>
          </w:tcPr>
          <w:p w14:paraId="3BB37F30" w14:textId="77777777" w:rsidR="00A46BF1" w:rsidRPr="00845CD2" w:rsidRDefault="00A46BF1" w:rsidP="00845CD2">
            <w:pPr>
              <w:spacing w:line="360" w:lineRule="auto"/>
              <w:jc w:val="right"/>
              <w:rPr>
                <w:rFonts w:ascii="Times New Roman" w:eastAsia="宋体" w:hAnsi="Times New Roman" w:cs="Times New Roman"/>
                <w:sz w:val="18"/>
                <w:szCs w:val="18"/>
              </w:rPr>
            </w:pPr>
            <w:r w:rsidRPr="00845CD2">
              <w:rPr>
                <w:rFonts w:ascii="Times New Roman" w:eastAsia="宋体" w:hAnsi="Times New Roman" w:cs="Times New Roman"/>
                <w:sz w:val="18"/>
                <w:szCs w:val="18"/>
              </w:rPr>
              <w:t>33,628,310.71</w:t>
            </w:r>
          </w:p>
        </w:tc>
        <w:tc>
          <w:tcPr>
            <w:tcW w:w="1559" w:type="dxa"/>
            <w:tcBorders>
              <w:top w:val="single" w:sz="2" w:space="0" w:color="auto"/>
              <w:left w:val="single" w:sz="2" w:space="0" w:color="auto"/>
              <w:bottom w:val="single" w:sz="2" w:space="0" w:color="auto"/>
              <w:right w:val="single" w:sz="2" w:space="0" w:color="auto"/>
            </w:tcBorders>
            <w:shd w:val="clear" w:color="auto" w:fill="D3D3D3"/>
            <w:vAlign w:val="center"/>
          </w:tcPr>
          <w:p w14:paraId="7023335E" w14:textId="77777777" w:rsidR="00A46BF1" w:rsidRPr="00845CD2" w:rsidRDefault="00A46BF1" w:rsidP="00845CD2">
            <w:pPr>
              <w:spacing w:before="40" w:after="40" w:line="360" w:lineRule="auto"/>
              <w:jc w:val="center"/>
              <w:rPr>
                <w:rFonts w:ascii="Times New Roman" w:eastAsia="宋体" w:hAnsi="Times New Roman" w:cs="Times New Roman"/>
                <w:sz w:val="18"/>
                <w:szCs w:val="18"/>
              </w:rPr>
            </w:pPr>
            <w:r w:rsidRPr="00845CD2">
              <w:rPr>
                <w:rFonts w:ascii="Times New Roman" w:eastAsia="宋体" w:hAnsi="Times New Roman" w:cs="Times New Roman"/>
                <w:sz w:val="18"/>
                <w:szCs w:val="18"/>
              </w:rPr>
              <w:t>--</w:t>
            </w:r>
          </w:p>
        </w:tc>
      </w:tr>
    </w:tbl>
    <w:p w14:paraId="0F4B6E5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其他符合非经常性损益定义的损益项目的具体情况：</w:t>
      </w:r>
    </w:p>
    <w:p w14:paraId="5BD4A884"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0851B08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公司不存在其他符合非经常性损益定义的损益项目的具体情况。</w:t>
      </w:r>
    </w:p>
    <w:p w14:paraId="40EE56C7"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将《公开发行证券的公司信息披露解释性公告第1号——非经常性损益》中列举的非经常性损益项目界定为经常性损益项目的情况说明</w:t>
      </w:r>
    </w:p>
    <w:p w14:paraId="1283F66C"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6B9156D0" w14:textId="77777777" w:rsidR="00A46BF1" w:rsidRDefault="00A46BF1" w:rsidP="00A46BF1">
      <w:pPr>
        <w:pStyle w:val="3"/>
        <w:spacing w:line="280" w:lineRule="exact"/>
        <w:jc w:val="left"/>
        <w:rPr>
          <w:rFonts w:ascii="宋体" w:hAnsi="宋体" w:cs="宋体"/>
          <w:b/>
          <w:bCs/>
        </w:rPr>
      </w:pPr>
      <w:bookmarkStart w:id="140" w:name="_Toc989336"/>
      <w:r>
        <w:rPr>
          <w:rFonts w:ascii="宋体" w:hAnsi="宋体" w:cs="宋体"/>
          <w:b/>
          <w:bCs/>
        </w:rPr>
        <w:t>2、净资产收益率及每股收益</w:t>
      </w:r>
      <w:bookmarkEnd w:id="140"/>
    </w:p>
    <w:tbl>
      <w:tblPr>
        <w:tblW w:w="9639" w:type="dxa"/>
        <w:tblInd w:w="108" w:type="dxa"/>
        <w:tblLayout w:type="fixed"/>
        <w:tblLook w:val="04A0" w:firstRow="1" w:lastRow="0" w:firstColumn="1" w:lastColumn="0" w:noHBand="0" w:noVBand="1"/>
      </w:tblPr>
      <w:tblGrid>
        <w:gridCol w:w="3261"/>
        <w:gridCol w:w="2126"/>
        <w:gridCol w:w="2126"/>
        <w:gridCol w:w="2126"/>
      </w:tblGrid>
      <w:tr w:rsidR="00095F6F" w14:paraId="157342BB" w14:textId="77777777" w:rsidTr="00814F27">
        <w:trPr>
          <w:trHeight w:val="240"/>
        </w:trPr>
        <w:tc>
          <w:tcPr>
            <w:tcW w:w="3261"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41BC51A3" w14:textId="77777777" w:rsidR="00A46BF1" w:rsidRPr="00814F27" w:rsidRDefault="00A46BF1" w:rsidP="00814F27">
            <w:pPr>
              <w:spacing w:before="40" w:after="40" w:line="360" w:lineRule="auto"/>
              <w:jc w:val="center"/>
              <w:rPr>
                <w:rFonts w:ascii="Times New Roman" w:eastAsia="宋体" w:hAnsi="Times New Roman" w:cs="Times New Roman"/>
                <w:sz w:val="18"/>
                <w:szCs w:val="18"/>
              </w:rPr>
            </w:pPr>
            <w:r w:rsidRPr="00814F27">
              <w:rPr>
                <w:rFonts w:ascii="Times New Roman" w:eastAsia="宋体" w:hAnsi="Times New Roman" w:cs="Times New Roman"/>
                <w:sz w:val="18"/>
                <w:szCs w:val="18"/>
              </w:rPr>
              <w:t>报告期利润</w:t>
            </w:r>
          </w:p>
        </w:tc>
        <w:tc>
          <w:tcPr>
            <w:tcW w:w="2126" w:type="dxa"/>
            <w:vMerge w:val="restart"/>
            <w:tcBorders>
              <w:top w:val="single" w:sz="2" w:space="0" w:color="auto"/>
              <w:left w:val="single" w:sz="2" w:space="0" w:color="auto"/>
              <w:bottom w:val="single" w:sz="2" w:space="0" w:color="auto"/>
              <w:right w:val="single" w:sz="2" w:space="0" w:color="auto"/>
            </w:tcBorders>
            <w:shd w:val="clear" w:color="auto" w:fill="D3D3D3"/>
            <w:vAlign w:val="center"/>
          </w:tcPr>
          <w:p w14:paraId="7094BF97" w14:textId="77777777" w:rsidR="00A46BF1" w:rsidRPr="00814F27" w:rsidRDefault="00A46BF1" w:rsidP="00814F27">
            <w:pPr>
              <w:spacing w:before="40" w:after="40" w:line="360" w:lineRule="auto"/>
              <w:jc w:val="center"/>
              <w:rPr>
                <w:rFonts w:ascii="Times New Roman" w:eastAsia="宋体" w:hAnsi="Times New Roman" w:cs="Times New Roman"/>
                <w:sz w:val="18"/>
                <w:szCs w:val="18"/>
              </w:rPr>
            </w:pPr>
            <w:r w:rsidRPr="00814F27">
              <w:rPr>
                <w:rFonts w:ascii="Times New Roman" w:eastAsia="宋体" w:hAnsi="Times New Roman" w:cs="Times New Roman"/>
                <w:sz w:val="18"/>
                <w:szCs w:val="18"/>
              </w:rPr>
              <w:t>加权平均净资产收益率</w:t>
            </w:r>
          </w:p>
        </w:tc>
        <w:tc>
          <w:tcPr>
            <w:tcW w:w="4252"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14:paraId="1586FAD8" w14:textId="77777777" w:rsidR="00A46BF1" w:rsidRPr="00814F27" w:rsidRDefault="00A46BF1" w:rsidP="00814F27">
            <w:pPr>
              <w:spacing w:before="40" w:after="40" w:line="360" w:lineRule="auto"/>
              <w:jc w:val="center"/>
              <w:rPr>
                <w:rFonts w:ascii="Times New Roman" w:eastAsia="宋体" w:hAnsi="Times New Roman" w:cs="Times New Roman"/>
                <w:sz w:val="18"/>
                <w:szCs w:val="18"/>
              </w:rPr>
            </w:pPr>
            <w:r w:rsidRPr="00814F27">
              <w:rPr>
                <w:rFonts w:ascii="Times New Roman" w:eastAsia="宋体" w:hAnsi="Times New Roman" w:cs="Times New Roman"/>
                <w:sz w:val="18"/>
                <w:szCs w:val="18"/>
              </w:rPr>
              <w:t>每股收益</w:t>
            </w:r>
          </w:p>
        </w:tc>
      </w:tr>
      <w:tr w:rsidR="00095F6F" w14:paraId="33B8BC3F" w14:textId="77777777" w:rsidTr="00814F27">
        <w:trPr>
          <w:trHeight w:val="240"/>
        </w:trPr>
        <w:tc>
          <w:tcPr>
            <w:tcW w:w="3261"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4131EF1A" w14:textId="77777777" w:rsidR="00A46BF1" w:rsidRPr="00814F27" w:rsidRDefault="00A46BF1" w:rsidP="00814F27">
            <w:pPr>
              <w:spacing w:line="360" w:lineRule="auto"/>
              <w:rPr>
                <w:rFonts w:ascii="Times New Roman" w:hAnsi="Times New Roman" w:cs="Times New Roman"/>
              </w:rPr>
            </w:pPr>
          </w:p>
        </w:tc>
        <w:tc>
          <w:tcPr>
            <w:tcW w:w="2126" w:type="dxa"/>
            <w:vMerge/>
            <w:tcBorders>
              <w:top w:val="single" w:sz="2" w:space="0" w:color="auto"/>
              <w:left w:val="single" w:sz="2" w:space="0" w:color="auto"/>
              <w:bottom w:val="single" w:sz="2" w:space="0" w:color="auto"/>
              <w:right w:val="single" w:sz="2" w:space="0" w:color="auto"/>
            </w:tcBorders>
            <w:shd w:val="clear" w:color="auto" w:fill="D3D3D3"/>
            <w:vAlign w:val="center"/>
          </w:tcPr>
          <w:p w14:paraId="33AE7F1B" w14:textId="77777777" w:rsidR="00A46BF1" w:rsidRPr="00814F27" w:rsidRDefault="00A46BF1" w:rsidP="00814F27">
            <w:pPr>
              <w:spacing w:line="360" w:lineRule="auto"/>
              <w:rPr>
                <w:rFonts w:ascii="Times New Roman" w:hAnsi="Times New Roman" w:cs="Times New Roman"/>
              </w:rPr>
            </w:pP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484EED4C" w14:textId="77777777" w:rsidR="00A46BF1" w:rsidRPr="00814F27" w:rsidRDefault="00A46BF1" w:rsidP="00814F27">
            <w:pPr>
              <w:spacing w:before="40" w:after="40" w:line="360" w:lineRule="auto"/>
              <w:jc w:val="center"/>
              <w:rPr>
                <w:rFonts w:ascii="Times New Roman" w:eastAsia="宋体" w:hAnsi="Times New Roman" w:cs="Times New Roman"/>
                <w:sz w:val="18"/>
                <w:szCs w:val="18"/>
              </w:rPr>
            </w:pPr>
            <w:r w:rsidRPr="00814F27">
              <w:rPr>
                <w:rFonts w:ascii="Times New Roman" w:eastAsia="宋体" w:hAnsi="Times New Roman" w:cs="Times New Roman"/>
                <w:sz w:val="18"/>
                <w:szCs w:val="18"/>
              </w:rPr>
              <w:t>基本每股收益（元</w:t>
            </w:r>
            <w:r w:rsidRPr="00814F27">
              <w:rPr>
                <w:rFonts w:ascii="Times New Roman" w:eastAsia="宋体" w:hAnsi="Times New Roman" w:cs="Times New Roman"/>
                <w:sz w:val="18"/>
                <w:szCs w:val="18"/>
              </w:rPr>
              <w:t>/</w:t>
            </w:r>
            <w:r w:rsidRPr="00814F27">
              <w:rPr>
                <w:rFonts w:ascii="Times New Roman" w:eastAsia="宋体" w:hAnsi="Times New Roman" w:cs="Times New Roman"/>
                <w:sz w:val="18"/>
                <w:szCs w:val="18"/>
              </w:rPr>
              <w:t>股）</w:t>
            </w:r>
          </w:p>
        </w:tc>
        <w:tc>
          <w:tcPr>
            <w:tcW w:w="2126" w:type="dxa"/>
            <w:tcBorders>
              <w:top w:val="single" w:sz="2" w:space="0" w:color="auto"/>
              <w:left w:val="single" w:sz="2" w:space="0" w:color="auto"/>
              <w:bottom w:val="single" w:sz="2" w:space="0" w:color="auto"/>
              <w:right w:val="single" w:sz="2" w:space="0" w:color="auto"/>
            </w:tcBorders>
            <w:shd w:val="clear" w:color="auto" w:fill="D3D3D3"/>
            <w:vAlign w:val="center"/>
          </w:tcPr>
          <w:p w14:paraId="16F2692F" w14:textId="77777777" w:rsidR="00A46BF1" w:rsidRPr="00814F27" w:rsidRDefault="00A46BF1" w:rsidP="00814F27">
            <w:pPr>
              <w:spacing w:before="40" w:after="40" w:line="360" w:lineRule="auto"/>
              <w:jc w:val="center"/>
              <w:rPr>
                <w:rFonts w:ascii="Times New Roman" w:eastAsia="宋体" w:hAnsi="Times New Roman" w:cs="Times New Roman"/>
                <w:sz w:val="18"/>
                <w:szCs w:val="18"/>
              </w:rPr>
            </w:pPr>
            <w:r w:rsidRPr="00814F27">
              <w:rPr>
                <w:rFonts w:ascii="Times New Roman" w:eastAsia="宋体" w:hAnsi="Times New Roman" w:cs="Times New Roman"/>
                <w:sz w:val="18"/>
                <w:szCs w:val="18"/>
              </w:rPr>
              <w:t>稀释每股收益（元</w:t>
            </w:r>
            <w:r w:rsidRPr="00814F27">
              <w:rPr>
                <w:rFonts w:ascii="Times New Roman" w:eastAsia="宋体" w:hAnsi="Times New Roman" w:cs="Times New Roman"/>
                <w:sz w:val="18"/>
                <w:szCs w:val="18"/>
              </w:rPr>
              <w:t>/</w:t>
            </w:r>
            <w:r w:rsidRPr="00814F27">
              <w:rPr>
                <w:rFonts w:ascii="Times New Roman" w:eastAsia="宋体" w:hAnsi="Times New Roman" w:cs="Times New Roman"/>
                <w:sz w:val="18"/>
                <w:szCs w:val="18"/>
              </w:rPr>
              <w:t>股）</w:t>
            </w:r>
          </w:p>
        </w:tc>
      </w:tr>
      <w:tr w:rsidR="00095F6F" w14:paraId="01A8622F" w14:textId="77777777" w:rsidTr="00814F27">
        <w:trPr>
          <w:trHeight w:val="240"/>
        </w:trPr>
        <w:tc>
          <w:tcPr>
            <w:tcW w:w="3261" w:type="dxa"/>
            <w:tcBorders>
              <w:top w:val="single" w:sz="2" w:space="0" w:color="auto"/>
              <w:left w:val="single" w:sz="2" w:space="0" w:color="auto"/>
              <w:bottom w:val="single" w:sz="2" w:space="0" w:color="auto"/>
              <w:right w:val="single" w:sz="2" w:space="0" w:color="auto"/>
            </w:tcBorders>
            <w:shd w:val="clear" w:color="auto" w:fill="D3D3D3"/>
            <w:vAlign w:val="center"/>
          </w:tcPr>
          <w:p w14:paraId="337DBCD5" w14:textId="77777777" w:rsidR="00A46BF1" w:rsidRPr="00814F27" w:rsidRDefault="00A46BF1" w:rsidP="00814F27">
            <w:pPr>
              <w:spacing w:before="40" w:after="40" w:line="360" w:lineRule="auto"/>
              <w:rPr>
                <w:rFonts w:ascii="Times New Roman" w:eastAsia="宋体" w:hAnsi="Times New Roman" w:cs="Times New Roman"/>
                <w:sz w:val="18"/>
                <w:szCs w:val="18"/>
              </w:rPr>
            </w:pPr>
            <w:r w:rsidRPr="00814F27">
              <w:rPr>
                <w:rFonts w:ascii="Times New Roman" w:eastAsia="宋体" w:hAnsi="Times New Roman" w:cs="Times New Roman"/>
                <w:sz w:val="18"/>
                <w:szCs w:val="18"/>
              </w:rPr>
              <w:t>归属于公司普通股股东的净利润</w:t>
            </w:r>
          </w:p>
        </w:tc>
        <w:tc>
          <w:tcPr>
            <w:tcW w:w="2126" w:type="dxa"/>
            <w:tcBorders>
              <w:top w:val="single" w:sz="2" w:space="0" w:color="auto"/>
              <w:left w:val="single" w:sz="2" w:space="0" w:color="auto"/>
              <w:bottom w:val="single" w:sz="2" w:space="0" w:color="auto"/>
              <w:right w:val="single" w:sz="2" w:space="0" w:color="auto"/>
            </w:tcBorders>
            <w:vAlign w:val="center"/>
          </w:tcPr>
          <w:p w14:paraId="79C2169C" w14:textId="77777777" w:rsidR="00A46BF1" w:rsidRPr="00814F27" w:rsidRDefault="00A46BF1" w:rsidP="00814F27">
            <w:pPr>
              <w:spacing w:line="360" w:lineRule="auto"/>
              <w:jc w:val="right"/>
              <w:rPr>
                <w:rFonts w:ascii="Times New Roman" w:eastAsia="宋体" w:hAnsi="Times New Roman" w:cs="Times New Roman"/>
                <w:sz w:val="18"/>
                <w:szCs w:val="18"/>
              </w:rPr>
            </w:pPr>
            <w:r w:rsidRPr="00814F27">
              <w:rPr>
                <w:rFonts w:ascii="Times New Roman" w:eastAsia="宋体" w:hAnsi="Times New Roman" w:cs="Times New Roman"/>
                <w:sz w:val="18"/>
                <w:szCs w:val="18"/>
              </w:rPr>
              <w:t>2.82%</w:t>
            </w:r>
          </w:p>
        </w:tc>
        <w:tc>
          <w:tcPr>
            <w:tcW w:w="2126" w:type="dxa"/>
            <w:tcBorders>
              <w:top w:val="single" w:sz="2" w:space="0" w:color="auto"/>
              <w:left w:val="single" w:sz="2" w:space="0" w:color="auto"/>
              <w:bottom w:val="single" w:sz="2" w:space="0" w:color="auto"/>
              <w:right w:val="single" w:sz="2" w:space="0" w:color="auto"/>
            </w:tcBorders>
            <w:vAlign w:val="center"/>
          </w:tcPr>
          <w:p w14:paraId="25EA59B5" w14:textId="77777777" w:rsidR="00A46BF1" w:rsidRPr="00814F27" w:rsidRDefault="00A46BF1" w:rsidP="00814F27">
            <w:pPr>
              <w:spacing w:line="360" w:lineRule="auto"/>
              <w:jc w:val="right"/>
              <w:rPr>
                <w:rFonts w:ascii="Times New Roman" w:eastAsia="宋体" w:hAnsi="Times New Roman" w:cs="Times New Roman"/>
                <w:sz w:val="18"/>
                <w:szCs w:val="18"/>
              </w:rPr>
            </w:pPr>
            <w:r w:rsidRPr="00814F27">
              <w:rPr>
                <w:rFonts w:ascii="Times New Roman" w:eastAsia="宋体" w:hAnsi="Times New Roman" w:cs="Times New Roman"/>
                <w:sz w:val="18"/>
                <w:szCs w:val="18"/>
              </w:rPr>
              <w:t>0.1685</w:t>
            </w:r>
          </w:p>
        </w:tc>
        <w:tc>
          <w:tcPr>
            <w:tcW w:w="2126" w:type="dxa"/>
            <w:tcBorders>
              <w:top w:val="single" w:sz="2" w:space="0" w:color="auto"/>
              <w:left w:val="single" w:sz="2" w:space="0" w:color="auto"/>
              <w:bottom w:val="single" w:sz="2" w:space="0" w:color="auto"/>
              <w:right w:val="single" w:sz="2" w:space="0" w:color="auto"/>
            </w:tcBorders>
            <w:vAlign w:val="center"/>
          </w:tcPr>
          <w:p w14:paraId="2A80321F" w14:textId="77777777" w:rsidR="00A46BF1" w:rsidRPr="00814F27" w:rsidRDefault="00A46BF1" w:rsidP="00814F27">
            <w:pPr>
              <w:spacing w:line="360" w:lineRule="auto"/>
              <w:jc w:val="right"/>
              <w:rPr>
                <w:rFonts w:ascii="Times New Roman" w:eastAsia="宋体" w:hAnsi="Times New Roman" w:cs="Times New Roman"/>
                <w:sz w:val="18"/>
                <w:szCs w:val="18"/>
              </w:rPr>
            </w:pPr>
            <w:r w:rsidRPr="00814F27">
              <w:rPr>
                <w:rFonts w:ascii="Times New Roman" w:eastAsia="宋体" w:hAnsi="Times New Roman" w:cs="Times New Roman"/>
                <w:sz w:val="18"/>
                <w:szCs w:val="18"/>
              </w:rPr>
              <w:t>0.1685</w:t>
            </w:r>
          </w:p>
        </w:tc>
      </w:tr>
      <w:tr w:rsidR="00095F6F" w14:paraId="1ACECDDF" w14:textId="77777777" w:rsidTr="00814F27">
        <w:trPr>
          <w:trHeight w:val="240"/>
        </w:trPr>
        <w:tc>
          <w:tcPr>
            <w:tcW w:w="3261" w:type="dxa"/>
            <w:tcBorders>
              <w:top w:val="single" w:sz="2" w:space="0" w:color="auto"/>
              <w:left w:val="single" w:sz="2" w:space="0" w:color="auto"/>
              <w:bottom w:val="single" w:sz="2" w:space="0" w:color="auto"/>
              <w:right w:val="single" w:sz="2" w:space="0" w:color="auto"/>
            </w:tcBorders>
            <w:shd w:val="clear" w:color="auto" w:fill="D3D3D3"/>
            <w:vAlign w:val="center"/>
          </w:tcPr>
          <w:p w14:paraId="597B4BC4" w14:textId="77777777" w:rsidR="00A46BF1" w:rsidRPr="00814F27" w:rsidRDefault="00A46BF1" w:rsidP="00814F27">
            <w:pPr>
              <w:spacing w:before="40" w:after="40" w:line="360" w:lineRule="auto"/>
              <w:rPr>
                <w:rFonts w:ascii="Times New Roman" w:eastAsia="宋体" w:hAnsi="Times New Roman" w:cs="Times New Roman"/>
                <w:sz w:val="18"/>
                <w:szCs w:val="18"/>
              </w:rPr>
            </w:pPr>
            <w:r w:rsidRPr="00814F27">
              <w:rPr>
                <w:rFonts w:ascii="Times New Roman" w:eastAsia="宋体" w:hAnsi="Times New Roman" w:cs="Times New Roman"/>
                <w:sz w:val="18"/>
                <w:szCs w:val="18"/>
              </w:rPr>
              <w:t>扣除非经常性损益后归属于公司普通股股东的净利润</w:t>
            </w:r>
          </w:p>
        </w:tc>
        <w:tc>
          <w:tcPr>
            <w:tcW w:w="2126" w:type="dxa"/>
            <w:tcBorders>
              <w:top w:val="single" w:sz="2" w:space="0" w:color="auto"/>
              <w:left w:val="single" w:sz="2" w:space="0" w:color="auto"/>
              <w:bottom w:val="single" w:sz="2" w:space="0" w:color="auto"/>
              <w:right w:val="single" w:sz="2" w:space="0" w:color="auto"/>
            </w:tcBorders>
            <w:vAlign w:val="center"/>
          </w:tcPr>
          <w:p w14:paraId="6A167784" w14:textId="77777777" w:rsidR="00A46BF1" w:rsidRPr="00814F27" w:rsidRDefault="00A46BF1" w:rsidP="00814F27">
            <w:pPr>
              <w:spacing w:line="360" w:lineRule="auto"/>
              <w:jc w:val="right"/>
              <w:rPr>
                <w:rFonts w:ascii="Times New Roman" w:eastAsia="宋体" w:hAnsi="Times New Roman" w:cs="Times New Roman"/>
                <w:sz w:val="18"/>
                <w:szCs w:val="18"/>
              </w:rPr>
            </w:pPr>
            <w:r w:rsidRPr="00814F27">
              <w:rPr>
                <w:rFonts w:ascii="Times New Roman" w:eastAsia="宋体" w:hAnsi="Times New Roman" w:cs="Times New Roman"/>
                <w:sz w:val="18"/>
                <w:szCs w:val="18"/>
              </w:rPr>
              <w:t>1.80%</w:t>
            </w:r>
          </w:p>
        </w:tc>
        <w:tc>
          <w:tcPr>
            <w:tcW w:w="2126" w:type="dxa"/>
            <w:tcBorders>
              <w:top w:val="single" w:sz="2" w:space="0" w:color="auto"/>
              <w:left w:val="single" w:sz="2" w:space="0" w:color="auto"/>
              <w:bottom w:val="single" w:sz="2" w:space="0" w:color="auto"/>
              <w:right w:val="single" w:sz="2" w:space="0" w:color="auto"/>
            </w:tcBorders>
            <w:vAlign w:val="center"/>
          </w:tcPr>
          <w:p w14:paraId="7AF3F092" w14:textId="77777777" w:rsidR="00A46BF1" w:rsidRPr="00814F27" w:rsidRDefault="00A46BF1" w:rsidP="00814F27">
            <w:pPr>
              <w:spacing w:line="360" w:lineRule="auto"/>
              <w:jc w:val="right"/>
              <w:rPr>
                <w:rFonts w:ascii="Times New Roman" w:eastAsia="宋体" w:hAnsi="Times New Roman" w:cs="Times New Roman"/>
                <w:sz w:val="18"/>
                <w:szCs w:val="18"/>
              </w:rPr>
            </w:pPr>
            <w:r w:rsidRPr="00814F27">
              <w:rPr>
                <w:rFonts w:ascii="Times New Roman" w:eastAsia="宋体" w:hAnsi="Times New Roman" w:cs="Times New Roman"/>
                <w:sz w:val="18"/>
                <w:szCs w:val="18"/>
              </w:rPr>
              <w:t>0.1074</w:t>
            </w:r>
          </w:p>
        </w:tc>
        <w:tc>
          <w:tcPr>
            <w:tcW w:w="2126" w:type="dxa"/>
            <w:tcBorders>
              <w:top w:val="single" w:sz="2" w:space="0" w:color="auto"/>
              <w:left w:val="single" w:sz="2" w:space="0" w:color="auto"/>
              <w:bottom w:val="single" w:sz="2" w:space="0" w:color="auto"/>
              <w:right w:val="single" w:sz="2" w:space="0" w:color="auto"/>
            </w:tcBorders>
            <w:vAlign w:val="center"/>
          </w:tcPr>
          <w:p w14:paraId="7B610746" w14:textId="77777777" w:rsidR="00A46BF1" w:rsidRPr="00814F27" w:rsidRDefault="00A46BF1" w:rsidP="00814F27">
            <w:pPr>
              <w:spacing w:line="360" w:lineRule="auto"/>
              <w:jc w:val="right"/>
              <w:rPr>
                <w:rFonts w:ascii="Times New Roman" w:eastAsia="宋体" w:hAnsi="Times New Roman" w:cs="Times New Roman"/>
                <w:sz w:val="18"/>
                <w:szCs w:val="18"/>
              </w:rPr>
            </w:pPr>
            <w:r w:rsidRPr="00814F27">
              <w:rPr>
                <w:rFonts w:ascii="Times New Roman" w:eastAsia="宋体" w:hAnsi="Times New Roman" w:cs="Times New Roman"/>
                <w:sz w:val="18"/>
                <w:szCs w:val="18"/>
              </w:rPr>
              <w:t>0.1074</w:t>
            </w:r>
          </w:p>
        </w:tc>
      </w:tr>
    </w:tbl>
    <w:p w14:paraId="277898EA" w14:textId="77777777" w:rsidR="00A46BF1" w:rsidRDefault="00A46BF1" w:rsidP="00A46BF1">
      <w:pPr>
        <w:pStyle w:val="3"/>
        <w:spacing w:line="280" w:lineRule="exact"/>
        <w:jc w:val="left"/>
        <w:rPr>
          <w:rFonts w:ascii="宋体" w:hAnsi="宋体" w:cs="宋体"/>
          <w:b/>
          <w:bCs/>
        </w:rPr>
      </w:pPr>
      <w:r>
        <w:rPr>
          <w:rFonts w:ascii="宋体" w:hAnsi="宋体" w:cs="宋体"/>
          <w:b/>
          <w:bCs/>
        </w:rPr>
        <w:t>3、境内外会计准则下会计数据差异</w:t>
      </w:r>
    </w:p>
    <w:p w14:paraId="588F0A7E"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（1） 同时按照国际会计准则与按中国会计准则披露的财务报告中净利润和净资产差异情况</w:t>
      </w:r>
    </w:p>
    <w:p w14:paraId="02927A8A"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4873AFC9"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（2） 同时按照境外会计准则与按中国会计准则披露的财务报告中净利润和净资产差异情况</w:t>
      </w:r>
    </w:p>
    <w:p w14:paraId="192B9FF2" w14:textId="77777777" w:rsidR="00A46BF1" w:rsidRDefault="00A46BF1" w:rsidP="00A46BF1">
      <w:pPr>
        <w:spacing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p w14:paraId="39A3BCF0" w14:textId="77777777" w:rsidR="00A46BF1" w:rsidRDefault="00A46BF1" w:rsidP="00A46BF1">
      <w:pPr>
        <w:keepNext/>
        <w:keepLines/>
        <w:spacing w:before="300" w:after="300" w:line="280" w:lineRule="exact"/>
        <w:outlineLvl w:val="3"/>
        <w:rPr>
          <w:rFonts w:ascii="宋体" w:eastAsia="宋体" w:hAnsi="宋体" w:cs="宋体"/>
          <w:b/>
          <w:bCs/>
          <w:szCs w:val="21"/>
        </w:rPr>
      </w:pPr>
      <w:r>
        <w:rPr>
          <w:rFonts w:ascii="宋体" w:eastAsia="宋体" w:hAnsi="宋体" w:cs="宋体"/>
          <w:b/>
          <w:bCs/>
          <w:szCs w:val="21"/>
        </w:rPr>
        <w:t>（3） 境内外会计准则下会计数据差异原因说明，对已经境外审计机构审计的数据进行差异调节的，应注明该境外机构的名称</w:t>
      </w:r>
    </w:p>
    <w:p w14:paraId="59941B9A" w14:textId="77777777" w:rsidR="00A46BF1" w:rsidRDefault="00A46BF1" w:rsidP="00A46BF1">
      <w:pPr>
        <w:spacing w:before="100" w:after="100" w:line="240" w:lineRule="exact"/>
        <w:rPr>
          <w:rFonts w:ascii="宋体" w:eastAsia="宋体" w:hAnsi="宋体" w:cs="宋体"/>
          <w:sz w:val="18"/>
          <w:szCs w:val="18"/>
        </w:rPr>
      </w:pPr>
      <w:r>
        <w:rPr>
          <w:rFonts w:ascii="宋体" w:eastAsia="宋体" w:hAnsi="宋体" w:cs="宋体"/>
          <w:sz w:val="18"/>
          <w:szCs w:val="18"/>
        </w:rPr>
        <w:t xml:space="preserve">□适用 </w:t>
      </w:r>
      <w:r>
        <w:rPr>
          <w:rFonts w:ascii="宋体" w:eastAsia="宋体" w:hAnsi="宋体" w:cs="宋体"/>
          <w:sz w:val="18"/>
          <w:szCs w:val="18"/>
        </w:rPr>
        <w:sym w:font="Wingdings 2" w:char="F052"/>
      </w:r>
      <w:r>
        <w:rPr>
          <w:rFonts w:ascii="宋体" w:eastAsia="宋体" w:hAnsi="宋体" w:cs="宋体"/>
          <w:sz w:val="18"/>
          <w:szCs w:val="18"/>
        </w:rPr>
        <w:t>不适用</w:t>
      </w:r>
    </w:p>
    <w:bookmarkEnd w:id="138"/>
    <w:p w14:paraId="21F3C9AD" w14:textId="77777777" w:rsidR="00A46BF1" w:rsidRDefault="00A46BF1" w:rsidP="00A46BF1">
      <w:pPr>
        <w:spacing w:before="100" w:after="100" w:line="0" w:lineRule="atLeast"/>
      </w:pPr>
    </w:p>
    <w:sectPr w:rsidR="00A46BF1">
      <w:pgSz w:w="11905" w:h="16840"/>
      <w:pgMar w:top="1440" w:right="1134" w:bottom="1440" w:left="1134" w:header="850"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BE726" w14:textId="77777777" w:rsidR="00F85AC1" w:rsidRDefault="00F85AC1">
      <w:r>
        <w:separator/>
      </w:r>
    </w:p>
  </w:endnote>
  <w:endnote w:type="continuationSeparator" w:id="0">
    <w:p w14:paraId="4FF3F88F" w14:textId="77777777" w:rsidR="00F85AC1" w:rsidRDefault="00F85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yriad Pro Cond">
    <w:altName w:val="Segoe UI"/>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680FD" w14:textId="5E305386" w:rsidR="00F85AC1" w:rsidRDefault="00F85AC1">
    <w:pPr>
      <w:pStyle w:val="fotter1"/>
    </w:pPr>
    <w:r>
      <w:fldChar w:fldCharType="begin"/>
    </w:r>
    <w:r>
      <w:instrText>PAGE   \* MERGEFORMAT</w:instrText>
    </w:r>
    <w:r>
      <w:fldChar w:fldCharType="separate"/>
    </w:r>
    <w:r w:rsidR="006F11C7">
      <w:rPr>
        <w:noProof/>
      </w:rPr>
      <w:t>108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3DA81" w14:textId="1FF6EEFA" w:rsidR="00F85AC1" w:rsidRDefault="00F85AC1">
    <w:pPr>
      <w:pStyle w:val="fotter1"/>
    </w:pPr>
    <w:r>
      <w:fldChar w:fldCharType="begin"/>
    </w:r>
    <w:r>
      <w:instrText>PAGE   \* MERGEFORMAT</w:instrText>
    </w:r>
    <w:r>
      <w:fldChar w:fldCharType="separate"/>
    </w:r>
    <w:r w:rsidR="006F11C7">
      <w:rPr>
        <w:noProof/>
      </w:rPr>
      <w:t>233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1EC05" w14:textId="77777777" w:rsidR="00F85AC1" w:rsidRDefault="00F85AC1">
      <w:r>
        <w:separator/>
      </w:r>
    </w:p>
  </w:footnote>
  <w:footnote w:type="continuationSeparator" w:id="0">
    <w:p w14:paraId="00BBB75C" w14:textId="77777777" w:rsidR="00F85AC1" w:rsidRDefault="00F85A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3E393" w14:textId="77777777" w:rsidR="00F85AC1" w:rsidRDefault="00F85AC1">
    <w:pPr>
      <w:pStyle w:val="Header1"/>
      <w:pBdr>
        <w:bottom w:val="single" w:sz="6" w:space="1" w:color="auto"/>
      </w:pBdr>
      <w:rPr>
        <w:rFonts w:ascii="Times New Roman" w:hAnsi="Times New Roman" w:cs="Times New Roman"/>
      </w:rPr>
    </w:pPr>
    <w:r>
      <w:rPr>
        <w:rFonts w:ascii="Times New Roman" w:hAnsi="Times New Roman" w:cs="Times New Roman"/>
      </w:rPr>
      <w:t>三诺生物传感股份有限公司</w:t>
    </w:r>
    <w:r>
      <w:rPr>
        <w:rFonts w:ascii="Times New Roman" w:hAnsi="Times New Roman" w:cs="Times New Roman"/>
      </w:rPr>
      <w:t>2025</w:t>
    </w:r>
    <w:r>
      <w:rPr>
        <w:rFonts w:ascii="Times New Roman" w:hAnsi="Times New Roman" w:cs="Times New Roman"/>
      </w:rPr>
      <w:t>年年度报告全文</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59495" w14:textId="77777777" w:rsidR="00F85AC1" w:rsidRPr="008C793D" w:rsidRDefault="00F85AC1">
    <w:pPr>
      <w:pStyle w:val="Header1"/>
      <w:pBdr>
        <w:bottom w:val="single" w:sz="6" w:space="1" w:color="auto"/>
      </w:pBdr>
      <w:rPr>
        <w:rFonts w:ascii="Times New Roman" w:hAnsi="Times New Roman" w:cs="Times New Roman"/>
      </w:rPr>
    </w:pPr>
    <w:r w:rsidRPr="008C793D">
      <w:rPr>
        <w:rFonts w:ascii="Times New Roman" w:hAnsi="Times New Roman" w:cs="Times New Roman"/>
      </w:rPr>
      <w:t>三诺生物传感股份有限公司</w:t>
    </w:r>
    <w:r w:rsidRPr="008C793D">
      <w:rPr>
        <w:rFonts w:ascii="Times New Roman" w:hAnsi="Times New Roman" w:cs="Times New Roman"/>
      </w:rPr>
      <w:t>2025</w:t>
    </w:r>
    <w:r w:rsidRPr="008C793D">
      <w:rPr>
        <w:rFonts w:ascii="Times New Roman" w:hAnsi="Times New Roman" w:cs="Times New Roman"/>
      </w:rPr>
      <w:t>年年度报告全文</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56D"/>
    <w:multiLevelType w:val="multilevel"/>
    <w:tmpl w:val="0242556D"/>
    <w:lvl w:ilvl="0">
      <w:start w:val="1"/>
      <w:numFmt w:val="decimal"/>
      <w:lvlText w:val="%1."/>
      <w:lvlJc w:val="left"/>
      <w:pPr>
        <w:tabs>
          <w:tab w:val="left" w:pos="28350"/>
        </w:tabs>
        <w:ind w:left="860" w:firstLine="27490"/>
      </w:pPr>
      <w:rPr>
        <w:rFonts w:eastAsia="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2C139B6"/>
    <w:multiLevelType w:val="multilevel"/>
    <w:tmpl w:val="86CE3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6A71D8"/>
    <w:multiLevelType w:val="multilevel"/>
    <w:tmpl w:val="77FA3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B710B0"/>
    <w:multiLevelType w:val="multilevel"/>
    <w:tmpl w:val="CBDA0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DC10EF"/>
    <w:multiLevelType w:val="multilevel"/>
    <w:tmpl w:val="855EF7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55457F"/>
    <w:multiLevelType w:val="multilevel"/>
    <w:tmpl w:val="A7D2D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927BDF"/>
    <w:multiLevelType w:val="multilevel"/>
    <w:tmpl w:val="C588A1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trackRevisions/>
  <w:defaultTabStop w:val="420"/>
  <w:drawingGridHorizontalSpacing w:val="105"/>
  <w:drawingGridVerticalSpacing w:val="156"/>
  <w:displayHorizontalDrawingGridEvery w:val="2"/>
  <w:displayVerticalDrawingGridEvery w:val="2"/>
  <w:characterSpacingControl w:val="doNotCompress"/>
  <w:savePreviewPicture/>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
  <w:rsids>
    <w:rsidRoot w:val="00D25630"/>
    <w:rsid w:val="00013DE6"/>
    <w:rsid w:val="0001460F"/>
    <w:rsid w:val="00023309"/>
    <w:rsid w:val="00024F79"/>
    <w:rsid w:val="00052EB0"/>
    <w:rsid w:val="00092280"/>
    <w:rsid w:val="00095F6F"/>
    <w:rsid w:val="000A460D"/>
    <w:rsid w:val="000A46A2"/>
    <w:rsid w:val="000B7037"/>
    <w:rsid w:val="000C4C12"/>
    <w:rsid w:val="000C7644"/>
    <w:rsid w:val="000D60D3"/>
    <w:rsid w:val="000E4C8F"/>
    <w:rsid w:val="000F2096"/>
    <w:rsid w:val="000F6214"/>
    <w:rsid w:val="00113A51"/>
    <w:rsid w:val="00117985"/>
    <w:rsid w:val="00123CA3"/>
    <w:rsid w:val="00124BBF"/>
    <w:rsid w:val="00143477"/>
    <w:rsid w:val="001570D9"/>
    <w:rsid w:val="00172A66"/>
    <w:rsid w:val="00174100"/>
    <w:rsid w:val="00181939"/>
    <w:rsid w:val="00185C1E"/>
    <w:rsid w:val="001B017D"/>
    <w:rsid w:val="001B52FA"/>
    <w:rsid w:val="001E0AF9"/>
    <w:rsid w:val="001E2F30"/>
    <w:rsid w:val="00217929"/>
    <w:rsid w:val="00225CFB"/>
    <w:rsid w:val="00232D01"/>
    <w:rsid w:val="002407F1"/>
    <w:rsid w:val="0025222D"/>
    <w:rsid w:val="0026505D"/>
    <w:rsid w:val="00267199"/>
    <w:rsid w:val="00267A0C"/>
    <w:rsid w:val="00271504"/>
    <w:rsid w:val="00271E03"/>
    <w:rsid w:val="00274311"/>
    <w:rsid w:val="002855BD"/>
    <w:rsid w:val="002A3111"/>
    <w:rsid w:val="002A5345"/>
    <w:rsid w:val="002C11A8"/>
    <w:rsid w:val="002C1280"/>
    <w:rsid w:val="002E328F"/>
    <w:rsid w:val="002F2FD9"/>
    <w:rsid w:val="002F5E3A"/>
    <w:rsid w:val="003140ED"/>
    <w:rsid w:val="00327975"/>
    <w:rsid w:val="0033655C"/>
    <w:rsid w:val="003437DB"/>
    <w:rsid w:val="003635A3"/>
    <w:rsid w:val="003756FE"/>
    <w:rsid w:val="0038113E"/>
    <w:rsid w:val="00381DDE"/>
    <w:rsid w:val="003B59D6"/>
    <w:rsid w:val="003C362C"/>
    <w:rsid w:val="003C3AEA"/>
    <w:rsid w:val="003D1F21"/>
    <w:rsid w:val="003D693E"/>
    <w:rsid w:val="003D7EDD"/>
    <w:rsid w:val="003E5998"/>
    <w:rsid w:val="003E59ED"/>
    <w:rsid w:val="00417662"/>
    <w:rsid w:val="00424B75"/>
    <w:rsid w:val="00426286"/>
    <w:rsid w:val="0043130A"/>
    <w:rsid w:val="00434AAD"/>
    <w:rsid w:val="00440464"/>
    <w:rsid w:val="00447B2A"/>
    <w:rsid w:val="00452821"/>
    <w:rsid w:val="00472846"/>
    <w:rsid w:val="00472EF4"/>
    <w:rsid w:val="00475708"/>
    <w:rsid w:val="00477B43"/>
    <w:rsid w:val="004A1A87"/>
    <w:rsid w:val="004A3E59"/>
    <w:rsid w:val="004B3EA9"/>
    <w:rsid w:val="004B59CF"/>
    <w:rsid w:val="004C4D15"/>
    <w:rsid w:val="004E4CAF"/>
    <w:rsid w:val="004E63D7"/>
    <w:rsid w:val="004F19DE"/>
    <w:rsid w:val="00502946"/>
    <w:rsid w:val="00502A1B"/>
    <w:rsid w:val="00520E31"/>
    <w:rsid w:val="0052230E"/>
    <w:rsid w:val="00541DDA"/>
    <w:rsid w:val="005425E1"/>
    <w:rsid w:val="00543F0E"/>
    <w:rsid w:val="00545D0C"/>
    <w:rsid w:val="0054652C"/>
    <w:rsid w:val="00550AE9"/>
    <w:rsid w:val="00571070"/>
    <w:rsid w:val="005933BA"/>
    <w:rsid w:val="005941BE"/>
    <w:rsid w:val="005C1653"/>
    <w:rsid w:val="005F6B7D"/>
    <w:rsid w:val="00601DB8"/>
    <w:rsid w:val="00605E76"/>
    <w:rsid w:val="00613289"/>
    <w:rsid w:val="00622238"/>
    <w:rsid w:val="00632385"/>
    <w:rsid w:val="00640EAE"/>
    <w:rsid w:val="0064191C"/>
    <w:rsid w:val="00665861"/>
    <w:rsid w:val="006726DA"/>
    <w:rsid w:val="006774C7"/>
    <w:rsid w:val="00684E6E"/>
    <w:rsid w:val="006854B8"/>
    <w:rsid w:val="00693EEF"/>
    <w:rsid w:val="006C058C"/>
    <w:rsid w:val="006E166C"/>
    <w:rsid w:val="006F0495"/>
    <w:rsid w:val="006F11C7"/>
    <w:rsid w:val="006F1229"/>
    <w:rsid w:val="006F26AE"/>
    <w:rsid w:val="006F2A0F"/>
    <w:rsid w:val="006F7D2A"/>
    <w:rsid w:val="00712045"/>
    <w:rsid w:val="00716DB2"/>
    <w:rsid w:val="00720183"/>
    <w:rsid w:val="00757F51"/>
    <w:rsid w:val="007608CE"/>
    <w:rsid w:val="00766EC7"/>
    <w:rsid w:val="00785DF8"/>
    <w:rsid w:val="00790DBE"/>
    <w:rsid w:val="007C724E"/>
    <w:rsid w:val="007D504B"/>
    <w:rsid w:val="007D70E2"/>
    <w:rsid w:val="007F39A3"/>
    <w:rsid w:val="007F4A23"/>
    <w:rsid w:val="008123A2"/>
    <w:rsid w:val="00814F27"/>
    <w:rsid w:val="00827A49"/>
    <w:rsid w:val="00845CD2"/>
    <w:rsid w:val="0086498D"/>
    <w:rsid w:val="00864BEB"/>
    <w:rsid w:val="0086554F"/>
    <w:rsid w:val="00875391"/>
    <w:rsid w:val="00881321"/>
    <w:rsid w:val="008869D7"/>
    <w:rsid w:val="00890321"/>
    <w:rsid w:val="00894E38"/>
    <w:rsid w:val="008A14F8"/>
    <w:rsid w:val="008A53EE"/>
    <w:rsid w:val="008B0461"/>
    <w:rsid w:val="008C04E7"/>
    <w:rsid w:val="008C4E2F"/>
    <w:rsid w:val="008C793D"/>
    <w:rsid w:val="008D236C"/>
    <w:rsid w:val="008F4DDD"/>
    <w:rsid w:val="00901A16"/>
    <w:rsid w:val="00916538"/>
    <w:rsid w:val="0092645D"/>
    <w:rsid w:val="00926E79"/>
    <w:rsid w:val="009347F9"/>
    <w:rsid w:val="009431B0"/>
    <w:rsid w:val="009436D5"/>
    <w:rsid w:val="009462A8"/>
    <w:rsid w:val="00952ED6"/>
    <w:rsid w:val="00974AFB"/>
    <w:rsid w:val="0097661C"/>
    <w:rsid w:val="0098499C"/>
    <w:rsid w:val="00993FB1"/>
    <w:rsid w:val="009956F8"/>
    <w:rsid w:val="00996663"/>
    <w:rsid w:val="009A0C39"/>
    <w:rsid w:val="009A5F02"/>
    <w:rsid w:val="009B5DEF"/>
    <w:rsid w:val="009D178C"/>
    <w:rsid w:val="009D685B"/>
    <w:rsid w:val="009D6E02"/>
    <w:rsid w:val="009E28F7"/>
    <w:rsid w:val="009E3AE3"/>
    <w:rsid w:val="009E4C8A"/>
    <w:rsid w:val="009E5C76"/>
    <w:rsid w:val="009F2A16"/>
    <w:rsid w:val="009F773A"/>
    <w:rsid w:val="00A13D38"/>
    <w:rsid w:val="00A14269"/>
    <w:rsid w:val="00A212D0"/>
    <w:rsid w:val="00A23B23"/>
    <w:rsid w:val="00A360C6"/>
    <w:rsid w:val="00A46BF1"/>
    <w:rsid w:val="00A64493"/>
    <w:rsid w:val="00A67794"/>
    <w:rsid w:val="00A73D06"/>
    <w:rsid w:val="00A83985"/>
    <w:rsid w:val="00A93FDC"/>
    <w:rsid w:val="00AA236E"/>
    <w:rsid w:val="00AD378B"/>
    <w:rsid w:val="00AE6CAE"/>
    <w:rsid w:val="00AF7570"/>
    <w:rsid w:val="00AF7CC4"/>
    <w:rsid w:val="00B07534"/>
    <w:rsid w:val="00B111C3"/>
    <w:rsid w:val="00B23068"/>
    <w:rsid w:val="00B243EA"/>
    <w:rsid w:val="00B3237D"/>
    <w:rsid w:val="00B34F5B"/>
    <w:rsid w:val="00B42F7F"/>
    <w:rsid w:val="00B44D8F"/>
    <w:rsid w:val="00B51F6A"/>
    <w:rsid w:val="00B562D4"/>
    <w:rsid w:val="00B71498"/>
    <w:rsid w:val="00B749EF"/>
    <w:rsid w:val="00B85938"/>
    <w:rsid w:val="00B90D21"/>
    <w:rsid w:val="00B97CD7"/>
    <w:rsid w:val="00BA0387"/>
    <w:rsid w:val="00BA13AD"/>
    <w:rsid w:val="00BB6282"/>
    <w:rsid w:val="00BC601B"/>
    <w:rsid w:val="00BD5837"/>
    <w:rsid w:val="00BF025C"/>
    <w:rsid w:val="00BF5A41"/>
    <w:rsid w:val="00BF671C"/>
    <w:rsid w:val="00C20584"/>
    <w:rsid w:val="00C57E60"/>
    <w:rsid w:val="00C61C7D"/>
    <w:rsid w:val="00C707CF"/>
    <w:rsid w:val="00C9023C"/>
    <w:rsid w:val="00C92767"/>
    <w:rsid w:val="00CA2DD3"/>
    <w:rsid w:val="00CA3231"/>
    <w:rsid w:val="00CB14BB"/>
    <w:rsid w:val="00CB3EF8"/>
    <w:rsid w:val="00CC204D"/>
    <w:rsid w:val="00CD5F95"/>
    <w:rsid w:val="00CF621C"/>
    <w:rsid w:val="00D07968"/>
    <w:rsid w:val="00D1021E"/>
    <w:rsid w:val="00D14944"/>
    <w:rsid w:val="00D14B8B"/>
    <w:rsid w:val="00D25630"/>
    <w:rsid w:val="00D43E8F"/>
    <w:rsid w:val="00D62C07"/>
    <w:rsid w:val="00D734DD"/>
    <w:rsid w:val="00D73562"/>
    <w:rsid w:val="00D76770"/>
    <w:rsid w:val="00D813D3"/>
    <w:rsid w:val="00D81F7E"/>
    <w:rsid w:val="00D8520D"/>
    <w:rsid w:val="00DA3FB8"/>
    <w:rsid w:val="00DA4D79"/>
    <w:rsid w:val="00DA7B90"/>
    <w:rsid w:val="00DC359B"/>
    <w:rsid w:val="00DC7A24"/>
    <w:rsid w:val="00DD1531"/>
    <w:rsid w:val="00DD1F52"/>
    <w:rsid w:val="00DD4C53"/>
    <w:rsid w:val="00DE073A"/>
    <w:rsid w:val="00DE4C9C"/>
    <w:rsid w:val="00DF1CB8"/>
    <w:rsid w:val="00DF1D4E"/>
    <w:rsid w:val="00DF4DF9"/>
    <w:rsid w:val="00DF522E"/>
    <w:rsid w:val="00DF687B"/>
    <w:rsid w:val="00E0121F"/>
    <w:rsid w:val="00E3667B"/>
    <w:rsid w:val="00E458B4"/>
    <w:rsid w:val="00E6498E"/>
    <w:rsid w:val="00E67546"/>
    <w:rsid w:val="00ED7E3F"/>
    <w:rsid w:val="00EE2298"/>
    <w:rsid w:val="00EE5498"/>
    <w:rsid w:val="00EF7774"/>
    <w:rsid w:val="00F0172A"/>
    <w:rsid w:val="00F1566C"/>
    <w:rsid w:val="00F23FCC"/>
    <w:rsid w:val="00F6357F"/>
    <w:rsid w:val="00F65585"/>
    <w:rsid w:val="00F66B29"/>
    <w:rsid w:val="00F725F3"/>
    <w:rsid w:val="00F85AC1"/>
    <w:rsid w:val="00FC65A5"/>
    <w:rsid w:val="00FD2B0C"/>
    <w:rsid w:val="00FF1AAC"/>
    <w:rsid w:val="11164A85"/>
    <w:rsid w:val="25912282"/>
    <w:rsid w:val="2CCB09C2"/>
    <w:rsid w:val="578E4CB3"/>
    <w:rsid w:val="5DCB3ACF"/>
    <w:rsid w:val="611A7247"/>
    <w:rsid w:val="62CF5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A465F14"/>
  <w15:docId w15:val="{8960D4EB-EDE8-4CB0-AAEA-EA5A4783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1"/>
      <w:szCs w:val="22"/>
    </w:rPr>
  </w:style>
  <w:style w:type="paragraph" w:styleId="2">
    <w:name w:val="heading 2"/>
    <w:basedOn w:val="a"/>
    <w:next w:val="a"/>
    <w:link w:val="20"/>
    <w:uiPriority w:val="9"/>
    <w:unhideWhenUsed/>
    <w:qFormat/>
    <w:pPr>
      <w:keepNext/>
      <w:keepLines/>
      <w:spacing w:before="156" w:after="156"/>
      <w:outlineLvl w:val="1"/>
    </w:pPr>
    <w:rPr>
      <w:szCs w:val="21"/>
    </w:rPr>
  </w:style>
  <w:style w:type="paragraph" w:styleId="3">
    <w:name w:val="heading 3"/>
    <w:basedOn w:val="a"/>
    <w:next w:val="a"/>
    <w:uiPriority w:val="99"/>
    <w:qFormat/>
    <w:pPr>
      <w:keepNext/>
      <w:keepLines/>
      <w:spacing w:before="300" w:after="300" w:line="241" w:lineRule="auto"/>
      <w:jc w:val="both"/>
      <w:outlineLvl w:val="2"/>
    </w:pPr>
    <w:rPr>
      <w:rFonts w:eastAsia="宋体"/>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1">
    <w:name w:val="toc 1"/>
    <w:basedOn w:val="a"/>
    <w:next w:val="a"/>
    <w:autoRedefine/>
    <w:uiPriority w:val="39"/>
  </w:style>
  <w:style w:type="paragraph" w:styleId="21">
    <w:name w:val="toc 2"/>
    <w:basedOn w:val="a"/>
    <w:next w:val="a"/>
    <w:autoRedefine/>
    <w:uiPriority w:val="39"/>
    <w:unhideWhenUsed/>
    <w:pPr>
      <w:ind w:leftChars="200" w:left="420"/>
    </w:pPr>
  </w:style>
  <w:style w:type="paragraph" w:styleId="a9">
    <w:name w:val="Normal (Web)"/>
    <w:basedOn w:val="a"/>
    <w:uiPriority w:val="99"/>
    <w:unhideWhenUsed/>
    <w:qFormat/>
    <w:pPr>
      <w:widowControl/>
      <w:spacing w:before="100" w:beforeAutospacing="1" w:after="100" w:afterAutospacing="1"/>
    </w:pPr>
    <w:rPr>
      <w:rFonts w:ascii="宋体" w:eastAsia="宋体" w:hAnsi="宋体" w:cs="宋体"/>
      <w:kern w:val="0"/>
      <w:sz w:val="24"/>
      <w:szCs w:val="24"/>
    </w:rPr>
  </w:style>
  <w:style w:type="character" w:styleId="aa">
    <w:name w:val="Strong"/>
    <w:basedOn w:val="a0"/>
    <w:uiPriority w:val="22"/>
    <w:qFormat/>
    <w:rPr>
      <w:b/>
      <w:bCs/>
    </w:rPr>
  </w:style>
  <w:style w:type="character" w:styleId="ab">
    <w:name w:val="Emphasis"/>
    <w:basedOn w:val="a0"/>
    <w:uiPriority w:val="20"/>
    <w:qFormat/>
    <w:rPr>
      <w:i/>
      <w:iCs/>
    </w:rPr>
  </w:style>
  <w:style w:type="paragraph" w:customStyle="1" w:styleId="Header1">
    <w:name w:val="Header 1"/>
    <w:qFormat/>
    <w:pPr>
      <w:jc w:val="right"/>
    </w:pPr>
    <w:rPr>
      <w:rFonts w:ascii="宋体" w:eastAsia="宋体"/>
      <w:kern w:val="2"/>
      <w:sz w:val="18"/>
      <w:szCs w:val="18"/>
    </w:rPr>
  </w:style>
  <w:style w:type="paragraph" w:customStyle="1" w:styleId="headingh1">
    <w:name w:val="heading h1"/>
    <w:basedOn w:val="a"/>
    <w:next w:val="a"/>
    <w:uiPriority w:val="9"/>
    <w:qFormat/>
    <w:pPr>
      <w:keepNext/>
      <w:keepLines/>
      <w:spacing w:before="240" w:after="240" w:line="578" w:lineRule="auto"/>
      <w:outlineLvl w:val="0"/>
    </w:pPr>
    <w:rPr>
      <w:kern w:val="44"/>
      <w:sz w:val="44"/>
      <w:szCs w:val="44"/>
    </w:rPr>
  </w:style>
  <w:style w:type="paragraph" w:customStyle="1" w:styleId="fotter1">
    <w:name w:val="fotter 1"/>
    <w:pPr>
      <w:jc w:val="right"/>
    </w:pPr>
    <w:rPr>
      <w:rFonts w:ascii="宋体" w:eastAsia="宋体"/>
      <w:kern w:val="2"/>
      <w:sz w:val="18"/>
      <w:szCs w:val="18"/>
    </w:rPr>
  </w:style>
  <w:style w:type="paragraph" w:customStyle="1" w:styleId="msonormal0">
    <w:name w:val="msonormal"/>
    <w:basedOn w:val="a"/>
    <w:pPr>
      <w:widowControl/>
      <w:spacing w:before="100" w:beforeAutospacing="1" w:after="100" w:afterAutospacing="1"/>
    </w:pPr>
    <w:rPr>
      <w:rFonts w:ascii="宋体" w:eastAsia="宋体" w:hAnsi="宋体" w:cs="宋体"/>
      <w:kern w:val="0"/>
      <w:sz w:val="24"/>
      <w:szCs w:val="24"/>
    </w:rPr>
  </w:style>
  <w:style w:type="paragraph" w:customStyle="1" w:styleId="10">
    <w:name w:val="1"/>
    <w:basedOn w:val="a"/>
    <w:qFormat/>
    <w:pPr>
      <w:widowControl/>
      <w:spacing w:before="100" w:beforeAutospacing="1" w:after="100" w:afterAutospacing="1"/>
    </w:pPr>
    <w:rPr>
      <w:rFonts w:ascii="宋体" w:eastAsia="宋体" w:hAnsi="宋体" w:cs="宋体"/>
      <w:kern w:val="0"/>
      <w:sz w:val="24"/>
      <w:szCs w:val="24"/>
    </w:rPr>
  </w:style>
  <w:style w:type="character" w:customStyle="1" w:styleId="20">
    <w:name w:val="标题 2 字符"/>
    <w:basedOn w:val="a0"/>
    <w:link w:val="2"/>
    <w:uiPriority w:val="9"/>
    <w:qFormat/>
    <w:rPr>
      <w:szCs w:val="21"/>
    </w:rPr>
  </w:style>
  <w:style w:type="paragraph" w:customStyle="1" w:styleId="30">
    <w:name w:val="3"/>
    <w:basedOn w:val="a"/>
    <w:qFormat/>
    <w:pPr>
      <w:widowControl/>
      <w:spacing w:before="100" w:beforeAutospacing="1" w:after="100" w:afterAutospacing="1"/>
    </w:pPr>
    <w:rPr>
      <w:rFonts w:ascii="宋体" w:eastAsia="宋体" w:hAnsi="宋体" w:cs="宋体"/>
      <w:kern w:val="0"/>
      <w:sz w:val="24"/>
      <w:szCs w:val="24"/>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styleId="ac">
    <w:name w:val="annotation reference"/>
    <w:basedOn w:val="a0"/>
    <w:uiPriority w:val="99"/>
    <w:semiHidden/>
    <w:unhideWhenUsed/>
    <w:rPr>
      <w:sz w:val="21"/>
      <w:szCs w:val="21"/>
    </w:rPr>
  </w:style>
  <w:style w:type="paragraph" w:styleId="ad">
    <w:name w:val="Balloon Text"/>
    <w:basedOn w:val="a"/>
    <w:link w:val="ae"/>
    <w:uiPriority w:val="99"/>
    <w:semiHidden/>
    <w:unhideWhenUsed/>
    <w:rsid w:val="00766EC7"/>
    <w:rPr>
      <w:sz w:val="18"/>
      <w:szCs w:val="18"/>
    </w:rPr>
  </w:style>
  <w:style w:type="character" w:customStyle="1" w:styleId="ae">
    <w:name w:val="批注框文本 字符"/>
    <w:basedOn w:val="a0"/>
    <w:link w:val="ad"/>
    <w:uiPriority w:val="99"/>
    <w:semiHidden/>
    <w:rsid w:val="00766EC7"/>
    <w:rPr>
      <w:kern w:val="2"/>
      <w:sz w:val="18"/>
      <w:szCs w:val="18"/>
    </w:rPr>
  </w:style>
  <w:style w:type="paragraph" w:styleId="af">
    <w:name w:val="annotation subject"/>
    <w:basedOn w:val="a3"/>
    <w:next w:val="a3"/>
    <w:link w:val="af0"/>
    <w:uiPriority w:val="99"/>
    <w:semiHidden/>
    <w:unhideWhenUsed/>
    <w:rsid w:val="00BA13AD"/>
    <w:rPr>
      <w:b/>
      <w:bCs/>
    </w:rPr>
  </w:style>
  <w:style w:type="character" w:customStyle="1" w:styleId="a4">
    <w:name w:val="批注文字 字符"/>
    <w:basedOn w:val="a0"/>
    <w:link w:val="a3"/>
    <w:uiPriority w:val="99"/>
    <w:rsid w:val="00BA13AD"/>
    <w:rPr>
      <w:kern w:val="2"/>
      <w:sz w:val="21"/>
      <w:szCs w:val="22"/>
    </w:rPr>
  </w:style>
  <w:style w:type="character" w:customStyle="1" w:styleId="af0">
    <w:name w:val="批注主题 字符"/>
    <w:basedOn w:val="a4"/>
    <w:link w:val="af"/>
    <w:uiPriority w:val="99"/>
    <w:semiHidden/>
    <w:rsid w:val="00BA13AD"/>
    <w:rPr>
      <w:b/>
      <w:bCs/>
      <w:kern w:val="2"/>
      <w:sz w:val="21"/>
      <w:szCs w:val="22"/>
    </w:rPr>
  </w:style>
  <w:style w:type="numbering" w:customStyle="1" w:styleId="11">
    <w:name w:val="无列表1"/>
    <w:next w:val="a2"/>
    <w:uiPriority w:val="99"/>
    <w:semiHidden/>
    <w:unhideWhenUsed/>
    <w:rsid w:val="00DC359B"/>
  </w:style>
  <w:style w:type="numbering" w:customStyle="1" w:styleId="22">
    <w:name w:val="无列表2"/>
    <w:next w:val="a2"/>
    <w:uiPriority w:val="99"/>
    <w:semiHidden/>
    <w:unhideWhenUsed/>
    <w:rsid w:val="00477B43"/>
  </w:style>
  <w:style w:type="paragraph" w:styleId="af1">
    <w:name w:val="Revision"/>
    <w:hidden/>
    <w:uiPriority w:val="99"/>
    <w:semiHidden/>
    <w:rsid w:val="006F0495"/>
    <w:rPr>
      <w:kern w:val="2"/>
      <w:sz w:val="21"/>
      <w:szCs w:val="22"/>
    </w:rPr>
  </w:style>
  <w:style w:type="character" w:customStyle="1" w:styleId="cf0">
    <w:name w:val="cf0"/>
    <w:basedOn w:val="a0"/>
    <w:rsid w:val="00ED7E3F"/>
  </w:style>
  <w:style w:type="paragraph" w:customStyle="1" w:styleId="report-section-reference-associated-number">
    <w:name w:val="report-section-reference-associated-number"/>
    <w:basedOn w:val="a"/>
    <w:qFormat/>
    <w:rsid w:val="00A360C6"/>
    <w:pPr>
      <w:widowControl/>
      <w:spacing w:before="100" w:beforeAutospacing="1" w:after="100" w:afterAutospacing="1"/>
    </w:pPr>
    <w:rPr>
      <w:rFonts w:ascii="宋体" w:eastAsia="宋体" w:hAnsi="宋体" w:cs="宋体"/>
      <w:kern w:val="0"/>
      <w:sz w:val="24"/>
      <w:szCs w:val="24"/>
    </w:rPr>
  </w:style>
  <w:style w:type="paragraph" w:styleId="31">
    <w:name w:val="toc 3"/>
    <w:basedOn w:val="a"/>
    <w:next w:val="a"/>
    <w:autoRedefine/>
    <w:uiPriority w:val="39"/>
    <w:unhideWhenUsed/>
    <w:rsid w:val="009E5C76"/>
    <w:pPr>
      <w:ind w:leftChars="400" w:left="840"/>
      <w:jc w:val="both"/>
    </w:pPr>
  </w:style>
  <w:style w:type="paragraph" w:styleId="4">
    <w:name w:val="toc 4"/>
    <w:basedOn w:val="a"/>
    <w:next w:val="a"/>
    <w:autoRedefine/>
    <w:uiPriority w:val="39"/>
    <w:unhideWhenUsed/>
    <w:rsid w:val="009E5C76"/>
    <w:pPr>
      <w:ind w:leftChars="600" w:left="1260"/>
      <w:jc w:val="both"/>
    </w:pPr>
  </w:style>
  <w:style w:type="paragraph" w:styleId="5">
    <w:name w:val="toc 5"/>
    <w:basedOn w:val="a"/>
    <w:next w:val="a"/>
    <w:autoRedefine/>
    <w:uiPriority w:val="39"/>
    <w:unhideWhenUsed/>
    <w:rsid w:val="009E5C76"/>
    <w:pPr>
      <w:ind w:leftChars="800" w:left="1680"/>
      <w:jc w:val="both"/>
    </w:pPr>
  </w:style>
  <w:style w:type="paragraph" w:styleId="6">
    <w:name w:val="toc 6"/>
    <w:basedOn w:val="a"/>
    <w:next w:val="a"/>
    <w:autoRedefine/>
    <w:uiPriority w:val="39"/>
    <w:unhideWhenUsed/>
    <w:rsid w:val="009E5C76"/>
    <w:pPr>
      <w:ind w:leftChars="1000" w:left="2100"/>
      <w:jc w:val="both"/>
    </w:pPr>
  </w:style>
  <w:style w:type="paragraph" w:styleId="7">
    <w:name w:val="toc 7"/>
    <w:basedOn w:val="a"/>
    <w:next w:val="a"/>
    <w:autoRedefine/>
    <w:uiPriority w:val="39"/>
    <w:unhideWhenUsed/>
    <w:rsid w:val="009E5C76"/>
    <w:pPr>
      <w:ind w:leftChars="1200" w:left="2520"/>
      <w:jc w:val="both"/>
    </w:pPr>
  </w:style>
  <w:style w:type="paragraph" w:styleId="8">
    <w:name w:val="toc 8"/>
    <w:basedOn w:val="a"/>
    <w:next w:val="a"/>
    <w:autoRedefine/>
    <w:uiPriority w:val="39"/>
    <w:unhideWhenUsed/>
    <w:rsid w:val="009E5C76"/>
    <w:pPr>
      <w:ind w:leftChars="1400" w:left="2940"/>
      <w:jc w:val="both"/>
    </w:pPr>
  </w:style>
  <w:style w:type="paragraph" w:styleId="9">
    <w:name w:val="toc 9"/>
    <w:basedOn w:val="a"/>
    <w:next w:val="a"/>
    <w:autoRedefine/>
    <w:uiPriority w:val="39"/>
    <w:unhideWhenUsed/>
    <w:rsid w:val="009E5C76"/>
    <w:pPr>
      <w:ind w:leftChars="1600" w:left="3360"/>
      <w:jc w:val="both"/>
    </w:pPr>
  </w:style>
  <w:style w:type="character" w:styleId="af2">
    <w:name w:val="Hyperlink"/>
    <w:basedOn w:val="a0"/>
    <w:uiPriority w:val="99"/>
    <w:unhideWhenUsed/>
    <w:rsid w:val="009E5C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0973">
      <w:bodyDiv w:val="1"/>
      <w:marLeft w:val="0"/>
      <w:marRight w:val="0"/>
      <w:marTop w:val="0"/>
      <w:marBottom w:val="0"/>
      <w:divBdr>
        <w:top w:val="none" w:sz="0" w:space="0" w:color="auto"/>
        <w:left w:val="none" w:sz="0" w:space="0" w:color="auto"/>
        <w:bottom w:val="none" w:sz="0" w:space="0" w:color="auto"/>
        <w:right w:val="none" w:sz="0" w:space="0" w:color="auto"/>
      </w:divBdr>
    </w:div>
    <w:div w:id="391075966">
      <w:bodyDiv w:val="1"/>
      <w:marLeft w:val="0"/>
      <w:marRight w:val="0"/>
      <w:marTop w:val="0"/>
      <w:marBottom w:val="0"/>
      <w:divBdr>
        <w:top w:val="none" w:sz="0" w:space="0" w:color="auto"/>
        <w:left w:val="none" w:sz="0" w:space="0" w:color="auto"/>
        <w:bottom w:val="none" w:sz="0" w:space="0" w:color="auto"/>
        <w:right w:val="none" w:sz="0" w:space="0" w:color="auto"/>
      </w:divBdr>
    </w:div>
    <w:div w:id="644894008">
      <w:bodyDiv w:val="1"/>
      <w:marLeft w:val="0"/>
      <w:marRight w:val="0"/>
      <w:marTop w:val="0"/>
      <w:marBottom w:val="0"/>
      <w:divBdr>
        <w:top w:val="none" w:sz="0" w:space="0" w:color="auto"/>
        <w:left w:val="none" w:sz="0" w:space="0" w:color="auto"/>
        <w:bottom w:val="none" w:sz="0" w:space="0" w:color="auto"/>
        <w:right w:val="none" w:sz="0" w:space="0" w:color="auto"/>
      </w:divBdr>
    </w:div>
    <w:div w:id="787941637">
      <w:bodyDiv w:val="1"/>
      <w:marLeft w:val="0"/>
      <w:marRight w:val="0"/>
      <w:marTop w:val="0"/>
      <w:marBottom w:val="0"/>
      <w:divBdr>
        <w:top w:val="none" w:sz="0" w:space="0" w:color="auto"/>
        <w:left w:val="none" w:sz="0" w:space="0" w:color="auto"/>
        <w:bottom w:val="none" w:sz="0" w:space="0" w:color="auto"/>
        <w:right w:val="none" w:sz="0" w:space="0" w:color="auto"/>
      </w:divBdr>
    </w:div>
    <w:div w:id="895967909">
      <w:bodyDiv w:val="1"/>
      <w:marLeft w:val="0"/>
      <w:marRight w:val="0"/>
      <w:marTop w:val="0"/>
      <w:marBottom w:val="0"/>
      <w:divBdr>
        <w:top w:val="none" w:sz="0" w:space="0" w:color="auto"/>
        <w:left w:val="none" w:sz="0" w:space="0" w:color="auto"/>
        <w:bottom w:val="none" w:sz="0" w:space="0" w:color="auto"/>
        <w:right w:val="none" w:sz="0" w:space="0" w:color="auto"/>
      </w:divBdr>
    </w:div>
    <w:div w:id="1303269681">
      <w:bodyDiv w:val="1"/>
      <w:marLeft w:val="0"/>
      <w:marRight w:val="0"/>
      <w:marTop w:val="0"/>
      <w:marBottom w:val="0"/>
      <w:divBdr>
        <w:top w:val="none" w:sz="0" w:space="0" w:color="auto"/>
        <w:left w:val="none" w:sz="0" w:space="0" w:color="auto"/>
        <w:bottom w:val="none" w:sz="0" w:space="0" w:color="auto"/>
        <w:right w:val="none" w:sz="0" w:space="0" w:color="auto"/>
      </w:divBdr>
    </w:div>
    <w:div w:id="1347557436">
      <w:bodyDiv w:val="1"/>
      <w:marLeft w:val="0"/>
      <w:marRight w:val="0"/>
      <w:marTop w:val="0"/>
      <w:marBottom w:val="0"/>
      <w:divBdr>
        <w:top w:val="none" w:sz="0" w:space="0" w:color="auto"/>
        <w:left w:val="none" w:sz="0" w:space="0" w:color="auto"/>
        <w:bottom w:val="none" w:sz="0" w:space="0" w:color="auto"/>
        <w:right w:val="none" w:sz="0" w:space="0" w:color="auto"/>
      </w:divBdr>
    </w:div>
    <w:div w:id="1392071483">
      <w:bodyDiv w:val="1"/>
      <w:marLeft w:val="0"/>
      <w:marRight w:val="0"/>
      <w:marTop w:val="0"/>
      <w:marBottom w:val="0"/>
      <w:divBdr>
        <w:top w:val="none" w:sz="0" w:space="0" w:color="auto"/>
        <w:left w:val="none" w:sz="0" w:space="0" w:color="auto"/>
        <w:bottom w:val="none" w:sz="0" w:space="0" w:color="auto"/>
        <w:right w:val="none" w:sz="0" w:space="0" w:color="auto"/>
      </w:divBdr>
    </w:div>
    <w:div w:id="1650862409">
      <w:bodyDiv w:val="1"/>
      <w:marLeft w:val="0"/>
      <w:marRight w:val="0"/>
      <w:marTop w:val="0"/>
      <w:marBottom w:val="0"/>
      <w:divBdr>
        <w:top w:val="none" w:sz="0" w:space="0" w:color="auto"/>
        <w:left w:val="none" w:sz="0" w:space="0" w:color="auto"/>
        <w:bottom w:val="none" w:sz="0" w:space="0" w:color="auto"/>
        <w:right w:val="none" w:sz="0" w:space="0" w:color="auto"/>
      </w:divBdr>
    </w:div>
    <w:div w:id="1679043863">
      <w:bodyDiv w:val="1"/>
      <w:marLeft w:val="0"/>
      <w:marRight w:val="0"/>
      <w:marTop w:val="0"/>
      <w:marBottom w:val="0"/>
      <w:divBdr>
        <w:top w:val="none" w:sz="0" w:space="0" w:color="auto"/>
        <w:left w:val="none" w:sz="0" w:space="0" w:color="auto"/>
        <w:bottom w:val="none" w:sz="0" w:space="0" w:color="auto"/>
        <w:right w:val="none" w:sz="0" w:space="0" w:color="auto"/>
      </w:divBdr>
    </w:div>
    <w:div w:id="1699619163">
      <w:bodyDiv w:val="1"/>
      <w:marLeft w:val="0"/>
      <w:marRight w:val="0"/>
      <w:marTop w:val="0"/>
      <w:marBottom w:val="0"/>
      <w:divBdr>
        <w:top w:val="none" w:sz="0" w:space="0" w:color="auto"/>
        <w:left w:val="none" w:sz="0" w:space="0" w:color="auto"/>
        <w:bottom w:val="none" w:sz="0" w:space="0" w:color="auto"/>
        <w:right w:val="none" w:sz="0" w:space="0" w:color="auto"/>
      </w:divBdr>
    </w:div>
    <w:div w:id="1942638375">
      <w:bodyDiv w:val="1"/>
      <w:marLeft w:val="0"/>
      <w:marRight w:val="0"/>
      <w:marTop w:val="0"/>
      <w:marBottom w:val="0"/>
      <w:divBdr>
        <w:top w:val="none" w:sz="0" w:space="0" w:color="auto"/>
        <w:left w:val="none" w:sz="0" w:space="0" w:color="auto"/>
        <w:bottom w:val="none" w:sz="0" w:space="0" w:color="auto"/>
        <w:right w:val="none" w:sz="0" w:space="0" w:color="auto"/>
      </w:divBdr>
    </w:div>
    <w:div w:id="2063476947">
      <w:bodyDiv w:val="1"/>
      <w:marLeft w:val="0"/>
      <w:marRight w:val="0"/>
      <w:marTop w:val="0"/>
      <w:marBottom w:val="0"/>
      <w:divBdr>
        <w:top w:val="none" w:sz="0" w:space="0" w:color="auto"/>
        <w:left w:val="none" w:sz="0" w:space="0" w:color="auto"/>
        <w:bottom w:val="none" w:sz="0" w:space="0" w:color="auto"/>
        <w:right w:val="none" w:sz="0" w:space="0" w:color="auto"/>
      </w:divBdr>
    </w:div>
    <w:div w:id="2128573367">
      <w:bodyDiv w:val="1"/>
      <w:marLeft w:val="0"/>
      <w:marRight w:val="0"/>
      <w:marTop w:val="0"/>
      <w:marBottom w:val="0"/>
      <w:divBdr>
        <w:top w:val="none" w:sz="0" w:space="0" w:color="auto"/>
        <w:left w:val="none" w:sz="0" w:space="0" w:color="auto"/>
        <w:bottom w:val="none" w:sz="0" w:space="0" w:color="auto"/>
        <w:right w:val="none" w:sz="0" w:space="0" w:color="auto"/>
      </w:divBdr>
    </w:div>
    <w:div w:id="2142529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FD76E-5B8B-4E35-AEA6-9E4F9880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272</Pages>
  <Words>175112</Words>
  <Characters>112949</Characters>
  <Application>Microsoft Office Word</Application>
  <DocSecurity>0</DocSecurity>
  <Lines>941</Lines>
  <Paragraphs>574</Paragraphs>
  <ScaleCrop>false</ScaleCrop>
  <Company/>
  <LinksUpToDate>false</LinksUpToDate>
  <CharactersWithSpaces>287487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Ludan.Zhang</dc:creator>
  <cp:keywords/>
  <dc:description/>
  <cp:lastModifiedBy>Qian Zhou 周倩</cp:lastModifiedBy>
  <cp:revision>26</cp:revision>
  <dcterms:created xsi:type="dcterms:W3CDTF">2026-04-23T02:04:00Z</dcterms:created>
  <dcterms:modified xsi:type="dcterms:W3CDTF">2026-04-27T06:55:00Z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GFID">
    <vt:lpwstr>[DocID]=47600427-B505-4930-815E-04E3B175E0F8</vt:lpwstr>
  </property>
  <property fmtid="{D5CDD505-2E9C-101B-9397-08002B2CF9AE}" pid="3" name="_IPGDLV_P-B633_E-1_CV-D44A7EB5_CN-E4BCC148">
    <vt:lpwstr>wF50dUnw5gU6cKEkX588zQ==</vt:lpwstr>
  </property>
  <property fmtid="{D5CDD505-2E9C-101B-9397-08002B2CF9AE}" pid="4" name="KSOTemplateDocerSaveRecord">
    <vt:lpwstr>eyJoZGlkIjoiZGY3ZjA1MjdjY2FiMTQzYjk3ZTFkMDNhNzA2NmNjMmIiLCJ1c2VySWQiOiIyNjM3Njk3MDQifQ==</vt:lpwstr>
  </property>
  <property fmtid="{D5CDD505-2E9C-101B-9397-08002B2CF9AE}" pid="5" name="KSOProductBuildVer">
    <vt:lpwstr>2052-12.1.0.25865</vt:lpwstr>
  </property>
  <property fmtid="{D5CDD505-2E9C-101B-9397-08002B2CF9AE}" pid="6" name="ICV">
    <vt:lpwstr>4C11A43377A24645AF01A35E9E162C08_13</vt:lpwstr>
  </property>
</Properties>
</file>